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0782F">
      <w:pPr>
        <w:divId w:val="1513108798"/>
        <w:rPr>
          <w:rFonts w:eastAsia="Times New Roman"/>
          <w:vanish/>
        </w:rPr>
      </w:pPr>
      <w:r>
        <w:rPr>
          <w:rFonts w:eastAsia="Times New Roman"/>
          <w:vanish/>
        </w:rPr>
        <w:t>false2020FY0000927628us-gaap:OtherAssetsus-gaap:OtherAssetsus-gaap:OtherLiabilitiesus-gaap:OtherLiabilities3.80.02500009276282020-01-012020-12-310000927628us-gaap:CommonStockMember2020-01-012020-12-310000927628</w:t>
      </w:r>
      <w:r>
        <w:rPr>
          <w:rFonts w:eastAsia="Times New Roman"/>
          <w:vanish/>
        </w:rPr>
        <w:t>us-gaap:SeriesGPreferredStockMember2020-01-012020-12-310000927628us-gaap:SeriesHPreferredStockMember2020-01-012020-12-310000927628cof:SeriesIPreferredStockMember2020-01-012020-12-310000927628cof:SeriesJPreferredStockMember2020-01-012020-12-310000927628cof:</w:t>
      </w:r>
      <w:r>
        <w:rPr>
          <w:rFonts w:eastAsia="Times New Roman"/>
          <w:vanish/>
        </w:rPr>
        <w:t>SeriesKPreferredStockMemberMember2020-01-012020-12-310000927628cof:SeniorNotesDue2024Member2020-01-012020-12-310000927628cof:SeniorNotesDue2029Member2020-01-012020-12-31iso4217:USD00009276282020-06-30xbrli:shares00009276282021-01-3100009276282019-01-012019</w:t>
      </w:r>
      <w:r>
        <w:rPr>
          <w:rFonts w:eastAsia="Times New Roman"/>
          <w:vanish/>
        </w:rPr>
        <w:t>-12-3100009276282018-01-012018-12-31iso4217:USDxbrli:shares00009276282020-12-3100009276282019-12-310000927628srt:ParentCompanyMember2020-12-310000927628srt:ParentCompanyMember2019-12-310000927628us-gaap:VariableInterestEntityPrimaryBeneficiaryMember2020-12</w:t>
      </w:r>
      <w:r>
        <w:rPr>
          <w:rFonts w:eastAsia="Times New Roman"/>
          <w:vanish/>
        </w:rPr>
        <w:t>-310000927628us-gaap:VariableInterestEntityPrimaryBeneficiaryMember2019-12-310000927628us-gaap:PreferredStockMember2017-12-310000927628us-gaap:CommonStockMember2017-12-310000927628us-gaap:AdditionalPaidInCapitalMember2017-12-310000927628us-gaap:RetainedEar</w:t>
      </w:r>
      <w:r>
        <w:rPr>
          <w:rFonts w:eastAsia="Times New Roman"/>
          <w:vanish/>
        </w:rPr>
        <w:t>ningsMember2017-12-310000927628us-gaap:AccumulatedOtherComprehensiveIncomeMember2017-12-310000927628us-gaap:TreasuryStockMember2017-12-3100009276282017-12-310000927628srt:CumulativeEffectPeriodOfAdoptionAdjustmentMemberus-gaap:RetainedEarningsMember2017-12</w:t>
      </w:r>
      <w:r>
        <w:rPr>
          <w:rFonts w:eastAsia="Times New Roman"/>
          <w:vanish/>
        </w:rPr>
        <w:t>-310000927628srt:CumulativeEffectPeriodOfAdoptionAdjustmentMemberus-gaap:AccumulatedOtherComprehensiveIncomeMember2017-12-310000927628srt:CumulativeEffectPeriodOfAdoptionAdjustmentMember2017-12-310000927628us-gaap:RetainedEarningsMember2018-01-012018-12-31</w:t>
      </w:r>
      <w:r>
        <w:rPr>
          <w:rFonts w:eastAsia="Times New Roman"/>
          <w:vanish/>
        </w:rPr>
        <w:t>0000927628us-gaap:AccumulatedOtherComprehensiveIncomeMember2018-01-012018-12-310000927628us-gaap:CommonStockMember2018-01-012018-12-310000927628us-gaap:AdditionalPaidInCapitalMember2018-01-012018-12-310000927628us-gaap:TreasuryStockMember2018-01-012018-12-</w:t>
      </w:r>
      <w:r>
        <w:rPr>
          <w:rFonts w:eastAsia="Times New Roman"/>
          <w:vanish/>
        </w:rPr>
        <w:t>310000927628us-gaap:PreferredStockMember2018-12-310000927628us-gaap:CommonStockMember2018-12-310000927628us-gaap:AdditionalPaidInCapitalMember2018-12-310000927628us-gaap:RetainedEarningsMember2018-12-310000927628us-gaap:AccumulatedOtherComprehensiveIncomeM</w:t>
      </w:r>
      <w:r>
        <w:rPr>
          <w:rFonts w:eastAsia="Times New Roman"/>
          <w:vanish/>
        </w:rPr>
        <w:t>ember2018-12-310000927628us-gaap:TreasuryStockMember2018-12-3100009276282018-12-310000927628srt:CumulativeEffectPeriodOfAdoptionAdjustmentMemberus-gaap:RetainedEarningsMember2018-12-310000927628srt:CumulativeEffectPeriodOfAdoptionAdjustmentMember2018-12-31</w:t>
      </w:r>
      <w:r>
        <w:rPr>
          <w:rFonts w:eastAsia="Times New Roman"/>
          <w:vanish/>
        </w:rPr>
        <w:t>0000927628us-gaap:RetainedEarningsMember2019-01-012019-12-310000927628us-gaap:AccumulatedOtherComprehensiveIncomeMember2019-01-012019-12-310000927628us-gaap:AccumulatedOtherComprehensiveIncomeMember2019-12-310000927628us-gaap:CommonStockMember2019-01-01201</w:t>
      </w:r>
      <w:r>
        <w:rPr>
          <w:rFonts w:eastAsia="Times New Roman"/>
          <w:vanish/>
        </w:rPr>
        <w:t>9-12-310000927628us-gaap:AdditionalPaidInCapitalMember2019-01-012019-12-310000927628us-gaap:TreasuryStockMember2019-01-012019-12-310000927628us-gaap:PreferredStockMember2019-01-012019-12-310000927628us-gaap:PreferredStockMember2019-12-310000927628us-gaap:C</w:t>
      </w:r>
      <w:r>
        <w:rPr>
          <w:rFonts w:eastAsia="Times New Roman"/>
          <w:vanish/>
        </w:rPr>
        <w:t>ommonStockMember2019-12-310000927628us-gaap:AdditionalPaidInCapitalMember2019-12-310000927628us-gaap:RetainedEarningsMember2019-12-310000927628us-gaap:TreasuryStockMember2019-12-310000927628srt:CumulativeEffectPeriodOfAdoptionAdjustmentMemberus-gaap:Retain</w:t>
      </w:r>
      <w:r>
        <w:rPr>
          <w:rFonts w:eastAsia="Times New Roman"/>
          <w:vanish/>
        </w:rPr>
        <w:t>edEarningsMember2019-12-310000927628srt:CumulativeEffectPeriodOfAdoptionAdjustmentMemberus-gaap:AccumulatedOtherComprehensiveIncomeMember2019-12-310000927628srt:CumulativeEffectPeriodOfAdoptionAdjustmentMember2019-12-310000927628us-gaap:RetainedEarningsMem</w:t>
      </w:r>
      <w:r>
        <w:rPr>
          <w:rFonts w:eastAsia="Times New Roman"/>
          <w:vanish/>
        </w:rPr>
        <w:t>ber2020-01-012020-12-310000927628us-gaap:AccumulatedOtherComprehensiveIncomeMember2020-01-012020-12-310000927628us-gaap:CommonStockMember2020-01-012020-12-310000927628us-gaap:AdditionalPaidInCapitalMember2020-01-012020-12-310000927628us-gaap:TreasuryStockM</w:t>
      </w:r>
      <w:r>
        <w:rPr>
          <w:rFonts w:eastAsia="Times New Roman"/>
          <w:vanish/>
        </w:rPr>
        <w:t>ember2020-01-012020-12-310000927628us-gaap:PreferredStockMember2020-01-012020-12-310000927628us-gaap:PreferredStockMember2020-12-310000927628us-gaap:CommonStockMember2020-12-310000927628us-gaap:AdditionalPaidInCapitalMember2020-12-310000927628us-gaap:Retai</w:t>
      </w:r>
      <w:r>
        <w:rPr>
          <w:rFonts w:eastAsia="Times New Roman"/>
          <w:vanish/>
        </w:rPr>
        <w:t>nedEarningsMember2020-12-310000927628us-gaap:AccumulatedOtherComprehensiveIncomeMember2020-12-310000927628us-gaap:TreasuryStockMember2020-12-3100009276282020-04-012020-06-3000009276282019-01-012019-03-3100009276282020-01-012020-03-3100009276282019-04-01201</w:t>
      </w:r>
      <w:r>
        <w:rPr>
          <w:rFonts w:eastAsia="Times New Roman"/>
          <w:vanish/>
        </w:rPr>
        <w:t>9-06-3000009276282018-01-012018-03-3100009276282019-07-012019-09-3000009276282018-04-012018-06-3000009276282019-10-012019-12-3100009276282018-10-012018-12-3100009276282018-07-012018-09-3000009276282020-10-012020-12-3100009276282020-07-012020-09-30cof:segme</w:t>
      </w:r>
      <w:r>
        <w:rPr>
          <w:rFonts w:eastAsia="Times New Roman"/>
          <w:vanish/>
        </w:rPr>
        <w:t>nt0000927628cof:CreditCardPortfolioSegmentMember2020-01-012020-12-310000927628us-gaap:ConsumerPortfolioSegmentMember2020-01-012020-12-310000927628cof:PrivilegesRevokedMembercof:CreditCardPortfolioSegmentMember2020-01-012020-12-310000927628cof:ChapterSevenB</w:t>
      </w:r>
      <w:r>
        <w:rPr>
          <w:rFonts w:eastAsia="Times New Roman"/>
          <w:vanish/>
        </w:rPr>
        <w:t>ankruptcyMembercof:CreditCardPortfolioSegmentMember2020-01-012020-12-310000927628cof:NotificationofDeathMembercof:CreditCardPortfolioSegmentMember2020-01-012020-12-310000927628us-gaap:ConsumerPortfolioSegmentMemberus-gaap:AutomobileLoanMember2020-01-012020</w:t>
      </w:r>
      <w:r>
        <w:rPr>
          <w:rFonts w:eastAsia="Times New Roman"/>
          <w:vanish/>
        </w:rPr>
        <w:t>-12-310000927628us-gaap:ConsumerPortfolioSegmentMembercof:SmallBusinessBankingLoansMembersrt:MaximumMember2020-01-012020-12-310000927628us-gaap:ConsumerPortfolioSegmentMembercof:ChapterSevenBankruptcyMember2020-01-012020-12-310000927628us-gaap:ConsumerPort</w:t>
      </w:r>
      <w:r>
        <w:rPr>
          <w:rFonts w:eastAsia="Times New Roman"/>
          <w:vanish/>
        </w:rPr>
        <w:t>folioSegmentMembercof:OtherConsumerLoansMember2020-01-012020-12-310000927628us-gaap:ConsumerPortfolioSegmentMembercof:NotificationofDeathMember2020-01-012020-12-310000927628us-gaap:BuildingAndBuildingImprovementsMembersrt:MinimumMember2020-01-012020-12-310</w:t>
      </w:r>
      <w:r>
        <w:rPr>
          <w:rFonts w:eastAsia="Times New Roman"/>
          <w:vanish/>
        </w:rPr>
        <w:t>000927628srt:MaximumMemberus-gaap:BuildingAndBuildingImprovementsMember2020-01-012020-12-310000927628cof:FurnitureAndEquipmentMembersrt:MinimumMember2020-01-012020-12-310000927628cof:FurnitureAndEquipmentMembersrt:MaximumMember2020-01-012020-12-31000092762</w:t>
      </w:r>
      <w:r>
        <w:rPr>
          <w:rFonts w:eastAsia="Times New Roman"/>
          <w:vanish/>
        </w:rPr>
        <w:t>8us-gaap:SoftwareAndSoftwareDevelopmentCostsMembersrt:MaximumMember2020-01-012020-12-310000927628us-gaap:SoftwareAndSoftwareDevelopmentCostsMembersrt:MinimumMember2020-01-012020-12-310000927628srt:MinimumMember2020-01-012020-12-310000927628srt:MaximumMembe</w:t>
      </w:r>
      <w:r>
        <w:rPr>
          <w:rFonts w:eastAsia="Times New Roman"/>
          <w:vanish/>
        </w:rPr>
        <w:t>r2020-01-012020-12-310000927628us-gaap:CollaborativeArrangementMember2020-01-012020-12-310000927628us-gaap:CollaborativeArrangementMember2019-01-012019-12-310000927628us-gaap:CollaborativeArrangementMember2018-01-012018-12-310000927628us-gaap:AccountingSta</w:t>
      </w:r>
      <w:r>
        <w:rPr>
          <w:rFonts w:eastAsia="Times New Roman"/>
          <w:vanish/>
        </w:rPr>
        <w:t>ndardsUpdate201613Memberus-gaap:AllowanceForLoanAndLeaseLossesMember2020-01-010000927628us-gaap:AccountingStandardsUpdate201613Member2020-01-010000927628us-gaap:AllowanceForLoanAndLeaseLossesMember2020-01-01xbrli:pure0000927628us-gaap:USTreasuryAndGovernme</w:t>
      </w:r>
      <w:r>
        <w:rPr>
          <w:rFonts w:eastAsia="Times New Roman"/>
          <w:vanish/>
        </w:rPr>
        <w:t>ntMembercof:InvestmentSecuritiesPortfolioMember2019-12-312019-12-310000927628us-gaap:USTreasuryAndGovernmentMembercof:InvestmentSecuritiesPortfolioMember2020-12-312020-12-310000927628srt:CumulativeEffectPeriodOfAdoptionAdjustmentMember2020-01-010000927628u</w:t>
      </w:r>
      <w:r>
        <w:rPr>
          <w:rFonts w:eastAsia="Times New Roman"/>
          <w:vanish/>
        </w:rPr>
        <w:t>s-gaap:USTreasurySecuritiesMember2020-12-310000927628cof:ResidentialMortgageBackedSecuritiesAgencyMember2020-12-310000927628cof:ResidentialMortgageBackedSecuritiesNonagencyMember2020-12-310000927628us-gaap:ResidentialMortgageBackedSecuritiesMember2020-12-3</w:t>
      </w:r>
      <w:r>
        <w:rPr>
          <w:rFonts w:eastAsia="Times New Roman"/>
          <w:vanish/>
        </w:rPr>
        <w:t>10000927628cof:CommercialMortgageBackedSecuritiesAgencyMember2020-12-310000927628us-gaap:OtherDebtSecuritiesMember2020-12-310000927628us-gaap:USTreasurySecuritiesMember2019-12-310000927628cof:ResidentialMortgageBackedSecuritiesAgencyMember2019-12-310000927</w:t>
      </w:r>
      <w:r>
        <w:rPr>
          <w:rFonts w:eastAsia="Times New Roman"/>
          <w:vanish/>
        </w:rPr>
        <w:t>628cof:ResidentialMortgageBackedSecuritiesNonagencyMember2019-12-310000927628us-gaap:ResidentialMortgageBackedSecuritiesMember2019-12-310000927628cof:CommercialMortgageBackedSecuritiesAgencyMember2019-12-310000927628us-gaap:OtherDebtSecuritiesMember2019-12</w:t>
      </w:r>
      <w:r>
        <w:rPr>
          <w:rFonts w:eastAsia="Times New Roman"/>
          <w:vanish/>
        </w:rPr>
        <w:t>-310000927628us-gaap:AssetBackedSecuritiesMember2020-12-310000927628us-gaap:AssetBackedSecuritiesMember2019-12-31cof:security0000927628us-gaap:ResidentialMortgageBackedSecuritiesMember2020-01-012020-12-310000927628cof:CommercialMortgageBackedSecuritiesAgen</w:t>
      </w:r>
      <w:r>
        <w:rPr>
          <w:rFonts w:eastAsia="Times New Roman"/>
          <w:vanish/>
        </w:rPr>
        <w:t>cyMember2020-01-012020-12-310000927628us-gaap:CollateralPledgedMember2020-12-310000927628us-gaap:CollateralPledgedMember2019-12-310000927628us-gaap:GeographicDistributionDomesticMembercof:CreditCardPortfolioSegmentMember2020-12-310000927628us-gaap:Geograph</w:t>
      </w:r>
      <w:r>
        <w:rPr>
          <w:rFonts w:eastAsia="Times New Roman"/>
          <w:vanish/>
        </w:rPr>
        <w:t>icDistributionDomesticMemberus-gaap:FinancingReceivables30To59DaysPastDueMembercof:CreditCardPortfolioSegmentMember2020-12-310000927628us-gaap:GeographicDistributionDomesticMemberus-gaap:FinancingReceivables60To89DaysPastDueMembercof:CreditCardPortfolioSeg</w:t>
      </w:r>
      <w:r>
        <w:rPr>
          <w:rFonts w:eastAsia="Times New Roman"/>
          <w:vanish/>
        </w:rPr>
        <w:t>mentMember2020-12-310000927628us-gaap:GeographicDistributionDomesticMembercof:CreditCardPortfolioSegmentMemberus-gaap:FinancingReceivablesEqualToGreaterThan90DaysPastDueMember2020-12-310000927628us-gaap:GeographicDistributionForeignMembercof:CreditCardPort</w:t>
      </w:r>
      <w:r>
        <w:rPr>
          <w:rFonts w:eastAsia="Times New Roman"/>
          <w:vanish/>
        </w:rPr>
        <w:t>folioSegmentMember2020-12-310000927628us-gaap:GeographicDistributionForeignMemberus-gaap:FinancingReceivables30To59DaysPastDueMembercof:CreditCardPortfolioSegmentMember2020-12-310000927628us-gaap:GeographicDistributionForeignMemberus-gaap:FinancingReceivab</w:t>
      </w:r>
      <w:r>
        <w:rPr>
          <w:rFonts w:eastAsia="Times New Roman"/>
          <w:vanish/>
        </w:rPr>
        <w:t>les60To89DaysPastDueMembercof:CreditCardPortfolioSegmentMember2020-12-310000927628us-gaap:GeographicDistributionForeignMembercof:CreditCardPortfolioSegmentMemberus-gaap:FinancingReceivablesEqualToGreaterThan90DaysPastDueMember2020-12-310000927628cof:Credit</w:t>
      </w:r>
      <w:r>
        <w:rPr>
          <w:rFonts w:eastAsia="Times New Roman"/>
          <w:vanish/>
        </w:rPr>
        <w:t>CardPortfolioSegmentMember2020-12-310000927628us-gaap:FinancingReceivables30To59DaysPastDueMembercof:CreditCardPortfolioSegmentMember2020-12-310000927628us-gaap:FinancingReceivables60To89DaysPastDueMembercof:CreditCardPortfolioSegmentMember2020-12-31000092</w:t>
      </w:r>
      <w:r>
        <w:rPr>
          <w:rFonts w:eastAsia="Times New Roman"/>
          <w:vanish/>
        </w:rPr>
        <w:t>7628cof:CreditCardPortfolioSegmentMemberus-gaap:FinancingReceivablesEqualToGreaterThan90DaysPastDueMember2020-12-310000927628us-gaap:ConsumerPortfolioSegmentMemberus-gaap:AutomobileLoanMember2020-12-310000927628us-gaap:ConsumerPortfolioSegmentMemberus-gaap</w:t>
      </w:r>
      <w:r>
        <w:rPr>
          <w:rFonts w:eastAsia="Times New Roman"/>
          <w:vanish/>
        </w:rPr>
        <w:t>:AutomobileLoanMemberus-gaap:FinancingReceivables30To59DaysPastDueMember2020-12-310000927628us-gaap:ConsumerPortfolioSegmentMemberus-gaap:AutomobileLoanMemberus-gaap:FinancingReceivables60To89DaysPastDueMember2020-12-310000927628us-gaap:ConsumerPortfolioSe</w:t>
      </w:r>
      <w:r>
        <w:rPr>
          <w:rFonts w:eastAsia="Times New Roman"/>
          <w:vanish/>
        </w:rPr>
        <w:t>gmentMemberus-gaap:AutomobileLoanMemberus-gaap:FinancingReceivablesEqualToGreaterThan90DaysPastDueMember2020-12-310000927628us-gaap:ConsumerPortfolioSegmentMembercof:RetailBankingMember2020-12-310000927628us-gaap:ConsumerPortfolioSegmentMemberus-gaap:Finan</w:t>
      </w:r>
      <w:r>
        <w:rPr>
          <w:rFonts w:eastAsia="Times New Roman"/>
          <w:vanish/>
        </w:rPr>
        <w:t>cingReceivables30To59DaysPastDueMembercof:RetailBankingMember2020-12-310000927628us-gaap:ConsumerPortfolioSegmentMembercof:RetailBankingMemberus-gaap:FinancingReceivables60To89DaysPastDueMember2020-12-310000927628us-gaap:ConsumerPortfolioSegmentMembercof:R</w:t>
      </w:r>
      <w:r>
        <w:rPr>
          <w:rFonts w:eastAsia="Times New Roman"/>
          <w:vanish/>
        </w:rPr>
        <w:t>etailBankingMemberus-gaap:FinancingReceivablesEqualToGreaterThan90DaysPastDueMember2020-12-310000927628us-gaap:ConsumerPortfolioSegmentMember2020-12-310000927628us-gaap:ConsumerPortfolioSegmentMemberus-gaap:FinancingReceivables30To59DaysPastDueMember2020-1</w:t>
      </w:r>
      <w:r>
        <w:rPr>
          <w:rFonts w:eastAsia="Times New Roman"/>
          <w:vanish/>
        </w:rPr>
        <w:t>2-310000927628us-gaap:ConsumerPortfolioSegmentMemberus-gaap:FinancingReceivables60To89DaysPastDueMember2020-12-310000927628us-gaap:ConsumerPortfolioSegmentMemberus-gaap:FinancingReceivablesEqualToGreaterThan90DaysPastDueMember2020-12-310000927628cof:Commer</w:t>
      </w:r>
      <w:r>
        <w:rPr>
          <w:rFonts w:eastAsia="Times New Roman"/>
          <w:vanish/>
        </w:rPr>
        <w:t>cialAndMultifamilyRealEstateMemberus-gaap:CommercialPortfolioSegmentMember2020-12-310000927628cof:CommercialAndMultifamilyRealEstateMemberus-gaap:CommercialPortfolioSegmentMemberus-gaap:FinancingReceivables30To59DaysPastDueMember2020-12-310000927628cof:Com</w:t>
      </w:r>
      <w:r>
        <w:rPr>
          <w:rFonts w:eastAsia="Times New Roman"/>
          <w:vanish/>
        </w:rPr>
        <w:t>mercialAndMultifamilyRealEstateMemberus-gaap:CommercialPortfolioSegmentMemberus-gaap:FinancingReceivables60To89DaysPastDueMember2020-12-310000927628cof:CommercialAndMultifamilyRealEstateMemberus-gaap:CommercialPortfolioSegmentMemberus-gaap:FinancingReceiva</w:t>
      </w:r>
      <w:r>
        <w:rPr>
          <w:rFonts w:eastAsia="Times New Roman"/>
          <w:vanish/>
        </w:rPr>
        <w:t>blesEqualToGreaterThan90DaysPastDueMember2020-12-310000927628us-gaap:CommercialPortfolioSegmentMembercof:CommercialAndIndustrialMember2020-12-310000927628us-gaap:CommercialPortfolioSegmentMemberus-gaap:FinancingReceivables30To59DaysPastDueMembercof:Commerc</w:t>
      </w:r>
      <w:r>
        <w:rPr>
          <w:rFonts w:eastAsia="Times New Roman"/>
          <w:vanish/>
        </w:rPr>
        <w:t>ialAndIndustrialMember2020-12-310000927628us-gaap:CommercialPortfolioSegmentMemberus-gaap:FinancingReceivables60To89DaysPastDueMembercof:CommercialAndIndustrialMember2020-12-310000927628us-gaap:CommercialPortfolioSegmentMembercof:CommercialAndIndustrialMem</w:t>
      </w:r>
      <w:r>
        <w:rPr>
          <w:rFonts w:eastAsia="Times New Roman"/>
          <w:vanish/>
        </w:rPr>
        <w:t>berus-gaap:FinancingReceivablesEqualToGreaterThan90DaysPastDueMember2020-12-310000927628us-gaap:CommercialPortfolioSegmentMember2020-12-310000927628us-gaap:CommercialPortfolioSegmentMemberus-gaap:FinancingReceivables30To59DaysPastDueMember2020-12-310000927</w:t>
      </w:r>
      <w:r>
        <w:rPr>
          <w:rFonts w:eastAsia="Times New Roman"/>
          <w:vanish/>
        </w:rPr>
        <w:t>628us-gaap:CommercialPortfolioSegmentMemberus-gaap:FinancingReceivables60To89DaysPastDueMember2020-12-310000927628us-gaap:CommercialPortfolioSegmentMemberus-gaap:FinancingReceivablesEqualToGreaterThan90DaysPastDueMember2020-12-310000927628us-gaap:Financing</w:t>
      </w:r>
      <w:r>
        <w:rPr>
          <w:rFonts w:eastAsia="Times New Roman"/>
          <w:vanish/>
        </w:rPr>
        <w:t>Receivables30To59DaysPastDueMember2020-12-310000927628us-gaap:FinancingReceivables60To89DaysPastDueMember2020-12-310000927628us-gaap:FinancingReceivablesEqualToGreaterThan90DaysPastDueMember2020-12-310000927628us-gaap:GeographicDistributionDomesticMemberco</w:t>
      </w:r>
      <w:r>
        <w:rPr>
          <w:rFonts w:eastAsia="Times New Roman"/>
          <w:vanish/>
        </w:rPr>
        <w:t>f:CreditCardPortfolioSegmentMember2019-12-310000927628us-gaap:GeographicDistributionDomesticMemberus-gaap:FinancingReceivables30To59DaysPastDueMembercof:CreditCardPortfolioSegmentMember2019-12-310000927628us-gaap:GeographicDistributionDomesticMemberus-gaap</w:t>
      </w:r>
      <w:r>
        <w:rPr>
          <w:rFonts w:eastAsia="Times New Roman"/>
          <w:vanish/>
        </w:rPr>
        <w:t>:FinancingReceivables60To89DaysPastDueMembercof:CreditCardPortfolioSegmentMember2019-12-310000927628us-gaap:GeographicDistributionDomesticMembercof:CreditCardPortfolioSegmentMemberus-gaap:FinancingReceivablesEqualToGreaterThan90DaysPastDueMember2019-12-310</w:t>
      </w:r>
      <w:r>
        <w:rPr>
          <w:rFonts w:eastAsia="Times New Roman"/>
          <w:vanish/>
        </w:rPr>
        <w:t>000927628us-gaap:GeographicDistributionDomesticMemberus-gaap:FinancialAssetAcquiredWithCreditDeteriorationMembercof:CreditCardPortfolioSegmentMember2019-12-310000927628us-gaap:GeographicDistributionForeignMembercof:CreditCardPortfolioSegmentMember2019-12-3</w:t>
      </w:r>
      <w:r>
        <w:rPr>
          <w:rFonts w:eastAsia="Times New Roman"/>
          <w:vanish/>
        </w:rPr>
        <w:t>10000927628us-gaap:GeographicDistributionForeignMemberus-gaap:FinancingReceivables30To59DaysPastDueMembercof:CreditCardPortfolioSegmentMember2019-12-310000927628us-gaap:GeographicDistributionForeignMemberus-gaap:FinancingReceivables60To89DaysPastDueMemberc</w:t>
      </w:r>
      <w:r>
        <w:rPr>
          <w:rFonts w:eastAsia="Times New Roman"/>
          <w:vanish/>
        </w:rPr>
        <w:t>of:CreditCardPortfolioSegmentMember2019-12-310000927628us-gaap:GeographicDistributionForeignMembercof:CreditCardPortfolioSegmentMemberus-gaap:FinancingReceivablesEqualToGreaterThan90DaysPastDueMember2019-12-310000927628us-gaap:FinancialAssetAcquiredWithCre</w:t>
      </w:r>
      <w:r>
        <w:rPr>
          <w:rFonts w:eastAsia="Times New Roman"/>
          <w:vanish/>
        </w:rPr>
        <w:t>ditDeteriorationMemberus-gaap:GeographicDistributionForeignMembercof:CreditCardPortfolioSegmentMember2019-12-310000927628cof:CreditCardPortfolioSegmentMember2019-12-310000927628us-gaap:FinancingReceivables30To59DaysPastDueMembercof:CreditCardPortfolioSegme</w:t>
      </w:r>
      <w:r>
        <w:rPr>
          <w:rFonts w:eastAsia="Times New Roman"/>
          <w:vanish/>
        </w:rPr>
        <w:t>ntMember2019-12-310000927628us-gaap:FinancingReceivables60To89DaysPastDueMembercof:CreditCardPortfolioSegmentMember2019-12-310000927628cof:CreditCardPortfolioSegmentMemberus-gaap:FinancingReceivablesEqualToGreaterThan90DaysPastDueMember2019-12-310000927628</w:t>
      </w:r>
      <w:r>
        <w:rPr>
          <w:rFonts w:eastAsia="Times New Roman"/>
          <w:vanish/>
        </w:rPr>
        <w:t>us-gaap:FinancialAssetAcquiredWithCreditDeteriorationMembercof:CreditCardPortfolioSegmentMember2019-12-310000927628us-gaap:ConsumerPortfolioSegmentMemberus-gaap:AutomobileLoanMember2019-12-310000927628us-gaap:ConsumerPortfolioSegmentMemberus-gaap:Automobil</w:t>
      </w:r>
      <w:r>
        <w:rPr>
          <w:rFonts w:eastAsia="Times New Roman"/>
          <w:vanish/>
        </w:rPr>
        <w:t>eLoanMemberus-gaap:FinancingReceivables30To59DaysPastDueMember2019-12-310000927628us-gaap:ConsumerPortfolioSegmentMemberus-gaap:AutomobileLoanMemberus-gaap:FinancingReceivables60To89DaysPastDueMember2019-12-310000927628us-gaap:ConsumerPortfolioSegmentMembe</w:t>
      </w:r>
      <w:r>
        <w:rPr>
          <w:rFonts w:eastAsia="Times New Roman"/>
          <w:vanish/>
        </w:rPr>
        <w:t>rus-gaap:AutomobileLoanMemberus-gaap:FinancingReceivablesEqualToGreaterThan90DaysPastDueMember2019-12-310000927628us-gaap:FinancialAssetAcquiredWithCreditDeteriorationMemberus-gaap:ConsumerPortfolioSegmentMemberus-gaap:AutomobileLoanMember2019-12-310000927</w:t>
      </w:r>
      <w:r>
        <w:rPr>
          <w:rFonts w:eastAsia="Times New Roman"/>
          <w:vanish/>
        </w:rPr>
        <w:t>628us-gaap:ConsumerPortfolioSegmentMembercof:RetailBankingMember2019-12-310000927628us-gaap:ConsumerPortfolioSegmentMemberus-gaap:FinancingReceivables30To59DaysPastDueMembercof:RetailBankingMember2019-12-310000927628us-gaap:ConsumerPortfolioSegmentMemberco</w:t>
      </w:r>
      <w:r>
        <w:rPr>
          <w:rFonts w:eastAsia="Times New Roman"/>
          <w:vanish/>
        </w:rPr>
        <w:t>f:RetailBankingMemberus-gaap:FinancingReceivables60To89DaysPastDueMember2019-12-310000927628us-gaap:ConsumerPortfolioSegmentMembercof:RetailBankingMemberus-gaap:FinancingReceivablesEqualToGreaterThan90DaysPastDueMember2019-12-310000927628us-gaap:FinancialA</w:t>
      </w:r>
      <w:r>
        <w:rPr>
          <w:rFonts w:eastAsia="Times New Roman"/>
          <w:vanish/>
        </w:rPr>
        <w:t>ssetAcquiredWithCreditDeteriorationMemberus-gaap:ConsumerPortfolioSegmentMembercof:RetailBankingMember2019-12-310000927628us-gaap:ConsumerPortfolioSegmentMember2019-12-310000927628us-gaap:ConsumerPortfolioSegmentMemberus-gaap:FinancingReceivables30To59Days</w:t>
      </w:r>
      <w:r>
        <w:rPr>
          <w:rFonts w:eastAsia="Times New Roman"/>
          <w:vanish/>
        </w:rPr>
        <w:t>PastDueMember2019-12-310000927628us-gaap:ConsumerPortfolioSegmentMemberus-gaap:FinancingReceivables60To89DaysPastDueMember2019-12-310000927628us-gaap:ConsumerPortfolioSegmentMemberus-gaap:FinancingReceivablesEqualToGreaterThan90DaysPastDueMember2019-12-310</w:t>
      </w:r>
      <w:r>
        <w:rPr>
          <w:rFonts w:eastAsia="Times New Roman"/>
          <w:vanish/>
        </w:rPr>
        <w:t>000927628us-gaap:FinancialAssetAcquiredWithCreditDeteriorationMemberus-gaap:ConsumerPortfolioSegmentMember2019-12-310000927628cof:CommercialAndMultifamilyRealEstateMemberus-gaap:CommercialPortfolioSegmentMember2019-12-310000927628cof:CommercialAndMultifami</w:t>
      </w:r>
      <w:r>
        <w:rPr>
          <w:rFonts w:eastAsia="Times New Roman"/>
          <w:vanish/>
        </w:rPr>
        <w:t>lyRealEstateMemberus-gaap:CommercialPortfolioSegmentMemberus-gaap:FinancingReceivables30To59DaysPastDueMember2019-12-310000927628cof:CommercialAndMultifamilyRealEstateMemberus-gaap:CommercialPortfolioSegmentMemberus-gaap:FinancingReceivables60To89DaysPastD</w:t>
      </w:r>
      <w:r>
        <w:rPr>
          <w:rFonts w:eastAsia="Times New Roman"/>
          <w:vanish/>
        </w:rPr>
        <w:t>ueMember2019-12-310000927628cof:CommercialAndMultifamilyRealEstateMemberus-gaap:CommercialPortfolioSegmentMemberus-gaap:FinancingReceivablesEqualToGreaterThan90DaysPastDueMember2019-12-310000927628us-gaap:FinancialAssetAcquiredWithCreditDeteriorationMember</w:t>
      </w:r>
      <w:r>
        <w:rPr>
          <w:rFonts w:eastAsia="Times New Roman"/>
          <w:vanish/>
        </w:rPr>
        <w:t>cof:CommercialAndMultifamilyRealEstateMemberus-gaap:CommercialPortfolioSegmentMember2019-12-310000927628us-gaap:CommercialPortfolioSegmentMembercof:CommercialAndIndustrialMember2019-12-310000927628us-gaap:CommercialPortfolioSegmentMemberus-gaap:FinancingRe</w:t>
      </w:r>
      <w:r>
        <w:rPr>
          <w:rFonts w:eastAsia="Times New Roman"/>
          <w:vanish/>
        </w:rPr>
        <w:t>ceivables30To59DaysPastDueMembercof:CommercialAndIndustrialMember2019-12-310000927628us-gaap:CommercialPortfolioSegmentMemberus-gaap:FinancingReceivables60To89DaysPastDueMembercof:CommercialAndIndustrialMember2019-12-310000927628us-gaap:CommercialPortfolio</w:t>
      </w:r>
      <w:r>
        <w:rPr>
          <w:rFonts w:eastAsia="Times New Roman"/>
          <w:vanish/>
        </w:rPr>
        <w:t>SegmentMembercof:CommercialAndIndustrialMemberus-gaap:FinancingReceivablesEqualToGreaterThan90DaysPastDueMember2019-12-310000927628us-gaap:FinancialAssetAcquiredWithCreditDeteriorationMemberus-gaap:CommercialPortfolioSegmentMembercof:CommercialAndIndustria</w:t>
      </w:r>
      <w:r>
        <w:rPr>
          <w:rFonts w:eastAsia="Times New Roman"/>
          <w:vanish/>
        </w:rPr>
        <w:t>lMember2019-12-310000927628us-gaap:CommercialPortfolioSegmentMember2019-12-310000927628us-gaap:CommercialPortfolioSegmentMemberus-gaap:FinancingReceivables30To59DaysPastDueMember2019-12-310000927628us-gaap:CommercialPortfolioSegmentMemberus-gaap:FinancingR</w:t>
      </w:r>
      <w:r>
        <w:rPr>
          <w:rFonts w:eastAsia="Times New Roman"/>
          <w:vanish/>
        </w:rPr>
        <w:t>eceivables60To89DaysPastDueMember2019-12-310000927628us-gaap:CommercialPortfolioSegmentMemberus-gaap:FinancingReceivablesEqualToGreaterThan90DaysPastDueMember2019-12-310000927628us-gaap:FinancialAssetAcquiredWithCreditDeteriorationMemberus-gaap:CommercialP</w:t>
      </w:r>
      <w:r>
        <w:rPr>
          <w:rFonts w:eastAsia="Times New Roman"/>
          <w:vanish/>
        </w:rPr>
        <w:t>ortfolioSegmentMembercof:CommercialLendingMember2019-12-310000927628us-gaap:FinancingReceivables30To59DaysPastDueMember2019-12-310000927628us-gaap:FinancingReceivables60To89DaysPastDueMember2019-12-310000927628us-gaap:FinancingReceivablesEqualToGreaterThan</w:t>
      </w:r>
      <w:r>
        <w:rPr>
          <w:rFonts w:eastAsia="Times New Roman"/>
          <w:vanish/>
        </w:rPr>
        <w:t>90DaysPastDueMember2019-12-310000927628us-gaap:FinancialAssetAcquiredWithCreditDeteriorationMember2019-12-310000927628us-gaap:GeographicDistributionDomesticMembercof:CreditCardPortfolioSegmentMembercof:FinancialAssetCurrentAndLessThan30DaysPastDueMember202</w:t>
      </w:r>
      <w:r>
        <w:rPr>
          <w:rFonts w:eastAsia="Times New Roman"/>
          <w:vanish/>
        </w:rPr>
        <w:t>0-12-310000927628us-gaap:GeographicDistributionForeignMembercof:CreditCardPortfolioSegmentMembercof:FinancialAssetCurrentAndLessThan30DaysPastDueMember2020-12-310000927628us-gaap:ConsumerPortfolioSegmentMemberus-gaap:AutomobileLoanMembercof:FICOScoreGreate</w:t>
      </w:r>
      <w:r>
        <w:rPr>
          <w:rFonts w:eastAsia="Times New Roman"/>
          <w:vanish/>
        </w:rPr>
        <w:t>rThan660Member2020-12-310000927628us-gaap:ConsumerPortfolioSegmentMemberus-gaap:AutomobileLoanMembercof:FICOScoreGreaterThan660Member2019-12-310000927628cof:FICOScore621To660Memberus-gaap:ConsumerPortfolioSegmentMemberus-gaap:AutomobileLoanMember2020-12-31</w:t>
      </w:r>
      <w:r>
        <w:rPr>
          <w:rFonts w:eastAsia="Times New Roman"/>
          <w:vanish/>
        </w:rPr>
        <w:t>0000927628cof:FICOScore621To660Memberus-gaap:ConsumerPortfolioSegmentMemberus-gaap:AutomobileLoanMember2019-12-310000927628cof:FICOScoreLessThan620Memberus-gaap:ConsumerPortfolioSegmentMemberus-gaap:AutomobileLoanMember2020-12-310000927628cof:FICOScoreLess</w:t>
      </w:r>
      <w:r>
        <w:rPr>
          <w:rFonts w:eastAsia="Times New Roman"/>
          <w:vanish/>
        </w:rPr>
        <w:t>Than620Memberus-gaap:ConsumerPortfolioSegmentMemberus-gaap:AutomobileLoanMember2019-12-310000927628us-gaap:ConsumerPortfolioSegmentMembercof:RetailBankingMembercof:FinancialAssetCurrentAndLessThan30DaysPastDueMember2020-12-310000927628us-gaap:ConsumerPortf</w:t>
      </w:r>
      <w:r>
        <w:rPr>
          <w:rFonts w:eastAsia="Times New Roman"/>
          <w:vanish/>
        </w:rPr>
        <w:t>olioSegmentMembercof:RetailBankingMembercof:FinancialAssetCurrentAndLessThan30DaysPastDueMember2019-12-310000927628us-gaap:CommercialPortfolioSegmentMember2020-01-012020-12-310000927628us-gaap:PassMembercof:CommercialAndMultifamilyRealEstateMemberus-gaap:C</w:t>
      </w:r>
      <w:r>
        <w:rPr>
          <w:rFonts w:eastAsia="Times New Roman"/>
          <w:vanish/>
        </w:rPr>
        <w:t>ommercialPortfolioSegmentMember2020-12-310000927628cof:CommercialAndMultifamilyRealEstateMemberus-gaap:CriticizedMemberus-gaap:PerformingFinancingReceivableMemberus-gaap:CommercialPortfolioSegmentMember2020-12-310000927628cof:CommercialAndMultifamilyRealEs</w:t>
      </w:r>
      <w:r>
        <w:rPr>
          <w:rFonts w:eastAsia="Times New Roman"/>
          <w:vanish/>
        </w:rPr>
        <w:t>tateMemberus-gaap:CriticizedMemberus-gaap:CommercialPortfolioSegmentMemberus-gaap:NonperformingFinancingReceivableMember2020-12-310000927628us-gaap:PassMemberus-gaap:CommercialPortfolioSegmentMembercof:CommercialAndIndustrialMember2020-12-310000927628us-ga</w:t>
      </w:r>
      <w:r>
        <w:rPr>
          <w:rFonts w:eastAsia="Times New Roman"/>
          <w:vanish/>
        </w:rPr>
        <w:t>ap:CriticizedMemberus-gaap:PerformingFinancingReceivableMemberus-gaap:CommercialPortfolioSegmentMembercof:CommercialAndIndustrialMember2020-12-310000927628us-gaap:CriticizedMemberus-gaap:CommercialPortfolioSegmentMembercof:CommercialAndIndustrialMemberus-g</w:t>
      </w:r>
      <w:r>
        <w:rPr>
          <w:rFonts w:eastAsia="Times New Roman"/>
          <w:vanish/>
        </w:rPr>
        <w:t>aap:NonperformingFinancingReceivableMember2020-12-310000927628us-gaap:PassMembercof:CommercialAndMultifamilyRealEstateMemberus-gaap:CommercialPortfolioSegmentMember2019-12-310000927628us-gaap:PassMemberus-gaap:CommercialPortfolioSegmentMembercof:Commercial</w:t>
      </w:r>
      <w:r>
        <w:rPr>
          <w:rFonts w:eastAsia="Times New Roman"/>
          <w:vanish/>
        </w:rPr>
        <w:t>AndIndustrialMember2019-12-310000927628us-gaap:PassMemberus-gaap:CommercialPortfolioSegmentMember2019-12-310000927628cof:CommercialAndMultifamilyRealEstateMemberus-gaap:CriticizedMemberus-gaap:PerformingFinancingReceivableMemberus-gaap:CommercialPortfolioS</w:t>
      </w:r>
      <w:r>
        <w:rPr>
          <w:rFonts w:eastAsia="Times New Roman"/>
          <w:vanish/>
        </w:rPr>
        <w:t>egmentMember2019-12-310000927628us-gaap:CriticizedMemberus-gaap:PerformingFinancingReceivableMemberus-gaap:CommercialPortfolioSegmentMembercof:CommercialAndIndustrialMember2019-12-310000927628us-gaap:CriticizedMemberus-gaap:PerformingFinancingReceivableMem</w:t>
      </w:r>
      <w:r>
        <w:rPr>
          <w:rFonts w:eastAsia="Times New Roman"/>
          <w:vanish/>
        </w:rPr>
        <w:t>berus-gaap:CommercialPortfolioSegmentMember2019-12-310000927628cof:CommercialAndMultifamilyRealEstateMemberus-gaap:CriticizedMemberus-gaap:CommercialPortfolioSegmentMemberus-gaap:NonperformingFinancingReceivableMember2019-12-310000927628us-gaap:CriticizedM</w:t>
      </w:r>
      <w:r>
        <w:rPr>
          <w:rFonts w:eastAsia="Times New Roman"/>
          <w:vanish/>
        </w:rPr>
        <w:t>emberus-gaap:CommercialPortfolioSegmentMembercof:CommercialAndIndustrialMemberus-gaap:NonperformingFinancingReceivableMember2019-12-310000927628us-gaap:CriticizedMemberus-gaap:CommercialPortfolioSegmentMemberus-gaap:NonperformingFinancingReceivableMember20</w:t>
      </w:r>
      <w:r>
        <w:rPr>
          <w:rFonts w:eastAsia="Times New Roman"/>
          <w:vanish/>
        </w:rPr>
        <w:t>19-12-310000927628us-gaap:FinancialAssetAcquiredWithCreditDeteriorationMemberus-gaap:CommercialPortfolioSegmentMember2019-12-310000927628us-gaap:GeographicDistributionDomesticMembercof:CreditCardPortfolioSegmentMember2020-01-012020-12-310000927628cof:Credi</w:t>
      </w:r>
      <w:r>
        <w:rPr>
          <w:rFonts w:eastAsia="Times New Roman"/>
          <w:vanish/>
        </w:rPr>
        <w:t>tCardandConsumerPortfoliosMemberus-gaap:PerformingFinancingReceivableMember2020-12-310000927628cof:CreditCardandConsumerPortfoliosMemberus-gaap:PerformingFinancingReceivableMember2019-12-310000927628us-gaap:PerformingFinancingReceivableMemberus-gaap:Commer</w:t>
      </w:r>
      <w:r>
        <w:rPr>
          <w:rFonts w:eastAsia="Times New Roman"/>
          <w:vanish/>
        </w:rPr>
        <w:t>cialPortfolioSegmentMember2020-12-310000927628us-gaap:PerformingFinancingReceivableMemberus-gaap:CommercialPortfolioSegmentMember2019-12-310000927628us-gaap:GeographicDistributionDomesticMemberus-gaap:ContractualInterestRateReductionMembercof:CreditCardPor</w:t>
      </w:r>
      <w:r>
        <w:rPr>
          <w:rFonts w:eastAsia="Times New Roman"/>
          <w:vanish/>
        </w:rPr>
        <w:t>tfolioSegmentMember2020-01-012020-12-310000927628us-gaap:GeographicDistributionDomesticMemberus-gaap:ExtendedMaturityMembercof:CreditCardPortfolioSegmentMember2020-01-012020-12-310000927628us-gaap:PrincipalForgivenessMemberus-gaap:GeographicDistributionDom</w:t>
      </w:r>
      <w:r>
        <w:rPr>
          <w:rFonts w:eastAsia="Times New Roman"/>
          <w:vanish/>
        </w:rPr>
        <w:t>esticMembercof:CreditCardPortfolioSegmentMember2020-01-012020-12-310000927628us-gaap:GeographicDistributionForeignMembercof:CreditCardPortfolioSegmentMember2020-01-012020-12-310000927628us-gaap:GeographicDistributionForeignMemberus-gaap:ContractualInterest</w:t>
      </w:r>
      <w:r>
        <w:rPr>
          <w:rFonts w:eastAsia="Times New Roman"/>
          <w:vanish/>
        </w:rPr>
        <w:t>RateReductionMembercof:CreditCardPortfolioSegmentMember2020-01-012020-12-310000927628us-gaap:GeographicDistributionForeignMemberus-gaap:ExtendedMaturityMembercof:CreditCardPortfolioSegmentMember2020-01-012020-12-310000927628us-gaap:PrincipalForgivenessMemb</w:t>
      </w:r>
      <w:r>
        <w:rPr>
          <w:rFonts w:eastAsia="Times New Roman"/>
          <w:vanish/>
        </w:rPr>
        <w:t>erus-gaap:GeographicDistributionForeignMembercof:CreditCardPortfolioSegmentMember2020-01-012020-12-310000927628us-gaap:ContractualInterestRateReductionMembercof:CreditCardPortfolioSegmentMember2020-01-012020-12-310000927628us-gaap:ExtendedMaturityMembercof</w:t>
      </w:r>
      <w:r>
        <w:rPr>
          <w:rFonts w:eastAsia="Times New Roman"/>
          <w:vanish/>
        </w:rPr>
        <w:t>:CreditCardPortfolioSegmentMember2020-01-012020-12-310000927628us-gaap:PrincipalForgivenessMembercof:CreditCardPortfolioSegmentMember2020-01-012020-12-310000927628us-gaap:ConsumerPortfolioSegmentMemberus-gaap:AutomobileLoanMemberus-gaap:ContractualInterest</w:t>
      </w:r>
      <w:r>
        <w:rPr>
          <w:rFonts w:eastAsia="Times New Roman"/>
          <w:vanish/>
        </w:rPr>
        <w:t>RateReductionMember2020-01-012020-12-310000927628us-gaap:ConsumerPortfolioSegmentMemberus-gaap:AutomobileLoanMemberus-gaap:ExtendedMaturityMember2020-01-012020-12-310000927628us-gaap:PrincipalForgivenessMemberus-gaap:ConsumerPortfolioSegmentMemberus-gaap:A</w:t>
      </w:r>
      <w:r>
        <w:rPr>
          <w:rFonts w:eastAsia="Times New Roman"/>
          <w:vanish/>
        </w:rPr>
        <w:t>utomobileLoanMember2020-01-012020-12-310000927628us-gaap:ConsumerPortfolioSegmentMembercof:RetailBankingMember2020-01-012020-12-310000927628us-gaap:ConsumerPortfolioSegmentMembercof:RetailBankingMemberus-gaap:ContractualInterestRateReductionMember2020-01-0</w:t>
      </w:r>
      <w:r>
        <w:rPr>
          <w:rFonts w:eastAsia="Times New Roman"/>
          <w:vanish/>
        </w:rPr>
        <w:t>12020-12-310000927628us-gaap:ConsumerPortfolioSegmentMemberus-gaap:ExtendedMaturityMembercof:RetailBankingMember2020-01-012020-12-310000927628us-gaap:PrincipalForgivenessMemberus-gaap:ConsumerPortfolioSegmentMembercof:RetailBankingMember2020-01-012020-12-3</w:t>
      </w:r>
      <w:r>
        <w:rPr>
          <w:rFonts w:eastAsia="Times New Roman"/>
          <w:vanish/>
        </w:rPr>
        <w:t>10000927628us-gaap:ConsumerPortfolioSegmentMemberus-gaap:ContractualInterestRateReductionMember2020-01-012020-12-310000927628us-gaap:ConsumerPortfolioSegmentMemberus-gaap:ExtendedMaturityMember2020-01-012020-12-310000927628us-gaap:PrincipalForgivenessMembe</w:t>
      </w:r>
      <w:r>
        <w:rPr>
          <w:rFonts w:eastAsia="Times New Roman"/>
          <w:vanish/>
        </w:rPr>
        <w:t>rus-gaap:ConsumerPortfolioSegmentMember2020-01-012020-12-310000927628cof:CommercialAndMultifamilyRealEstateMemberus-gaap:CommercialPortfolioSegmentMember2020-01-012020-12-310000927628cof:CommercialAndMultifamilyRealEstateMemberus-gaap:CommercialPortfolioSe</w:t>
      </w:r>
      <w:r>
        <w:rPr>
          <w:rFonts w:eastAsia="Times New Roman"/>
          <w:vanish/>
        </w:rPr>
        <w:t>gmentMemberus-gaap:ContractualInterestRateReductionMember2020-01-012020-12-310000927628cof:CommercialAndMultifamilyRealEstateMemberus-gaap:CommercialPortfolioSegmentMemberus-gaap:ExtendedMaturityMember2020-01-012020-12-310000927628us-gaap:PrincipalForgiven</w:t>
      </w:r>
      <w:r>
        <w:rPr>
          <w:rFonts w:eastAsia="Times New Roman"/>
          <w:vanish/>
        </w:rPr>
        <w:t>essMembercof:CommercialAndMultifamilyRealEstateMemberus-gaap:CommercialPortfolioSegmentMember2020-01-012020-12-310000927628us-gaap:CommercialPortfolioSegmentMembercof:CommercialAndIndustrialMember2020-01-012020-12-310000927628us-gaap:CommercialPortfolioSeg</w:t>
      </w:r>
      <w:r>
        <w:rPr>
          <w:rFonts w:eastAsia="Times New Roman"/>
          <w:vanish/>
        </w:rPr>
        <w:t>mentMemberus-gaap:ContractualInterestRateReductionMembercof:CommercialAndIndustrialMember2020-01-012020-12-310000927628us-gaap:CommercialPortfolioSegmentMemberus-gaap:ExtendedMaturityMembercof:CommercialAndIndustrialMember2020-01-012020-12-310000927628us-g</w:t>
      </w:r>
      <w:r>
        <w:rPr>
          <w:rFonts w:eastAsia="Times New Roman"/>
          <w:vanish/>
        </w:rPr>
        <w:t>aap:PrincipalForgivenessMemberus-gaap:CommercialPortfolioSegmentMembercof:CommercialAndIndustrialMember2020-01-012020-12-310000927628us-gaap:CommercialPortfolioSegmentMemberus-gaap:ContractualInterestRateReductionMember2020-01-012020-12-310000927628us-gaap</w:t>
      </w:r>
      <w:r>
        <w:rPr>
          <w:rFonts w:eastAsia="Times New Roman"/>
          <w:vanish/>
        </w:rPr>
        <w:t>:CommercialPortfolioSegmentMemberus-gaap:ExtendedMaturityMember2020-01-012020-12-310000927628us-gaap:PrincipalForgivenessMemberus-gaap:CommercialPortfolioSegmentMember2020-01-012020-12-310000927628us-gaap:ContractualInterestRateReductionMember2020-01-01202</w:t>
      </w:r>
      <w:r>
        <w:rPr>
          <w:rFonts w:eastAsia="Times New Roman"/>
          <w:vanish/>
        </w:rPr>
        <w:t>0-12-310000927628us-gaap:ExtendedMaturityMember2020-01-012020-12-310000927628us-gaap:PrincipalForgivenessMember2020-01-012020-12-310000927628us-gaap:GeographicDistributionDomesticMembercof:CreditCardPortfolioSegmentMember2019-01-012019-12-310000927628us-ga</w:t>
      </w:r>
      <w:r>
        <w:rPr>
          <w:rFonts w:eastAsia="Times New Roman"/>
          <w:vanish/>
        </w:rPr>
        <w:t>ap:GeographicDistributionDomesticMemberus-gaap:ContractualInterestRateReductionMembercof:CreditCardPortfolioSegmentMember2019-01-012019-12-310000927628us-gaap:GeographicDistributionDomesticMemberus-gaap:ExtendedMaturityMembercof:CreditCardPortfolioSegmentM</w:t>
      </w:r>
      <w:r>
        <w:rPr>
          <w:rFonts w:eastAsia="Times New Roman"/>
          <w:vanish/>
        </w:rPr>
        <w:t>ember2019-01-012019-12-310000927628us-gaap:PrincipalForgivenessMemberus-gaap:GeographicDistributionDomesticMembercof:CreditCardPortfolioSegmentMember2019-01-012019-12-310000927628us-gaap:GeographicDistributionForeignMembercof:CreditCardPortfolioSegmentMemb</w:t>
      </w:r>
      <w:r>
        <w:rPr>
          <w:rFonts w:eastAsia="Times New Roman"/>
          <w:vanish/>
        </w:rPr>
        <w:t>er2019-01-012019-12-310000927628us-gaap:GeographicDistributionForeignMemberus-gaap:ContractualInterestRateReductionMembercof:CreditCardPortfolioSegmentMember2019-01-012019-12-310000927628us-gaap:GeographicDistributionForeignMemberus-gaap:ExtendedMaturityMe</w:t>
      </w:r>
      <w:r>
        <w:rPr>
          <w:rFonts w:eastAsia="Times New Roman"/>
          <w:vanish/>
        </w:rPr>
        <w:t>mbercof:CreditCardPortfolioSegmentMember2019-01-012019-12-310000927628us-gaap:PrincipalForgivenessMemberus-gaap:GeographicDistributionForeignMembercof:CreditCardPortfolioSegmentMember2019-01-012019-12-310000927628cof:CreditCardPortfolioSegmentMember2019-01</w:t>
      </w:r>
      <w:r>
        <w:rPr>
          <w:rFonts w:eastAsia="Times New Roman"/>
          <w:vanish/>
        </w:rPr>
        <w:t>-012019-12-310000927628us-gaap:ContractualInterestRateReductionMembercof:CreditCardPortfolioSegmentMember2019-01-012019-12-310000927628us-gaap:ExtendedMaturityMembercof:CreditCardPortfolioSegmentMember2019-01-012019-12-310000927628us-gaap:PrincipalForgiven</w:t>
      </w:r>
      <w:r>
        <w:rPr>
          <w:rFonts w:eastAsia="Times New Roman"/>
          <w:vanish/>
        </w:rPr>
        <w:t>essMembercof:CreditCardPortfolioSegmentMember2019-01-012019-12-310000927628us-gaap:ConsumerPortfolioSegmentMemberus-gaap:AutomobileLoanMember2019-01-012019-12-310000927628us-gaap:ConsumerPortfolioSegmentMemberus-gaap:AutomobileLoanMemberus-gaap:Contractual</w:t>
      </w:r>
      <w:r>
        <w:rPr>
          <w:rFonts w:eastAsia="Times New Roman"/>
          <w:vanish/>
        </w:rPr>
        <w:t>InterestRateReductionMember2019-01-012019-12-310000927628us-gaap:ConsumerPortfolioSegmentMemberus-gaap:AutomobileLoanMemberus-gaap:ExtendedMaturityMember2019-01-012019-12-310000927628us-gaap:PrincipalForgivenessMemberus-gaap:ConsumerPortfolioSegmentMemberu</w:t>
      </w:r>
      <w:r>
        <w:rPr>
          <w:rFonts w:eastAsia="Times New Roman"/>
          <w:vanish/>
        </w:rPr>
        <w:t>s-gaap:AutomobileLoanMember2019-01-012019-12-310000927628us-gaap:ConsumerPortfolioSegmentMembercof:RetailBankingMember2019-01-012019-12-310000927628us-gaap:ConsumerPortfolioSegmentMembercof:RetailBankingMemberus-gaap:ContractualInterestRateReductionMember2</w:t>
      </w:r>
      <w:r>
        <w:rPr>
          <w:rFonts w:eastAsia="Times New Roman"/>
          <w:vanish/>
        </w:rPr>
        <w:t>019-01-012019-12-310000927628us-gaap:ConsumerPortfolioSegmentMemberus-gaap:ExtendedMaturityMembercof:RetailBankingMember2019-01-012019-12-310000927628us-gaap:PrincipalForgivenessMemberus-gaap:ConsumerPortfolioSegmentMembercof:RetailBankingMember2019-01-012</w:t>
      </w:r>
      <w:r>
        <w:rPr>
          <w:rFonts w:eastAsia="Times New Roman"/>
          <w:vanish/>
        </w:rPr>
        <w:t>019-12-310000927628us-gaap:ConsumerPortfolioSegmentMember2019-01-012019-12-310000927628us-gaap:ConsumerPortfolioSegmentMemberus-gaap:ContractualInterestRateReductionMember2019-01-012019-12-310000927628us-gaap:ConsumerPortfolioSegmentMemberus-gaap:ExtendedM</w:t>
      </w:r>
      <w:r>
        <w:rPr>
          <w:rFonts w:eastAsia="Times New Roman"/>
          <w:vanish/>
        </w:rPr>
        <w:t>aturityMember2019-01-012019-12-310000927628us-gaap:PrincipalForgivenessMemberus-gaap:ConsumerPortfolioSegmentMember2019-01-012019-12-310000927628cof:CommercialAndMultifamilyRealEstateMemberus-gaap:CommercialPortfolioSegmentMember2019-01-012019-12-310000927</w:t>
      </w:r>
      <w:r>
        <w:rPr>
          <w:rFonts w:eastAsia="Times New Roman"/>
          <w:vanish/>
        </w:rPr>
        <w:t>628cof:CommercialAndMultifamilyRealEstateMemberus-gaap:CommercialPortfolioSegmentMemberus-gaap:ContractualInterestRateReductionMember2019-01-012019-12-310000927628cof:CommercialAndMultifamilyRealEstateMemberus-gaap:CommercialPortfolioSegmentMemberus-gaap:E</w:t>
      </w:r>
      <w:r>
        <w:rPr>
          <w:rFonts w:eastAsia="Times New Roman"/>
          <w:vanish/>
        </w:rPr>
        <w:t>xtendedMaturityMember2019-01-012019-12-310000927628us-gaap:PrincipalForgivenessMembercof:CommercialAndMultifamilyRealEstateMemberus-gaap:CommercialPortfolioSegmentMember2019-01-012019-12-310000927628us-gaap:CommercialPortfolioSegmentMembercof:CommercialAnd</w:t>
      </w:r>
      <w:r>
        <w:rPr>
          <w:rFonts w:eastAsia="Times New Roman"/>
          <w:vanish/>
        </w:rPr>
        <w:t>IndustrialMember2019-01-012019-12-310000927628us-gaap:CommercialPortfolioSegmentMemberus-gaap:ContractualInterestRateReductionMembercof:CommercialAndIndustrialMember2019-01-012019-12-310000927628us-gaap:CommercialPortfolioSegmentMemberus-gaap:ExtendedMatur</w:t>
      </w:r>
      <w:r>
        <w:rPr>
          <w:rFonts w:eastAsia="Times New Roman"/>
          <w:vanish/>
        </w:rPr>
        <w:t>ityMembercof:CommercialAndIndustrialMember2019-01-012019-12-310000927628us-gaap:PrincipalForgivenessMemberus-gaap:CommercialPortfolioSegmentMembercof:CommercialAndIndustrialMember2019-01-012019-12-310000927628us-gaap:CommercialPortfolioSegmentMembercof:Com</w:t>
      </w:r>
      <w:r>
        <w:rPr>
          <w:rFonts w:eastAsia="Times New Roman"/>
          <w:vanish/>
        </w:rPr>
        <w:t>mercialLendingMember2019-01-012019-12-310000927628us-gaap:CommercialPortfolioSegmentMembercof:CommercialLendingMemberus-gaap:ContractualInterestRateReductionMember2019-01-012019-12-310000927628us-gaap:CommercialPortfolioSegmentMemberus-gaap:ExtendedMaturit</w:t>
      </w:r>
      <w:r>
        <w:rPr>
          <w:rFonts w:eastAsia="Times New Roman"/>
          <w:vanish/>
        </w:rPr>
        <w:t>yMembercof:CommercialLendingMember2019-01-012019-12-310000927628us-gaap:PrincipalForgivenessMemberus-gaap:CommercialPortfolioSegmentMembercof:CommercialLendingMember2019-01-012019-12-310000927628us-gaap:CommercialPortfolioSegmentMembercof:SmallTicketRealEs</w:t>
      </w:r>
      <w:r>
        <w:rPr>
          <w:rFonts w:eastAsia="Times New Roman"/>
          <w:vanish/>
        </w:rPr>
        <w:t>tateMember2019-01-012019-12-310000927628us-gaap:CommercialPortfolioSegmentMembercof:SmallTicketRealEstateMemberus-gaap:ContractualInterestRateReductionMember2019-01-012019-12-310000927628us-gaap:CommercialPortfolioSegmentMemberus-gaap:ExtendedMaturityMembe</w:t>
      </w:r>
      <w:r>
        <w:rPr>
          <w:rFonts w:eastAsia="Times New Roman"/>
          <w:vanish/>
        </w:rPr>
        <w:t>rcof:SmallTicketRealEstateMember2019-01-012019-12-310000927628us-gaap:PrincipalForgivenessMemberus-gaap:CommercialPortfolioSegmentMembercof:SmallTicketRealEstateMember2019-01-012019-12-310000927628us-gaap:CommercialPortfolioSegmentMember2019-01-012019-12-3</w:t>
      </w:r>
      <w:r>
        <w:rPr>
          <w:rFonts w:eastAsia="Times New Roman"/>
          <w:vanish/>
        </w:rPr>
        <w:t>10000927628us-gaap:CommercialPortfolioSegmentMemberus-gaap:ContractualInterestRateReductionMember2019-01-012019-12-310000927628us-gaap:CommercialPortfolioSegmentMemberus-gaap:ExtendedMaturityMember2019-01-012019-12-310000927628us-gaap:PrincipalForgivenessM</w:t>
      </w:r>
      <w:r>
        <w:rPr>
          <w:rFonts w:eastAsia="Times New Roman"/>
          <w:vanish/>
        </w:rPr>
        <w:t>emberus-gaap:CommercialPortfolioSegmentMember2019-01-012019-12-310000927628us-gaap:ContractualInterestRateReductionMember2019-01-012019-12-310000927628us-gaap:ExtendedMaturityMember2019-01-012019-12-310000927628us-gaap:PrincipalForgivenessMember2019-01-012</w:t>
      </w:r>
      <w:r>
        <w:rPr>
          <w:rFonts w:eastAsia="Times New Roman"/>
          <w:vanish/>
        </w:rPr>
        <w:t>019-12-310000927628us-gaap:GeographicDistributionDomesticMembercof:CreditCardPortfolioSegmentMember2018-01-012018-12-310000927628us-gaap:GeographicDistributionDomesticMemberus-gaap:ContractualInterestRateReductionMembercof:CreditCardPortfolioSegmentMember2</w:t>
      </w:r>
      <w:r>
        <w:rPr>
          <w:rFonts w:eastAsia="Times New Roman"/>
          <w:vanish/>
        </w:rPr>
        <w:t>018-01-012018-12-310000927628us-gaap:GeographicDistributionDomesticMemberus-gaap:ExtendedMaturityMembercof:CreditCardPortfolioSegmentMember2018-01-012018-12-310000927628us-gaap:PrincipalForgivenessMemberus-gaap:GeographicDistributionDomesticMembercof:Credi</w:t>
      </w:r>
      <w:r>
        <w:rPr>
          <w:rFonts w:eastAsia="Times New Roman"/>
          <w:vanish/>
        </w:rPr>
        <w:t>tCardPortfolioSegmentMember2018-01-012018-12-310000927628us-gaap:GeographicDistributionForeignMembercof:CreditCardPortfolioSegmentMember2018-01-012018-12-310000927628us-gaap:GeographicDistributionForeignMemberus-gaap:ContractualInterestRateReductionMemberc</w:t>
      </w:r>
      <w:r>
        <w:rPr>
          <w:rFonts w:eastAsia="Times New Roman"/>
          <w:vanish/>
        </w:rPr>
        <w:t>of:CreditCardPortfolioSegmentMember2018-01-012018-12-310000927628us-gaap:GeographicDistributionForeignMemberus-gaap:ExtendedMaturityMembercof:CreditCardPortfolioSegmentMember2018-01-012018-12-310000927628us-gaap:PrincipalForgivenessMemberus-gaap:Geographic</w:t>
      </w:r>
      <w:r>
        <w:rPr>
          <w:rFonts w:eastAsia="Times New Roman"/>
          <w:vanish/>
        </w:rPr>
        <w:t>DistributionForeignMembercof:CreditCardPortfolioSegmentMember2018-01-012018-12-310000927628cof:CreditCardPortfolioSegmentMember2018-01-012018-12-310000927628us-gaap:ContractualInterestRateReductionMembercof:CreditCardPortfolioSegmentMember2018-01-012018-12</w:t>
      </w:r>
      <w:r>
        <w:rPr>
          <w:rFonts w:eastAsia="Times New Roman"/>
          <w:vanish/>
        </w:rPr>
        <w:t>-310000927628us-gaap:ExtendedMaturityMembercof:CreditCardPortfolioSegmentMember2018-01-012018-12-310000927628us-gaap:PrincipalForgivenessMembercof:CreditCardPortfolioSegmentMember2018-01-012018-12-310000927628us-gaap:ConsumerPortfolioSegmentMemberus-gaap:A</w:t>
      </w:r>
      <w:r>
        <w:rPr>
          <w:rFonts w:eastAsia="Times New Roman"/>
          <w:vanish/>
        </w:rPr>
        <w:t>utomobileLoanMember2018-01-012018-12-310000927628us-gaap:ConsumerPortfolioSegmentMemberus-gaap:AutomobileLoanMemberus-gaap:ContractualInterestRateReductionMember2018-01-012018-12-310000927628us-gaap:ConsumerPortfolioSegmentMemberus-gaap:AutomobileLoanMembe</w:t>
      </w:r>
      <w:r>
        <w:rPr>
          <w:rFonts w:eastAsia="Times New Roman"/>
          <w:vanish/>
        </w:rPr>
        <w:t>rus-gaap:ExtendedMaturityMember2018-01-012018-12-310000927628us-gaap:PrincipalForgivenessMemberus-gaap:ConsumerPortfolioSegmentMemberus-gaap:AutomobileLoanMember2018-01-012018-12-310000927628us-gaap:ConsumerPortfolioSegmentMemberus-gaap:ResidentialMortgage</w:t>
      </w:r>
      <w:r>
        <w:rPr>
          <w:rFonts w:eastAsia="Times New Roman"/>
          <w:vanish/>
        </w:rPr>
        <w:t>Member2018-01-012018-12-310000927628us-gaap:ConsumerPortfolioSegmentMemberus-gaap:ResidentialMortgageMemberus-gaap:ContractualInterestRateReductionMember2018-01-012018-12-310000927628us-gaap:ConsumerPortfolioSegmentMemberus-gaap:ResidentialMortgageMemberus</w:t>
      </w:r>
      <w:r>
        <w:rPr>
          <w:rFonts w:eastAsia="Times New Roman"/>
          <w:vanish/>
        </w:rPr>
        <w:t>-gaap:ExtendedMaturityMember2018-01-012018-12-310000927628us-gaap:PrincipalForgivenessMemberus-gaap:ConsumerPortfolioSegmentMemberus-gaap:ResidentialMortgageMember2018-01-012018-12-310000927628us-gaap:ConsumerPortfolioSegmentMembercof:RetailBankingMember20</w:t>
      </w:r>
      <w:r>
        <w:rPr>
          <w:rFonts w:eastAsia="Times New Roman"/>
          <w:vanish/>
        </w:rPr>
        <w:t>18-01-012018-12-310000927628us-gaap:ConsumerPortfolioSegmentMembercof:RetailBankingMemberus-gaap:ContractualInterestRateReductionMember2018-01-012018-12-310000927628us-gaap:ConsumerPortfolioSegmentMemberus-gaap:ExtendedMaturityMembercof:RetailBankingMember</w:t>
      </w:r>
      <w:r>
        <w:rPr>
          <w:rFonts w:eastAsia="Times New Roman"/>
          <w:vanish/>
        </w:rPr>
        <w:t>2018-01-012018-12-310000927628us-gaap:PrincipalForgivenessMemberus-gaap:ConsumerPortfolioSegmentMembercof:RetailBankingMember2018-01-012018-12-310000927628us-gaap:ConsumerPortfolioSegmentMember2018-01-012018-12-310000927628us-gaap:ConsumerPortfolioSegmentM</w:t>
      </w:r>
      <w:r>
        <w:rPr>
          <w:rFonts w:eastAsia="Times New Roman"/>
          <w:vanish/>
        </w:rPr>
        <w:t>emberus-gaap:ContractualInterestRateReductionMember2018-01-012018-12-310000927628us-gaap:ConsumerPortfolioSegmentMemberus-gaap:ExtendedMaturityMember2018-01-012018-12-310000927628us-gaap:PrincipalForgivenessMemberus-gaap:ConsumerPortfolioSegmentMember2018-</w:t>
      </w:r>
      <w:r>
        <w:rPr>
          <w:rFonts w:eastAsia="Times New Roman"/>
          <w:vanish/>
        </w:rPr>
        <w:t>01-012018-12-310000927628cof:CommercialAndMultifamilyRealEstateMemberus-gaap:CommercialPortfolioSegmentMember2018-01-012018-12-310000927628cof:CommercialAndMultifamilyRealEstateMemberus-gaap:CommercialPortfolioSegmentMemberus-gaap:ContractualInterestRateRe</w:t>
      </w:r>
      <w:r>
        <w:rPr>
          <w:rFonts w:eastAsia="Times New Roman"/>
          <w:vanish/>
        </w:rPr>
        <w:t>ductionMember2018-01-012018-12-310000927628cof:CommercialAndMultifamilyRealEstateMemberus-gaap:CommercialPortfolioSegmentMemberus-gaap:ExtendedMaturityMember2018-01-012018-12-310000927628us-gaap:PrincipalForgivenessMembercof:CommercialAndMultifamilyRealEst</w:t>
      </w:r>
      <w:r>
        <w:rPr>
          <w:rFonts w:eastAsia="Times New Roman"/>
          <w:vanish/>
        </w:rPr>
        <w:t>ateMemberus-gaap:CommercialPortfolioSegmentMember2018-01-012018-12-310000927628us-gaap:CommercialPortfolioSegmentMembercof:CommercialAndIndustrialMember2018-01-012018-12-310000927628us-gaap:CommercialPortfolioSegmentMemberus-gaap:ContractualInterestRateRed</w:t>
      </w:r>
      <w:r>
        <w:rPr>
          <w:rFonts w:eastAsia="Times New Roman"/>
          <w:vanish/>
        </w:rPr>
        <w:t>uctionMembercof:CommercialAndIndustrialMember2018-01-012018-12-310000927628us-gaap:CommercialPortfolioSegmentMemberus-gaap:ExtendedMaturityMembercof:CommercialAndIndustrialMember2018-01-012018-12-310000927628us-gaap:PrincipalForgivenessMemberus-gaap:Commer</w:t>
      </w:r>
      <w:r>
        <w:rPr>
          <w:rFonts w:eastAsia="Times New Roman"/>
          <w:vanish/>
        </w:rPr>
        <w:t>cialPortfolioSegmentMembercof:CommercialAndIndustrialMember2018-01-012018-12-310000927628us-gaap:CommercialPortfolioSegmentMembercof:CommercialLendingMember2018-01-012018-12-310000927628us-gaap:CommercialPortfolioSegmentMembercof:CommercialLendingMemberus-</w:t>
      </w:r>
      <w:r>
        <w:rPr>
          <w:rFonts w:eastAsia="Times New Roman"/>
          <w:vanish/>
        </w:rPr>
        <w:t>gaap:ContractualInterestRateReductionMember2018-01-012018-12-310000927628us-gaap:CommercialPortfolioSegmentMemberus-gaap:ExtendedMaturityMembercof:CommercialLendingMember2018-01-012018-12-310000927628us-gaap:PrincipalForgivenessMemberus-gaap:CommercialPort</w:t>
      </w:r>
      <w:r>
        <w:rPr>
          <w:rFonts w:eastAsia="Times New Roman"/>
          <w:vanish/>
        </w:rPr>
        <w:t>folioSegmentMembercof:CommercialLendingMember2018-01-012018-12-310000927628us-gaap:CommercialPortfolioSegmentMembercof:SmallTicketRealEstateMember2018-01-012018-12-310000927628us-gaap:CommercialPortfolioSegmentMembercof:SmallTicketRealEstateMemberus-gaap:C</w:t>
      </w:r>
      <w:r>
        <w:rPr>
          <w:rFonts w:eastAsia="Times New Roman"/>
          <w:vanish/>
        </w:rPr>
        <w:t>ontractualInterestRateReductionMember2018-01-012018-12-310000927628us-gaap:CommercialPortfolioSegmentMemberus-gaap:ExtendedMaturityMembercof:SmallTicketRealEstateMember2018-01-012018-12-310000927628us-gaap:PrincipalForgivenessMemberus-gaap:CommercialPortfo</w:t>
      </w:r>
      <w:r>
        <w:rPr>
          <w:rFonts w:eastAsia="Times New Roman"/>
          <w:vanish/>
        </w:rPr>
        <w:t>lioSegmentMembercof:SmallTicketRealEstateMember2018-01-012018-12-310000927628us-gaap:CommercialPortfolioSegmentMember2018-01-012018-12-310000927628us-gaap:CommercialPortfolioSegmentMemberus-gaap:ContractualInterestRateReductionMember2018-01-012018-12-31000</w:t>
      </w:r>
      <w:r>
        <w:rPr>
          <w:rFonts w:eastAsia="Times New Roman"/>
          <w:vanish/>
        </w:rPr>
        <w:t>0927628us-gaap:CommercialPortfolioSegmentMemberus-gaap:ExtendedMaturityMember2018-01-012018-12-310000927628us-gaap:PrincipalForgivenessMemberus-gaap:CommercialPortfolioSegmentMember2018-01-012018-12-310000927628us-gaap:ContractualInterestRateReductionMembe</w:t>
      </w:r>
      <w:r>
        <w:rPr>
          <w:rFonts w:eastAsia="Times New Roman"/>
          <w:vanish/>
        </w:rPr>
        <w:t>r2018-01-012018-12-310000927628us-gaap:ExtendedMaturityMember2018-01-012018-12-310000927628us-gaap:PrincipalForgivenessMember2018-01-012018-12-31cof:contract0000927628us-gaap:ConsumerPortfolioSegmentMemberus-gaap:ResidentialMortgageMember2020-01-012020-12-</w:t>
      </w:r>
      <w:r>
        <w:rPr>
          <w:rFonts w:eastAsia="Times New Roman"/>
          <w:vanish/>
        </w:rPr>
        <w:t>310000927628us-gaap:ConsumerPortfolioSegmentMemberus-gaap:ResidentialMortgageMember2019-01-012019-12-310000927628cof:FederalHomeLoanbanksMember2020-12-310000927628cof:FederalHomeLoanbanksMember2019-12-310000927628cof:FederalReserveDiscountWindowMember2020-</w:t>
      </w:r>
      <w:r>
        <w:rPr>
          <w:rFonts w:eastAsia="Times New Roman"/>
          <w:vanish/>
        </w:rPr>
        <w:t>12-310000927628cof:FederalReserveDiscountWindowMember2019-12-310000927628cof:CommercialAndMultifamilyRealEstateMember2020-01-012020-12-310000927628cof:CommercialAndMultifamilyRealEstateMember2019-01-012019-12-310000927628cof:CommercialAndMultifamilyRealEst</w:t>
      </w:r>
      <w:r>
        <w:rPr>
          <w:rFonts w:eastAsia="Times New Roman"/>
          <w:vanish/>
        </w:rPr>
        <w:t>ateMember2018-01-012018-12-310000927628us-gaap:AllowanceForLoanAndLeaseLossesMember2020-01-012020-12-310000927628us-gaap:AllowanceForLoanAndLeaseLossesMember2020-12-310000927628us-gaap:AllowanceForLoanAndLeaseLossesMembercof:CreditCardPortfolioSegmentMembe</w:t>
      </w:r>
      <w:r>
        <w:rPr>
          <w:rFonts w:eastAsia="Times New Roman"/>
          <w:vanish/>
        </w:rPr>
        <w:t>r2017-12-310000927628us-gaap:ConsumerPortfolioSegmentMemberus-gaap:AllowanceForLoanAndLeaseLossesMember2017-12-310000927628us-gaap:CommercialPortfolioSegmentMemberus-gaap:AllowanceForLoanAndLeaseLossesMember2017-12-310000927628us-gaap:CorporateNonSegmentMe</w:t>
      </w:r>
      <w:r>
        <w:rPr>
          <w:rFonts w:eastAsia="Times New Roman"/>
          <w:vanish/>
        </w:rPr>
        <w:t>mberus-gaap:AllowanceForLoanAndLeaseLossesMember2017-12-310000927628us-gaap:AllowanceForLoanAndLeaseLossesMember2017-12-310000927628us-gaap:AllowanceForLoanAndLeaseLossesMembercof:CreditCardPortfolioSegmentMember2018-01-012018-12-310000927628us-gaap:Consum</w:t>
      </w:r>
      <w:r>
        <w:rPr>
          <w:rFonts w:eastAsia="Times New Roman"/>
          <w:vanish/>
        </w:rPr>
        <w:t>erPortfolioSegmentMemberus-gaap:AllowanceForLoanAndLeaseLossesMember2018-01-012018-12-310000927628us-gaap:CommercialPortfolioSegmentMemberus-gaap:AllowanceForLoanAndLeaseLossesMember2018-01-012018-12-310000927628us-gaap:CorporateNonSegmentMemberus-gaap:All</w:t>
      </w:r>
      <w:r>
        <w:rPr>
          <w:rFonts w:eastAsia="Times New Roman"/>
          <w:vanish/>
        </w:rPr>
        <w:t>owanceForLoanAndLeaseLossesMember2018-01-012018-12-310000927628us-gaap:AllowanceForLoanAndLeaseLossesMember2018-01-012018-12-310000927628us-gaap:AllowanceForLoanAndLeaseLossesMembercof:CreditCardPortfolioSegmentMember2018-12-310000927628us-gaap:ConsumerPor</w:t>
      </w:r>
      <w:r>
        <w:rPr>
          <w:rFonts w:eastAsia="Times New Roman"/>
          <w:vanish/>
        </w:rPr>
        <w:t>tfolioSegmentMemberus-gaap:AllowanceForLoanAndLeaseLossesMember2018-12-310000927628us-gaap:CommercialPortfolioSegmentMemberus-gaap:AllowanceForLoanAndLeaseLossesMember2018-12-310000927628us-gaap:CorporateNonSegmentMemberus-gaap:AllowanceForLoanAndLeaseLoss</w:t>
      </w:r>
      <w:r>
        <w:rPr>
          <w:rFonts w:eastAsia="Times New Roman"/>
          <w:vanish/>
        </w:rPr>
        <w:t>esMember2018-12-310000927628us-gaap:AllowanceForLoanAndLeaseLossesMember2018-12-310000927628us-gaap:UnfundedLoanCommitmentMembercof:CreditCardPortfolioSegmentMember2017-12-310000927628us-gaap:ConsumerPortfolioSegmentMemberus-gaap:UnfundedLoanCommitmentMemb</w:t>
      </w:r>
      <w:r>
        <w:rPr>
          <w:rFonts w:eastAsia="Times New Roman"/>
          <w:vanish/>
        </w:rPr>
        <w:t>er2017-12-310000927628us-gaap:CommercialPortfolioSegmentMemberus-gaap:UnfundedLoanCommitmentMember2017-12-310000927628us-gaap:UnfundedLoanCommitmentMemberus-gaap:CorporateNonSegmentMember2017-12-310000927628us-gaap:UnfundedLoanCommitmentMember2017-12-31000</w:t>
      </w:r>
      <w:r>
        <w:rPr>
          <w:rFonts w:eastAsia="Times New Roman"/>
          <w:vanish/>
        </w:rPr>
        <w:t>0927628us-gaap:UnfundedLoanCommitmentMembercof:CreditCardPortfolioSegmentMember2018-01-012018-12-310000927628us-gaap:ConsumerPortfolioSegmentMemberus-gaap:UnfundedLoanCommitmentMember2018-01-012018-12-310000927628us-gaap:CommercialPortfolioSegmentMemberus-</w:t>
      </w:r>
      <w:r>
        <w:rPr>
          <w:rFonts w:eastAsia="Times New Roman"/>
          <w:vanish/>
        </w:rPr>
        <w:t>gaap:UnfundedLoanCommitmentMember2018-01-012018-12-310000927628us-gaap:UnfundedLoanCommitmentMemberus-gaap:CorporateNonSegmentMember2018-01-012018-12-310000927628us-gaap:UnfundedLoanCommitmentMember2018-01-012018-12-310000927628us-gaap:UnfundedLoanCommitme</w:t>
      </w:r>
      <w:r>
        <w:rPr>
          <w:rFonts w:eastAsia="Times New Roman"/>
          <w:vanish/>
        </w:rPr>
        <w:t>ntMembercof:CreditCardPortfolioSegmentMember2018-12-310000927628us-gaap:ConsumerPortfolioSegmentMemberus-gaap:UnfundedLoanCommitmentMember2018-12-310000927628us-gaap:CommercialPortfolioSegmentMemberus-gaap:UnfundedLoanCommitmentMember2018-12-310000927628us</w:t>
      </w:r>
      <w:r>
        <w:rPr>
          <w:rFonts w:eastAsia="Times New Roman"/>
          <w:vanish/>
        </w:rPr>
        <w:t>-gaap:UnfundedLoanCommitmentMemberus-gaap:CorporateNonSegmentMember2018-12-310000927628us-gaap:UnfundedLoanCommitmentMember2018-12-310000927628cof:CombinedAllowanceAndUnfundedReserveMembercof:CreditCardPortfolioSegmentMember2018-12-310000927628us-gaap:Cons</w:t>
      </w:r>
      <w:r>
        <w:rPr>
          <w:rFonts w:eastAsia="Times New Roman"/>
          <w:vanish/>
        </w:rPr>
        <w:t>umerPortfolioSegmentMembercof:CombinedAllowanceAndUnfundedReserveMember2018-12-310000927628us-gaap:CommercialPortfolioSegmentMembercof:CombinedAllowanceAndUnfundedReserveMember2018-12-310000927628cof:CombinedAllowanceAndUnfundedReserveMemberus-gaap:Corpora</w:t>
      </w:r>
      <w:r>
        <w:rPr>
          <w:rFonts w:eastAsia="Times New Roman"/>
          <w:vanish/>
        </w:rPr>
        <w:t>teNonSegmentMember2018-12-310000927628cof:CombinedAllowanceAndUnfundedReserveMember2018-12-310000927628us-gaap:AllowanceForLoanAndLeaseLossesMembercof:CreditCardPortfolioSegmentMember2019-01-012019-12-310000927628us-gaap:ConsumerPortfolioSegmentMemberus-ga</w:t>
      </w:r>
      <w:r>
        <w:rPr>
          <w:rFonts w:eastAsia="Times New Roman"/>
          <w:vanish/>
        </w:rPr>
        <w:t>ap:AllowanceForLoanAndLeaseLossesMember2019-01-012019-12-310000927628us-gaap:CommercialPortfolioSegmentMemberus-gaap:AllowanceForLoanAndLeaseLossesMember2019-01-012019-12-310000927628us-gaap:AllowanceForLoanAndLeaseLossesMember2019-01-012019-12-31000092762</w:t>
      </w:r>
      <w:r>
        <w:rPr>
          <w:rFonts w:eastAsia="Times New Roman"/>
          <w:vanish/>
        </w:rPr>
        <w:t>8us-gaap:AllowanceForLoanAndLeaseLossesMembercof:CreditCardPortfolioSegmentMember2019-12-310000927628us-gaap:ConsumerPortfolioSegmentMemberus-gaap:AllowanceForLoanAndLeaseLossesMember2019-12-310000927628us-gaap:CommercialPortfolioSegmentMemberus-gaap:Allow</w:t>
      </w:r>
      <w:r>
        <w:rPr>
          <w:rFonts w:eastAsia="Times New Roman"/>
          <w:vanish/>
        </w:rPr>
        <w:t>anceForLoanAndLeaseLossesMember2019-12-310000927628us-gaap:AllowanceForLoanAndLeaseLossesMember2019-12-310000927628us-gaap:UnfundedLoanCommitmentMembercof:CreditCardPortfolioSegmentMember2019-01-012019-12-310000927628us-gaap:ConsumerPortfolioSegmentMemberu</w:t>
      </w:r>
      <w:r>
        <w:rPr>
          <w:rFonts w:eastAsia="Times New Roman"/>
          <w:vanish/>
        </w:rPr>
        <w:t>s-gaap:UnfundedLoanCommitmentMember2019-01-012019-12-310000927628us-gaap:CommercialPortfolioSegmentMemberus-gaap:UnfundedLoanCommitmentMember2019-01-012019-12-310000927628us-gaap:UnfundedLoanCommitmentMember2019-01-012019-12-310000927628us-gaap:UnfundedLoa</w:t>
      </w:r>
      <w:r>
        <w:rPr>
          <w:rFonts w:eastAsia="Times New Roman"/>
          <w:vanish/>
        </w:rPr>
        <w:t>nCommitmentMembercof:CreditCardPortfolioSegmentMember2019-12-310000927628us-gaap:ConsumerPortfolioSegmentMemberus-gaap:UnfundedLoanCommitmentMember2019-12-310000927628us-gaap:CommercialPortfolioSegmentMemberus-gaap:UnfundedLoanCommitmentMember2019-12-31000</w:t>
      </w:r>
      <w:r>
        <w:rPr>
          <w:rFonts w:eastAsia="Times New Roman"/>
          <w:vanish/>
        </w:rPr>
        <w:t>0927628us-gaap:UnfundedLoanCommitmentMember2019-12-310000927628cof:CombinedAllowanceAndUnfundedReserveMembercof:CreditCardPortfolioSegmentMember2019-12-310000927628us-gaap:ConsumerPortfolioSegmentMembercof:CombinedAllowanceAndUnfundedReserveMember2019-12-3</w:t>
      </w:r>
      <w:r>
        <w:rPr>
          <w:rFonts w:eastAsia="Times New Roman"/>
          <w:vanish/>
        </w:rPr>
        <w:t>10000927628us-gaap:CommercialPortfolioSegmentMembercof:CombinedAllowanceAndUnfundedReserveMember2019-12-310000927628cof:CombinedAllowanceAndUnfundedReserveMember2019-12-310000927628srt:CumulativeEffectPeriodOfAdoptionAdjustmentMemberus-gaap:AllowanceForLoa</w:t>
      </w:r>
      <w:r>
        <w:rPr>
          <w:rFonts w:eastAsia="Times New Roman"/>
          <w:vanish/>
        </w:rPr>
        <w:t>nAndLeaseLossesMembercof:CreditCardPortfolioSegmentMember2019-12-310000927628us-gaap:ConsumerPortfolioSegmentMembersrt:CumulativeEffectPeriodOfAdoptionAdjustmentMemberus-gaap:AllowanceForLoanAndLeaseLossesMember2019-12-310000927628srt:CumulativeEffectPerio</w:t>
      </w:r>
      <w:r>
        <w:rPr>
          <w:rFonts w:eastAsia="Times New Roman"/>
          <w:vanish/>
        </w:rPr>
        <w:t>dOfAdoptionAdjustmentMemberus-gaap:CommercialPortfolioSegmentMemberus-gaap:AllowanceForLoanAndLeaseLossesMember2019-12-310000927628srt:CumulativeEffectPeriodOfAdoptionAdjustmentMemberus-gaap:AllowanceForLoanAndLeaseLossesMember2019-12-310000927628us-gaap:A</w:t>
      </w:r>
      <w:r>
        <w:rPr>
          <w:rFonts w:eastAsia="Times New Roman"/>
          <w:vanish/>
        </w:rPr>
        <w:t>llowanceForLoanAndLeaseLossesMembercof:CreditCardPortfolioSegmentMemberus-gaap:ReclassificationOtherMember2019-12-310000927628us-gaap:ConsumerPortfolioSegmentMemberus-gaap:AllowanceForLoanAndLeaseLossesMemberus-gaap:ReclassificationOtherMember2019-12-31000</w:t>
      </w:r>
      <w:r>
        <w:rPr>
          <w:rFonts w:eastAsia="Times New Roman"/>
          <w:vanish/>
        </w:rPr>
        <w:t>0927628us-gaap:CommercialPortfolioSegmentMemberus-gaap:AllowanceForLoanAndLeaseLossesMemberus-gaap:ReclassificationOtherMember2019-12-310000927628us-gaap:AllowanceForLoanAndLeaseLossesMemberus-gaap:ReclassificationOtherMember2019-12-310000927628srt:Cumulat</w:t>
      </w:r>
      <w:r>
        <w:rPr>
          <w:rFonts w:eastAsia="Times New Roman"/>
          <w:vanish/>
        </w:rPr>
        <w:t>iveEffectPeriodOfAdoptionAdjustedBalanceMemberus-gaap:AllowanceForLoanAndLeaseLossesMembercof:CreditCardPortfolioSegmentMember2019-12-310000927628us-gaap:ConsumerPortfolioSegmentMembersrt:CumulativeEffectPeriodOfAdoptionAdjustedBalanceMemberus-gaap:Allowan</w:t>
      </w:r>
      <w:r>
        <w:rPr>
          <w:rFonts w:eastAsia="Times New Roman"/>
          <w:vanish/>
        </w:rPr>
        <w:t>ceForLoanAndLeaseLossesMember2019-12-310000927628srt:CumulativeEffectPeriodOfAdoptionAdjustedBalanceMemberus-gaap:CommercialPortfolioSegmentMemberus-gaap:AllowanceForLoanAndLeaseLossesMember2019-12-310000927628srt:CumulativeEffectPeriodOfAdoptionAdjustedBa</w:t>
      </w:r>
      <w:r>
        <w:rPr>
          <w:rFonts w:eastAsia="Times New Roman"/>
          <w:vanish/>
        </w:rPr>
        <w:t>lanceMemberus-gaap:AllowanceForLoanAndLeaseLossesMember2019-12-310000927628us-gaap:AllowanceForLoanAndLeaseLossesMembercof:CreditCardPortfolioSegmentMember2020-01-012020-12-310000927628us-gaap:ConsumerPortfolioSegmentMemberus-gaap:AllowanceForLoanAndLeaseL</w:t>
      </w:r>
      <w:r>
        <w:rPr>
          <w:rFonts w:eastAsia="Times New Roman"/>
          <w:vanish/>
        </w:rPr>
        <w:t>ossesMember2020-01-012020-12-310000927628us-gaap:CommercialPortfolioSegmentMemberus-gaap:AllowanceForLoanAndLeaseLossesMember2020-01-012020-12-310000927628us-gaap:AllowanceForLoanAndLeaseLossesMembercof:CreditCardPortfolioSegmentMember2020-12-310000927628u</w:t>
      </w:r>
      <w:r>
        <w:rPr>
          <w:rFonts w:eastAsia="Times New Roman"/>
          <w:vanish/>
        </w:rPr>
        <w:t>s-gaap:ConsumerPortfolioSegmentMemberus-gaap:AllowanceForLoanAndLeaseLossesMember2020-12-310000927628us-gaap:CommercialPortfolioSegmentMemberus-gaap:AllowanceForLoanAndLeaseLossesMember2020-12-310000927628srt:CumulativeEffectPeriodOfAdoptionAdjustmentMembe</w:t>
      </w:r>
      <w:r>
        <w:rPr>
          <w:rFonts w:eastAsia="Times New Roman"/>
          <w:vanish/>
        </w:rPr>
        <w:t>rus-gaap:UnfundedLoanCommitmentMembercof:CreditCardPortfolioSegmentMember2019-12-310000927628us-gaap:ConsumerPortfolioSegmentMembersrt:CumulativeEffectPeriodOfAdoptionAdjustmentMemberus-gaap:UnfundedLoanCommitmentMember2019-12-310000927628srt:CumulativeEff</w:t>
      </w:r>
      <w:r>
        <w:rPr>
          <w:rFonts w:eastAsia="Times New Roman"/>
          <w:vanish/>
        </w:rPr>
        <w:t>ectPeriodOfAdoptionAdjustmentMemberus-gaap:CommercialPortfolioSegmentMemberus-gaap:UnfundedLoanCommitmentMember2019-12-310000927628srt:CumulativeEffectPeriodOfAdoptionAdjustmentMemberus-gaap:UnfundedLoanCommitmentMember2019-12-310000927628srt:CumulativeEff</w:t>
      </w:r>
      <w:r>
        <w:rPr>
          <w:rFonts w:eastAsia="Times New Roman"/>
          <w:vanish/>
        </w:rPr>
        <w:t>ectPeriodOfAdoptionAdjustedBalanceMemberus-gaap:UnfundedLoanCommitmentMembercof:CreditCardPortfolioSegmentMember2019-12-310000927628us-gaap:ConsumerPortfolioSegmentMembersrt:CumulativeEffectPeriodOfAdoptionAdjustedBalanceMemberus-gaap:UnfundedLoanCommitmen</w:t>
      </w:r>
      <w:r>
        <w:rPr>
          <w:rFonts w:eastAsia="Times New Roman"/>
          <w:vanish/>
        </w:rPr>
        <w:t>tMember2019-12-310000927628srt:CumulativeEffectPeriodOfAdoptionAdjustedBalanceMemberus-gaap:CommercialPortfolioSegmentMemberus-gaap:UnfundedLoanCommitmentMember2019-12-310000927628srt:CumulativeEffectPeriodOfAdoptionAdjustedBalanceMemberus-gaap:UnfundedLoa</w:t>
      </w:r>
      <w:r>
        <w:rPr>
          <w:rFonts w:eastAsia="Times New Roman"/>
          <w:vanish/>
        </w:rPr>
        <w:t>nCommitmentMember2019-12-310000927628us-gaap:UnfundedLoanCommitmentMembercof:CreditCardPortfolioSegmentMember2020-01-012020-12-310000927628us-gaap:ConsumerPortfolioSegmentMemberus-gaap:UnfundedLoanCommitmentMember2020-01-012020-12-310000927628us-gaap:Comme</w:t>
      </w:r>
      <w:r>
        <w:rPr>
          <w:rFonts w:eastAsia="Times New Roman"/>
          <w:vanish/>
        </w:rPr>
        <w:t>rcialPortfolioSegmentMemberus-gaap:UnfundedLoanCommitmentMember2020-01-012020-12-310000927628us-gaap:UnfundedLoanCommitmentMember2020-01-012020-12-310000927628us-gaap:UnfundedLoanCommitmentMembercof:CreditCardPortfolioSegmentMember2020-12-310000927628us-ga</w:t>
      </w:r>
      <w:r>
        <w:rPr>
          <w:rFonts w:eastAsia="Times New Roman"/>
          <w:vanish/>
        </w:rPr>
        <w:t>ap:ConsumerPortfolioSegmentMemberus-gaap:UnfundedLoanCommitmentMember2020-12-310000927628us-gaap:CommercialPortfolioSegmentMemberus-gaap:UnfundedLoanCommitmentMember2020-12-310000927628us-gaap:UnfundedLoanCommitmentMember2020-12-310000927628cof:CombinedAll</w:t>
      </w:r>
      <w:r>
        <w:rPr>
          <w:rFonts w:eastAsia="Times New Roman"/>
          <w:vanish/>
        </w:rPr>
        <w:t>owanceAndUnfundedReserveMembercof:CreditCardPortfolioSegmentMember2020-12-310000927628us-gaap:ConsumerPortfolioSegmentMembercof:CombinedAllowanceAndUnfundedReserveMember2020-12-310000927628us-gaap:CommercialPortfolioSegmentMembercof:CombinedAllowanceAndUnf</w:t>
      </w:r>
      <w:r>
        <w:rPr>
          <w:rFonts w:eastAsia="Times New Roman"/>
          <w:vanish/>
        </w:rPr>
        <w:t>undedReserveMember2020-12-310000927628cof:CombinedAllowanceAndUnfundedReserveMember2020-12-310000927628us-gaap:ResidentialPortfolioSegmentMemberus-gaap:CorporateNonSegmentMember2018-01-012018-12-310000927628us-gaap:AllowanceForLoanAndLeaseLossesMembercof:P</w:t>
      </w:r>
      <w:r>
        <w:rPr>
          <w:rFonts w:eastAsia="Times New Roman"/>
          <w:vanish/>
        </w:rPr>
        <w:t>artnershipCreditCardLoanPortfolioTransferToHFSMember2020-07-012020-09-300000927628cof:IncludingCECLImpactAdoptionMembercof:LossSharingAgreementMember2019-12-310000927628cof:LossSharingAgreementMember2018-12-310000927628cof:LossSharingAgreementMember2017-12</w:t>
      </w:r>
      <w:r>
        <w:rPr>
          <w:rFonts w:eastAsia="Times New Roman"/>
          <w:vanish/>
        </w:rPr>
        <w:t>-310000927628cof:LossSharingAgreementMember2020-01-012020-12-310000927628cof:LossSharingAgreementMember2019-01-012019-12-310000927628cof:LossSharingAgreementMember2018-01-012018-12-310000927628cof:LossSharingAgreementMember2020-12-310000927628cof:LossShari</w:t>
      </w:r>
      <w:r>
        <w:rPr>
          <w:rFonts w:eastAsia="Times New Roman"/>
          <w:vanish/>
        </w:rPr>
        <w:t>ngAgreementMember2019-12-310000927628us-gaap:CreditCardReceivablesMemberus-gaap:VariableInterestEntityPrimaryBeneficiaryMember2020-12-310000927628us-gaap:CreditCardReceivablesMemberus-gaap:VariableInterestEntityNotPrimaryBeneficiaryMember2020-12-3100009276</w:t>
      </w:r>
      <w:r>
        <w:rPr>
          <w:rFonts w:eastAsia="Times New Roman"/>
          <w:vanish/>
        </w:rPr>
        <w:t>28us-gaap:CreditCardReceivablesMember2020-12-310000927628us-gaap:VariableInterestEntityPrimaryBeneficiaryMemberus-gaap:CollateralizedAutoLoansMember2020-12-310000927628us-gaap:VariableInterestEntityNotPrimaryBeneficiaryMemberus-gaap:CollateralizedAutoLoans</w:t>
      </w:r>
      <w:r>
        <w:rPr>
          <w:rFonts w:eastAsia="Times New Roman"/>
          <w:vanish/>
        </w:rPr>
        <w:t>Member2020-12-310000927628us-gaap:CollateralizedAutoLoansMember2020-12-310000927628us-gaap:VariableInterestEntityPrimaryBeneficiaryMemberus-gaap:ResidentialMortgageMember2020-12-310000927628us-gaap:VariableInterestEntityNotPrimaryBeneficiaryMemberus-gaap:R</w:t>
      </w:r>
      <w:r>
        <w:rPr>
          <w:rFonts w:eastAsia="Times New Roman"/>
          <w:vanish/>
        </w:rPr>
        <w:t>esidentialMortgageMember2020-12-310000927628us-gaap:ResidentialMortgageMember2020-12-310000927628us-gaap:VariableInterestEntityPrimaryBeneficiaryMembercof:SecuritizationRelatedVariableInterestEntitiesMember2020-12-310000927628us-gaap:VariableInterestEntity</w:t>
      </w:r>
      <w:r>
        <w:rPr>
          <w:rFonts w:eastAsia="Times New Roman"/>
          <w:vanish/>
        </w:rPr>
        <w:t>NotPrimaryBeneficiaryMembercof:SecuritizationRelatedVariableInterestEntitiesMember2020-12-310000927628cof:SecuritizationRelatedVariableInterestEntitiesMember2020-12-310000927628cof:AffordableHousingEntitiesMemberus-gaap:VariableInterestEntityPrimaryBenefic</w:t>
      </w:r>
      <w:r>
        <w:rPr>
          <w:rFonts w:eastAsia="Times New Roman"/>
          <w:vanish/>
        </w:rPr>
        <w:t>iaryMember2020-12-310000927628us-gaap:VariableInterestEntityNotPrimaryBeneficiaryMembercof:AffordableHousingEntitiesMember2020-12-310000927628cof:AffordableHousingEntitiesMember2020-12-310000927628us-gaap:VariableInterestEntityPrimaryBeneficiaryMembercof:I</w:t>
      </w:r>
      <w:r>
        <w:rPr>
          <w:rFonts w:eastAsia="Times New Roman"/>
          <w:vanish/>
        </w:rPr>
        <w:t>nvestmentCompaniesProvidingCapitaltoLowIncomeandRuralCommunitiesMember2020-12-310000927628us-gaap:VariableInterestEntityNotPrimaryBeneficiaryMembercof:InvestmentCompaniesProvidingCapitaltoLowIncomeandRuralCommunitiesMember2020-12-310000927628cof:Investment</w:t>
      </w:r>
      <w:r>
        <w:rPr>
          <w:rFonts w:eastAsia="Times New Roman"/>
          <w:vanish/>
        </w:rPr>
        <w:t>CompaniesProvidingCapitaltoLowIncomeandRuralCommunitiesMember2020-12-310000927628us-gaap:VariableInterestEntityPrimaryBeneficiaryMemberus-gaap:OtherInvestmentsMember2020-12-310000927628us-gaap:VariableInterestEntityNotPrimaryBeneficiaryMemberus-gaap:OtherI</w:t>
      </w:r>
      <w:r>
        <w:rPr>
          <w:rFonts w:eastAsia="Times New Roman"/>
          <w:vanish/>
        </w:rPr>
        <w:t>nvestmentsMember2020-12-310000927628us-gaap:OtherInvestmentsMember2020-12-310000927628us-gaap:VariableInterestEntityPrimaryBeneficiaryMembercof:NonsecuritizationRelatedVariableInterestEntitiesMember2020-12-310000927628us-gaap:VariableInterestEntityNotPrima</w:t>
      </w:r>
      <w:r>
        <w:rPr>
          <w:rFonts w:eastAsia="Times New Roman"/>
          <w:vanish/>
        </w:rPr>
        <w:t>ryBeneficiaryMembercof:NonsecuritizationRelatedVariableInterestEntitiesMember2020-12-310000927628cof:NonsecuritizationRelatedVariableInterestEntitiesMember2020-12-310000927628us-gaap:VariableInterestEntityNotPrimaryBeneficiaryMember2020-12-310000927628us-g</w:t>
      </w:r>
      <w:r>
        <w:rPr>
          <w:rFonts w:eastAsia="Times New Roman"/>
          <w:vanish/>
        </w:rPr>
        <w:t>aap:CreditCardReceivablesMemberus-gaap:VariableInterestEntityPrimaryBeneficiaryMember2019-12-310000927628us-gaap:CreditCardReceivablesMemberus-gaap:VariableInterestEntityNotPrimaryBeneficiaryMember2019-12-310000927628us-gaap:CreditCardReceivablesMember2019</w:t>
      </w:r>
      <w:r>
        <w:rPr>
          <w:rFonts w:eastAsia="Times New Roman"/>
          <w:vanish/>
        </w:rPr>
        <w:t>-12-310000927628us-gaap:VariableInterestEntityPrimaryBeneficiaryMemberus-gaap:CollateralizedAutoLoansMember2019-12-310000927628us-gaap:VariableInterestEntityNotPrimaryBeneficiaryMemberus-gaap:CollateralizedAutoLoansMember2019-12-310000927628us-gaap:Collate</w:t>
      </w:r>
      <w:r>
        <w:rPr>
          <w:rFonts w:eastAsia="Times New Roman"/>
          <w:vanish/>
        </w:rPr>
        <w:t>ralizedAutoLoansMember2019-12-310000927628us-gaap:VariableInterestEntityPrimaryBeneficiaryMemberus-gaap:ResidentialMortgageMember2019-12-310000927628us-gaap:VariableInterestEntityNotPrimaryBeneficiaryMemberus-gaap:ResidentialMortgageMember2019-12-310000927</w:t>
      </w:r>
      <w:r>
        <w:rPr>
          <w:rFonts w:eastAsia="Times New Roman"/>
          <w:vanish/>
        </w:rPr>
        <w:t>628us-gaap:ResidentialMortgageMember2019-12-310000927628us-gaap:VariableInterestEntityPrimaryBeneficiaryMembercof:SecuritizationRelatedVariableInterestEntitiesMember2019-12-310000927628us-gaap:VariableInterestEntityNotPrimaryBeneficiaryMembercof:Securitiza</w:t>
      </w:r>
      <w:r>
        <w:rPr>
          <w:rFonts w:eastAsia="Times New Roman"/>
          <w:vanish/>
        </w:rPr>
        <w:t>tionRelatedVariableInterestEntitiesMember2019-12-310000927628cof:SecuritizationRelatedVariableInterestEntitiesMember2019-12-310000927628cof:AffordableHousingEntitiesMemberus-gaap:VariableInterestEntityPrimaryBeneficiaryMember2019-12-310000927628us-gaap:Var</w:t>
      </w:r>
      <w:r>
        <w:rPr>
          <w:rFonts w:eastAsia="Times New Roman"/>
          <w:vanish/>
        </w:rPr>
        <w:t>iableInterestEntityNotPrimaryBeneficiaryMembercof:AffordableHousingEntitiesMember2019-12-310000927628cof:AffordableHousingEntitiesMember2019-12-310000927628us-gaap:VariableInterestEntityPrimaryBeneficiaryMembercof:InvestmentCompaniesProvidingCapitaltoLowIn</w:t>
      </w:r>
      <w:r>
        <w:rPr>
          <w:rFonts w:eastAsia="Times New Roman"/>
          <w:vanish/>
        </w:rPr>
        <w:t>comeandRuralCommunitiesMember2019-12-310000927628us-gaap:VariableInterestEntityNotPrimaryBeneficiaryMembercof:InvestmentCompaniesProvidingCapitaltoLowIncomeandRuralCommunitiesMember2019-12-310000927628cof:InvestmentCompaniesProvidingCapitaltoLowIncomeandRu</w:t>
      </w:r>
      <w:r>
        <w:rPr>
          <w:rFonts w:eastAsia="Times New Roman"/>
          <w:vanish/>
        </w:rPr>
        <w:t>ralCommunitiesMember2019-12-310000927628us-gaap:VariableInterestEntityPrimaryBeneficiaryMemberus-gaap:OtherInvestmentsMember2019-12-310000927628us-gaap:VariableInterestEntityNotPrimaryBeneficiaryMemberus-gaap:OtherInvestmentsMember2019-12-310000927628us-ga</w:t>
      </w:r>
      <w:r>
        <w:rPr>
          <w:rFonts w:eastAsia="Times New Roman"/>
          <w:vanish/>
        </w:rPr>
        <w:t>ap:OtherInvestmentsMember2019-12-310000927628us-gaap:VariableInterestEntityPrimaryBeneficiaryMembercof:NonsecuritizationRelatedVariableInterestEntitiesMember2019-12-310000927628us-gaap:VariableInterestEntityNotPrimaryBeneficiaryMembercof:NonsecuritizationR</w:t>
      </w:r>
      <w:r>
        <w:rPr>
          <w:rFonts w:eastAsia="Times New Roman"/>
          <w:vanish/>
        </w:rPr>
        <w:t>elatedVariableInterestEntitiesMember2019-12-310000927628cof:NonsecuritizationRelatedVariableInterestEntitiesMember2019-12-310000927628us-gaap:VariableInterestEntityNotPrimaryBeneficiaryMember2019-12-310000927628us-gaap:CustomerRelationshipsMember2020-12-31</w:t>
      </w:r>
      <w:r>
        <w:rPr>
          <w:rFonts w:eastAsia="Times New Roman"/>
          <w:vanish/>
        </w:rPr>
        <w:t>0000927628us-gaap:CustomerRelationshipsMember2020-01-012020-12-310000927628us-gaap:OtherIntangibleAssetsMember2020-12-310000927628us-gaap:OtherIntangibleAssetsMember2020-01-012020-12-310000927628us-gaap:CustomerRelationshipsMember2019-12-310000927628us-gaa</w:t>
      </w:r>
      <w:r>
        <w:rPr>
          <w:rFonts w:eastAsia="Times New Roman"/>
          <w:vanish/>
        </w:rPr>
        <w:t>p:CustomerRelationshipsMember2019-01-012019-12-310000927628us-gaap:OtherIntangibleAssetsMember2019-12-310000927628us-gaap:OtherIntangibleAssetsMember2019-01-012019-12-310000927628cof:CreditCardSegmentMember2017-12-310000927628cof:ConsumerBankingSegmentMemb</w:t>
      </w:r>
      <w:r>
        <w:rPr>
          <w:rFonts w:eastAsia="Times New Roman"/>
          <w:vanish/>
        </w:rPr>
        <w:t>er2017-12-310000927628cof:CommercialBankingSegmentMember2017-12-310000927628cof:CreditCardSegmentMember2018-01-012018-12-310000927628cof:ConsumerBankingSegmentMember2018-01-012018-12-310000927628cof:CommercialBankingSegmentMember2018-01-012018-12-310000927</w:t>
      </w:r>
      <w:r>
        <w:rPr>
          <w:rFonts w:eastAsia="Times New Roman"/>
          <w:vanish/>
        </w:rPr>
        <w:t>628cof:CreditCardSegmentMember2018-12-310000927628cof:ConsumerBankingSegmentMember2018-12-310000927628cof:CommercialBankingSegmentMember2018-12-310000927628cof:CreditCardSegmentMember2019-01-012019-12-310000927628cof:ConsumerBankingSegmentMember2019-01-012</w:t>
      </w:r>
      <w:r>
        <w:rPr>
          <w:rFonts w:eastAsia="Times New Roman"/>
          <w:vanish/>
        </w:rPr>
        <w:t>019-12-310000927628cof:CommercialBankingSegmentMember2019-01-012019-12-310000927628cof:CreditCardSegmentMember2019-12-310000927628cof:ConsumerBankingSegmentMember2019-12-310000927628cof:CommercialBankingSegmentMember2019-12-310000927628cof:CreditCardSegmen</w:t>
      </w:r>
      <w:r>
        <w:rPr>
          <w:rFonts w:eastAsia="Times New Roman"/>
          <w:vanish/>
        </w:rPr>
        <w:t>tMember2020-12-310000927628cof:ConsumerBankingSegmentMember2020-12-310000927628cof:CommercialBankingSegmentMember2020-12-310000927628us-gaap:LandMember2020-12-310000927628us-gaap:LandMember2019-12-310000927628us-gaap:BuildingAndBuildingImprovementsMember20</w:t>
      </w:r>
      <w:r>
        <w:rPr>
          <w:rFonts w:eastAsia="Times New Roman"/>
          <w:vanish/>
        </w:rPr>
        <w:t>20-12-310000927628us-gaap:BuildingAndBuildingImprovementsMember2019-12-310000927628cof:FurnitureAndEquipmentMember2020-12-310000927628cof:FurnitureAndEquipmentMember2019-12-310000927628us-gaap:SoftwareAndSoftwareDevelopmentCostsMember2020-12-310000927628us</w:t>
      </w:r>
      <w:r>
        <w:rPr>
          <w:rFonts w:eastAsia="Times New Roman"/>
          <w:vanish/>
        </w:rPr>
        <w:t>-gaap:SoftwareAndSoftwareDevelopmentCostsMember2019-12-310000927628us-gaap:ConstructionInProgressMember2020-12-310000927628us-gaap:ConstructionInProgressMember2019-12-310000927628us-gaap:AccountingStandardsUpdate201602Member2020-01-012020-12-310000927628us</w:t>
      </w:r>
      <w:r>
        <w:rPr>
          <w:rFonts w:eastAsia="Times New Roman"/>
          <w:vanish/>
        </w:rPr>
        <w:t>-gaap:AccountingStandardsUpdate201602Member2019-01-012019-12-310000927628us-gaap:FederalFundsPurchasedAndSecuritiesSoldUnderAgreementsToRepurchaseMember2020-12-310000927628us-gaap:FederalFundsPurchasedAndSecuritiesSoldUnderAgreementsToRepurchaseMember2019-</w:t>
      </w:r>
      <w:r>
        <w:rPr>
          <w:rFonts w:eastAsia="Times New Roman"/>
          <w:vanish/>
        </w:rPr>
        <w:t>12-310000927628us-gaap:FederalHomeLoanBankAdvancesMember2020-12-310000927628us-gaap:FederalHomeLoanBankAdvancesMember2019-12-310000927628us-gaap:SecuredDebtMembersrt:MinimumMember2020-12-310000927628us-gaap:SecuredDebtMembersrt:MaximumMember2020-12-3100009</w:t>
      </w:r>
      <w:r>
        <w:rPr>
          <w:rFonts w:eastAsia="Times New Roman"/>
          <w:vanish/>
        </w:rPr>
        <w:t>27628us-gaap:SecuredDebtMember2020-12-310000927628us-gaap:SecuredDebtMember2019-12-310000927628cof:FixedUnsecuredSeniorDebtMemberus-gaap:SeniorNotesMembersrt:MinimumMember2020-12-310000927628cof:FixedUnsecuredSeniorDebtMemberus-gaap:SeniorNotesMembersrt:Ma</w:t>
      </w:r>
      <w:r>
        <w:rPr>
          <w:rFonts w:eastAsia="Times New Roman"/>
          <w:vanish/>
        </w:rPr>
        <w:t>ximumMember2020-12-310000927628cof:FixedUnsecuredSeniorDebtMemberus-gaap:SeniorNotesMember2020-12-310000927628cof:FixedUnsecuredSeniorDebtMemberus-gaap:SeniorNotesMember2019-12-310000927628us-gaap:SeniorNotesMembercof:FloatingUnsecuredSeniorDebtMembersrt:M</w:t>
      </w:r>
      <w:r>
        <w:rPr>
          <w:rFonts w:eastAsia="Times New Roman"/>
          <w:vanish/>
        </w:rPr>
        <w:t>inimumMember2020-12-310000927628us-gaap:SeniorNotesMembersrt:MaximumMembercof:FloatingUnsecuredSeniorDebtMember2020-12-310000927628us-gaap:SeniorNotesMembercof:FloatingUnsecuredSeniorDebtMember2020-12-310000927628us-gaap:SeniorNotesMembercof:FloatingUnsecu</w:t>
      </w:r>
      <w:r>
        <w:rPr>
          <w:rFonts w:eastAsia="Times New Roman"/>
          <w:vanish/>
        </w:rPr>
        <w:t>redSeniorDebtMember2019-12-310000927628cof:UnsecuredSeniorDebtMemberus-gaap:SeniorNotesMember2020-12-310000927628cof:UnsecuredSeniorDebtMemberus-gaap:SeniorNotesMember2019-12-310000927628cof:FixedUnsecuredSubordinatedDebtMemberus-gaap:SubordinatedDebtMembe</w:t>
      </w:r>
      <w:r>
        <w:rPr>
          <w:rFonts w:eastAsia="Times New Roman"/>
          <w:vanish/>
        </w:rPr>
        <w:t>rsrt:MinimumMember2020-12-310000927628cof:FixedUnsecuredSubordinatedDebtMemberus-gaap:SubordinatedDebtMembersrt:MaximumMember2020-12-310000927628cof:FixedUnsecuredSubordinatedDebtMemberus-gaap:SubordinatedDebtMember2020-12-310000927628cof:FixedUnsecuredSub</w:t>
      </w:r>
      <w:r>
        <w:rPr>
          <w:rFonts w:eastAsia="Times New Roman"/>
          <w:vanish/>
        </w:rPr>
        <w:t>ordinatedDebtMemberus-gaap:SubordinatedDebtMember2019-12-310000927628cof:SeniorAndSubordinatedNotesMember2020-12-310000927628cof:SeniorAndSubordinatedNotesMember2019-12-310000927628us-gaap:CapitalLeaseObligationsMembersrt:MinimumMember2020-12-310000927628u</w:t>
      </w:r>
      <w:r>
        <w:rPr>
          <w:rFonts w:eastAsia="Times New Roman"/>
          <w:vanish/>
        </w:rPr>
        <w:t>s-gaap:CapitalLeaseObligationsMembersrt:MaximumMember2020-12-310000927628us-gaap:CapitalLeaseObligationsMember2020-12-310000927628us-gaap:CapitalLeaseObligationsMember2019-12-310000927628cof:FHLBAdvanceCapitalLeaseObligationandGPMHMember2020-12-31000092762</w:t>
      </w:r>
      <w:r>
        <w:rPr>
          <w:rFonts w:eastAsia="Times New Roman"/>
          <w:vanish/>
        </w:rPr>
        <w:t>8cof:FHLBAdvanceCapitalLeaseObligationandGPMHMember2019-12-310000927628currency:EUR2020-12-310000927628currency:EUR2019-12-310000927628cof:OtherborrowingsMember2020-12-310000927628us-gaap:DesignatedAsHedgingInstrumentMemberus-gaap:InterestRateContractMembe</w:t>
      </w:r>
      <w:r>
        <w:rPr>
          <w:rFonts w:eastAsia="Times New Roman"/>
          <w:vanish/>
        </w:rPr>
        <w:t>rus-gaap:FairValueHedgingMember2020-12-310000927628us-gaap:DesignatedAsHedgingInstrumentMemberus-gaap:InterestRateContractMemberus-gaap:FairValueHedgingMember2019-12-310000927628us-gaap:DesignatedAsHedgingInstrumentMemberus-gaap:CashFlowHedgingMemberus-gaa</w:t>
      </w:r>
      <w:r>
        <w:rPr>
          <w:rFonts w:eastAsia="Times New Roman"/>
          <w:vanish/>
        </w:rPr>
        <w:t>p:InterestRateContractMember2020-12-310000927628us-gaap:DesignatedAsHedgingInstrumentMemberus-gaap:CashFlowHedgingMemberus-gaap:InterestRateContractMember2019-12-310000927628us-gaap:DesignatedAsHedgingInstrumentMemberus-gaap:InterestRateContractMember2020-</w:t>
      </w:r>
      <w:r>
        <w:rPr>
          <w:rFonts w:eastAsia="Times New Roman"/>
          <w:vanish/>
        </w:rPr>
        <w:t>12-310000927628us-gaap:DesignatedAsHedgingInstrumentMemberus-gaap:InterestRateContractMember2019-12-310000927628us-gaap:ForeignExchangeContractMemberus-gaap:DesignatedAsHedgingInstrumentMemberus-gaap:FairValueHedgingMember2020-12-310000927628us-gaap:Foreig</w:t>
      </w:r>
      <w:r>
        <w:rPr>
          <w:rFonts w:eastAsia="Times New Roman"/>
          <w:vanish/>
        </w:rPr>
        <w:t>nExchangeContractMemberus-gaap:DesignatedAsHedgingInstrumentMemberus-gaap:FairValueHedgingMember2019-12-310000927628us-gaap:ForeignExchangeContractMemberus-gaap:DesignatedAsHedgingInstrumentMemberus-gaap:CashFlowHedgingMember2020-12-310000927628us-gaap:For</w:t>
      </w:r>
      <w:r>
        <w:rPr>
          <w:rFonts w:eastAsia="Times New Roman"/>
          <w:vanish/>
        </w:rPr>
        <w:t>eignExchangeContractMemberus-gaap:DesignatedAsHedgingInstrumentMemberus-gaap:CashFlowHedgingMember2019-12-310000927628us-gaap:ForeignExchangeContractMemberus-gaap:DesignatedAsHedgingInstrumentMemberus-gaap:NetInvestmentHedgingMember2020-12-310000927628us-g</w:t>
      </w:r>
      <w:r>
        <w:rPr>
          <w:rFonts w:eastAsia="Times New Roman"/>
          <w:vanish/>
        </w:rPr>
        <w:t>aap:ForeignExchangeContractMemberus-gaap:DesignatedAsHedgingInstrumentMemberus-gaap:NetInvestmentHedgingMember2019-12-310000927628us-gaap:ForeignExchangeContractMemberus-gaap:DesignatedAsHedgingInstrumentMember2020-12-310000927628us-gaap:ForeignExchangeCon</w:t>
      </w:r>
      <w:r>
        <w:rPr>
          <w:rFonts w:eastAsia="Times New Roman"/>
          <w:vanish/>
        </w:rPr>
        <w:t>tractMemberus-gaap:DesignatedAsHedgingInstrumentMember2019-12-310000927628us-gaap:DesignatedAsHedgingInstrumentMember2020-12-310000927628us-gaap:DesignatedAsHedgingInstrumentMember2019-12-310000927628cof:CustomerAccommodationMemberus-gaap:InterestRateContr</w:t>
      </w:r>
      <w:r>
        <w:rPr>
          <w:rFonts w:eastAsia="Times New Roman"/>
          <w:vanish/>
        </w:rPr>
        <w:t>actMemberus-gaap:NondesignatedMember2020-12-310000927628cof:CustomerAccommodationMemberus-gaap:InterestRateContractMemberus-gaap:NondesignatedMember2019-12-310000927628cof:CustomerAccommodationMemberus-gaap:NondesignatedMemberus-gaap:CommodityContractMembe</w:t>
      </w:r>
      <w:r>
        <w:rPr>
          <w:rFonts w:eastAsia="Times New Roman"/>
          <w:vanish/>
        </w:rPr>
        <w:t>r2020-12-310000927628cof:CustomerAccommodationMemberus-gaap:NondesignatedMemberus-gaap:CommodityContractMember2019-12-310000927628us-gaap:ForeignExchangeContractMembercof:CustomerAccommodationMemberus-gaap:NondesignatedMember2020-12-310000927628us-gaap:For</w:t>
      </w:r>
      <w:r>
        <w:rPr>
          <w:rFonts w:eastAsia="Times New Roman"/>
          <w:vanish/>
        </w:rPr>
        <w:t>eignExchangeContractMembercof:CustomerAccommodationMemberus-gaap:NondesignatedMember2019-12-310000927628cof:CustomerAccommodationMemberus-gaap:NondesignatedMember2020-12-310000927628cof:CustomerAccommodationMemberus-gaap:NondesignatedMember2019-12-31000092</w:t>
      </w:r>
      <w:r>
        <w:rPr>
          <w:rFonts w:eastAsia="Times New Roman"/>
          <w:vanish/>
        </w:rPr>
        <w:t>7628us-gaap:InterestRateContractMembercof:OtherInterestRateExposuresMemberus-gaap:NondesignatedMember2020-12-310000927628us-gaap:InterestRateContractMembercof:OtherInterestRateExposuresMemberus-gaap:NondesignatedMember2019-12-310000927628us-gaap:OtherContr</w:t>
      </w:r>
      <w:r>
        <w:rPr>
          <w:rFonts w:eastAsia="Times New Roman"/>
          <w:vanish/>
        </w:rPr>
        <w:t>actMemberus-gaap:NondesignatedMember2020-12-310000927628us-gaap:OtherContractMemberus-gaap:NondesignatedMember2019-12-310000927628us-gaap:NondesignatedMember2020-12-310000927628us-gaap:NondesignatedMember2019-12-310000927628us-gaap:AvailableforsaleSecuriti</w:t>
      </w:r>
      <w:r>
        <w:rPr>
          <w:rFonts w:eastAsia="Times New Roman"/>
          <w:vanish/>
        </w:rPr>
        <w:t>esMember2020-12-310000927628us-gaap:AvailableforsaleSecuritiesMember2019-12-310000927628us-gaap:InterestBearingDepositsMember2020-12-310000927628us-gaap:InterestBearingDepositsMember2019-12-310000927628cof:SecuritizedDebtObligationsMember2020-12-3100009276</w:t>
      </w:r>
      <w:r>
        <w:rPr>
          <w:rFonts w:eastAsia="Times New Roman"/>
          <w:vanish/>
        </w:rPr>
        <w:t>28cof:SecuritizedDebtObligationsMember2019-12-310000927628cof:SeniorAndSubordinatedNotesMember2020-12-310000927628cof:SeniorAndSubordinatedNotesMember2019-12-310000927628us-gaap:InterestRateContractMembercof:InterestincomeInvestmentsecuritiesMemberus-gaap:</w:t>
      </w:r>
      <w:r>
        <w:rPr>
          <w:rFonts w:eastAsia="Times New Roman"/>
          <w:vanish/>
        </w:rPr>
        <w:t>FairValueHedgingMember2020-01-012020-12-310000927628us-gaap:InterestRateContractMemberus-gaap:FairValueHedgingMembercof:InterestincomeLoansMember2020-01-012020-12-310000927628cof:InterestincomeOtherMemberus-gaap:InterestRateContractMemberus-gaap:FairValueH</w:t>
      </w:r>
      <w:r>
        <w:rPr>
          <w:rFonts w:eastAsia="Times New Roman"/>
          <w:vanish/>
        </w:rPr>
        <w:t>edgingMember2020-01-012020-12-310000927628cof:InterestexpenseDepositsMemberus-gaap:InterestRateContractMemberus-gaap:FairValueHedgingMember2020-01-012020-12-310000927628us-gaap:InterestRateContractMemberus-gaap:FairValueHedgingMembercof:InterestexpenseSecu</w:t>
      </w:r>
      <w:r>
        <w:rPr>
          <w:rFonts w:eastAsia="Times New Roman"/>
          <w:vanish/>
        </w:rPr>
        <w:t>ritizedDebtObligationMember2020-01-012020-12-310000927628us-gaap:InterestRateContractMembercof:InterestexpenseSeniorandSubordinatedDebtMemberus-gaap:FairValueHedgingMember2020-01-012020-12-310000927628us-gaap:InterestRateContractMembercof:NonInterestIncome</w:t>
      </w:r>
      <w:r>
        <w:rPr>
          <w:rFonts w:eastAsia="Times New Roman"/>
          <w:vanish/>
        </w:rPr>
        <w:t>OtherMemberus-gaap:FairValueHedgingMember2020-01-012020-12-310000927628cof:InterestincomeInvestmentsecuritiesMemberus-gaap:FairValueHedgingMember2020-01-012020-12-310000927628us-gaap:FairValueHedgingMembercof:InterestincomeLoansMember2020-01-012020-12-3100</w:t>
      </w:r>
      <w:r>
        <w:rPr>
          <w:rFonts w:eastAsia="Times New Roman"/>
          <w:vanish/>
        </w:rPr>
        <w:t>00927628cof:InterestincomeOtherMemberus-gaap:FairValueHedgingMember2020-01-012020-12-310000927628cof:InterestexpenseDepositsMemberus-gaap:FairValueHedgingMember2020-01-012020-12-310000927628us-gaap:FairValueHedgingMembercof:InterestexpenseSecuritizedDebtOb</w:t>
      </w:r>
      <w:r>
        <w:rPr>
          <w:rFonts w:eastAsia="Times New Roman"/>
          <w:vanish/>
        </w:rPr>
        <w:t>ligationMember2020-01-012020-12-310000927628cof:InterestexpenseSeniorandSubordinatedDebtMemberus-gaap:FairValueHedgingMember2020-01-012020-12-310000927628cof:NonInterestIncomeOtherMemberus-gaap:FairValueHedgingMember2020-01-012020-12-310000927628us-gaap:Ca</w:t>
      </w:r>
      <w:r>
        <w:rPr>
          <w:rFonts w:eastAsia="Times New Roman"/>
          <w:vanish/>
        </w:rPr>
        <w:t>shFlowHedgingMemberus-gaap:InterestRateContractMembercof:InterestincomeInvestmentsecuritiesMember2020-01-012020-12-310000927628us-gaap:CashFlowHedgingMemberus-gaap:InterestRateContractMembercof:InterestincomeLoansMember2020-01-012020-12-310000927628cof:Int</w:t>
      </w:r>
      <w:r>
        <w:rPr>
          <w:rFonts w:eastAsia="Times New Roman"/>
          <w:vanish/>
        </w:rPr>
        <w:t>erestincomeOtherMemberus-gaap:CashFlowHedgingMemberus-gaap:InterestRateContractMember2020-01-012020-12-310000927628cof:InterestexpenseDepositsMemberus-gaap:CashFlowHedgingMemberus-gaap:InterestRateContractMember2020-01-012020-12-310000927628us-gaap:CashFlo</w:t>
      </w:r>
      <w:r>
        <w:rPr>
          <w:rFonts w:eastAsia="Times New Roman"/>
          <w:vanish/>
        </w:rPr>
        <w:t>wHedgingMemberus-gaap:InterestRateContractMembercof:InterestexpenseSecuritizedDebtObligationMember2020-01-012020-12-310000927628us-gaap:CashFlowHedgingMemberus-gaap:InterestRateContractMembercof:InterestexpenseSeniorandSubordinatedDebtMember2020-01-012020-</w:t>
      </w:r>
      <w:r>
        <w:rPr>
          <w:rFonts w:eastAsia="Times New Roman"/>
          <w:vanish/>
        </w:rPr>
        <w:t>12-310000927628us-gaap:CashFlowHedgingMemberus-gaap:InterestRateContractMembercof:NonInterestIncomeOtherMember2020-01-012020-12-310000927628us-gaap:ForeignExchangeContractMemberus-gaap:CashFlowHedgingMembercof:InterestincomeInvestmentsecuritiesMember2020-0</w:t>
      </w:r>
      <w:r>
        <w:rPr>
          <w:rFonts w:eastAsia="Times New Roman"/>
          <w:vanish/>
        </w:rPr>
        <w:t>1-012020-12-310000927628us-gaap:ForeignExchangeContractMemberus-gaap:CashFlowHedgingMembercof:InterestincomeLoansMember2020-01-012020-12-310000927628us-gaap:ForeignExchangeContractMembercof:InterestincomeOtherMemberus-gaap:CashFlowHedgingMember2020-01-0120</w:t>
      </w:r>
      <w:r>
        <w:rPr>
          <w:rFonts w:eastAsia="Times New Roman"/>
          <w:vanish/>
        </w:rPr>
        <w:t>20-12-310000927628us-gaap:ForeignExchangeContractMembercof:InterestexpenseDepositsMemberus-gaap:CashFlowHedgingMember2020-01-012020-12-310000927628us-gaap:ForeignExchangeContractMemberus-gaap:CashFlowHedgingMembercof:InterestexpenseSecuritizedDebtObligatio</w:t>
      </w:r>
      <w:r>
        <w:rPr>
          <w:rFonts w:eastAsia="Times New Roman"/>
          <w:vanish/>
        </w:rPr>
        <w:t>nMember2020-01-012020-12-310000927628us-gaap:ForeignExchangeContractMemberus-gaap:CashFlowHedgingMembercof:InterestexpenseSeniorandSubordinatedDebtMember2020-01-012020-12-310000927628us-gaap:ForeignExchangeContractMemberus-gaap:CashFlowHedgingMembercof:Non</w:t>
      </w:r>
      <w:r>
        <w:rPr>
          <w:rFonts w:eastAsia="Times New Roman"/>
          <w:vanish/>
        </w:rPr>
        <w:t>InterestIncomeOtherMember2020-01-012020-12-310000927628us-gaap:CashFlowHedgingMembercof:InterestincomeInvestmentsecuritiesMember2020-01-012020-12-310000927628us-gaap:CashFlowHedgingMembercof:InterestincomeLoansMember2020-01-012020-12-310000927628cof:Intere</w:t>
      </w:r>
      <w:r>
        <w:rPr>
          <w:rFonts w:eastAsia="Times New Roman"/>
          <w:vanish/>
        </w:rPr>
        <w:t>stincomeOtherMemberus-gaap:CashFlowHedgingMember2020-01-012020-12-310000927628cof:InterestexpenseDepositsMemberus-gaap:CashFlowHedgingMember2020-01-012020-12-310000927628us-gaap:CashFlowHedgingMembercof:InterestexpenseSecuritizedDebtObligationMember2020-01</w:t>
      </w:r>
      <w:r>
        <w:rPr>
          <w:rFonts w:eastAsia="Times New Roman"/>
          <w:vanish/>
        </w:rPr>
        <w:t>-012020-12-310000927628us-gaap:CashFlowHedgingMembercof:InterestexpenseSeniorandSubordinatedDebtMember2020-01-012020-12-310000927628us-gaap:CashFlowHedgingMembercof:NonInterestIncomeOtherMember2020-01-012020-12-310000927628us-gaap:InterestRateContractMembe</w:t>
      </w:r>
      <w:r>
        <w:rPr>
          <w:rFonts w:eastAsia="Times New Roman"/>
          <w:vanish/>
        </w:rPr>
        <w:t>rcof:InterestincomeInvestmentsecuritiesMemberus-gaap:FairValueHedgingMember2019-01-012019-12-310000927628us-gaap:InterestRateContractMemberus-gaap:FairValueHedgingMembercof:InterestincomeLoansMember2019-01-012019-12-310000927628cof:InterestincomeOtherMembe</w:t>
      </w:r>
      <w:r>
        <w:rPr>
          <w:rFonts w:eastAsia="Times New Roman"/>
          <w:vanish/>
        </w:rPr>
        <w:t>rus-gaap:InterestRateContractMemberus-gaap:FairValueHedgingMember2019-01-012019-12-310000927628cof:InterestexpenseDepositsMemberus-gaap:InterestRateContractMemberus-gaap:FairValueHedgingMember2019-01-012019-12-310000927628us-gaap:InterestRateContractMember</w:t>
      </w:r>
      <w:r>
        <w:rPr>
          <w:rFonts w:eastAsia="Times New Roman"/>
          <w:vanish/>
        </w:rPr>
        <w:t>us-gaap:FairValueHedgingMembercof:InterestexpenseSecuritizedDebtObligationMember2019-01-012019-12-310000927628us-gaap:InterestRateContractMembercof:InterestexpenseSeniorandSubordinatedDebtMemberus-gaap:FairValueHedgingMember2019-01-012019-12-310000927628us</w:t>
      </w:r>
      <w:r>
        <w:rPr>
          <w:rFonts w:eastAsia="Times New Roman"/>
          <w:vanish/>
        </w:rPr>
        <w:t>-gaap:InterestRateContractMembercof:NonInterestIncomeOtherMemberus-gaap:FairValueHedgingMember2019-01-012019-12-310000927628cof:InterestincomeInvestmentsecuritiesMemberus-gaap:FairValueHedgingMember2019-01-012019-12-310000927628us-gaap:FairValueHedgingMemb</w:t>
      </w:r>
      <w:r>
        <w:rPr>
          <w:rFonts w:eastAsia="Times New Roman"/>
          <w:vanish/>
        </w:rPr>
        <w:t>ercof:InterestincomeLoansMember2019-01-012019-12-310000927628cof:InterestincomeOtherMemberus-gaap:FairValueHedgingMember2019-01-012019-12-310000927628cof:InterestexpenseDepositsMemberus-gaap:FairValueHedgingMember2019-01-012019-12-310000927628us-gaap:FairV</w:t>
      </w:r>
      <w:r>
        <w:rPr>
          <w:rFonts w:eastAsia="Times New Roman"/>
          <w:vanish/>
        </w:rPr>
        <w:t>alueHedgingMembercof:InterestexpenseSecuritizedDebtObligationMember2019-01-012019-12-310000927628cof:InterestexpenseSeniorandSubordinatedDebtMemberus-gaap:FairValueHedgingMember2019-01-012019-12-310000927628cof:NonInterestIncomeOtherMemberus-gaap:FairValue</w:t>
      </w:r>
      <w:r>
        <w:rPr>
          <w:rFonts w:eastAsia="Times New Roman"/>
          <w:vanish/>
        </w:rPr>
        <w:t>HedgingMember2019-01-012019-12-310000927628us-gaap:CashFlowHedgingMemberus-gaap:InterestRateContractMembercof:InterestincomeInvestmentsecuritiesMember2019-01-012019-12-310000927628us-gaap:CashFlowHedgingMemberus-gaap:InterestRateContractMembercof:Interesti</w:t>
      </w:r>
      <w:r>
        <w:rPr>
          <w:rFonts w:eastAsia="Times New Roman"/>
          <w:vanish/>
        </w:rPr>
        <w:t>ncomeLoansMember2019-01-012019-12-310000927628cof:InterestincomeOtherMemberus-gaap:CashFlowHedgingMemberus-gaap:InterestRateContractMember2019-01-012019-12-310000927628cof:InterestexpenseDepositsMemberus-gaap:CashFlowHedgingMemberus-gaap:InterestRateContra</w:t>
      </w:r>
      <w:r>
        <w:rPr>
          <w:rFonts w:eastAsia="Times New Roman"/>
          <w:vanish/>
        </w:rPr>
        <w:t>ctMember2019-01-012019-12-310000927628us-gaap:CashFlowHedgingMemberus-gaap:InterestRateContractMembercof:InterestexpenseSecuritizedDebtObligationMember2019-01-012019-12-310000927628us-gaap:CashFlowHedgingMemberus-gaap:InterestRateContractMembercof:Interest</w:t>
      </w:r>
      <w:r>
        <w:rPr>
          <w:rFonts w:eastAsia="Times New Roman"/>
          <w:vanish/>
        </w:rPr>
        <w:t>expenseSeniorandSubordinatedDebtMember2019-01-012019-12-310000927628us-gaap:CashFlowHedgingMemberus-gaap:InterestRateContractMembercof:NonInterestIncomeOtherMember2019-01-012019-12-310000927628us-gaap:ForeignExchangeContractMemberus-gaap:CashFlowHedgingMem</w:t>
      </w:r>
      <w:r>
        <w:rPr>
          <w:rFonts w:eastAsia="Times New Roman"/>
          <w:vanish/>
        </w:rPr>
        <w:t>bercof:InterestincomeInvestmentsecuritiesMember2019-01-012019-12-310000927628us-gaap:ForeignExchangeContractMemberus-gaap:CashFlowHedgingMembercof:InterestincomeLoansMember2019-01-012019-12-310000927628us-gaap:ForeignExchangeContractMembercof:Interestincom</w:t>
      </w:r>
      <w:r>
        <w:rPr>
          <w:rFonts w:eastAsia="Times New Roman"/>
          <w:vanish/>
        </w:rPr>
        <w:t>eOtherMemberus-gaap:CashFlowHedgingMember2019-01-012019-12-310000927628us-gaap:ForeignExchangeContractMembercof:InterestexpenseDepositsMemberus-gaap:CashFlowHedgingMember2019-01-012019-12-310000927628us-gaap:ForeignExchangeContractMemberus-gaap:CashFlowHed</w:t>
      </w:r>
      <w:r>
        <w:rPr>
          <w:rFonts w:eastAsia="Times New Roman"/>
          <w:vanish/>
        </w:rPr>
        <w:t>gingMembercof:InterestexpenseSecuritizedDebtObligationMember2019-01-012019-12-310000927628us-gaap:ForeignExchangeContractMemberus-gaap:CashFlowHedgingMembercof:InterestexpenseSeniorandSubordinatedDebtMember2019-01-012019-12-310000927628us-gaap:ForeignExcha</w:t>
      </w:r>
      <w:r>
        <w:rPr>
          <w:rFonts w:eastAsia="Times New Roman"/>
          <w:vanish/>
        </w:rPr>
        <w:t>ngeContractMemberus-gaap:CashFlowHedgingMembercof:NonInterestIncomeOtherMember2019-01-012019-12-310000927628us-gaap:CashFlowHedgingMembercof:InterestincomeInvestmentsecuritiesMember2019-01-012019-12-310000927628us-gaap:CashFlowHedgingMembercof:Interestinco</w:t>
      </w:r>
      <w:r>
        <w:rPr>
          <w:rFonts w:eastAsia="Times New Roman"/>
          <w:vanish/>
        </w:rPr>
        <w:t>meLoansMember2019-01-012019-12-310000927628cof:InterestincomeOtherMemberus-gaap:CashFlowHedgingMember2019-01-012019-12-310000927628cof:InterestexpenseDepositsMemberus-gaap:CashFlowHedgingMember2019-01-012019-12-310000927628us-gaap:CashFlowHedgingMembercof:</w:t>
      </w:r>
      <w:r>
        <w:rPr>
          <w:rFonts w:eastAsia="Times New Roman"/>
          <w:vanish/>
        </w:rPr>
        <w:t>InterestexpenseSecuritizedDebtObligationMember2019-01-012019-12-310000927628us-gaap:CashFlowHedgingMembercof:InterestexpenseSeniorandSubordinatedDebtMember2019-01-012019-12-310000927628us-gaap:CashFlowHedgingMembercof:NonInterestIncomeOtherMember2019-01-01</w:t>
      </w:r>
      <w:r>
        <w:rPr>
          <w:rFonts w:eastAsia="Times New Roman"/>
          <w:vanish/>
        </w:rPr>
        <w:t>2019-12-310000927628us-gaap:InterestRateContractMembercof:InterestincomeInvestmentsecuritiesMemberus-gaap:FairValueHedgingMember2018-01-012018-12-310000927628us-gaap:InterestRateContractMemberus-gaap:FairValueHedgingMembercof:InterestincomeLoansMember2018-</w:t>
      </w:r>
      <w:r>
        <w:rPr>
          <w:rFonts w:eastAsia="Times New Roman"/>
          <w:vanish/>
        </w:rPr>
        <w:t>01-012018-12-310000927628cof:InterestincomeOtherMemberus-gaap:InterestRateContractMemberus-gaap:FairValueHedgingMember2018-01-012018-12-310000927628cof:InterestexpenseDepositsMemberus-gaap:InterestRateContractMemberus-gaap:FairValueHedgingMember2018-01-012</w:t>
      </w:r>
      <w:r>
        <w:rPr>
          <w:rFonts w:eastAsia="Times New Roman"/>
          <w:vanish/>
        </w:rPr>
        <w:t>018-12-310000927628us-gaap:InterestRateContractMemberus-gaap:FairValueHedgingMembercof:InterestexpenseSecuritizedDebtObligationMember2018-01-012018-12-310000927628us-gaap:InterestRateContractMembercof:InterestexpenseSeniorandSubordinatedDebtMemberus-gaap:F</w:t>
      </w:r>
      <w:r>
        <w:rPr>
          <w:rFonts w:eastAsia="Times New Roman"/>
          <w:vanish/>
        </w:rPr>
        <w:t>airValueHedgingMember2018-01-012018-12-310000927628us-gaap:InterestRateContractMembercof:NonInterestIncomeOtherMemberus-gaap:FairValueHedgingMember2018-01-012018-12-310000927628cof:InterestincomeInvestmentsecuritiesMemberus-gaap:FairValueHedgingMember2018-</w:t>
      </w:r>
      <w:r>
        <w:rPr>
          <w:rFonts w:eastAsia="Times New Roman"/>
          <w:vanish/>
        </w:rPr>
        <w:t>01-012018-12-310000927628us-gaap:FairValueHedgingMembercof:InterestincomeLoansMember2018-01-012018-12-310000927628cof:InterestincomeOtherMemberus-gaap:FairValueHedgingMember2018-01-012018-12-310000927628cof:InterestexpenseDepositsMemberus-gaap:FairValueHed</w:t>
      </w:r>
      <w:r>
        <w:rPr>
          <w:rFonts w:eastAsia="Times New Roman"/>
          <w:vanish/>
        </w:rPr>
        <w:t>gingMember2018-01-012018-12-310000927628us-gaap:FairValueHedgingMembercof:InterestexpenseSecuritizedDebtObligationMember2018-01-012018-12-310000927628cof:InterestexpenseSeniorandSubordinatedDebtMemberus-gaap:FairValueHedgingMember2018-01-012018-12-31000092</w:t>
      </w:r>
      <w:r>
        <w:rPr>
          <w:rFonts w:eastAsia="Times New Roman"/>
          <w:vanish/>
        </w:rPr>
        <w:t>7628cof:NonInterestIncomeOtherMemberus-gaap:FairValueHedgingMember2018-01-012018-12-310000927628us-gaap:CashFlowHedgingMemberus-gaap:InterestRateContractMembercof:InterestincomeInvestmentsecuritiesMember2018-01-012018-12-310000927628us-gaap:CashFlowHedging</w:t>
      </w:r>
      <w:r>
        <w:rPr>
          <w:rFonts w:eastAsia="Times New Roman"/>
          <w:vanish/>
        </w:rPr>
        <w:t>Memberus-gaap:InterestRateContractMembercof:InterestincomeLoansMember2018-01-012018-12-310000927628cof:InterestincomeOtherMemberus-gaap:CashFlowHedgingMemberus-gaap:InterestRateContractMember2018-01-012018-12-310000927628cof:InterestexpenseDepositsMemberus</w:t>
      </w:r>
      <w:r>
        <w:rPr>
          <w:rFonts w:eastAsia="Times New Roman"/>
          <w:vanish/>
        </w:rPr>
        <w:t>-gaap:CashFlowHedgingMemberus-gaap:InterestRateContractMember2018-01-012018-12-310000927628us-gaap:CashFlowHedgingMemberus-gaap:InterestRateContractMembercof:InterestexpenseSecuritizedDebtObligationMember2018-01-012018-12-310000927628us-gaap:CashFlowHedgin</w:t>
      </w:r>
      <w:r>
        <w:rPr>
          <w:rFonts w:eastAsia="Times New Roman"/>
          <w:vanish/>
        </w:rPr>
        <w:t>gMemberus-gaap:InterestRateContractMembercof:InterestexpenseSeniorandSubordinatedDebtMember2018-01-012018-12-310000927628us-gaap:CashFlowHedgingMemberus-gaap:InterestRateContractMembercof:NonInterestIncomeOtherMember2018-01-012018-12-310000927628us-gaap:Fo</w:t>
      </w:r>
      <w:r>
        <w:rPr>
          <w:rFonts w:eastAsia="Times New Roman"/>
          <w:vanish/>
        </w:rPr>
        <w:t>reignExchangeContractMemberus-gaap:CashFlowHedgingMembercof:InterestincomeInvestmentsecuritiesMember2018-01-012018-12-310000927628us-gaap:ForeignExchangeContractMemberus-gaap:CashFlowHedgingMembercof:InterestincomeLoansMember2018-01-012018-12-310000927628u</w:t>
      </w:r>
      <w:r>
        <w:rPr>
          <w:rFonts w:eastAsia="Times New Roman"/>
          <w:vanish/>
        </w:rPr>
        <w:t>s-gaap:ForeignExchangeContractMembercof:InterestincomeOtherMemberus-gaap:CashFlowHedgingMember2018-01-012018-12-310000927628us-gaap:ForeignExchangeContractMembercof:InterestexpenseDepositsMemberus-gaap:CashFlowHedgingMember2018-01-012018-12-310000927628us-</w:t>
      </w:r>
      <w:r>
        <w:rPr>
          <w:rFonts w:eastAsia="Times New Roman"/>
          <w:vanish/>
        </w:rPr>
        <w:t>gaap:ForeignExchangeContractMemberus-gaap:CashFlowHedgingMembercof:InterestexpenseSecuritizedDebtObligationMember2018-01-012018-12-310000927628us-gaap:ForeignExchangeContractMemberus-gaap:CashFlowHedgingMembercof:InterestexpenseSeniorandSubordinatedDebtMem</w:t>
      </w:r>
      <w:r>
        <w:rPr>
          <w:rFonts w:eastAsia="Times New Roman"/>
          <w:vanish/>
        </w:rPr>
        <w:t>ber2018-01-012018-12-310000927628us-gaap:ForeignExchangeContractMemberus-gaap:CashFlowHedgingMembercof:NonInterestIncomeOtherMember2018-01-012018-12-310000927628us-gaap:CashFlowHedgingMembercof:InterestincomeInvestmentsecuritiesMember2018-01-012018-12-3100</w:t>
      </w:r>
      <w:r>
        <w:rPr>
          <w:rFonts w:eastAsia="Times New Roman"/>
          <w:vanish/>
        </w:rPr>
        <w:t>00927628us-gaap:CashFlowHedgingMembercof:InterestincomeLoansMember2018-01-012018-12-310000927628cof:InterestincomeOtherMemberus-gaap:CashFlowHedgingMember2018-01-012018-12-310000927628cof:InterestexpenseDepositsMemberus-gaap:CashFlowHedgingMember2018-01-01</w:t>
      </w:r>
      <w:r>
        <w:rPr>
          <w:rFonts w:eastAsia="Times New Roman"/>
          <w:vanish/>
        </w:rPr>
        <w:t>2018-12-310000927628us-gaap:CashFlowHedgingMembercof:InterestexpenseSecuritizedDebtObligationMember2018-01-012018-12-310000927628us-gaap:CashFlowHedgingMembercof:InterestexpenseSeniorandSubordinatedDebtMember2018-01-012018-12-310000927628us-gaap:CashFlowHe</w:t>
      </w:r>
      <w:r>
        <w:rPr>
          <w:rFonts w:eastAsia="Times New Roman"/>
          <w:vanish/>
        </w:rPr>
        <w:t>dgingMembercof:NonInterestIncomeOtherMember2018-01-012018-12-310000927628cof:NonInterestIncomeOtherMember2020-01-012020-12-310000927628cof:NonInterestIncomeOtherMember2019-01-012019-12-310000927628cof:NonInterestIncomeOtherMember2018-01-012018-12-310000927</w:t>
      </w:r>
      <w:r>
        <w:rPr>
          <w:rFonts w:eastAsia="Times New Roman"/>
          <w:vanish/>
        </w:rPr>
        <w:t>628cof:CustomerAccommodationMembercof:OtherNonInterestIncomeMemberus-gaap:InterestRateContractMember2020-01-012020-12-310000927628cof:CustomerAccommodationMembercof:OtherNonInterestIncomeMemberus-gaap:InterestRateContractMember2019-01-012019-12-31000092762</w:t>
      </w:r>
      <w:r>
        <w:rPr>
          <w:rFonts w:eastAsia="Times New Roman"/>
          <w:vanish/>
        </w:rPr>
        <w:t>8cof:CustomerAccommodationMembercof:OtherNonInterestIncomeMemberus-gaap:InterestRateContractMember2018-01-012018-12-310000927628cof:CustomerAccommodationMembercof:OtherNonInterestIncomeMemberus-gaap:CommodityContractMember2020-01-012020-12-310000927628cof:</w:t>
      </w:r>
      <w:r>
        <w:rPr>
          <w:rFonts w:eastAsia="Times New Roman"/>
          <w:vanish/>
        </w:rPr>
        <w:t>CustomerAccommodationMembercof:OtherNonInterestIncomeMemberus-gaap:CommodityContractMember2019-01-012019-12-310000927628cof:CustomerAccommodationMembercof:OtherNonInterestIncomeMemberus-gaap:CommodityContractMember2018-01-012018-12-310000927628us-gaap:Fore</w:t>
      </w:r>
      <w:r>
        <w:rPr>
          <w:rFonts w:eastAsia="Times New Roman"/>
          <w:vanish/>
        </w:rPr>
        <w:t>ignExchangeContractMembercof:CustomerAccommodationMembercof:OtherNonInterestIncomeMember2020-01-012020-12-310000927628us-gaap:ForeignExchangeContractMembercof:CustomerAccommodationMembercof:OtherNonInterestIncomeMember2019-01-012019-12-310000927628us-gaap:</w:t>
      </w:r>
      <w:r>
        <w:rPr>
          <w:rFonts w:eastAsia="Times New Roman"/>
          <w:vanish/>
        </w:rPr>
        <w:t>ForeignExchangeContractMembercof:CustomerAccommodationMembercof:OtherNonInterestIncomeMember2018-01-012018-12-310000927628cof:OtherNonInterestIncomeMemberus-gaap:InterestRateContractMember2020-01-012020-12-310000927628cof:OtherNonInterestIncomeMemberus-gaa</w:t>
      </w:r>
      <w:r>
        <w:rPr>
          <w:rFonts w:eastAsia="Times New Roman"/>
          <w:vanish/>
        </w:rPr>
        <w:t>p:InterestRateContractMember2019-01-012019-12-310000927628cof:OtherNonInterestIncomeMemberus-gaap:InterestRateContractMember2018-01-012018-12-310000927628cof:OtherNonInterestIncomeMemberus-gaap:InterestRateContractMembercof:OtherInterestRateExposuresMember</w:t>
      </w:r>
      <w:r>
        <w:rPr>
          <w:rFonts w:eastAsia="Times New Roman"/>
          <w:vanish/>
        </w:rPr>
        <w:t>2020-01-012020-12-310000927628cof:OtherNonInterestIncomeMemberus-gaap:InterestRateContractMembercof:OtherInterestRateExposuresMember2019-01-012019-12-310000927628cof:OtherNonInterestIncomeMemberus-gaap:InterestRateContractMembercof:OtherInterestRateExposur</w:t>
      </w:r>
      <w:r>
        <w:rPr>
          <w:rFonts w:eastAsia="Times New Roman"/>
          <w:vanish/>
        </w:rPr>
        <w:t>esMember2018-01-012018-12-310000927628cof:OtherNonInterestIncomeMemberus-gaap:OtherContractMember2020-01-012020-12-310000927628cof:OtherNonInterestIncomeMemberus-gaap:OtherContractMember2019-01-012019-12-310000927628cof:OtherNonInterestIncomeMemberus-gaap:</w:t>
      </w:r>
      <w:r>
        <w:rPr>
          <w:rFonts w:eastAsia="Times New Roman"/>
          <w:vanish/>
        </w:rPr>
        <w:t>OtherContractMember2018-01-012018-12-310000927628cof:OtherNonInterestIncomeMember2020-01-012020-12-310000927628cof:OtherNonInterestIncomeMember2019-01-012019-12-310000927628cof:OtherNonInterestIncomeMember2018-01-012018-12-310000927628us-gaap:SeriesBPrefer</w:t>
      </w:r>
      <w:r>
        <w:rPr>
          <w:rFonts w:eastAsia="Times New Roman"/>
          <w:vanish/>
        </w:rPr>
        <w:t>redStockMember2020-01-012020-12-310000927628us-gaap:SeriesBPreferredStockMember2020-12-310000927628us-gaap:SeriesBPreferredStockMember2019-12-310000927628us-gaap:SeriesEPreferredStockMember2020-01-012020-12-310000927628us-gaap:SeriesEPreferredStockMember20</w:t>
      </w:r>
      <w:r>
        <w:rPr>
          <w:rFonts w:eastAsia="Times New Roman"/>
          <w:vanish/>
        </w:rPr>
        <w:t>20-12-310000927628us-gaap:SeriesEPreferredStockMember2019-12-310000927628us-gaap:SeriesFPreferredStockMember2020-01-012020-12-310000927628us-gaap:SeriesFPreferredStockMember2020-12-310000927628us-gaap:SeriesFPreferredStockMember2019-12-310000927628us-gaap:</w:t>
      </w:r>
      <w:r>
        <w:rPr>
          <w:rFonts w:eastAsia="Times New Roman"/>
          <w:vanish/>
        </w:rPr>
        <w:t>SeriesGPreferredStockMember2020-12-310000927628us-gaap:SeriesGPreferredStockMember2019-12-310000927628us-gaap:SeriesHPreferredStockMember2020-12-310000927628us-gaap:SeriesHPreferredStockMember2019-12-310000927628cof:SeriesIPreferredStockMember2020-12-31000</w:t>
      </w:r>
      <w:r>
        <w:rPr>
          <w:rFonts w:eastAsia="Times New Roman"/>
          <w:vanish/>
        </w:rPr>
        <w:t>0927628cof:SeriesIPreferredStockMember2019-12-310000927628cof:SeriesJPreferredStockMember2020-12-310000927628cof:SeriesJPreferredStockMember2019-12-310000927628cof:SeriesKPreferredStockMember2020-01-012020-12-310000927628cof:SeriesKPreferredStockMember2020</w:t>
      </w:r>
      <w:r>
        <w:rPr>
          <w:rFonts w:eastAsia="Times New Roman"/>
          <w:vanish/>
        </w:rPr>
        <w:t>-12-310000927628cof:SeriesKPreferredStockMember2019-12-310000927628us-gaap:AvailableforsaleSecuritiesMemberus-gaap:AccumulatedNetUnrealizedInvestmentGainLossMember2017-12-310000927628us-gaap:AccumulatedNetGainLossFromDesignatedOrQualifyingCashFlowHedgesMem</w:t>
      </w:r>
      <w:r>
        <w:rPr>
          <w:rFonts w:eastAsia="Times New Roman"/>
          <w:vanish/>
        </w:rPr>
        <w:t>ber2017-12-310000927628us-gaap:AccumulatedTranslationAdjustmentMember2017-12-310000927628us-gaap:AccumulatedNetUnrealizedInvestmentGainLossMemberus-gaap:HeldtomaturitySecuritiesMember2017-12-310000927628cof:AccumulatedOtherComprehensiveIncomeLossOtherCompo</w:t>
      </w:r>
      <w:r>
        <w:rPr>
          <w:rFonts w:eastAsia="Times New Roman"/>
          <w:vanish/>
        </w:rPr>
        <w:t>nentMember2017-12-310000927628us-gaap:AvailableforsaleSecuritiesMembersrt:CumulativeEffectPeriodOfAdoptionAdjustmentMemberus-gaap:AccumulatedNetUnrealizedInvestmentGainLossMember2017-12-310000927628srt:CumulativeEffectPeriodOfAdoptionAdjustmentMemberus-gaa</w:t>
      </w:r>
      <w:r>
        <w:rPr>
          <w:rFonts w:eastAsia="Times New Roman"/>
          <w:vanish/>
        </w:rPr>
        <w:t>p:AccumulatedNetGainLossFromDesignatedOrQualifyingCashFlowHedgesMember2017-12-310000927628us-gaap:AccumulatedTranslationAdjustmentMembersrt:CumulativeEffectPeriodOfAdoptionAdjustmentMember2017-12-310000927628srt:CumulativeEffectPeriodOfAdoptionAdjustmentMe</w:t>
      </w:r>
      <w:r>
        <w:rPr>
          <w:rFonts w:eastAsia="Times New Roman"/>
          <w:vanish/>
        </w:rPr>
        <w:t>mberus-gaap:AccumulatedNetUnrealizedInvestmentGainLossMemberus-gaap:HeldtomaturitySecuritiesMember2017-12-310000927628cof:AccumulatedOtherComprehensiveIncomeLossOtherComponentMembersrt:CumulativeEffectPeriodOfAdoptionAdjustmentMember2017-12-310000927628us-</w:t>
      </w:r>
      <w:r>
        <w:rPr>
          <w:rFonts w:eastAsia="Times New Roman"/>
          <w:vanish/>
        </w:rPr>
        <w:t>gaap:AvailableforsaleSecuritiesMemberus-gaap:AccumulatedNetUnrealizedInvestmentGainLossMemberus-gaap:AccountingStandardsUpdate201712Member2018-03-310000927628us-gaap:AccumulatedNetGainLossFromDesignatedOrQualifyingCashFlowHedgesMemberus-gaap:AccountingStan</w:t>
      </w:r>
      <w:r>
        <w:rPr>
          <w:rFonts w:eastAsia="Times New Roman"/>
          <w:vanish/>
        </w:rPr>
        <w:t>dardsUpdate201712Member2018-03-310000927628us-gaap:AccumulatedTranslationAdjustmentMemberus-gaap:AccountingStandardsUpdate201712Member2018-03-310000927628us-gaap:AccumulatedNetUnrealizedInvestmentGainLossMemberus-gaap:AccountingStandardsUpdate201712Memberu</w:t>
      </w:r>
      <w:r>
        <w:rPr>
          <w:rFonts w:eastAsia="Times New Roman"/>
          <w:vanish/>
        </w:rPr>
        <w:t>s-gaap:HeldtomaturitySecuritiesMember2018-03-310000927628cof:AccumulatedOtherComprehensiveIncomeLossOtherComponentMemberus-gaap:AccountingStandardsUpdate201712Member2018-03-310000927628us-gaap:AccountingStandardsUpdate201712Member2018-03-310000927628us-gaa</w:t>
      </w:r>
      <w:r>
        <w:rPr>
          <w:rFonts w:eastAsia="Times New Roman"/>
          <w:vanish/>
        </w:rPr>
        <w:t>p:AvailableforsaleSecuritiesMemberus-gaap:AccumulatedNetUnrealizedInvestmentGainLossMember2018-01-012018-12-310000927628us-gaap:AccumulatedNetGainLossFromDesignatedOrQualifyingCashFlowHedgesMember2018-01-012018-12-310000927628us-gaap:AccumulatedTranslation</w:t>
      </w:r>
      <w:r>
        <w:rPr>
          <w:rFonts w:eastAsia="Times New Roman"/>
          <w:vanish/>
        </w:rPr>
        <w:t>AdjustmentMember2018-01-012018-12-310000927628us-gaap:AccumulatedNetUnrealizedInvestmentGainLossMemberus-gaap:HeldtomaturitySecuritiesMember2018-01-012018-12-310000927628cof:AccumulatedOtherComprehensiveIncomeLossOtherComponentMember2018-01-012018-12-31000</w:t>
      </w:r>
      <w:r>
        <w:rPr>
          <w:rFonts w:eastAsia="Times New Roman"/>
          <w:vanish/>
        </w:rPr>
        <w:t>0927628us-gaap:AvailableforsaleSecuritiesMemberus-gaap:AccumulatedNetUnrealizedInvestmentGainLossMember2018-12-310000927628us-gaap:AccumulatedNetGainLossFromDesignatedOrQualifyingCashFlowHedgesMember2018-12-310000927628us-gaap:AccumulatedTranslationAdjustm</w:t>
      </w:r>
      <w:r>
        <w:rPr>
          <w:rFonts w:eastAsia="Times New Roman"/>
          <w:vanish/>
        </w:rPr>
        <w:t>entMember2018-12-310000927628us-gaap:AccumulatedNetUnrealizedInvestmentGainLossMemberus-gaap:HeldtomaturitySecuritiesMember2018-12-310000927628cof:AccumulatedOtherComprehensiveIncomeLossOtherComponentMember2018-12-310000927628us-gaap:AvailableforsaleSecuri</w:t>
      </w:r>
      <w:r>
        <w:rPr>
          <w:rFonts w:eastAsia="Times New Roman"/>
          <w:vanish/>
        </w:rPr>
        <w:t>tiesMemberus-gaap:AccumulatedNetUnrealizedInvestmentGainLossMember2019-01-012019-12-310000927628us-gaap:AccumulatedNetGainLossFromDesignatedOrQualifyingCashFlowHedgesMember2019-01-012019-12-310000927628us-gaap:AccumulatedTranslationAdjustmentMember2019-01-</w:t>
      </w:r>
      <w:r>
        <w:rPr>
          <w:rFonts w:eastAsia="Times New Roman"/>
          <w:vanish/>
        </w:rPr>
        <w:t>012019-12-310000927628us-gaap:AccumulatedNetUnrealizedInvestmentGainLossMemberus-gaap:HeldtomaturitySecuritiesMember2019-01-012019-12-310000927628cof:AccumulatedOtherComprehensiveIncomeLossOtherComponentMember2019-01-012019-12-310000927628us-gaap:Available</w:t>
      </w:r>
      <w:r>
        <w:rPr>
          <w:rFonts w:eastAsia="Times New Roman"/>
          <w:vanish/>
        </w:rPr>
        <w:t>forsaleSecuritiesMemberus-gaap:AccumulatedNetUnrealizedInvestmentGainLossMember2019-12-310000927628us-gaap:AccumulatedNetGainLossFromDesignatedOrQualifyingCashFlowHedgesMember2019-12-310000927628us-gaap:AccumulatedTranslationAdjustmentMember2019-12-3100009</w:t>
      </w:r>
      <w:r>
        <w:rPr>
          <w:rFonts w:eastAsia="Times New Roman"/>
          <w:vanish/>
        </w:rPr>
        <w:t>27628us-gaap:AccumulatedNetUnrealizedInvestmentGainLossMemberus-gaap:HeldtomaturitySecuritiesMember2019-12-310000927628cof:AccumulatedOtherComprehensiveIncomeLossOtherComponentMember2019-12-310000927628us-gaap:AvailableforsaleSecuritiesMembersrt:Cumulative</w:t>
      </w:r>
      <w:r>
        <w:rPr>
          <w:rFonts w:eastAsia="Times New Roman"/>
          <w:vanish/>
        </w:rPr>
        <w:t>EffectPeriodOfAdoptionAdjustmentMemberus-gaap:AccumulatedNetUnrealizedInvestmentGainLossMember2019-12-310000927628srt:CumulativeEffectPeriodOfAdoptionAdjustmentMemberus-gaap:AccumulatedNetGainLossFromDesignatedOrQualifyingCashFlowHedgesMember2019-12-310000</w:t>
      </w:r>
      <w:r>
        <w:rPr>
          <w:rFonts w:eastAsia="Times New Roman"/>
          <w:vanish/>
        </w:rPr>
        <w:t>927628us-gaap:AccumulatedTranslationAdjustmentMembersrt:CumulativeEffectPeriodOfAdoptionAdjustmentMember2019-12-310000927628srt:CumulativeEffectPeriodOfAdoptionAdjustmentMemberus-gaap:AccumulatedNetUnrealizedInvestmentGainLossMemberus-gaap:HeldtomaturitySe</w:t>
      </w:r>
      <w:r>
        <w:rPr>
          <w:rFonts w:eastAsia="Times New Roman"/>
          <w:vanish/>
        </w:rPr>
        <w:t>curitiesMember2019-12-310000927628cof:AccumulatedOtherComprehensiveIncomeLossOtherComponentMembersrt:CumulativeEffectPeriodOfAdoptionAdjustmentMember2019-12-310000927628us-gaap:AvailableforsaleSecuritiesMemberus-gaap:AccumulatedNetUnrealizedInvestmentGainL</w:t>
      </w:r>
      <w:r>
        <w:rPr>
          <w:rFonts w:eastAsia="Times New Roman"/>
          <w:vanish/>
        </w:rPr>
        <w:t>ossMember2020-01-012020-12-310000927628us-gaap:AccumulatedNetGainLossFromDesignatedOrQualifyingCashFlowHedgesMember2020-01-012020-12-310000927628us-gaap:AccumulatedTranslationAdjustmentMember2020-01-012020-12-310000927628us-gaap:AccumulatedNetUnrealizedInv</w:t>
      </w:r>
      <w:r>
        <w:rPr>
          <w:rFonts w:eastAsia="Times New Roman"/>
          <w:vanish/>
        </w:rPr>
        <w:t>estmentGainLossMemberus-gaap:HeldtomaturitySecuritiesMember2020-01-012020-12-310000927628cof:AccumulatedOtherComprehensiveIncomeLossOtherComponentMember2020-01-012020-12-310000927628us-gaap:AvailableforsaleSecuritiesMemberus-gaap:AccumulatedNetUnrealizedIn</w:t>
      </w:r>
      <w:r>
        <w:rPr>
          <w:rFonts w:eastAsia="Times New Roman"/>
          <w:vanish/>
        </w:rPr>
        <w:t>vestmentGainLossMember2020-12-310000927628us-gaap:AccumulatedNetGainLossFromDesignatedOrQualifyingCashFlowHedgesMember2020-12-310000927628us-gaap:AccumulatedTranslationAdjustmentMember2020-12-310000927628us-gaap:AccumulatedNetUnrealizedInvestmentGainLossMe</w:t>
      </w:r>
      <w:r>
        <w:rPr>
          <w:rFonts w:eastAsia="Times New Roman"/>
          <w:vanish/>
        </w:rPr>
        <w:t>mberus-gaap:HeldtomaturitySecuritiesMember2020-12-310000927628cof:AccumulatedOtherComprehensiveIncomeLossOtherComponentMember2020-12-310000927628us-gaap:NetInvestmentHedgingMember2020-01-012020-12-310000927628us-gaap:NetInvestmentHedgingMember2019-01-01201</w:t>
      </w:r>
      <w:r>
        <w:rPr>
          <w:rFonts w:eastAsia="Times New Roman"/>
          <w:vanish/>
        </w:rPr>
        <w:t>9-12-310000927628us-gaap:NetInvestmentHedgingMember2018-01-012018-12-310000927628us-gaap:AccumulatedNetUnrealizedInvestmentGainLossMemberus-gaap:AccountingStandardsUpdate201712Member2018-03-310000927628us-gaap:AvailableforsaleSecuritiesMemberus-gaap:Reclas</w:t>
      </w:r>
      <w:r>
        <w:rPr>
          <w:rFonts w:eastAsia="Times New Roman"/>
          <w:vanish/>
        </w:rPr>
        <w:t>sificationOutOfAccumulatedOtherComprehensiveIncomeMemberus-gaap:AccumulatedNetUnrealizedInvestmentGainLossMember2020-01-012020-12-310000927628us-gaap:AvailableforsaleSecuritiesMemberus-gaap:ReclassificationOutOfAccumulatedOtherComprehensiveIncomeMemberus-g</w:t>
      </w:r>
      <w:r>
        <w:rPr>
          <w:rFonts w:eastAsia="Times New Roman"/>
          <w:vanish/>
        </w:rPr>
        <w:t>aap:AccumulatedNetUnrealizedInvestmentGainLossMember2019-01-012019-12-310000927628us-gaap:AvailableforsaleSecuritiesMemberus-gaap:ReclassificationOutOfAccumulatedOtherComprehensiveIncomeMemberus-gaap:AccumulatedNetUnrealizedInvestmentGainLossMember2018-01-</w:t>
      </w:r>
      <w:r>
        <w:rPr>
          <w:rFonts w:eastAsia="Times New Roman"/>
          <w:vanish/>
        </w:rPr>
        <w:t>012018-12-310000927628us-gaap:AccumulatedNetGainLossFromDesignatedOrQualifyingCashFlowHedgesMemberus-gaap:InterestRateContractMemberus-gaap:ReclassificationOutOfAccumulatedOtherComprehensiveIncomeMember2020-01-012020-12-310000927628us-gaap:AccumulatedNetGa</w:t>
      </w:r>
      <w:r>
        <w:rPr>
          <w:rFonts w:eastAsia="Times New Roman"/>
          <w:vanish/>
        </w:rPr>
        <w:t>inLossFromDesignatedOrQualifyingCashFlowHedgesMemberus-gaap:InterestRateContractMemberus-gaap:ReclassificationOutOfAccumulatedOtherComprehensiveIncomeMember2019-01-012019-12-310000927628us-gaap:AccumulatedNetGainLossFromDesignatedOrQualifyingCashFlowHedges</w:t>
      </w:r>
      <w:r>
        <w:rPr>
          <w:rFonts w:eastAsia="Times New Roman"/>
          <w:vanish/>
        </w:rPr>
        <w:t>Memberus-gaap:InterestRateContractMemberus-gaap:ReclassificationOutOfAccumulatedOtherComprehensiveIncomeMember2018-01-012018-12-310000927628us-gaap:ForeignExchangeContractMemberus-gaap:AccumulatedNetGainLossFromDesignatedOrQualifyingCashFlowHedgesMemberus-</w:t>
      </w:r>
      <w:r>
        <w:rPr>
          <w:rFonts w:eastAsia="Times New Roman"/>
          <w:vanish/>
        </w:rPr>
        <w:t>gaap:ReclassificationOutOfAccumulatedOtherComprehensiveIncomeMember2020-01-012020-12-310000927628us-gaap:ForeignExchangeContractMemberus-gaap:AccumulatedNetGainLossFromDesignatedOrQualifyingCashFlowHedgesMemberus-gaap:ReclassificationOutOfAccumulatedOtherC</w:t>
      </w:r>
      <w:r>
        <w:rPr>
          <w:rFonts w:eastAsia="Times New Roman"/>
          <w:vanish/>
        </w:rPr>
        <w:t>omprehensiveIncomeMember2019-01-012019-12-310000927628us-gaap:ForeignExchangeContractMemberus-gaap:AccumulatedNetGainLossFromDesignatedOrQualifyingCashFlowHedgesMemberus-gaap:ReclassificationOutOfAccumulatedOtherComprehensiveIncomeMember2018-01-012018-12-3</w:t>
      </w:r>
      <w:r>
        <w:rPr>
          <w:rFonts w:eastAsia="Times New Roman"/>
          <w:vanish/>
        </w:rPr>
        <w:t>10000927628us-gaap:ReclassificationOutOfAccumulatedOtherComprehensiveIncomeMemberus-gaap:AccumulatedNetUnrealizedInvestmentGainLossMemberus-gaap:HeldtomaturitySecuritiesMember2020-01-012020-12-310000927628us-gaap:ReclassificationOutOfAccumulatedOtherCompre</w:t>
      </w:r>
      <w:r>
        <w:rPr>
          <w:rFonts w:eastAsia="Times New Roman"/>
          <w:vanish/>
        </w:rPr>
        <w:t>hensiveIncomeMemberus-gaap:AccumulatedNetUnrealizedInvestmentGainLossMemberus-gaap:HeldtomaturitySecuritiesMember2019-01-012019-12-310000927628us-gaap:ReclassificationOutOfAccumulatedOtherComprehensiveIncomeMemberus-gaap:AccumulatedNetUnrealizedInvestmentG</w:t>
      </w:r>
      <w:r>
        <w:rPr>
          <w:rFonts w:eastAsia="Times New Roman"/>
          <w:vanish/>
        </w:rPr>
        <w:t>ainLossMemberus-gaap:HeldtomaturitySecuritiesMember2018-01-012018-12-310000927628cof:AccumulatedOtherComprehensiveIncomeLossOtherComponentMemberus-gaap:ReclassificationOutOfAccumulatedOtherComprehensiveIncomeMember2020-01-012020-12-310000927628cof:Accumula</w:t>
      </w:r>
      <w:r>
        <w:rPr>
          <w:rFonts w:eastAsia="Times New Roman"/>
          <w:vanish/>
        </w:rPr>
        <w:t>tedOtherComprehensiveIncomeLossOtherComponentMemberus-gaap:ReclassificationOutOfAccumulatedOtherComprehensiveIncomeMember2019-01-012019-12-310000927628cof:AccumulatedOtherComprehensiveIncomeLossOtherComponentMemberus-gaap:ReclassificationOutOfAccumulatedOt</w:t>
      </w:r>
      <w:r>
        <w:rPr>
          <w:rFonts w:eastAsia="Times New Roman"/>
          <w:vanish/>
        </w:rPr>
        <w:t>herComprehensiveIncomeMember2018-01-012018-12-310000927628us-gaap:ReclassificationOutOfAccumulatedOtherComprehensiveIncomeMember2020-01-012020-12-310000927628us-gaap:ReclassificationOutOfAccumulatedOtherComprehensiveIncomeMember2019-01-012019-12-3100009276</w:t>
      </w:r>
      <w:r>
        <w:rPr>
          <w:rFonts w:eastAsia="Times New Roman"/>
          <w:vanish/>
        </w:rPr>
        <w:t>28us-gaap:ReclassificationOutOfAccumulatedOtherComprehensiveIncomeMember2018-01-012018-12-310000927628cof:CapitalOneBankUSAN.A.Member2020-12-310000927628cof:CapitalOneBankUSAN.A.Member2019-12-310000927628cof:CapitalOneN.A.Member2020-12-310000927628cof:Capi</w:t>
      </w:r>
      <w:r>
        <w:rPr>
          <w:rFonts w:eastAsia="Times New Roman"/>
          <w:vanish/>
        </w:rPr>
        <w:t>talOneN.A.Member2019-12-310000927628cof:CashReservesFederalReserveBankMember2019-12-310000927628us-gaap:EmployeeStockOptionMember2020-01-012020-12-310000927628us-gaap:StockCompensationPlanMember2020-01-012020-12-310000927628us-gaap:EmployeeStockOptionMembe</w:t>
      </w:r>
      <w:r>
        <w:rPr>
          <w:rFonts w:eastAsia="Times New Roman"/>
          <w:vanish/>
        </w:rPr>
        <w:t>r2019-01-012019-12-310000927628us-gaap:EmployeeStockOptionMember2018-01-012018-12-31cof:plan0000927628cof:CashSettledUnitsMembercof:StockIncentivePlan2004Member2020-01-012020-12-310000927628cof:CashSettledUnitsMembercof:StockIncentivePlan2004Member2019-01-</w:t>
      </w:r>
      <w:r>
        <w:rPr>
          <w:rFonts w:eastAsia="Times New Roman"/>
          <w:vanish/>
        </w:rPr>
        <w:t>012019-12-310000927628cof:CashSettledUnitsMembercof:StockIncentivePlan2004Member2018-01-012018-12-310000927628cof:AssociateStockPurchasePlanMember2020-01-012020-12-310000927628cof:AssociateStockPurchasePlanMember2019-01-012019-12-310000927628cof:AssociateS</w:t>
      </w:r>
      <w:r>
        <w:rPr>
          <w:rFonts w:eastAsia="Times New Roman"/>
          <w:vanish/>
        </w:rPr>
        <w:t>tockPurchasePlanMember2018-01-012018-12-310000927628us-gaap:RestrictedStockUnitsRSUMembercof:StockIncentivePlan2004Member2020-01-012020-12-310000927628cof:PerformanceShareUnitsMembercof:StockIncentivePlan2004Member2020-01-012020-12-310000927628cof:Performa</w:t>
      </w:r>
      <w:r>
        <w:rPr>
          <w:rFonts w:eastAsia="Times New Roman"/>
          <w:vanish/>
        </w:rPr>
        <w:t>nceShareUnitsMembercof:StockIncentivePlan2004Membersrt:MinimumMember2020-01-012020-12-310000927628cof:PerformanceShareUnitsMembercof:StockIncentivePlan2004Membersrt:MaximumMember2020-01-012020-12-310000927628us-gaap:RestrictedStockUnitsRSUMembercof:StockIn</w:t>
      </w:r>
      <w:r>
        <w:rPr>
          <w:rFonts w:eastAsia="Times New Roman"/>
          <w:vanish/>
        </w:rPr>
        <w:t>centivePlan2004Member2019-12-310000927628cof:PerformanceShareUnitsMembercof:StockIncentivePlan2004Member2019-12-310000927628us-gaap:RestrictedStockUnitsRSUMembercof:StockIncentivePlan2004Member2020-12-310000927628cof:PerformanceShareUnitsMembercof:StockInc</w:t>
      </w:r>
      <w:r>
        <w:rPr>
          <w:rFonts w:eastAsia="Times New Roman"/>
          <w:vanish/>
        </w:rPr>
        <w:t>entivePlan2004Member2020-12-310000927628us-gaap:RestrictedStockUnitsRSUMembercof:StockIncentivePlan2004Member2019-01-012019-12-310000927628us-gaap:RestrictedStockUnitsRSUMembercof:StockIncentivePlan2004Member2018-01-012018-12-310000927628cof:PerformanceSha</w:t>
      </w:r>
      <w:r>
        <w:rPr>
          <w:rFonts w:eastAsia="Times New Roman"/>
          <w:vanish/>
        </w:rPr>
        <w:t>reUnitsMembercof:StockIncentivePlan2004Member2019-01-012019-12-310000927628cof:PerformanceShareUnitsMembercof:StockIncentivePlan2004Member2018-01-012018-12-310000927628us-gaap:EmployeeStockOptionMembercof:StockIncentivePlan2004Member2020-01-012020-12-31000</w:t>
      </w:r>
      <w:r>
        <w:rPr>
          <w:rFonts w:eastAsia="Times New Roman"/>
          <w:vanish/>
        </w:rPr>
        <w:t>0927628cof:StockIncentivePlan2004Member2019-12-310000927628cof:StockIncentivePlan2004Member2020-01-012020-12-310000927628cof:StockIncentivePlan2004Member2020-12-310000927628us-gaap:EmployeeStockOptionMembercof:StockIncentivePlan2004Member2018-01-012018-12-</w:t>
      </w:r>
      <w:r>
        <w:rPr>
          <w:rFonts w:eastAsia="Times New Roman"/>
          <w:vanish/>
        </w:rPr>
        <w:t>310000927628us-gaap:EmployeeStockOptionMembercof:StockIncentivePlan2004Member2019-01-012019-12-31cof:age0000927628cof:AssociateSavingsPlanMember2020-12-310000927628us-gaap:PensionPlansDefinedBenefitMember2019-12-310000927628us-gaap:PensionPlansDefinedBenef</w:t>
      </w:r>
      <w:r>
        <w:rPr>
          <w:rFonts w:eastAsia="Times New Roman"/>
          <w:vanish/>
        </w:rPr>
        <w:t>itMember2018-12-310000927628us-gaap:OtherPostretirementBenefitPlansDefinedBenefitMember2019-12-310000927628us-gaap:OtherPostretirementBenefitPlansDefinedBenefitMember2018-12-310000927628us-gaap:PensionPlansDefinedBenefitMember2020-01-012020-12-310000927628</w:t>
      </w:r>
      <w:r>
        <w:rPr>
          <w:rFonts w:eastAsia="Times New Roman"/>
          <w:vanish/>
        </w:rPr>
        <w:t>us-gaap:PensionPlansDefinedBenefitMember2019-01-012019-12-310000927628us-gaap:OtherPostretirementBenefitPlansDefinedBenefitMember2020-01-012020-12-310000927628us-gaap:OtherPostretirementBenefitPlansDefinedBenefitMember2019-01-012019-12-310000927628us-gaap:</w:t>
      </w:r>
      <w:r>
        <w:rPr>
          <w:rFonts w:eastAsia="Times New Roman"/>
          <w:vanish/>
        </w:rPr>
        <w:t>PensionPlansDefinedBenefitMember2020-12-310000927628us-gaap:OtherPostretirementBenefitPlansDefinedBenefitMember2020-12-310000927628us-gaap:InternalRevenueServiceIRSMember2020-12-310000927628us-gaap:InternalRevenueServiceIRSMember2019-12-310000927628us-gaap</w:t>
      </w:r>
      <w:r>
        <w:rPr>
          <w:rFonts w:eastAsia="Times New Roman"/>
          <w:vanish/>
        </w:rPr>
        <w:t>:StateAndLocalJurisdictionMember2020-12-310000927628us-gaap:StateAndLocalJurisdictionMember2019-12-310000927628us-gaap:ForeignCountryMember2020-12-310000927628us-gaap:ForeignCountryMember2019-12-310000927628cof:ForeignTaxCreditCarryforwardMember2020-01-012</w:t>
      </w:r>
      <w:r>
        <w:rPr>
          <w:rFonts w:eastAsia="Times New Roman"/>
          <w:vanish/>
        </w:rPr>
        <w:t>020-12-310000927628cof:GrossUnrecognizedTaxBenefitsMember2017-12-310000927628cof:AccruedInterestAndPenaltiesMember2017-12-310000927628cof:GrossTaxInterestAndPenaltiesMember2017-12-310000927628cof:GrossUnrecognizedTaxBenefitsMember2018-01-012018-12-31000092</w:t>
      </w:r>
      <w:r>
        <w:rPr>
          <w:rFonts w:eastAsia="Times New Roman"/>
          <w:vanish/>
        </w:rPr>
        <w:t>7628cof:AccruedInterestAndPenaltiesMember2018-01-012018-12-310000927628cof:GrossTaxInterestAndPenaltiesMember2018-01-012018-12-310000927628cof:GrossUnrecognizedTaxBenefitsMember2018-12-310000927628cof:AccruedInterestAndPenaltiesMember2018-12-310000927628co</w:t>
      </w:r>
      <w:r>
        <w:rPr>
          <w:rFonts w:eastAsia="Times New Roman"/>
          <w:vanish/>
        </w:rPr>
        <w:t>f:GrossTaxInterestAndPenaltiesMember2018-12-310000927628cof:GrossUnrecognizedTaxBenefitsMember2019-01-012019-12-310000927628cof:AccruedInterestAndPenaltiesMember2019-01-012019-12-310000927628cof:GrossTaxInterestAndPenaltiesMember2019-01-012019-12-310000927</w:t>
      </w:r>
      <w:r>
        <w:rPr>
          <w:rFonts w:eastAsia="Times New Roman"/>
          <w:vanish/>
        </w:rPr>
        <w:t>628cof:GrossUnrecognizedTaxBenefitsMember2019-12-310000927628cof:AccruedInterestAndPenaltiesMember2019-12-310000927628cof:GrossTaxInterestAndPenaltiesMember2019-12-310000927628cof:GrossUnrecognizedTaxBenefitsMember2020-01-012020-12-310000927628cof:AccruedI</w:t>
      </w:r>
      <w:r>
        <w:rPr>
          <w:rFonts w:eastAsia="Times New Roman"/>
          <w:vanish/>
        </w:rPr>
        <w:t>nterestAndPenaltiesMember2020-01-012020-12-310000927628cof:GrossTaxInterestAndPenaltiesMember2020-01-012020-12-310000927628cof:GrossUnrecognizedTaxBenefitsMember2020-12-310000927628cof:AccruedInterestAndPenaltiesMember2020-12-310000927628cof:GrossTaxIntere</w:t>
      </w:r>
      <w:r>
        <w:rPr>
          <w:rFonts w:eastAsia="Times New Roman"/>
          <w:vanish/>
        </w:rPr>
        <w:t>stAndPenaltiesMember2020-12-310000927628us-gaap:FairValueInputsLevel1Memberus-gaap:USTreasurySecuritiesMemberus-gaap:FairValueMeasurementsRecurringMember2020-12-310000927628us-gaap:FairValueInputsLevel2Memberus-gaap:USTreasurySecuritiesMemberus-gaap:FairVa</w:t>
      </w:r>
      <w:r>
        <w:rPr>
          <w:rFonts w:eastAsia="Times New Roman"/>
          <w:vanish/>
        </w:rPr>
        <w:t>lueMeasurementsRecurringMember2020-12-310000927628us-gaap:FairValueInputsLevel3Memberus-gaap:USTreasurySecuritiesMemberus-gaap:FairValueMeasurementsRecurringMember2020-12-310000927628us-gaap:USTreasurySecuritiesMemberus-gaap:FairValueMeasurementsRecurringM</w:t>
      </w:r>
      <w:r>
        <w:rPr>
          <w:rFonts w:eastAsia="Times New Roman"/>
          <w:vanish/>
        </w:rPr>
        <w:t>ember2020-12-310000927628us-gaap:ResidentialMortgageBackedSecuritiesMemberus-gaap:FairValueInputsLevel1Memberus-gaap:FairValueMeasurementsRecurringMember2020-12-310000927628us-gaap:FairValueInputsLevel2Memberus-gaap:ResidentialMortgageBackedSecuritiesMembe</w:t>
      </w:r>
      <w:r>
        <w:rPr>
          <w:rFonts w:eastAsia="Times New Roman"/>
          <w:vanish/>
        </w:rPr>
        <w:t>rus-gaap:FairValueMeasurementsRecurringMember2020-12-310000927628us-gaap:FairValueInputsLevel3Memberus-gaap:ResidentialMortgageBackedSecuritiesMemberus-gaap:FairValueMeasurementsRecurringMember2020-12-310000927628us-gaap:ResidentialMortgageBackedSecurities</w:t>
      </w:r>
      <w:r>
        <w:rPr>
          <w:rFonts w:eastAsia="Times New Roman"/>
          <w:vanish/>
        </w:rPr>
        <w:t>Memberus-gaap:FairValueMeasurementsRecurringMember2020-12-310000927628us-gaap:CommercialMortgageBackedSecuritiesMemberus-gaap:FairValueInputsLevel1Memberus-gaap:FairValueMeasurementsRecurringMember2020-12-310000927628us-gaap:FairValueInputsLevel2Memberus-g</w:t>
      </w:r>
      <w:r>
        <w:rPr>
          <w:rFonts w:eastAsia="Times New Roman"/>
          <w:vanish/>
        </w:rPr>
        <w:t>aap:CommercialMortgageBackedSecuritiesMemberus-gaap:FairValueMeasurementsRecurringMember2020-12-310000927628us-gaap:FairValueInputsLevel3Memberus-gaap:CommercialMortgageBackedSecuritiesMemberus-gaap:FairValueMeasurementsRecurringMember2020-12-310000927628u</w:t>
      </w:r>
      <w:r>
        <w:rPr>
          <w:rFonts w:eastAsia="Times New Roman"/>
          <w:vanish/>
        </w:rPr>
        <w:t>s-gaap:CommercialMortgageBackedSecuritiesMemberus-gaap:FairValueMeasurementsRecurringMember2020-12-310000927628us-gaap:FairValueInputsLevel1Memberus-gaap:OtherDebtSecuritiesMemberus-gaap:FairValueMeasurementsRecurringMember2020-12-310000927628us-gaap:FairV</w:t>
      </w:r>
      <w:r>
        <w:rPr>
          <w:rFonts w:eastAsia="Times New Roman"/>
          <w:vanish/>
        </w:rPr>
        <w:t>alueInputsLevel2Memberus-gaap:OtherDebtSecuritiesMemberus-gaap:FairValueMeasurementsRecurringMember2020-12-310000927628us-gaap:FairValueInputsLevel3Memberus-gaap:OtherDebtSecuritiesMemberus-gaap:FairValueMeasurementsRecurringMember2020-12-310000927628us-ga</w:t>
      </w:r>
      <w:r>
        <w:rPr>
          <w:rFonts w:eastAsia="Times New Roman"/>
          <w:vanish/>
        </w:rPr>
        <w:t>ap:OtherDebtSecuritiesMemberus-gaap:FairValueMeasurementsRecurringMember2020-12-310000927628us-gaap:FairValueInputsLevel1Memberus-gaap:FairValueMeasurementsRecurringMember2020-12-310000927628us-gaap:FairValueInputsLevel2Memberus-gaap:FairValueMeasurementsR</w:t>
      </w:r>
      <w:r>
        <w:rPr>
          <w:rFonts w:eastAsia="Times New Roman"/>
          <w:vanish/>
        </w:rPr>
        <w:t>ecurringMember2020-12-310000927628us-gaap:FairValueInputsLevel3Memberus-gaap:FairValueMeasurementsRecurringMember2020-12-310000927628us-gaap:FairValueMeasurementsRecurringMember2020-12-310000927628us-gaap:FairValueInputsLevel1Memberus-gaap:USTreasurySecuri</w:t>
      </w:r>
      <w:r>
        <w:rPr>
          <w:rFonts w:eastAsia="Times New Roman"/>
          <w:vanish/>
        </w:rPr>
        <w:t>tiesMemberus-gaap:FairValueMeasurementsRecurringMember2019-12-310000927628us-gaap:FairValueInputsLevel2Memberus-gaap:USTreasurySecuritiesMemberus-gaap:FairValueMeasurementsRecurringMember2019-12-310000927628us-gaap:FairValueInputsLevel3Memberus-gaap:USTrea</w:t>
      </w:r>
      <w:r>
        <w:rPr>
          <w:rFonts w:eastAsia="Times New Roman"/>
          <w:vanish/>
        </w:rPr>
        <w:t>surySecuritiesMemberus-gaap:FairValueMeasurementsRecurringMember2019-12-310000927628us-gaap:USTreasurySecuritiesMemberus-gaap:FairValueMeasurementsRecurringMember2019-12-310000927628us-gaap:ResidentialMortgageBackedSecuritiesMemberus-gaap:FairValueInputsLe</w:t>
      </w:r>
      <w:r>
        <w:rPr>
          <w:rFonts w:eastAsia="Times New Roman"/>
          <w:vanish/>
        </w:rPr>
        <w:t>vel1Memberus-gaap:FairValueMeasurementsRecurringMember2019-12-310000927628us-gaap:FairValueInputsLevel2Memberus-gaap:ResidentialMortgageBackedSecuritiesMemberus-gaap:FairValueMeasurementsRecurringMember2019-12-310000927628us-gaap:FairValueInputsLevel3Membe</w:t>
      </w:r>
      <w:r>
        <w:rPr>
          <w:rFonts w:eastAsia="Times New Roman"/>
          <w:vanish/>
        </w:rPr>
        <w:t>rus-gaap:ResidentialMortgageBackedSecuritiesMemberus-gaap:FairValueMeasurementsRecurringMember2019-12-310000927628us-gaap:ResidentialMortgageBackedSecuritiesMemberus-gaap:FairValueMeasurementsRecurringMember2019-12-310000927628us-gaap:CommercialMortgageBac</w:t>
      </w:r>
      <w:r>
        <w:rPr>
          <w:rFonts w:eastAsia="Times New Roman"/>
          <w:vanish/>
        </w:rPr>
        <w:t>kedSecuritiesMemberus-gaap:FairValueInputsLevel1Memberus-gaap:FairValueMeasurementsRecurringMember2019-12-310000927628us-gaap:FairValueInputsLevel2Memberus-gaap:CommercialMortgageBackedSecuritiesMemberus-gaap:FairValueMeasurementsRecurringMember2019-12-310</w:t>
      </w:r>
      <w:r>
        <w:rPr>
          <w:rFonts w:eastAsia="Times New Roman"/>
          <w:vanish/>
        </w:rPr>
        <w:t>000927628us-gaap:FairValueInputsLevel3Memberus-gaap:CommercialMortgageBackedSecuritiesMemberus-gaap:FairValueMeasurementsRecurringMember2019-12-310000927628us-gaap:CommercialMortgageBackedSecuritiesMemberus-gaap:FairValueMeasurementsRecurringMember2019-12-</w:t>
      </w:r>
      <w:r>
        <w:rPr>
          <w:rFonts w:eastAsia="Times New Roman"/>
          <w:vanish/>
        </w:rPr>
        <w:t>310000927628us-gaap:FairValueInputsLevel1Memberus-gaap:OtherDebtSecuritiesMemberus-gaap:FairValueMeasurementsRecurringMember2019-12-310000927628us-gaap:FairValueInputsLevel2Memberus-gaap:OtherDebtSecuritiesMemberus-gaap:FairValueMeasurementsRecurringMember</w:t>
      </w:r>
      <w:r>
        <w:rPr>
          <w:rFonts w:eastAsia="Times New Roman"/>
          <w:vanish/>
        </w:rPr>
        <w:t>2019-12-310000927628us-gaap:FairValueInputsLevel3Memberus-gaap:OtherDebtSecuritiesMemberus-gaap:FairValueMeasurementsRecurringMember2019-12-310000927628us-gaap:OtherDebtSecuritiesMemberus-gaap:FairValueMeasurementsRecurringMember2019-12-310000927628us-gaap</w:t>
      </w:r>
      <w:r>
        <w:rPr>
          <w:rFonts w:eastAsia="Times New Roman"/>
          <w:vanish/>
        </w:rPr>
        <w:t>:FairValueInputsLevel1Memberus-gaap:FairValueMeasurementsRecurringMember2019-12-310000927628us-gaap:FairValueInputsLevel2Memberus-gaap:FairValueMeasurementsRecurringMember2019-12-310000927628us-gaap:FairValueInputsLevel3Memberus-gaap:FairValueMeasurementsR</w:t>
      </w:r>
      <w:r>
        <w:rPr>
          <w:rFonts w:eastAsia="Times New Roman"/>
          <w:vanish/>
        </w:rPr>
        <w:t>ecurringMember2019-12-310000927628us-gaap:FairValueMeasurementsRecurringMember2019-12-310000927628cof:FairValueInputsLevel1AndLevel2Memberus-gaap:FairValueMeasurementsRecurringMember2020-12-310000927628cof:FairValueInputsLevel1AndLevel2Memberus-gaap:FairVa</w:t>
      </w:r>
      <w:r>
        <w:rPr>
          <w:rFonts w:eastAsia="Times New Roman"/>
          <w:vanish/>
        </w:rPr>
        <w:t>lueMeasurementsRecurringMember2020-01-012020-12-310000927628us-gaap:FairValueInputsLevel3Memberus-gaap:ResidentialMortgageBackedSecuritiesMembercof:IncludingCECLImpactAdoptionMemberus-gaap:FairValueMeasurementsRecurringMember2019-12-310000927628us-gaap:Fai</w:t>
      </w:r>
      <w:r>
        <w:rPr>
          <w:rFonts w:eastAsia="Times New Roman"/>
          <w:vanish/>
        </w:rPr>
        <w:t>rValueInputsLevel3Memberus-gaap:ResidentialMortgageBackedSecuritiesMemberus-gaap:FairValueMeasurementsRecurringMember2020-01-012020-12-310000927628us-gaap:FairValueInputsLevel3Memberus-gaap:CommercialMortgageBackedSecuritiesMemberus-gaap:FairValueMeasureme</w:t>
      </w:r>
      <w:r>
        <w:rPr>
          <w:rFonts w:eastAsia="Times New Roman"/>
          <w:vanish/>
        </w:rPr>
        <w:t>ntsRecurringMember2020-01-012020-12-310000927628us-gaap:FairValueInputsLevel3Memberus-gaap:AvailableforsaleSecuritiesMembercof:IncludingCECLImpactAdoptionMemberus-gaap:FairValueMeasurementsRecurringMember2019-12-310000927628us-gaap:FairValueInputsLevel3Mem</w:t>
      </w:r>
      <w:r>
        <w:rPr>
          <w:rFonts w:eastAsia="Times New Roman"/>
          <w:vanish/>
        </w:rPr>
        <w:t>berus-gaap:AvailableforsaleSecuritiesMemberus-gaap:FairValueMeasurementsRecurringMember2020-01-012020-12-310000927628us-gaap:FairValueInputsLevel3Memberus-gaap:AvailableforsaleSecuritiesMemberus-gaap:FairValueMeasurementsRecurringMember2020-12-310000927628</w:t>
      </w:r>
      <w:r>
        <w:rPr>
          <w:rFonts w:eastAsia="Times New Roman"/>
          <w:vanish/>
        </w:rPr>
        <w:t>us-gaap:FairValueInputsLevel3Memberus-gaap:RetainedInterestMemberus-gaap:FairValueMeasurementsRecurringMember2019-12-310000927628us-gaap:FairValueInputsLevel3Memberus-gaap:RetainedInterestMemberus-gaap:FairValueMeasurementsRecurringMember2020-01-012020-12-</w:t>
      </w:r>
      <w:r>
        <w:rPr>
          <w:rFonts w:eastAsia="Times New Roman"/>
          <w:vanish/>
        </w:rPr>
        <w:t>310000927628us-gaap:FairValueInputsLevel3Memberus-gaap:RetainedInterestMemberus-gaap:FairValueMeasurementsRecurringMember2020-12-310000927628us-gaap:FairValueInputsLevel3Memberus-gaap:FairValueMeasurementsRecurringMember2020-01-012020-12-310000927628us-gaa</w:t>
      </w:r>
      <w:r>
        <w:rPr>
          <w:rFonts w:eastAsia="Times New Roman"/>
          <w:vanish/>
        </w:rPr>
        <w:t>p:FairValueInputsLevel3Membercof:NetDerivativeAssetsLiabilitiesMemberus-gaap:FairValueMeasurementsRecurringMember2020-01-012020-12-310000927628us-gaap:FairValueInputsLevel3Memberus-gaap:ResidentialMortgageBackedSecuritiesMemberus-gaap:FairValueMeasurements</w:t>
      </w:r>
      <w:r>
        <w:rPr>
          <w:rFonts w:eastAsia="Times New Roman"/>
          <w:vanish/>
        </w:rPr>
        <w:t>RecurringMember2018-12-310000927628us-gaap:FairValueInputsLevel3Memberus-gaap:ResidentialMortgageBackedSecuritiesMemberus-gaap:FairValueMeasurementsRecurringMember2019-01-012019-12-310000927628us-gaap:FairValueInputsLevel3Memberus-gaap:CommercialMortgageBa</w:t>
      </w:r>
      <w:r>
        <w:rPr>
          <w:rFonts w:eastAsia="Times New Roman"/>
          <w:vanish/>
        </w:rPr>
        <w:t>ckedSecuritiesMemberus-gaap:FairValueMeasurementsRecurringMember2018-12-310000927628us-gaap:FairValueInputsLevel3Memberus-gaap:CommercialMortgageBackedSecuritiesMemberus-gaap:FairValueMeasurementsRecurringMember2019-01-012019-12-310000927628us-gaap:FairVal</w:t>
      </w:r>
      <w:r>
        <w:rPr>
          <w:rFonts w:eastAsia="Times New Roman"/>
          <w:vanish/>
        </w:rPr>
        <w:t>ueInputsLevel3Memberus-gaap:AvailableforsaleSecuritiesMemberus-gaap:FairValueMeasurementsRecurringMember2018-12-310000927628us-gaap:FairValueInputsLevel3Memberus-gaap:AvailableforsaleSecuritiesMemberus-gaap:FairValueMeasurementsRecurringMember2019-01-01201</w:t>
      </w:r>
      <w:r>
        <w:rPr>
          <w:rFonts w:eastAsia="Times New Roman"/>
          <w:vanish/>
        </w:rPr>
        <w:t>9-12-310000927628us-gaap:FairValueInputsLevel3Memberus-gaap:AvailableforsaleSecuritiesMemberus-gaap:FairValueMeasurementsRecurringMember2019-12-310000927628us-gaap:FairValueInputsLevel3Memberus-gaap:RetainedInterestMemberus-gaap:FairValueMeasurementsRecurr</w:t>
      </w:r>
      <w:r>
        <w:rPr>
          <w:rFonts w:eastAsia="Times New Roman"/>
          <w:vanish/>
        </w:rPr>
        <w:t>ingMember2018-12-310000927628us-gaap:FairValueInputsLevel3Memberus-gaap:RetainedInterestMemberus-gaap:FairValueMeasurementsRecurringMember2019-01-012019-12-310000927628us-gaap:FairValueInputsLevel3Memberus-gaap:FairValueMeasurementsRecurringMember2018-12-3</w:t>
      </w:r>
      <w:r>
        <w:rPr>
          <w:rFonts w:eastAsia="Times New Roman"/>
          <w:vanish/>
        </w:rPr>
        <w:t>10000927628us-gaap:FairValueInputsLevel3Memberus-gaap:FairValueMeasurementsRecurringMember2019-01-012019-12-310000927628us-gaap:FairValueInputsLevel3Membercof:NetDerivativeAssetsLiabilitiesMemberus-gaap:FairValueMeasurementsRecurringMember2019-01-012019-12</w:t>
      </w:r>
      <w:r>
        <w:rPr>
          <w:rFonts w:eastAsia="Times New Roman"/>
          <w:vanish/>
        </w:rPr>
        <w:t>-310000927628us-gaap:FairValueInputsLevel3Memberus-gaap:ResidentialMortgageBackedSecuritiesMemberus-gaap:FairValueMeasurementsRecurringMember2017-12-310000927628us-gaap:FairValueInputsLevel3Memberus-gaap:ResidentialMortgageBackedSecuritiesMemberus-gaap:Fai</w:t>
      </w:r>
      <w:r>
        <w:rPr>
          <w:rFonts w:eastAsia="Times New Roman"/>
          <w:vanish/>
        </w:rPr>
        <w:t>rValueMeasurementsRecurringMember2018-01-012018-12-310000927628us-gaap:FairValueInputsLevel3Memberus-gaap:CommercialMortgageBackedSecuritiesMemberus-gaap:FairValueMeasurementsRecurringMember2017-12-310000927628us-gaap:FairValueInputsLevel3Memberus-gaap:Com</w:t>
      </w:r>
      <w:r>
        <w:rPr>
          <w:rFonts w:eastAsia="Times New Roman"/>
          <w:vanish/>
        </w:rPr>
        <w:t>mercialMortgageBackedSecuritiesMemberus-gaap:FairValueMeasurementsRecurringMember2018-01-012018-12-310000927628us-gaap:FairValueInputsLevel3Memberus-gaap:OtherDebtSecuritiesMemberus-gaap:FairValueMeasurementsRecurringMember2017-12-310000927628us-gaap:FairV</w:t>
      </w:r>
      <w:r>
        <w:rPr>
          <w:rFonts w:eastAsia="Times New Roman"/>
          <w:vanish/>
        </w:rPr>
        <w:t>alueInputsLevel3Memberus-gaap:OtherDebtSecuritiesMemberus-gaap:FairValueMeasurementsRecurringMember2018-01-012018-12-310000927628us-gaap:FairValueInputsLevel3Memberus-gaap:OtherDebtSecuritiesMemberus-gaap:FairValueMeasurementsRecurringMember2018-12-3100009</w:t>
      </w:r>
      <w:r>
        <w:rPr>
          <w:rFonts w:eastAsia="Times New Roman"/>
          <w:vanish/>
        </w:rPr>
        <w:t>27628us-gaap:FairValueInputsLevel3Memberus-gaap:AvailableforsaleSecuritiesMemberus-gaap:FairValueMeasurementsRecurringMember2017-12-310000927628us-gaap:FairValueInputsLevel3Memberus-gaap:AvailableforsaleSecuritiesMemberus-gaap:FairValueMeasurementsRecurrin</w:t>
      </w:r>
      <w:r>
        <w:rPr>
          <w:rFonts w:eastAsia="Times New Roman"/>
          <w:vanish/>
        </w:rPr>
        <w:t>gMember2018-01-012018-12-310000927628us-gaap:FairValueInputsLevel3Memberus-gaap:ServicingContractsMemberus-gaap:FairValueMeasurementsRecurringMember2017-12-310000927628us-gaap:FairValueInputsLevel3Memberus-gaap:ServicingContractsMemberus-gaap:FairValueMeas</w:t>
      </w:r>
      <w:r>
        <w:rPr>
          <w:rFonts w:eastAsia="Times New Roman"/>
          <w:vanish/>
        </w:rPr>
        <w:t>urementsRecurringMember2018-01-012018-12-310000927628us-gaap:FairValueInputsLevel3Memberus-gaap:ServicingContractsMemberus-gaap:FairValueMeasurementsRecurringMember2018-12-310000927628us-gaap:FairValueInputsLevel3Memberus-gaap:RetainedInterestMemberus-gaap</w:t>
      </w:r>
      <w:r>
        <w:rPr>
          <w:rFonts w:eastAsia="Times New Roman"/>
          <w:vanish/>
        </w:rPr>
        <w:t>:FairValueMeasurementsRecurringMember2017-12-310000927628us-gaap:FairValueInputsLevel3Memberus-gaap:RetainedInterestMemberus-gaap:FairValueMeasurementsRecurringMember2018-01-012018-12-310000927628us-gaap:FairValueInputsLevel3Memberus-gaap:FairValueMeasurem</w:t>
      </w:r>
      <w:r>
        <w:rPr>
          <w:rFonts w:eastAsia="Times New Roman"/>
          <w:vanish/>
        </w:rPr>
        <w:t>entsRecurringMember2017-12-310000927628us-gaap:FairValueInputsLevel3Memberus-gaap:FairValueMeasurementsRecurringMember2018-01-012018-12-310000927628us-gaap:FairValueInputsLevel3Membercof:NetDerivativeAssetsLiabilitiesMemberus-gaap:FairValueMeasurementsRecu</w:t>
      </w:r>
      <w:r>
        <w:rPr>
          <w:rFonts w:eastAsia="Times New Roman"/>
          <w:vanish/>
        </w:rPr>
        <w:t>rringMember2018-01-012018-12-3100009276282020-01-010000927628us-gaap:FairValueInputsLevel3Memberus-gaap:ResidentialMortgageBackedSecuritiesMemberus-gaap:ValuationTechniqueDiscountedCashFlowMemberus-gaap:FairValueMeasurementsRecurringMembercof:MeasurementIn</w:t>
      </w:r>
      <w:r>
        <w:rPr>
          <w:rFonts w:eastAsia="Times New Roman"/>
          <w:vanish/>
        </w:rPr>
        <w:t>putYieldMembersrt:MinimumMember2020-12-310000927628us-gaap:FairValueInputsLevel3Memberus-gaap:ResidentialMortgageBackedSecuritiesMemberus-gaap:ValuationTechniqueDiscountedCashFlowMembersrt:MaximumMemberus-gaap:FairValueMeasurementsRecurringMembercof:Measur</w:t>
      </w:r>
      <w:r>
        <w:rPr>
          <w:rFonts w:eastAsia="Times New Roman"/>
          <w:vanish/>
        </w:rPr>
        <w:t>ementInputYieldMember2020-12-310000927628us-gaap:FairValueInputsLevel3Memberus-gaap:MeasurementInputConstantPrepaymentRateMemberus-gaap:ResidentialMortgageBackedSecuritiesMemberus-gaap:ValuationTechniqueDiscountedCashFlowMemberus-gaap:FairValueMeasurements</w:t>
      </w:r>
      <w:r>
        <w:rPr>
          <w:rFonts w:eastAsia="Times New Roman"/>
          <w:vanish/>
        </w:rPr>
        <w:t>RecurringMembersrt:MinimumMember2020-12-310000927628us-gaap:FairValueInputsLevel3Memberus-gaap:MeasurementInputConstantPrepaymentRateMemberus-gaap:ResidentialMortgageBackedSecuritiesMemberus-gaap:ValuationTechniqueDiscountedCashFlowMembersrt:MaximumMemberu</w:t>
      </w:r>
      <w:r>
        <w:rPr>
          <w:rFonts w:eastAsia="Times New Roman"/>
          <w:vanish/>
        </w:rPr>
        <w:t>s-gaap:FairValueMeasurementsRecurringMember2020-12-310000927628us-gaap:FairValueInputsLevel3Memberus-gaap:ResidentialMortgageBackedSecuritiesMemberus-gaap:ValuationTechniqueDiscountedCashFlowMemberus-gaap:FairValueMeasurementsRecurringMemberus-gaap:Measure</w:t>
      </w:r>
      <w:r>
        <w:rPr>
          <w:rFonts w:eastAsia="Times New Roman"/>
          <w:vanish/>
        </w:rPr>
        <w:t>mentInputDefaultRateMembersrt:MinimumMember2020-12-310000927628us-gaap:FairValueInputsLevel3Memberus-gaap:ResidentialMortgageBackedSecuritiesMemberus-gaap:ValuationTechniqueDiscountedCashFlowMembersrt:MaximumMemberus-gaap:FairValueMeasurementsRecurringMemb</w:t>
      </w:r>
      <w:r>
        <w:rPr>
          <w:rFonts w:eastAsia="Times New Roman"/>
          <w:vanish/>
        </w:rPr>
        <w:t>erus-gaap:MeasurementInputDefaultRateMember2020-12-310000927628us-gaap:FairValueInputsLevel3Memberus-gaap:ResidentialMortgageBackedSecuritiesMemberus-gaap:ValuationTechniqueDiscountedCashFlowMemberus-gaap:MeasurementInputLossSeverityMemberus-gaap:FairValue</w:t>
      </w:r>
      <w:r>
        <w:rPr>
          <w:rFonts w:eastAsia="Times New Roman"/>
          <w:vanish/>
        </w:rPr>
        <w:t>MeasurementsRecurringMembersrt:MinimumMember2020-12-310000927628us-gaap:FairValueInputsLevel3Memberus-gaap:ResidentialMortgageBackedSecuritiesMemberus-gaap:ValuationTechniqueDiscountedCashFlowMemberus-gaap:MeasurementInputLossSeverityMembersrt:MaximumMembe</w:t>
      </w:r>
      <w:r>
        <w:rPr>
          <w:rFonts w:eastAsia="Times New Roman"/>
          <w:vanish/>
        </w:rPr>
        <w:t>rus-gaap:FairValueMeasurementsRecurringMember2020-12-310000927628us-gaap:FairValueInputsLevel3Memberus-gaap:ResidentialMortgageBackedSecuritiesMemberus-gaap:ValuationTechniqueDiscountedCashFlowMembersrt:WeightedAverageMemberus-gaap:FairValueMeasurementsRec</w:t>
      </w:r>
      <w:r>
        <w:rPr>
          <w:rFonts w:eastAsia="Times New Roman"/>
          <w:vanish/>
        </w:rPr>
        <w:t>urringMembercof:MeasurementInputYieldMember2020-12-310000927628us-gaap:FairValueInputsLevel3Memberus-gaap:MeasurementInputConstantPrepaymentRateMemberus-gaap:ResidentialMortgageBackedSecuritiesMemberus-gaap:ValuationTechniqueDiscountedCashFlowMembersrt:Wei</w:t>
      </w:r>
      <w:r>
        <w:rPr>
          <w:rFonts w:eastAsia="Times New Roman"/>
          <w:vanish/>
        </w:rPr>
        <w:t>ghtedAverageMemberus-gaap:FairValueMeasurementsRecurringMember2020-12-310000927628us-gaap:FairValueInputsLevel3Memberus-gaap:ResidentialMortgageBackedSecuritiesMemberus-gaap:ValuationTechniqueDiscountedCashFlowMembersrt:WeightedAverageMemberus-gaap:FairVal</w:t>
      </w:r>
      <w:r>
        <w:rPr>
          <w:rFonts w:eastAsia="Times New Roman"/>
          <w:vanish/>
        </w:rPr>
        <w:t>ueMeasurementsRecurringMemberus-gaap:MeasurementInputDefaultRateMember2020-12-310000927628us-gaap:FairValueInputsLevel3Memberus-gaap:ResidentialMortgageBackedSecuritiesMemberus-gaap:ValuationTechniqueDiscountedCashFlowMembersrt:WeightedAverageMemberus-gaap</w:t>
      </w:r>
      <w:r>
        <w:rPr>
          <w:rFonts w:eastAsia="Times New Roman"/>
          <w:vanish/>
        </w:rPr>
        <w:t>:MeasurementInputLossSeverityMemberus-gaap:FairValueMeasurementsRecurringMember2020-12-310000927628us-gaap:FairValueInputsLevel3Memberus-gaap:CommercialMortgageBackedSecuritiesMemberus-gaap:ValuationTechniqueDiscountedCashFlowMemberus-gaap:FairValueMeasure</w:t>
      </w:r>
      <w:r>
        <w:rPr>
          <w:rFonts w:eastAsia="Times New Roman"/>
          <w:vanish/>
        </w:rPr>
        <w:t>mentsRecurringMembercof:MeasurementInputYieldMembersrt:MinimumMember2020-12-310000927628us-gaap:FairValueInputsLevel3Memberus-gaap:CommercialMortgageBackedSecuritiesMemberus-gaap:ValuationTechniqueDiscountedCashFlowMembersrt:MaximumMemberus-gaap:FairValueM</w:t>
      </w:r>
      <w:r>
        <w:rPr>
          <w:rFonts w:eastAsia="Times New Roman"/>
          <w:vanish/>
        </w:rPr>
        <w:t>easurementsRecurringMembercof:MeasurementInputYieldMember2020-12-310000927628us-gaap:FairValueInputsLevel3Memberus-gaap:CommercialMortgageBackedSecuritiesMemberus-gaap:ValuationTechniqueDiscountedCashFlowMembersrt:WeightedAverageMemberus-gaap:FairValueMeas</w:t>
      </w:r>
      <w:r>
        <w:rPr>
          <w:rFonts w:eastAsia="Times New Roman"/>
          <w:vanish/>
        </w:rPr>
        <w:t>urementsRecurringMembercof:MeasurementInputYieldMember2020-12-310000927628us-gaap:FairValueInputsLevel3Memberus-gaap:ValuationTechniqueDiscountedCashFlowMembercof:MeasurementInputLifeofReceivablesMemberus-gaap:FairValueMeasurementsRecurringMembersrt:Minimu</w:t>
      </w:r>
      <w:r>
        <w:rPr>
          <w:rFonts w:eastAsia="Times New Roman"/>
          <w:vanish/>
        </w:rPr>
        <w:t>mMember2020-12-312020-12-310000927628us-gaap:FairValueInputsLevel3Memberus-gaap:ValuationTechniqueDiscountedCashFlowMembercof:MeasurementInputLifeofReceivablesMembersrt:MaximumMemberus-gaap:FairValueMeasurementsRecurringMember2020-12-312020-12-310000927628</w:t>
      </w:r>
      <w:r>
        <w:rPr>
          <w:rFonts w:eastAsia="Times New Roman"/>
          <w:vanish/>
        </w:rPr>
        <w:t>us-gaap:FairValueInputsLevel3Memberus-gaap:MeasurementInputConstantPrepaymentRateMemberus-gaap:ValuationTechniqueDiscountedCashFlowMemberus-gaap:FairValueMeasurementsRecurringMembersrt:MinimumMember2020-12-310000927628us-gaap:FairValueInputsLevel3Memberus-</w:t>
      </w:r>
      <w:r>
        <w:rPr>
          <w:rFonts w:eastAsia="Times New Roman"/>
          <w:vanish/>
        </w:rPr>
        <w:t>gaap:MeasurementInputConstantPrepaymentRateMemberus-gaap:ValuationTechniqueDiscountedCashFlowMembersrt:MaximumMemberus-gaap:FairValueMeasurementsRecurringMember2020-12-310000927628us-gaap:FairValueInputsLevel3Memberus-gaap:MeasurementInputDiscountRateMembe</w:t>
      </w:r>
      <w:r>
        <w:rPr>
          <w:rFonts w:eastAsia="Times New Roman"/>
          <w:vanish/>
        </w:rPr>
        <w:t>rus-gaap:ValuationTechniqueDiscountedCashFlowMemberus-gaap:FairValueMeasurementsRecurringMembersrt:MinimumMember2020-12-310000927628us-gaap:FairValueInputsLevel3Memberus-gaap:MeasurementInputDiscountRateMemberus-gaap:ValuationTechniqueDiscountedCashFlowMem</w:t>
      </w:r>
      <w:r>
        <w:rPr>
          <w:rFonts w:eastAsia="Times New Roman"/>
          <w:vanish/>
        </w:rPr>
        <w:t>bersrt:MaximumMemberus-gaap:FairValueMeasurementsRecurringMember2020-12-310000927628us-gaap:FairValueInputsLevel3Memberus-gaap:ValuationTechniqueDiscountedCashFlowMemberus-gaap:FairValueMeasurementsRecurringMemberus-gaap:MeasurementInputDefaultRateMembersr</w:t>
      </w:r>
      <w:r>
        <w:rPr>
          <w:rFonts w:eastAsia="Times New Roman"/>
          <w:vanish/>
        </w:rPr>
        <w:t>t:MinimumMember2020-12-310000927628us-gaap:FairValueInputsLevel3Memberus-gaap:ValuationTechniqueDiscountedCashFlowMembersrt:MaximumMemberus-gaap:FairValueMeasurementsRecurringMemberus-gaap:MeasurementInputDefaultRateMember2020-12-310000927628us-gaap:FairVa</w:t>
      </w:r>
      <w:r>
        <w:rPr>
          <w:rFonts w:eastAsia="Times New Roman"/>
          <w:vanish/>
        </w:rPr>
        <w:t>lueInputsLevel3Memberus-gaap:ValuationTechniqueDiscountedCashFlowMemberus-gaap:MeasurementInputLossSeverityMemberus-gaap:FairValueMeasurementsRecurringMembersrt:MinimumMember2020-12-310000927628us-gaap:FairValueInputsLevel3Memberus-gaap:ValuationTechniqueD</w:t>
      </w:r>
      <w:r>
        <w:rPr>
          <w:rFonts w:eastAsia="Times New Roman"/>
          <w:vanish/>
        </w:rPr>
        <w:t>iscountedCashFlowMemberus-gaap:MeasurementInputLossSeverityMembersrt:MaximumMemberus-gaap:FairValueMeasurementsRecurringMember2020-12-310000927628us-gaap:FairValueInputsLevel3Membercof:MeasurementInputSwapRatesMemberus-gaap:ValuationTechniqueDiscountedCash</w:t>
      </w:r>
      <w:r>
        <w:rPr>
          <w:rFonts w:eastAsia="Times New Roman"/>
          <w:vanish/>
        </w:rPr>
        <w:t>FlowMemberus-gaap:FairValueMeasurementsRecurringMembersrt:MinimumMember2020-12-310000927628us-gaap:FairValueInputsLevel3Membercof:MeasurementInputSwapRatesMemberus-gaap:ValuationTechniqueDiscountedCashFlowMembersrt:MaximumMemberus-gaap:FairValueMeasurement</w:t>
      </w:r>
      <w:r>
        <w:rPr>
          <w:rFonts w:eastAsia="Times New Roman"/>
          <w:vanish/>
        </w:rPr>
        <w:t>sRecurringMember2020-12-310000927628us-gaap:FairValueInputsLevel3Membercof:MeasurementInputSwapRatesMemberus-gaap:ValuationTechniqueDiscountedCashFlowMembersrt:WeightedAverageMemberus-gaap:FairValueMeasurementsRecurringMember2020-12-310000927628us-gaap:Fai</w:t>
      </w:r>
      <w:r>
        <w:rPr>
          <w:rFonts w:eastAsia="Times New Roman"/>
          <w:vanish/>
        </w:rPr>
        <w:t>rValueInputsLevel3Memberus-gaap:ResidentialMortgageBackedSecuritiesMemberus-gaap:ValuationTechniqueDiscountedCashFlowMemberus-gaap:FairValueMeasurementsRecurringMembercof:MeasurementInputYieldMembersrt:MinimumMember2019-12-310000927628us-gaap:FairValueInpu</w:t>
      </w:r>
      <w:r>
        <w:rPr>
          <w:rFonts w:eastAsia="Times New Roman"/>
          <w:vanish/>
        </w:rPr>
        <w:t>tsLevel3Memberus-gaap:ResidentialMortgageBackedSecuritiesMemberus-gaap:ValuationTechniqueDiscountedCashFlowMembersrt:MaximumMemberus-gaap:FairValueMeasurementsRecurringMembercof:MeasurementInputYieldMember2019-12-310000927628us-gaap:FairValueInputsLevel3Me</w:t>
      </w:r>
      <w:r>
        <w:rPr>
          <w:rFonts w:eastAsia="Times New Roman"/>
          <w:vanish/>
        </w:rPr>
        <w:t>mberus-gaap:MeasurementInputConstantPrepaymentRateMemberus-gaap:ResidentialMortgageBackedSecuritiesMemberus-gaap:ValuationTechniqueDiscountedCashFlowMemberus-gaap:FairValueMeasurementsRecurringMembersrt:MinimumMember2019-12-310000927628us-gaap:FairValueInp</w:t>
      </w:r>
      <w:r>
        <w:rPr>
          <w:rFonts w:eastAsia="Times New Roman"/>
          <w:vanish/>
        </w:rPr>
        <w:t>utsLevel3Memberus-gaap:MeasurementInputConstantPrepaymentRateMemberus-gaap:ResidentialMortgageBackedSecuritiesMemberus-gaap:ValuationTechniqueDiscountedCashFlowMembersrt:MaximumMemberus-gaap:FairValueMeasurementsRecurringMember2019-12-310000927628us-gaap:F</w:t>
      </w:r>
      <w:r>
        <w:rPr>
          <w:rFonts w:eastAsia="Times New Roman"/>
          <w:vanish/>
        </w:rPr>
        <w:t>airValueInputsLevel3Memberus-gaap:ResidentialMortgageBackedSecuritiesMemberus-gaap:ValuationTechniqueDiscountedCashFlowMemberus-gaap:FairValueMeasurementsRecurringMemberus-gaap:MeasurementInputDefaultRateMembersrt:MinimumMember2019-12-310000927628us-gaap:F</w:t>
      </w:r>
      <w:r>
        <w:rPr>
          <w:rFonts w:eastAsia="Times New Roman"/>
          <w:vanish/>
        </w:rPr>
        <w:t>airValueInputsLevel3Memberus-gaap:ResidentialMortgageBackedSecuritiesMemberus-gaap:ValuationTechniqueDiscountedCashFlowMembersrt:MaximumMemberus-gaap:FairValueMeasurementsRecurringMemberus-gaap:MeasurementInputDefaultRateMember2019-12-310000927628us-gaap:F</w:t>
      </w:r>
      <w:r>
        <w:rPr>
          <w:rFonts w:eastAsia="Times New Roman"/>
          <w:vanish/>
        </w:rPr>
        <w:t>airValueInputsLevel3Memberus-gaap:ResidentialMortgageBackedSecuritiesMemberus-gaap:ValuationTechniqueDiscountedCashFlowMemberus-gaap:MeasurementInputLossSeverityMemberus-gaap:FairValueMeasurementsRecurringMembersrt:MinimumMember2019-12-310000927628us-gaap:</w:t>
      </w:r>
      <w:r>
        <w:rPr>
          <w:rFonts w:eastAsia="Times New Roman"/>
          <w:vanish/>
        </w:rPr>
        <w:t>FairValueInputsLevel3Memberus-gaap:ResidentialMortgageBackedSecuritiesMemberus-gaap:ValuationTechniqueDiscountedCashFlowMemberus-gaap:MeasurementInputLossSeverityMembersrt:MaximumMemberus-gaap:FairValueMeasurementsRecurringMember2019-12-310000927628us-gaap</w:t>
      </w:r>
      <w:r>
        <w:rPr>
          <w:rFonts w:eastAsia="Times New Roman"/>
          <w:vanish/>
        </w:rPr>
        <w:t>:FairValueInputsLevel3Memberus-gaap:ResidentialMortgageBackedSecuritiesMemberus-gaap:ValuationTechniqueDiscountedCashFlowMembersrt:WeightedAverageMemberus-gaap:FairValueMeasurementsRecurringMembercof:MeasurementInputYieldMember2019-12-310000927628us-gaap:F</w:t>
      </w:r>
      <w:r>
        <w:rPr>
          <w:rFonts w:eastAsia="Times New Roman"/>
          <w:vanish/>
        </w:rPr>
        <w:t>airValueInputsLevel3Memberus-gaap:MeasurementInputConstantPrepaymentRateMemberus-gaap:ResidentialMortgageBackedSecuritiesMemberus-gaap:ValuationTechniqueDiscountedCashFlowMembersrt:WeightedAverageMemberus-gaap:FairValueMeasurementsRecurringMember2019-12-31</w:t>
      </w:r>
      <w:r>
        <w:rPr>
          <w:rFonts w:eastAsia="Times New Roman"/>
          <w:vanish/>
        </w:rPr>
        <w:t>0000927628us-gaap:FairValueInputsLevel3Memberus-gaap:ResidentialMortgageBackedSecuritiesMemberus-gaap:ValuationTechniqueDiscountedCashFlowMembersrt:WeightedAverageMemberus-gaap:FairValueMeasurementsRecurringMemberus-gaap:MeasurementInputDefaultRateMember20</w:t>
      </w:r>
      <w:r>
        <w:rPr>
          <w:rFonts w:eastAsia="Times New Roman"/>
          <w:vanish/>
        </w:rPr>
        <w:t>19-12-310000927628us-gaap:FairValueInputsLevel3Memberus-gaap:ResidentialMortgageBackedSecuritiesMemberus-gaap:ValuationTechniqueDiscountedCashFlowMembersrt:WeightedAverageMemberus-gaap:MeasurementInputLossSeverityMemberus-gaap:FairValueMeasurementsRecurrin</w:t>
      </w:r>
      <w:r>
        <w:rPr>
          <w:rFonts w:eastAsia="Times New Roman"/>
          <w:vanish/>
        </w:rPr>
        <w:t>gMember2019-12-310000927628us-gaap:FairValueInputsLevel3Memberus-gaap:CommercialMortgageBackedSecuritiesMemberus-gaap:ValuationTechniqueDiscountedCashFlowMemberus-gaap:FairValueMeasurementsRecurringMembercof:MeasurementInputYieldMembersrt:MinimumMember2019</w:t>
      </w:r>
      <w:r>
        <w:rPr>
          <w:rFonts w:eastAsia="Times New Roman"/>
          <w:vanish/>
        </w:rPr>
        <w:t>-12-310000927628us-gaap:FairValueInputsLevel3Memberus-gaap:CommercialMortgageBackedSecuritiesMemberus-gaap:ValuationTechniqueDiscountedCashFlowMembersrt:MaximumMemberus-gaap:FairValueMeasurementsRecurringMembercof:MeasurementInputYieldMember2019-12-3100009</w:t>
      </w:r>
      <w:r>
        <w:rPr>
          <w:rFonts w:eastAsia="Times New Roman"/>
          <w:vanish/>
        </w:rPr>
        <w:t>27628us-gaap:FairValueInputsLevel3Memberus-gaap:CommercialMortgageBackedSecuritiesMemberus-gaap:ValuationTechniqueDiscountedCashFlowMembersrt:WeightedAverageMemberus-gaap:FairValueMeasurementsRecurringMembercof:MeasurementInputYieldMember2019-12-3100009276</w:t>
      </w:r>
      <w:r>
        <w:rPr>
          <w:rFonts w:eastAsia="Times New Roman"/>
          <w:vanish/>
        </w:rPr>
        <w:t>28us-gaap:FairValueInputsLevel3Memberus-gaap:ValuationTechniqueDiscountedCashFlowMembercof:MeasurementInputLifeofReceivablesMemberus-gaap:FairValueMeasurementsRecurringMembersrt:MinimumMember2019-12-312019-12-310000927628us-gaap:FairValueInputsLevel3Member</w:t>
      </w:r>
      <w:r>
        <w:rPr>
          <w:rFonts w:eastAsia="Times New Roman"/>
          <w:vanish/>
        </w:rPr>
        <w:t>us-gaap:ValuationTechniqueDiscountedCashFlowMembercof:MeasurementInputLifeofReceivablesMembersrt:MaximumMemberus-gaap:FairValueMeasurementsRecurringMember2019-12-312019-12-310000927628us-gaap:FairValueInputsLevel3Memberus-gaap:MeasurementInputConstantPrepa</w:t>
      </w:r>
      <w:r>
        <w:rPr>
          <w:rFonts w:eastAsia="Times New Roman"/>
          <w:vanish/>
        </w:rPr>
        <w:t>ymentRateMemberus-gaap:ValuationTechniqueDiscountedCashFlowMemberus-gaap:FairValueMeasurementsRecurringMembersrt:MinimumMember2019-12-310000927628us-gaap:FairValueInputsLevel3Memberus-gaap:MeasurementInputConstantPrepaymentRateMemberus-gaap:ValuationTechni</w:t>
      </w:r>
      <w:r>
        <w:rPr>
          <w:rFonts w:eastAsia="Times New Roman"/>
          <w:vanish/>
        </w:rPr>
        <w:t>queDiscountedCashFlowMembersrt:MaximumMemberus-gaap:FairValueMeasurementsRecurringMember2019-12-310000927628us-gaap:FairValueInputsLevel3Memberus-gaap:MeasurementInputDiscountRateMemberus-gaap:ValuationTechniqueDiscountedCashFlowMemberus-gaap:FairValueMeas</w:t>
      </w:r>
      <w:r>
        <w:rPr>
          <w:rFonts w:eastAsia="Times New Roman"/>
          <w:vanish/>
        </w:rPr>
        <w:t>urementsRecurringMembersrt:MinimumMember2019-12-310000927628us-gaap:FairValueInputsLevel3Memberus-gaap:MeasurementInputDiscountRateMemberus-gaap:ValuationTechniqueDiscountedCashFlowMembersrt:MaximumMemberus-gaap:FairValueMeasurementsRecurringMember2019-12-</w:t>
      </w:r>
      <w:r>
        <w:rPr>
          <w:rFonts w:eastAsia="Times New Roman"/>
          <w:vanish/>
        </w:rPr>
        <w:t>310000927628us-gaap:FairValueInputsLevel3Memberus-gaap:ValuationTechniqueDiscountedCashFlowMemberus-gaap:FairValueMeasurementsRecurringMemberus-gaap:MeasurementInputDefaultRateMembersrt:MinimumMember2019-12-310000927628us-gaap:FairValueInputsLevel3Memberus</w:t>
      </w:r>
      <w:r>
        <w:rPr>
          <w:rFonts w:eastAsia="Times New Roman"/>
          <w:vanish/>
        </w:rPr>
        <w:t>-gaap:ValuationTechniqueDiscountedCashFlowMembersrt:MaximumMemberus-gaap:FairValueMeasurementsRecurringMemberus-gaap:MeasurementInputDefaultRateMember2019-12-310000927628us-gaap:FairValueInputsLevel3Memberus-gaap:ValuationTechniqueDiscountedCashFlowMemberu</w:t>
      </w:r>
      <w:r>
        <w:rPr>
          <w:rFonts w:eastAsia="Times New Roman"/>
          <w:vanish/>
        </w:rPr>
        <w:t>s-gaap:MeasurementInputLossSeverityMemberus-gaap:FairValueMeasurementsRecurringMembersrt:MinimumMember2019-12-310000927628us-gaap:FairValueInputsLevel3Memberus-gaap:ValuationTechniqueDiscountedCashFlowMemberus-gaap:MeasurementInputLossSeverityMembersrt:Max</w:t>
      </w:r>
      <w:r>
        <w:rPr>
          <w:rFonts w:eastAsia="Times New Roman"/>
          <w:vanish/>
        </w:rPr>
        <w:t>imumMemberus-gaap:FairValueMeasurementsRecurringMember2019-12-310000927628us-gaap:FairValueInputsLevel3Membercof:MeasurementInputSwapRatesMemberus-gaap:ValuationTechniqueDiscountedCashFlowMembersrt:MaximumMemberus-gaap:FairValueMeasurementsRecurringMember2</w:t>
      </w:r>
      <w:r>
        <w:rPr>
          <w:rFonts w:eastAsia="Times New Roman"/>
          <w:vanish/>
        </w:rPr>
        <w:t>019-12-310000927628us-gaap:FairValueInputsLevel3Membercof:MeasurementInputSwapRatesMemberus-gaap:ValuationTechniqueDiscountedCashFlowMemberus-gaap:FairValueMeasurementsRecurringMembersrt:MinimumMember2019-12-310000927628us-gaap:FairValueInputsLevel3Memberc</w:t>
      </w:r>
      <w:r>
        <w:rPr>
          <w:rFonts w:eastAsia="Times New Roman"/>
          <w:vanish/>
        </w:rPr>
        <w:t>of:MeasurementInputSwapRatesMemberus-gaap:ValuationTechniqueDiscountedCashFlowMembersrt:WeightedAverageMemberus-gaap:FairValueMeasurementsRecurringMember2019-12-310000927628us-gaap:FairValueInputsLevel2Memberus-gaap:FairValueMeasurementsNonrecurringMember2</w:t>
      </w:r>
      <w:r>
        <w:rPr>
          <w:rFonts w:eastAsia="Times New Roman"/>
          <w:vanish/>
        </w:rPr>
        <w:t>020-12-310000927628us-gaap:FairValueInputsLevel3Memberus-gaap:FairValueMeasurementsNonrecurringMember2020-12-310000927628us-gaap:FairValueMeasurementsNonrecurringMember2020-12-310000927628us-gaap:FairValueInputsLevel2Memberus-gaap:FairValueMeasurementsNonr</w:t>
      </w:r>
      <w:r>
        <w:rPr>
          <w:rFonts w:eastAsia="Times New Roman"/>
          <w:vanish/>
        </w:rPr>
        <w:t>ecurringMember2019-12-310000927628us-gaap:FairValueInputsLevel3Memberus-gaap:FairValueMeasurementsNonrecurringMember2019-12-310000927628us-gaap:FairValueMeasurementsNonrecurringMember2019-12-310000927628us-gaap:FairValueInputsLevel3Membercof:AppraisalValue</w:t>
      </w:r>
      <w:r>
        <w:rPr>
          <w:rFonts w:eastAsia="Times New Roman"/>
          <w:vanish/>
        </w:rPr>
        <w:t>Membercof:NonRecoverableRateMembersrt:MinimumMember2020-12-310000927628us-gaap:FairValueInputsLevel3Membercof:AppraisalValueMembercof:NonRecoverableRateMembersrt:MaximumMember2020-12-310000927628us-gaap:FairValueInputsLevel3Membercof:AppraisalValueMemberco</w:t>
      </w:r>
      <w:r>
        <w:rPr>
          <w:rFonts w:eastAsia="Times New Roman"/>
          <w:vanish/>
        </w:rPr>
        <w:t>f:NonRecoverableRateMembersrt:WeightedAverageMember2020-12-310000927628us-gaap:FairValueInputsLevel3Membercof:AppraisalValueMembercof:NonRecoverableRateMembersrt:MinimumMember2019-12-310000927628us-gaap:FairValueInputsLevel3Membercof:AppraisalValueMemberco</w:t>
      </w:r>
      <w:r>
        <w:rPr>
          <w:rFonts w:eastAsia="Times New Roman"/>
          <w:vanish/>
        </w:rPr>
        <w:t>f:NonRecoverableRateMembersrt:MaximumMember2019-12-310000927628us-gaap:FairValueInputsLevel3Membercof:AppraisalValueMembercof:NonRecoverableRateMembersrt:WeightedAverageMember2019-12-310000927628us-gaap:FairValueMeasurementsNonrecurringMember2020-01-012020</w:t>
      </w:r>
      <w:r>
        <w:rPr>
          <w:rFonts w:eastAsia="Times New Roman"/>
          <w:vanish/>
        </w:rPr>
        <w:t>-12-310000927628us-gaap:FairValueMeasurementsNonrecurringMember2019-01-012019-12-310000927628us-gaap:CarryingReportedAmountFairValueDisclosureMember2020-12-310000927628us-gaap:EstimateOfFairValueFairValueDisclosureMember2020-12-310000927628us-gaap:FairValu</w:t>
      </w:r>
      <w:r>
        <w:rPr>
          <w:rFonts w:eastAsia="Times New Roman"/>
          <w:vanish/>
        </w:rPr>
        <w:t>eInputsLevel1Member2020-12-310000927628us-gaap:FairValueInputsLevel2Member2020-12-310000927628us-gaap:FairValueInputsLevel3Member2020-12-310000927628us-gaap:CarryingReportedAmountFairValueDisclosureMember2019-12-310000927628us-gaap:EstimateOfFairValueFairV</w:t>
      </w:r>
      <w:r>
        <w:rPr>
          <w:rFonts w:eastAsia="Times New Roman"/>
          <w:vanish/>
        </w:rPr>
        <w:t>alueDisclosureMember2019-12-310000927628us-gaap:FairValueInputsLevel1Member2019-12-310000927628us-gaap:FairValueInputsLevel2Member2019-12-310000927628us-gaap:FairValueInputsLevel3Member2019-12-310000927628cof:CommercialBankingSegmentMembersrt:MinimumMember</w:t>
      </w:r>
      <w:r>
        <w:rPr>
          <w:rFonts w:eastAsia="Times New Roman"/>
          <w:vanish/>
        </w:rPr>
        <w:t>2020-01-012020-12-310000927628srt:MaximumMembercof:CommercialBankingSegmentMember2020-01-012020-12-310000927628us-gaap:OperatingSegmentsMembercof:CommercialBankingSegmentMember2018-01-012018-12-310000927628us-gaap:OperatingSegmentsMembercof:CreditCardSegme</w:t>
      </w:r>
      <w:r>
        <w:rPr>
          <w:rFonts w:eastAsia="Times New Roman"/>
          <w:vanish/>
        </w:rPr>
        <w:t>ntMember2020-01-012020-12-310000927628us-gaap:OperatingSegmentsMembercof:ConsumerBankingSegmentMember2020-01-012020-12-310000927628us-gaap:OperatingSegmentsMembercof:CommercialBankingSegmentMember2020-01-012020-12-310000927628us-gaap:CorporateNonSegmentMem</w:t>
      </w:r>
      <w:r>
        <w:rPr>
          <w:rFonts w:eastAsia="Times New Roman"/>
          <w:vanish/>
        </w:rPr>
        <w:t>ber2020-01-012020-12-310000927628us-gaap:OperatingSegmentsMembercof:CreditCardSegmentMember2020-12-310000927628us-gaap:OperatingSegmentsMembercof:ConsumerBankingSegmentMember2020-12-310000927628us-gaap:OperatingSegmentsMembercof:CommercialBankingSegmentMem</w:t>
      </w:r>
      <w:r>
        <w:rPr>
          <w:rFonts w:eastAsia="Times New Roman"/>
          <w:vanish/>
        </w:rPr>
        <w:t>ber2020-12-310000927628us-gaap:CorporateNonSegmentMember2020-12-310000927628us-gaap:OperatingSegmentsMembercof:CreditCardSegmentMember2019-01-012019-12-310000927628us-gaap:OperatingSegmentsMembercof:ConsumerBankingSegmentMember2019-01-012019-12-31000092762</w:t>
      </w:r>
      <w:r>
        <w:rPr>
          <w:rFonts w:eastAsia="Times New Roman"/>
          <w:vanish/>
        </w:rPr>
        <w:t>8us-gaap:OperatingSegmentsMembercof:CommercialBankingSegmentMember2019-01-012019-12-310000927628us-gaap:CorporateNonSegmentMember2019-01-012019-12-310000927628us-gaap:OperatingSegmentsMembercof:CreditCardSegmentMember2019-12-310000927628us-gaap:OperatingSe</w:t>
      </w:r>
      <w:r>
        <w:rPr>
          <w:rFonts w:eastAsia="Times New Roman"/>
          <w:vanish/>
        </w:rPr>
        <w:t>gmentsMembercof:ConsumerBankingSegmentMember2019-12-310000927628us-gaap:OperatingSegmentsMembercof:CommercialBankingSegmentMember2019-12-310000927628us-gaap:CorporateNonSegmentMember2019-12-310000927628us-gaap:OperatingSegmentsMembercof:CreditCardSegmentMe</w:t>
      </w:r>
      <w:r>
        <w:rPr>
          <w:rFonts w:eastAsia="Times New Roman"/>
          <w:vanish/>
        </w:rPr>
        <w:t>mber2018-01-012018-12-310000927628us-gaap:OperatingSegmentsMembercof:ConsumerBankingSegmentMember2018-01-012018-12-310000927628us-gaap:CorporateNonSegmentMember2018-01-012018-12-310000927628us-gaap:OperatingSegmentsMembercof:CreditCardSegmentMember2018-12-</w:t>
      </w:r>
      <w:r>
        <w:rPr>
          <w:rFonts w:eastAsia="Times New Roman"/>
          <w:vanish/>
        </w:rPr>
        <w:t>310000927628us-gaap:OperatingSegmentsMembercof:ConsumerBankingSegmentMember2018-12-310000927628us-gaap:OperatingSegmentsMembercof:CommercialBankingSegmentMember2018-12-310000927628us-gaap:CorporateNonSegmentMember2018-12-310000927628us-gaap:OperatingSegmen</w:t>
      </w:r>
      <w:r>
        <w:rPr>
          <w:rFonts w:eastAsia="Times New Roman"/>
          <w:vanish/>
        </w:rPr>
        <w:t>tsMembercof:CreditCardSegmentMembercof:InterchangeFeesContractsMember2020-01-012020-12-310000927628us-gaap:OperatingSegmentsMembercof:InterchangeFeesContractsMembercof:ConsumerBankingSegmentMember2020-01-012020-12-310000927628us-gaap:OperatingSegmentsMembe</w:t>
      </w:r>
      <w:r>
        <w:rPr>
          <w:rFonts w:eastAsia="Times New Roman"/>
          <w:vanish/>
        </w:rPr>
        <w:t>rcof:InterchangeFeesContractsMembercof:CommercialBankingSegmentMember2020-01-012020-12-310000927628cof:InterchangeFeesContractsMemberus-gaap:CorporateNonSegmentMember2020-01-012020-12-310000927628cof:InterchangeFeesContractsMember2020-01-012020-12-31000092</w:t>
      </w:r>
      <w:r>
        <w:rPr>
          <w:rFonts w:eastAsia="Times New Roman"/>
          <w:vanish/>
        </w:rPr>
        <w:t>7628us-gaap:OperatingSegmentsMembercof:ServiceChargesAndOtherCustomerFeesContractsMembercof:CreditCardSegmentMember2020-01-012020-12-310000927628us-gaap:OperatingSegmentsMembercof:ServiceChargesAndOtherCustomerFeesContractsMembercof:ConsumerBankingSegmentM</w:t>
      </w:r>
      <w:r>
        <w:rPr>
          <w:rFonts w:eastAsia="Times New Roman"/>
          <w:vanish/>
        </w:rPr>
        <w:t>ember2020-01-012020-12-310000927628us-gaap:OperatingSegmentsMembercof:ServiceChargesAndOtherCustomerFeesContractsMembercof:CommercialBankingSegmentMember2020-01-012020-12-310000927628cof:ServiceChargesAndOtherCustomerFeesContractsMemberus-gaap:CorporateNon</w:t>
      </w:r>
      <w:r>
        <w:rPr>
          <w:rFonts w:eastAsia="Times New Roman"/>
          <w:vanish/>
        </w:rPr>
        <w:t>SegmentMember2020-01-012020-12-310000927628cof:ServiceChargesAndOtherCustomerFeesContractsMember2020-01-012020-12-310000927628us-gaap:OperatingSegmentsMembercof:CreditCardSegmentMembercof:OtherContractRevenueMember2020-01-012020-12-310000927628us-gaap:Oper</w:t>
      </w:r>
      <w:r>
        <w:rPr>
          <w:rFonts w:eastAsia="Times New Roman"/>
          <w:vanish/>
        </w:rPr>
        <w:t>atingSegmentsMembercof:OtherContractRevenueMembercof:ConsumerBankingSegmentMember2020-01-012020-12-310000927628us-gaap:OperatingSegmentsMembercof:OtherContractRevenueMembercof:CommercialBankingSegmentMember2020-01-012020-12-310000927628us-gaap:CorporateNon</w:t>
      </w:r>
      <w:r>
        <w:rPr>
          <w:rFonts w:eastAsia="Times New Roman"/>
          <w:vanish/>
        </w:rPr>
        <w:t>SegmentMembercof:OtherContractRevenueMember2020-01-012020-12-310000927628cof:OtherContractRevenueMember2020-01-012020-12-310000927628us-gaap:OperatingSegmentsMembercof:CreditCardSegmentMembercof:InterchangeFeesContractsMember2019-01-012019-12-310000927628u</w:t>
      </w:r>
      <w:r>
        <w:rPr>
          <w:rFonts w:eastAsia="Times New Roman"/>
          <w:vanish/>
        </w:rPr>
        <w:t>s-gaap:OperatingSegmentsMembercof:InterchangeFeesContractsMembercof:ConsumerBankingSegmentMember2019-01-012019-12-310000927628us-gaap:OperatingSegmentsMembercof:InterchangeFeesContractsMembercof:CommercialBankingSegmentMember2019-01-012019-12-310000927628c</w:t>
      </w:r>
      <w:r>
        <w:rPr>
          <w:rFonts w:eastAsia="Times New Roman"/>
          <w:vanish/>
        </w:rPr>
        <w:t>of:InterchangeFeesContractsMemberus-gaap:CorporateNonSegmentMember2019-01-012019-12-310000927628cof:InterchangeFeesContractsMember2019-01-012019-12-310000927628us-gaap:OperatingSegmentsMembercof:ServiceChargesAndOtherCustomerFeesContractsMembercof:CreditCa</w:t>
      </w:r>
      <w:r>
        <w:rPr>
          <w:rFonts w:eastAsia="Times New Roman"/>
          <w:vanish/>
        </w:rPr>
        <w:t>rdSegmentMember2019-01-012019-12-310000927628us-gaap:OperatingSegmentsMembercof:ServiceChargesAndOtherCustomerFeesContractsMembercof:ConsumerBankingSegmentMember2019-01-012019-12-310000927628us-gaap:OperatingSegmentsMembercof:ServiceChargesAndOtherCustomer</w:t>
      </w:r>
      <w:r>
        <w:rPr>
          <w:rFonts w:eastAsia="Times New Roman"/>
          <w:vanish/>
        </w:rPr>
        <w:t>FeesContractsMembercof:CommercialBankingSegmentMember2019-01-012019-12-310000927628cof:ServiceChargesAndOtherCustomerFeesContractsMemberus-gaap:CorporateNonSegmentMember2019-01-012019-12-310000927628cof:ServiceChargesAndOtherCustomerFeesContractsMember2019</w:t>
      </w:r>
      <w:r>
        <w:rPr>
          <w:rFonts w:eastAsia="Times New Roman"/>
          <w:vanish/>
        </w:rPr>
        <w:t>-01-012019-12-310000927628us-gaap:OperatingSegmentsMembercof:CreditCardSegmentMembercof:OtherContractRevenueMember2019-01-012019-12-310000927628us-gaap:OperatingSegmentsMembercof:OtherContractRevenueMembercof:ConsumerBankingSegmentMember2019-01-012019-12-3</w:t>
      </w:r>
      <w:r>
        <w:rPr>
          <w:rFonts w:eastAsia="Times New Roman"/>
          <w:vanish/>
        </w:rPr>
        <w:t>10000927628us-gaap:OperatingSegmentsMembercof:OtherContractRevenueMembercof:CommercialBankingSegmentMember2019-01-012019-12-310000927628us-gaap:CorporateNonSegmentMembercof:OtherContractRevenueMember2019-01-012019-12-310000927628cof:OtherContractRevenueMem</w:t>
      </w:r>
      <w:r>
        <w:rPr>
          <w:rFonts w:eastAsia="Times New Roman"/>
          <w:vanish/>
        </w:rPr>
        <w:t>ber2019-01-012019-12-310000927628us-gaap:OperatingSegmentsMembercof:CreditCardSegmentMembercof:InterchangeFeesContractsMember2018-01-012018-12-310000927628us-gaap:OperatingSegmentsMembercof:InterchangeFeesContractsMembercof:ConsumerBankingSegmentMember2018</w:t>
      </w:r>
      <w:r>
        <w:rPr>
          <w:rFonts w:eastAsia="Times New Roman"/>
          <w:vanish/>
        </w:rPr>
        <w:t>-01-012018-12-310000927628us-gaap:OperatingSegmentsMembercof:InterchangeFeesContractsMembercof:CommercialBankingSegmentMember2018-01-012018-12-310000927628cof:InterchangeFeesContractsMemberus-gaap:CorporateNonSegmentMember2018-01-012018-12-310000927628cof:</w:t>
      </w:r>
      <w:r>
        <w:rPr>
          <w:rFonts w:eastAsia="Times New Roman"/>
          <w:vanish/>
        </w:rPr>
        <w:t>InterchangeFeesContractsMember2018-01-012018-12-310000927628us-gaap:OperatingSegmentsMembercof:ServiceChargesAndOtherCustomerFeesContractsMembercof:CreditCardSegmentMember2018-01-012018-12-310000927628us-gaap:OperatingSegmentsMembercof:ServiceChargesAndOth</w:t>
      </w:r>
      <w:r>
        <w:rPr>
          <w:rFonts w:eastAsia="Times New Roman"/>
          <w:vanish/>
        </w:rPr>
        <w:t>erCustomerFeesContractsMembercof:ConsumerBankingSegmentMember2018-01-012018-12-310000927628us-gaap:OperatingSegmentsMembercof:ServiceChargesAndOtherCustomerFeesContractsMembercof:CommercialBankingSegmentMember2018-01-012018-12-310000927628cof:ServiceCharge</w:t>
      </w:r>
      <w:r>
        <w:rPr>
          <w:rFonts w:eastAsia="Times New Roman"/>
          <w:vanish/>
        </w:rPr>
        <w:t>sAndOtherCustomerFeesContractsMemberus-gaap:CorporateNonSegmentMember2018-01-012018-12-310000927628cof:ServiceChargesAndOtherCustomerFeesContractsMember2018-01-012018-12-310000927628us-gaap:OperatingSegmentsMembercof:CreditCardSegmentMembercof:OtherContrac</w:t>
      </w:r>
      <w:r>
        <w:rPr>
          <w:rFonts w:eastAsia="Times New Roman"/>
          <w:vanish/>
        </w:rPr>
        <w:t>tRevenueMember2018-01-012018-12-310000927628us-gaap:OperatingSegmentsMembercof:OtherContractRevenueMembercof:ConsumerBankingSegmentMember2018-01-012018-12-310000927628us-gaap:OperatingSegmentsMembercof:OtherContractRevenueMembercof:CommercialBankingSegment</w:t>
      </w:r>
      <w:r>
        <w:rPr>
          <w:rFonts w:eastAsia="Times New Roman"/>
          <w:vanish/>
        </w:rPr>
        <w:t>Member2018-01-012018-12-310000927628us-gaap:CorporateNonSegmentMembercof:OtherContractRevenueMember2018-01-012018-12-310000927628cof:OtherContractRevenueMember2018-01-012018-12-310000927628cof:OtherPortfolioSegmentsExcludingCreditCardMember2020-12-31000092</w:t>
      </w:r>
      <w:r>
        <w:rPr>
          <w:rFonts w:eastAsia="Times New Roman"/>
          <w:vanish/>
        </w:rPr>
        <w:t>7628cof:OtherPortfolioSegmentsExcludingCreditCardMember2019-12-310000927628us-gaap:LetterOfCreditMember2020-12-310000927628us-gaap:LetterOfCreditMember2019-12-310000927628cof:LossSharingAgreementMember2020-12-310000927628cof:LossSharingAgreementMember2019-</w:t>
      </w:r>
      <w:r>
        <w:rPr>
          <w:rFonts w:eastAsia="Times New Roman"/>
          <w:vanish/>
        </w:rPr>
        <w:t>12-310000927628us-gaap:InsuranceClaimsMember2019-12-310000927628cof:InterchangeLitigationMemberus-gaap:PendingLitigationMember2020-01-012020-12-310000927628cof:AntiMoneyLaunderingMember2018-10-012018-10-310000927628us-gaap:SubsequentEventMembercof:AntiMone</w:t>
      </w:r>
      <w:r>
        <w:rPr>
          <w:rFonts w:eastAsia="Times New Roman"/>
          <w:vanish/>
        </w:rPr>
        <w:t>yLaunderingMember2021-01-012021-01-31cof:claim0000927628cof:CybersecurityIncidentMember2020-12-310000927628country:UScof:CybersecurityIncidentMember2020-12-310000927628cof:CybersecurityIncidentMembercountry:CA2020-12-310000927628srt:ParentCompanyMember2020</w:t>
      </w:r>
      <w:r>
        <w:rPr>
          <w:rFonts w:eastAsia="Times New Roman"/>
          <w:vanish/>
        </w:rPr>
        <w:t>-01-012020-12-310000927628srt:ParentCompanyMember2019-01-012019-12-310000927628srt:ParentCompanyMember2018-01-012018-12-310000927628srt:ParentCompanyMember2018-12-310000927628srt:ParentCompanyMember2017-12-31</w:t>
      </w:r>
    </w:p>
    <w:p w:rsidR="00000000" w:rsidRDefault="00E0782F">
      <w:pPr>
        <w:jc w:val="both"/>
        <w:divId w:val="657421556"/>
        <w:rPr>
          <w:rFonts w:eastAsia="Times New Roman"/>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divId w:val="2065635375"/>
          <w:jc w:val="center"/>
        </w:trPr>
        <w:tc>
          <w:tcPr>
            <w:tcW w:w="50" w:type="pct"/>
            <w:vAlign w:val="center"/>
            <w:hideMark/>
          </w:tcPr>
          <w:p w:rsidR="00000000" w:rsidRDefault="00E0782F">
            <w:pPr>
              <w:jc w:val="both"/>
              <w:rPr>
                <w:rFonts w:eastAsia="Times New Roman"/>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65635375"/>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jc w:val="center"/>
        <w:rPr>
          <w:rFonts w:eastAsia="Times New Roman"/>
        </w:rPr>
      </w:pPr>
      <w:r>
        <w:rPr>
          <w:rFonts w:eastAsia="Times New Roman"/>
          <w:b/>
          <w:bCs/>
          <w:color w:val="000000"/>
          <w:sz w:val="22"/>
          <w:szCs w:val="22"/>
        </w:rPr>
        <w:t>UNITED STATES</w:t>
      </w:r>
    </w:p>
    <w:p w:rsidR="00000000" w:rsidRDefault="00E0782F">
      <w:pPr>
        <w:jc w:val="center"/>
        <w:rPr>
          <w:rFonts w:eastAsia="Times New Roman"/>
        </w:rPr>
      </w:pPr>
      <w:r>
        <w:rPr>
          <w:rFonts w:eastAsia="Times New Roman"/>
          <w:b/>
          <w:bCs/>
          <w:color w:val="000000"/>
          <w:sz w:val="22"/>
          <w:szCs w:val="22"/>
        </w:rPr>
        <w:t>SECURITIES AND EXCHANGE COMMISSION</w:t>
      </w:r>
    </w:p>
    <w:p w:rsidR="00000000" w:rsidRDefault="00E0782F">
      <w:pPr>
        <w:jc w:val="center"/>
        <w:rPr>
          <w:rFonts w:eastAsia="Times New Roman"/>
        </w:rPr>
      </w:pPr>
      <w:r>
        <w:rPr>
          <w:rFonts w:eastAsia="Times New Roman"/>
          <w:b/>
          <w:bCs/>
          <w:color w:val="000000"/>
          <w:sz w:val="18"/>
          <w:szCs w:val="18"/>
        </w:rPr>
        <w:t>Washington, D.C. 20549</w:t>
      </w:r>
    </w:p>
    <w:p w:rsidR="00000000" w:rsidRDefault="00E0782F">
      <w:pPr>
        <w:jc w:val="center"/>
        <w:rPr>
          <w:rFonts w:eastAsia="Times New Roman"/>
        </w:rPr>
      </w:pPr>
      <w:r>
        <w:rPr>
          <w:rFonts w:eastAsia="Times New Roman"/>
          <w:color w:val="000000"/>
          <w:sz w:val="12"/>
          <w:szCs w:val="12"/>
        </w:rPr>
        <w:t>____________________________________</w:t>
      </w:r>
    </w:p>
    <w:p w:rsidR="00000000" w:rsidRDefault="00E0782F">
      <w:pPr>
        <w:jc w:val="center"/>
        <w:divId w:val="1647510380"/>
        <w:rPr>
          <w:rFonts w:eastAsia="Times New Roman"/>
        </w:rPr>
      </w:pPr>
      <w:r>
        <w:rPr>
          <w:rFonts w:eastAsia="Times New Roman"/>
          <w:b/>
          <w:bCs/>
          <w:color w:val="000000"/>
          <w:sz w:val="28"/>
          <w:szCs w:val="28"/>
        </w:rPr>
        <w:t xml:space="preserve">FORM 10-K </w:t>
      </w:r>
    </w:p>
    <w:p w:rsidR="00000000" w:rsidRDefault="00E0782F">
      <w:pPr>
        <w:jc w:val="center"/>
        <w:rPr>
          <w:rFonts w:eastAsia="Times New Roman"/>
        </w:rPr>
      </w:pPr>
      <w:r>
        <w:rPr>
          <w:rFonts w:eastAsia="Times New Roman"/>
          <w:color w:val="000000"/>
          <w:sz w:val="12"/>
          <w:szCs w:val="12"/>
        </w:rPr>
        <w:t>____________________________________</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divId w:val="1270040550"/>
          <w:jc w:val="center"/>
        </w:trPr>
        <w:tc>
          <w:tcPr>
            <w:tcW w:w="50" w:type="pct"/>
            <w:vAlign w:val="center"/>
            <w:hideMark/>
          </w:tcPr>
          <w:p w:rsidR="00000000" w:rsidRDefault="00E0782F">
            <w:pPr>
              <w:jc w:val="center"/>
              <w:rPr>
                <w:rFonts w:eastAsia="Times New Roman"/>
              </w:rPr>
            </w:pPr>
          </w:p>
        </w:tc>
        <w:tc>
          <w:tcPr>
            <w:tcW w:w="1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70040550"/>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7"/>
                <w:szCs w:val="17"/>
              </w:rPr>
              <w:t>ANNUAL REPORT PURSUANT TO SECTION 13 OR 15(d) OF THE SECURITIES EXCHANGE ACT OF 1934</w:t>
            </w:r>
          </w:p>
        </w:tc>
      </w:tr>
    </w:tbl>
    <w:p w:rsidR="00000000" w:rsidRDefault="00E0782F">
      <w:pPr>
        <w:jc w:val="center"/>
        <w:divId w:val="1627005662"/>
        <w:rPr>
          <w:rFonts w:eastAsia="Times New Roman"/>
        </w:rPr>
      </w:pPr>
      <w:r>
        <w:rPr>
          <w:rFonts w:eastAsia="Times New Roman"/>
          <w:b/>
          <w:bCs/>
          <w:color w:val="000000"/>
          <w:sz w:val="18"/>
          <w:szCs w:val="18"/>
        </w:rPr>
        <w:t xml:space="preserve">For the fiscal year ended December 31, 2020 </w:t>
      </w:r>
    </w:p>
    <w:p w:rsidR="00000000" w:rsidRDefault="00E0782F">
      <w:pPr>
        <w:jc w:val="center"/>
        <w:divId w:val="967736904"/>
        <w:rPr>
          <w:rFonts w:eastAsia="Times New Roman"/>
        </w:rPr>
      </w:pPr>
      <w:r>
        <w:rPr>
          <w:rFonts w:eastAsia="Times New Roman"/>
          <w:b/>
          <w:bCs/>
          <w:color w:val="000000"/>
          <w:sz w:val="15"/>
          <w:szCs w:val="15"/>
        </w:rPr>
        <w:t>OR</w:t>
      </w:r>
    </w:p>
    <w:tbl>
      <w:tblPr>
        <w:tblW w:w="4462" w:type="pct"/>
        <w:jc w:val="center"/>
        <w:tblCellMar>
          <w:top w:w="15" w:type="dxa"/>
          <w:left w:w="15" w:type="dxa"/>
          <w:bottom w:w="15" w:type="dxa"/>
          <w:right w:w="15" w:type="dxa"/>
        </w:tblCellMar>
        <w:tblLook w:val="04A0" w:firstRow="1" w:lastRow="0" w:firstColumn="1" w:lastColumn="0" w:noHBand="0" w:noVBand="1"/>
      </w:tblPr>
      <w:tblGrid>
        <w:gridCol w:w="59"/>
        <w:gridCol w:w="272"/>
        <w:gridCol w:w="36"/>
        <w:gridCol w:w="60"/>
        <w:gridCol w:w="6949"/>
        <w:gridCol w:w="36"/>
      </w:tblGrid>
      <w:tr w:rsidR="00000000">
        <w:trPr>
          <w:divId w:val="276258111"/>
          <w:jc w:val="center"/>
        </w:trPr>
        <w:tc>
          <w:tcPr>
            <w:tcW w:w="50" w:type="pct"/>
            <w:vAlign w:val="center"/>
            <w:hideMark/>
          </w:tcPr>
          <w:p w:rsidR="00000000" w:rsidRDefault="00E0782F">
            <w:pPr>
              <w:jc w:val="center"/>
              <w:rPr>
                <w:rFonts w:eastAsia="Times New Roman"/>
              </w:rPr>
            </w:pPr>
          </w:p>
        </w:tc>
        <w:tc>
          <w:tcPr>
            <w:tcW w:w="1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76258111"/>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7"/>
                <w:szCs w:val="17"/>
              </w:rPr>
              <w:t>TRANSITION REPORT PURSUANT TO SECTION 13 OR 15(d) OF THE SECURITIES EXCHANGE ACT OF 1934</w:t>
            </w:r>
          </w:p>
        </w:tc>
      </w:tr>
    </w:tbl>
    <w:p w:rsidR="00000000" w:rsidRDefault="00E0782F">
      <w:pPr>
        <w:jc w:val="center"/>
        <w:rPr>
          <w:rFonts w:eastAsia="Times New Roman"/>
        </w:rPr>
      </w:pPr>
      <w:r>
        <w:rPr>
          <w:rFonts w:eastAsia="Times New Roman"/>
          <w:b/>
          <w:bCs/>
          <w:color w:val="000000"/>
          <w:sz w:val="18"/>
          <w:szCs w:val="18"/>
        </w:rPr>
        <w:t xml:space="preserve">For the transition period from </w:t>
      </w:r>
      <w:r>
        <w:rPr>
          <w:rFonts w:eastAsia="Times New Roman"/>
          <w:b/>
          <w:bCs/>
          <w:color w:val="000000"/>
          <w:sz w:val="18"/>
          <w:szCs w:val="18"/>
          <w:u w:val="single"/>
        </w:rPr>
        <w:t>            </w:t>
      </w:r>
      <w:r>
        <w:rPr>
          <w:rFonts w:eastAsia="Times New Roman"/>
          <w:b/>
          <w:bCs/>
          <w:color w:val="000000"/>
          <w:sz w:val="18"/>
          <w:szCs w:val="18"/>
        </w:rPr>
        <w:t xml:space="preserve"> to </w:t>
      </w:r>
      <w:r>
        <w:rPr>
          <w:rFonts w:eastAsia="Times New Roman"/>
          <w:b/>
          <w:bCs/>
          <w:color w:val="000000"/>
          <w:sz w:val="18"/>
          <w:szCs w:val="18"/>
          <w:u w:val="single"/>
        </w:rPr>
        <w:t>            </w:t>
      </w:r>
    </w:p>
    <w:p w:rsidR="00000000" w:rsidRDefault="00E0782F">
      <w:pPr>
        <w:jc w:val="center"/>
        <w:divId w:val="1310406638"/>
        <w:rPr>
          <w:rFonts w:eastAsia="Times New Roman"/>
        </w:rPr>
      </w:pPr>
      <w:r>
        <w:rPr>
          <w:rFonts w:eastAsia="Times New Roman"/>
          <w:b/>
          <w:bCs/>
          <w:color w:val="000000"/>
          <w:sz w:val="18"/>
          <w:szCs w:val="18"/>
        </w:rPr>
        <w:t xml:space="preserve">Commission File No. 001-13300 </w:t>
      </w:r>
    </w:p>
    <w:p w:rsidR="00000000" w:rsidRDefault="00E0782F">
      <w:pPr>
        <w:jc w:val="center"/>
        <w:rPr>
          <w:rFonts w:eastAsia="Times New Roman"/>
        </w:rPr>
      </w:pPr>
      <w:r>
        <w:rPr>
          <w:rFonts w:eastAsia="Times New Roman"/>
          <w:color w:val="000000"/>
          <w:sz w:val="12"/>
          <w:szCs w:val="12"/>
        </w:rPr>
        <w:t>____________________________________</w:t>
      </w:r>
    </w:p>
    <w:p w:rsidR="00000000" w:rsidRDefault="00E0782F">
      <w:pPr>
        <w:jc w:val="center"/>
        <w:divId w:val="902762491"/>
        <w:rPr>
          <w:rFonts w:eastAsia="Times New Roman"/>
        </w:rPr>
      </w:pPr>
      <w:r>
        <w:rPr>
          <w:rFonts w:eastAsia="Times New Roman"/>
          <w:b/>
          <w:bCs/>
          <w:color w:val="000000"/>
          <w:sz w:val="32"/>
          <w:szCs w:val="32"/>
        </w:rPr>
        <w:t>CAPITAL ONE FINANCIAL CORP</w:t>
      </w:r>
      <w:r>
        <w:rPr>
          <w:rFonts w:eastAsia="Times New Roman"/>
          <w:b/>
          <w:bCs/>
          <w:color w:val="000000"/>
          <w:sz w:val="32"/>
          <w:szCs w:val="32"/>
        </w:rPr>
        <w:t>ORATION</w:t>
      </w:r>
    </w:p>
    <w:p w:rsidR="00000000" w:rsidRDefault="00E0782F">
      <w:pPr>
        <w:jc w:val="center"/>
        <w:divId w:val="395592225"/>
        <w:rPr>
          <w:rFonts w:eastAsia="Times New Roman"/>
        </w:rPr>
      </w:pPr>
      <w:r>
        <w:rPr>
          <w:rFonts w:eastAsia="Times New Roman"/>
          <w:b/>
          <w:bCs/>
          <w:color w:val="000000"/>
          <w:sz w:val="16"/>
          <w:szCs w:val="16"/>
        </w:rPr>
        <w:t>(Exact name of registrant as specified in its charter)</w:t>
      </w:r>
      <w:r>
        <w:rPr>
          <w:rFonts w:eastAsia="Times New Roman"/>
          <w:color w:val="000000"/>
          <w:sz w:val="16"/>
          <w:szCs w:val="16"/>
        </w:rPr>
        <w:t> </w:t>
      </w:r>
    </w:p>
    <w:p w:rsidR="00000000" w:rsidRDefault="00E0782F">
      <w:pPr>
        <w:jc w:val="center"/>
        <w:rPr>
          <w:rFonts w:eastAsia="Times New Roman"/>
        </w:rPr>
      </w:pPr>
      <w:r>
        <w:rPr>
          <w:rFonts w:eastAsia="Times New Roman"/>
          <w:color w:val="000000"/>
          <w:sz w:val="12"/>
          <w:szCs w:val="12"/>
        </w:rPr>
        <w:t>____________________________________</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361"/>
        <w:gridCol w:w="39"/>
        <w:gridCol w:w="69"/>
        <w:gridCol w:w="2361"/>
        <w:gridCol w:w="37"/>
        <w:gridCol w:w="69"/>
        <w:gridCol w:w="173"/>
        <w:gridCol w:w="36"/>
        <w:gridCol w:w="69"/>
        <w:gridCol w:w="2975"/>
        <w:gridCol w:w="36"/>
      </w:tblGrid>
      <w:tr w:rsidR="00000000">
        <w:trPr>
          <w:divId w:val="599727076"/>
          <w:jc w:val="center"/>
        </w:trPr>
        <w:tc>
          <w:tcPr>
            <w:tcW w:w="50" w:type="pct"/>
            <w:vAlign w:val="center"/>
            <w:hideMark/>
          </w:tcPr>
          <w:p w:rsidR="00000000" w:rsidRDefault="00E0782F">
            <w:pPr>
              <w:jc w:val="center"/>
              <w:rPr>
                <w:rFonts w:eastAsia="Times New Roman"/>
              </w:rPr>
            </w:pPr>
          </w:p>
        </w:tc>
        <w:tc>
          <w:tcPr>
            <w:tcW w:w="143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43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80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99727076"/>
          <w:jc w:val="center"/>
        </w:trPr>
        <w:tc>
          <w:tcPr>
            <w:tcW w:w="0" w:type="auto"/>
            <w:gridSpan w:val="6"/>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16"/>
                <w:szCs w:val="16"/>
              </w:rPr>
              <w:t>Delaware</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16"/>
                <w:szCs w:val="16"/>
              </w:rPr>
              <w:t>54-1719854</w:t>
            </w:r>
          </w:p>
        </w:tc>
      </w:tr>
      <w:tr w:rsidR="00000000">
        <w:trPr>
          <w:divId w:val="599727076"/>
          <w:jc w:val="center"/>
        </w:trPr>
        <w:tc>
          <w:tcPr>
            <w:tcW w:w="0" w:type="auto"/>
            <w:gridSpan w:val="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(I.R.S. Employer Identification No.)</w:t>
            </w:r>
          </w:p>
        </w:tc>
      </w:tr>
      <w:tr w:rsidR="00000000">
        <w:trPr>
          <w:divId w:val="599727076"/>
          <w:jc w:val="center"/>
        </w:trPr>
        <w:tc>
          <w:tcPr>
            <w:tcW w:w="0" w:type="auto"/>
            <w:gridSpan w:val="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1680 Capital One Drive,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99727076"/>
          <w:jc w:val="center"/>
        </w:trPr>
        <w:tc>
          <w:tcPr>
            <w:tcW w:w="0" w:type="auto"/>
            <w:gridSpan w:val="3"/>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b/>
                <w:bCs/>
                <w:color w:val="000000"/>
                <w:sz w:val="16"/>
                <w:szCs w:val="16"/>
              </w:rPr>
              <w:t>McLean,</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Virginia</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22102</w:t>
            </w:r>
          </w:p>
        </w:tc>
      </w:tr>
      <w:tr w:rsidR="00000000">
        <w:trPr>
          <w:divId w:val="599727076"/>
          <w:jc w:val="center"/>
        </w:trPr>
        <w:tc>
          <w:tcPr>
            <w:tcW w:w="0" w:type="auto"/>
            <w:gridSpan w:val="6"/>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16"/>
                <w:szCs w:val="16"/>
              </w:rPr>
              <w:t>(Zip Code)</w:t>
            </w:r>
          </w:p>
        </w:tc>
      </w:tr>
    </w:tbl>
    <w:p w:rsidR="00000000" w:rsidRDefault="00E0782F">
      <w:pPr>
        <w:jc w:val="center"/>
        <w:divId w:val="105934201"/>
        <w:rPr>
          <w:rFonts w:eastAsia="Times New Roman"/>
        </w:rPr>
      </w:pPr>
      <w:r>
        <w:rPr>
          <w:rFonts w:eastAsia="Times New Roman"/>
          <w:b/>
          <w:bCs/>
          <w:color w:val="000000"/>
          <w:sz w:val="16"/>
          <w:szCs w:val="16"/>
        </w:rPr>
        <w:t>Registrant’s telephone number, including area code: (703) 720-1000</w:t>
      </w:r>
    </w:p>
    <w:p w:rsidR="00000000" w:rsidRDefault="00E0782F">
      <w:pPr>
        <w:jc w:val="center"/>
        <w:rPr>
          <w:rFonts w:eastAsia="Times New Roman"/>
        </w:rPr>
      </w:pPr>
      <w:r>
        <w:rPr>
          <w:rFonts w:eastAsia="Times New Roman"/>
          <w:color w:val="000000"/>
          <w:sz w:val="12"/>
          <w:szCs w:val="12"/>
        </w:rPr>
        <w:t>____________________________________</w:t>
      </w:r>
    </w:p>
    <w:p w:rsidR="00000000" w:rsidRDefault="00E0782F">
      <w:pPr>
        <w:jc w:val="center"/>
        <w:divId w:val="1493521718"/>
        <w:rPr>
          <w:rFonts w:eastAsia="Times New Roman"/>
        </w:rPr>
      </w:pPr>
      <w:r>
        <w:rPr>
          <w:rFonts w:eastAsia="Times New Roman"/>
          <w:b/>
          <w:bCs/>
          <w:color w:val="000000"/>
          <w:sz w:val="16"/>
          <w:szCs w:val="16"/>
        </w:rPr>
        <w:t>Securities registered pursuant to Section 12(b) of the Act:</w:t>
      </w:r>
    </w:p>
    <w:tbl>
      <w:tblPr>
        <w:tblW w:w="4993" w:type="pct"/>
        <w:jc w:val="center"/>
        <w:tblCellMar>
          <w:top w:w="15" w:type="dxa"/>
          <w:left w:w="15" w:type="dxa"/>
          <w:bottom w:w="15" w:type="dxa"/>
          <w:right w:w="15" w:type="dxa"/>
        </w:tblCellMar>
        <w:tblLook w:val="04A0" w:firstRow="1" w:lastRow="0" w:firstColumn="1" w:lastColumn="0" w:noHBand="0" w:noVBand="1"/>
      </w:tblPr>
      <w:tblGrid>
        <w:gridCol w:w="50"/>
        <w:gridCol w:w="5201"/>
        <w:gridCol w:w="38"/>
        <w:gridCol w:w="89"/>
        <w:gridCol w:w="628"/>
        <w:gridCol w:w="36"/>
        <w:gridCol w:w="50"/>
        <w:gridCol w:w="2166"/>
        <w:gridCol w:w="36"/>
      </w:tblGrid>
      <w:tr w:rsidR="00000000">
        <w:trPr>
          <w:jc w:val="center"/>
        </w:trPr>
        <w:tc>
          <w:tcPr>
            <w:tcW w:w="50" w:type="pct"/>
            <w:vAlign w:val="center"/>
            <w:hideMark/>
          </w:tcPr>
          <w:p w:rsidR="00000000" w:rsidRDefault="00E0782F">
            <w:pPr>
              <w:jc w:val="center"/>
              <w:rPr>
                <w:rFonts w:eastAsia="Times New Roman"/>
              </w:rPr>
            </w:pPr>
          </w:p>
        </w:tc>
        <w:tc>
          <w:tcPr>
            <w:tcW w:w="31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32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Title of Each Class</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Trading Symbol(s)</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Name of Each Exchange on Which Registered</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Common Stock (par value $.01 per share)</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w:t>
            </w:r>
          </w:p>
        </w:tc>
        <w:tc>
          <w:tcPr>
            <w:tcW w:w="0" w:type="auto"/>
            <w:gridSpan w:val="3"/>
            <w:tcMar>
              <w:top w:w="30" w:type="dxa"/>
              <w:left w:w="20" w:type="dxa"/>
              <w:bottom w:w="30" w:type="dxa"/>
              <w:right w:w="20" w:type="dxa"/>
            </w:tcMar>
            <w:hideMark/>
          </w:tcPr>
          <w:p w:rsidR="00000000" w:rsidRDefault="00E0782F">
            <w:pPr>
              <w:jc w:val="center"/>
              <w:divId w:val="291788197"/>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G</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 PRG</w:t>
            </w:r>
          </w:p>
        </w:tc>
        <w:tc>
          <w:tcPr>
            <w:tcW w:w="0" w:type="auto"/>
            <w:gridSpan w:val="3"/>
            <w:tcMar>
              <w:top w:w="30" w:type="dxa"/>
              <w:left w:w="20" w:type="dxa"/>
              <w:bottom w:w="30" w:type="dxa"/>
              <w:right w:w="20" w:type="dxa"/>
            </w:tcMar>
            <w:hideMark/>
          </w:tcPr>
          <w:p w:rsidR="00000000" w:rsidRDefault="00E0782F">
            <w:pPr>
              <w:jc w:val="center"/>
              <w:divId w:val="884174766"/>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H</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 PRH</w:t>
            </w:r>
          </w:p>
        </w:tc>
        <w:tc>
          <w:tcPr>
            <w:tcW w:w="0" w:type="auto"/>
            <w:gridSpan w:val="3"/>
            <w:tcMar>
              <w:top w:w="30" w:type="dxa"/>
              <w:left w:w="20" w:type="dxa"/>
              <w:bottom w:w="30" w:type="dxa"/>
              <w:right w:w="20" w:type="dxa"/>
            </w:tcMar>
            <w:hideMark/>
          </w:tcPr>
          <w:p w:rsidR="00000000" w:rsidRDefault="00E0782F">
            <w:pPr>
              <w:jc w:val="center"/>
              <w:divId w:val="156652265"/>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I</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 PRI</w:t>
            </w:r>
          </w:p>
        </w:tc>
        <w:tc>
          <w:tcPr>
            <w:tcW w:w="0" w:type="auto"/>
            <w:gridSpan w:val="3"/>
            <w:tcMar>
              <w:top w:w="30" w:type="dxa"/>
              <w:left w:w="20" w:type="dxa"/>
              <w:bottom w:w="30" w:type="dxa"/>
              <w:right w:w="20" w:type="dxa"/>
            </w:tcMar>
            <w:hideMark/>
          </w:tcPr>
          <w:p w:rsidR="00000000" w:rsidRDefault="00E0782F">
            <w:pPr>
              <w:jc w:val="center"/>
              <w:divId w:val="1113672616"/>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Depositary Shares, Each Representing a 1/40th Interest in a Share of Fixed Rate Non-Cumulative Perpetual Preferred Stock, Series J</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 PRJ</w:t>
            </w:r>
          </w:p>
        </w:tc>
        <w:tc>
          <w:tcPr>
            <w:tcW w:w="0" w:type="auto"/>
            <w:gridSpan w:val="3"/>
            <w:tcMar>
              <w:top w:w="30" w:type="dxa"/>
              <w:left w:w="20" w:type="dxa"/>
              <w:bottom w:w="30" w:type="dxa"/>
              <w:right w:w="20" w:type="dxa"/>
            </w:tcMar>
            <w:hideMark/>
          </w:tcPr>
          <w:p w:rsidR="00000000" w:rsidRDefault="00E0782F">
            <w:pPr>
              <w:jc w:val="center"/>
              <w:divId w:val="2018312901"/>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Depositary Shares, Each Representing a 1/40th Interest in a Share of Fixed Rate Non-Cu</w:t>
            </w:r>
            <w:r>
              <w:rPr>
                <w:rFonts w:eastAsia="Times New Roman"/>
                <w:color w:val="000000"/>
                <w:sz w:val="16"/>
                <w:szCs w:val="16"/>
              </w:rPr>
              <w:t>mulative Perpetual Preferred Stock, Series K</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 PRK</w:t>
            </w:r>
          </w:p>
        </w:tc>
        <w:tc>
          <w:tcPr>
            <w:tcW w:w="0" w:type="auto"/>
            <w:gridSpan w:val="3"/>
            <w:tcMar>
              <w:top w:w="30" w:type="dxa"/>
              <w:left w:w="20" w:type="dxa"/>
              <w:bottom w:w="30" w:type="dxa"/>
              <w:right w:w="20" w:type="dxa"/>
            </w:tcMar>
            <w:hideMark/>
          </w:tcPr>
          <w:p w:rsidR="00000000" w:rsidRDefault="00E0782F">
            <w:pPr>
              <w:jc w:val="center"/>
              <w:divId w:val="1208951105"/>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0.800% Senior Notes Due 2024</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COF24</w:t>
            </w:r>
          </w:p>
        </w:tc>
        <w:tc>
          <w:tcPr>
            <w:tcW w:w="0" w:type="auto"/>
            <w:gridSpan w:val="3"/>
            <w:tcMar>
              <w:top w:w="30" w:type="dxa"/>
              <w:left w:w="20" w:type="dxa"/>
              <w:bottom w:w="30" w:type="dxa"/>
              <w:right w:w="20" w:type="dxa"/>
            </w:tcMar>
            <w:hideMark/>
          </w:tcPr>
          <w:p w:rsidR="00000000" w:rsidRDefault="00E0782F">
            <w:pPr>
              <w:jc w:val="center"/>
              <w:divId w:val="1394041283"/>
              <w:rPr>
                <w:rFonts w:eastAsia="Times New Roman"/>
              </w:rPr>
            </w:pPr>
            <w:r>
              <w:rPr>
                <w:rFonts w:eastAsia="Times New Roman"/>
                <w:color w:val="000000"/>
                <w:sz w:val="16"/>
                <w:szCs w:val="16"/>
              </w:rPr>
              <w:t>New York Stock Exchange</w:t>
            </w:r>
          </w:p>
        </w:tc>
      </w:tr>
      <w:tr w:rsidR="00000000">
        <w:trPr>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1.650% Senior Notes Due 2029</w:t>
            </w:r>
          </w:p>
        </w:tc>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6"/>
                <w:szCs w:val="16"/>
              </w:rPr>
              <w:t>COF29</w:t>
            </w:r>
          </w:p>
        </w:tc>
        <w:tc>
          <w:tcPr>
            <w:tcW w:w="0" w:type="auto"/>
            <w:gridSpan w:val="3"/>
            <w:tcMar>
              <w:top w:w="30" w:type="dxa"/>
              <w:left w:w="20" w:type="dxa"/>
              <w:bottom w:w="30" w:type="dxa"/>
              <w:right w:w="20" w:type="dxa"/>
            </w:tcMar>
            <w:hideMark/>
          </w:tcPr>
          <w:p w:rsidR="00000000" w:rsidRDefault="00E0782F">
            <w:pPr>
              <w:jc w:val="center"/>
              <w:divId w:val="205022867"/>
              <w:rPr>
                <w:rFonts w:eastAsia="Times New Roman"/>
              </w:rPr>
            </w:pPr>
            <w:r>
              <w:rPr>
                <w:rFonts w:eastAsia="Times New Roman"/>
                <w:color w:val="000000"/>
                <w:sz w:val="16"/>
                <w:szCs w:val="16"/>
              </w:rPr>
              <w:t>New York Stock Exchange</w:t>
            </w:r>
          </w:p>
        </w:tc>
      </w:tr>
    </w:tbl>
    <w:p w:rsidR="00000000" w:rsidRDefault="00E0782F">
      <w:pPr>
        <w:jc w:val="center"/>
        <w:divId w:val="1487167737"/>
        <w:rPr>
          <w:rFonts w:eastAsia="Times New Roman"/>
        </w:rPr>
      </w:pPr>
      <w:r>
        <w:rPr>
          <w:rFonts w:eastAsia="Times New Roman"/>
          <w:b/>
          <w:bCs/>
          <w:color w:val="000000"/>
          <w:sz w:val="16"/>
          <w:szCs w:val="16"/>
        </w:rPr>
        <w:t>Securities registered pursuant to section 12(g) of the Act: None</w:t>
      </w:r>
    </w:p>
    <w:p w:rsidR="00000000" w:rsidRDefault="00E0782F">
      <w:pPr>
        <w:jc w:val="center"/>
        <w:rPr>
          <w:rFonts w:eastAsia="Times New Roman"/>
        </w:rPr>
      </w:pPr>
      <w:r>
        <w:rPr>
          <w:rFonts w:eastAsia="Times New Roman"/>
          <w:color w:val="000000"/>
          <w:sz w:val="16"/>
          <w:szCs w:val="16"/>
        </w:rPr>
        <w:t>____________________________________</w:t>
      </w:r>
    </w:p>
    <w:p w:rsidR="00000000" w:rsidRDefault="00E0782F">
      <w:pPr>
        <w:jc w:val="both"/>
        <w:divId w:val="1442651298"/>
        <w:rPr>
          <w:rFonts w:eastAsia="Times New Roman"/>
        </w:rPr>
      </w:pPr>
      <w:r>
        <w:rPr>
          <w:rFonts w:eastAsia="Times New Roman"/>
          <w:color w:val="000000"/>
          <w:sz w:val="15"/>
          <w:szCs w:val="15"/>
        </w:rPr>
        <w:t>Indicate by check mark if the registrant is a well-known seasoned issuer, as defined in Rule 405 of the Securities Act.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E0782F">
      <w:pPr>
        <w:jc w:val="both"/>
        <w:divId w:val="29038119"/>
        <w:rPr>
          <w:rFonts w:eastAsia="Times New Roman"/>
        </w:rPr>
      </w:pPr>
      <w:r>
        <w:rPr>
          <w:rFonts w:eastAsia="Times New Roman"/>
          <w:color w:val="000000"/>
          <w:sz w:val="15"/>
          <w:szCs w:val="15"/>
        </w:rPr>
        <w:t xml:space="preserve">Indicate by check mark </w:t>
      </w:r>
      <w:r>
        <w:rPr>
          <w:rFonts w:eastAsia="Times New Roman"/>
          <w:color w:val="000000"/>
          <w:sz w:val="15"/>
          <w:szCs w:val="15"/>
        </w:rPr>
        <w:t>if the registrant is not required to file reports pursuant to Section 13 or Section 15(d) of the Act.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E0782F">
      <w:pPr>
        <w:jc w:val="both"/>
        <w:divId w:val="1804154616"/>
        <w:rPr>
          <w:rFonts w:eastAsia="Times New Roman"/>
        </w:rPr>
      </w:pPr>
      <w:r>
        <w:rPr>
          <w:rFonts w:eastAsia="Times New Roman"/>
          <w:color w:val="000000"/>
          <w:sz w:val="15"/>
          <w:szCs w:val="15"/>
        </w:rPr>
        <w:t xml:space="preserve">Indicate by check mark whether the registrant (1) has filed all reports required to be filed by Section 13 or 15(d) of the Securities Exchange </w:t>
      </w:r>
      <w:r>
        <w:rPr>
          <w:rFonts w:eastAsia="Times New Roman"/>
          <w:color w:val="000000"/>
          <w:sz w:val="15"/>
          <w:szCs w:val="15"/>
        </w:rPr>
        <w:t>Act of 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E0782F">
      <w:pPr>
        <w:jc w:val="both"/>
        <w:divId w:val="1347828744"/>
        <w:rPr>
          <w:rFonts w:eastAsia="Times New Roman"/>
        </w:rPr>
      </w:pPr>
      <w:r>
        <w:rPr>
          <w:rFonts w:eastAsia="Times New Roman"/>
          <w:color w:val="000000"/>
          <w:sz w:val="15"/>
          <w:szCs w:val="15"/>
        </w:rPr>
        <w:t>Indicate by check mark whether the registr</w:t>
      </w:r>
      <w:r>
        <w:rPr>
          <w:rFonts w:eastAsia="Times New Roman"/>
          <w:color w:val="000000"/>
          <w:sz w:val="15"/>
          <w:szCs w:val="15"/>
        </w:rPr>
        <w:t>ant has submitted electronically every Interactive Data File required to be submitted pursuant to Rule 405 of Regulation S-T (§232.405 of this chapter) during the preceding 12 months (or for such shorter period that the registrant was required to submit su</w:t>
      </w:r>
      <w:r>
        <w:rPr>
          <w:rFonts w:eastAsia="Times New Roman"/>
          <w:color w:val="000000"/>
          <w:sz w:val="15"/>
          <w:szCs w:val="15"/>
        </w:rPr>
        <w:t>ch files).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E0782F">
      <w:pPr>
        <w:jc w:val="both"/>
        <w:divId w:val="256909245"/>
        <w:rPr>
          <w:rFonts w:eastAsia="Times New Roman"/>
        </w:rPr>
      </w:pPr>
      <w:r>
        <w:rPr>
          <w:rFonts w:eastAsia="Times New Roman"/>
          <w:color w:val="000000"/>
          <w:sz w:val="15"/>
          <w:szCs w:val="15"/>
        </w:rPr>
        <w:t>Indicate by check mark whether the registrant is a large accelerated filer, an accelerated filer, a non-accelerated filer, a smaller reporting company, or an emerging growth company. See the definitions of “large accelerated filer,” “accelerated filer,” “s</w:t>
      </w:r>
      <w:r>
        <w:rPr>
          <w:rFonts w:eastAsia="Times New Roman"/>
          <w:color w:val="000000"/>
          <w:sz w:val="15"/>
          <w:szCs w:val="15"/>
        </w:rPr>
        <w:t>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5"/>
        <w:gridCol w:w="1703"/>
        <w:gridCol w:w="36"/>
        <w:gridCol w:w="36"/>
        <w:gridCol w:w="156"/>
        <w:gridCol w:w="36"/>
        <w:gridCol w:w="45"/>
        <w:gridCol w:w="3756"/>
        <w:gridCol w:w="36"/>
        <w:gridCol w:w="37"/>
        <w:gridCol w:w="136"/>
        <w:gridCol w:w="36"/>
        <w:gridCol w:w="87"/>
        <w:gridCol w:w="1696"/>
        <w:gridCol w:w="36"/>
        <w:gridCol w:w="36"/>
        <w:gridCol w:w="136"/>
        <w:gridCol w:w="36"/>
        <w:gridCol w:w="56"/>
        <w:gridCol w:w="129"/>
        <w:gridCol w:w="36"/>
      </w:tblGrid>
      <w:tr w:rsidR="00000000">
        <w:tc>
          <w:tcPr>
            <w:tcW w:w="50" w:type="pct"/>
            <w:vAlign w:val="center"/>
            <w:hideMark/>
          </w:tcPr>
          <w:p w:rsidR="00000000" w:rsidRDefault="00E0782F">
            <w:pPr>
              <w:jc w:val="both"/>
              <w:rPr>
                <w:rFonts w:eastAsia="Times New Roman"/>
              </w:rPr>
            </w:pPr>
          </w:p>
        </w:tc>
        <w:tc>
          <w:tcPr>
            <w:tcW w:w="10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28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8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0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0782F">
            <w:pPr>
              <w:divId w:val="348872074"/>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0782F">
            <w:pPr>
              <w:divId w:val="599877938"/>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Smaller reporting company</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979379916"/>
              <w:rPr>
                <w:rFonts w:eastAsia="Times New Roman"/>
              </w:rPr>
            </w:pPr>
            <w:r>
              <w:rPr>
                <w:rFonts w:ascii="Segoe UI Symbol" w:eastAsia="Times New Roman" w:hAnsi="Segoe UI Symbol" w:cs="Segoe UI Symbol"/>
                <w:color w:val="000000"/>
                <w:sz w:val="16"/>
                <w:szCs w:val="16"/>
              </w:rPr>
              <w:t>☐</w:t>
            </w: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Emerging growth company</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897160813"/>
              <w:rPr>
                <w:rFonts w:eastAsia="Times New Roman"/>
              </w:rPr>
            </w:pPr>
            <w:r>
              <w:rPr>
                <w:rFonts w:ascii="Segoe UI Symbol" w:eastAsia="Times New Roman" w:hAnsi="Segoe UI Symbol" w:cs="Segoe UI Symbol"/>
                <w:color w:val="000000"/>
                <w:sz w:val="16"/>
                <w:szCs w:val="16"/>
              </w:rPr>
              <w:t>☐</w:t>
            </w:r>
          </w:p>
        </w:tc>
      </w:tr>
    </w:tbl>
    <w:p w:rsidR="00000000" w:rsidRDefault="00E0782F">
      <w:pPr>
        <w:jc w:val="both"/>
        <w:divId w:val="1179929608"/>
        <w:rPr>
          <w:rFonts w:eastAsia="Times New Roman"/>
        </w:rPr>
      </w:pPr>
      <w:r>
        <w:rPr>
          <w:rFonts w:eastAsia="Times New Roman"/>
          <w:color w:val="000000"/>
          <w:sz w:val="15"/>
          <w:szCs w:val="15"/>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5"/>
          <w:szCs w:val="15"/>
        </w:rPr>
        <w:t>☐</w:t>
      </w:r>
    </w:p>
    <w:p w:rsidR="00000000" w:rsidRDefault="00E0782F">
      <w:pPr>
        <w:jc w:val="both"/>
        <w:divId w:val="1985159150"/>
        <w:rPr>
          <w:rFonts w:eastAsia="Times New Roman"/>
        </w:rPr>
      </w:pPr>
      <w:r>
        <w:rPr>
          <w:rFonts w:eastAsia="Times New Roman"/>
          <w:color w:val="000000"/>
          <w:sz w:val="15"/>
          <w:szCs w:val="15"/>
        </w:rPr>
        <w:t>Ind</w:t>
      </w:r>
      <w:r>
        <w:rPr>
          <w:rFonts w:eastAsia="Times New Roman"/>
          <w:color w:val="000000"/>
          <w:sz w:val="15"/>
          <w:szCs w:val="15"/>
        </w:rPr>
        <w:t>icate by check mark whether the registrant has filed a report on and attestation to its management’s assessment of the effectiveness of its internal control over financial reporting under Section 404(b) of the Sarbanes-Oxley Act (15 U.S.C.7262(b)) by the r</w:t>
      </w:r>
      <w:r>
        <w:rPr>
          <w:rFonts w:eastAsia="Times New Roman"/>
          <w:color w:val="000000"/>
          <w:sz w:val="15"/>
          <w:szCs w:val="15"/>
        </w:rPr>
        <w:t xml:space="preserve">egistered public accounting firm that prepared or issued its audit report. </w:t>
      </w:r>
      <w:r>
        <w:rPr>
          <w:rFonts w:ascii="Segoe UI Symbol" w:eastAsia="Times New Roman" w:hAnsi="Segoe UI Symbol" w:cs="Segoe UI Symbol"/>
          <w:color w:val="000000"/>
          <w:sz w:val="15"/>
          <w:szCs w:val="15"/>
        </w:rPr>
        <w:t>☒</w:t>
      </w:r>
    </w:p>
    <w:p w:rsidR="00000000" w:rsidRDefault="00E0782F">
      <w:pPr>
        <w:jc w:val="both"/>
        <w:divId w:val="239021290"/>
        <w:rPr>
          <w:rFonts w:eastAsia="Times New Roman"/>
        </w:rPr>
      </w:pPr>
      <w:r>
        <w:rPr>
          <w:rFonts w:eastAsia="Times New Roman"/>
          <w:color w:val="000000"/>
          <w:sz w:val="15"/>
          <w:szCs w:val="15"/>
        </w:rPr>
        <w:t xml:space="preserve">Indicate by check mark whether the registrant is a shell company (as defined in Rule 12b-2 of the Exchange Act). Yes </w:t>
      </w:r>
      <w:r>
        <w:rPr>
          <w:rFonts w:ascii="Segoe UI Symbol" w:eastAsia="Times New Roman" w:hAnsi="Segoe UI Symbol" w:cs="Segoe UI Symbol"/>
          <w:color w:val="000000"/>
          <w:sz w:val="15"/>
          <w:szCs w:val="15"/>
        </w:rPr>
        <w:t>☐</w:t>
      </w:r>
      <w:r>
        <w:rPr>
          <w:rFonts w:eastAsia="Times New Roman"/>
          <w:color w:val="000000"/>
          <w:sz w:val="15"/>
          <w:szCs w:val="15"/>
        </w:rPr>
        <w:t xml:space="preserve"> No </w:t>
      </w:r>
      <w:r>
        <w:rPr>
          <w:rFonts w:ascii="Segoe UI Symbol" w:eastAsia="Times New Roman" w:hAnsi="Segoe UI Symbol" w:cs="Segoe UI Symbol"/>
          <w:color w:val="000000"/>
          <w:sz w:val="15"/>
          <w:szCs w:val="15"/>
        </w:rPr>
        <w:t>☒</w:t>
      </w:r>
    </w:p>
    <w:p w:rsidR="00000000" w:rsidRDefault="00E0782F">
      <w:pPr>
        <w:jc w:val="both"/>
        <w:divId w:val="258872701"/>
        <w:rPr>
          <w:rFonts w:eastAsia="Times New Roman"/>
        </w:rPr>
      </w:pPr>
      <w:r>
        <w:rPr>
          <w:rFonts w:eastAsia="Times New Roman"/>
          <w:color w:val="000000"/>
          <w:sz w:val="15"/>
          <w:szCs w:val="15"/>
        </w:rPr>
        <w:t xml:space="preserve">The aggregate market value of the voting stock held by </w:t>
      </w:r>
      <w:r>
        <w:rPr>
          <w:rFonts w:eastAsia="Times New Roman"/>
          <w:color w:val="000000"/>
          <w:sz w:val="15"/>
          <w:szCs w:val="15"/>
        </w:rPr>
        <w:t>non-affiliates of the registrant as of the close of business on June 30, 2020 was approximately $28.3 billion. As of January 31, 2021, there were 459,236,740 shares of the registrant’s Common Stock outstanding.</w:t>
      </w:r>
    </w:p>
    <w:p w:rsidR="00000000" w:rsidRDefault="00E0782F">
      <w:pPr>
        <w:jc w:val="center"/>
        <w:divId w:val="1519584980"/>
        <w:rPr>
          <w:rFonts w:eastAsia="Times New Roman"/>
        </w:rPr>
      </w:pPr>
      <w:r>
        <w:rPr>
          <w:rFonts w:eastAsia="Times New Roman"/>
          <w:b/>
          <w:bCs/>
          <w:color w:val="000000"/>
          <w:sz w:val="15"/>
          <w:szCs w:val="15"/>
        </w:rPr>
        <w:t>DOCUMENTS INCORPORATED BY REFERENCE</w:t>
      </w:r>
    </w:p>
    <w:p w:rsidR="00000000" w:rsidRDefault="00E0782F">
      <w:pPr>
        <w:ind w:hanging="450"/>
        <w:divId w:val="2114350722"/>
        <w:rPr>
          <w:rFonts w:eastAsia="Times New Roman"/>
        </w:rPr>
      </w:pPr>
      <w:r>
        <w:rPr>
          <w:rFonts w:eastAsia="Times New Roman"/>
          <w:color w:val="000000"/>
          <w:sz w:val="16"/>
          <w:szCs w:val="16"/>
        </w:rPr>
        <w:t>1.Portions of the Proxy Statement for the annual meeting of stockholders to be held on May 6, 2021, are incorporated by reference into Part III.</w:t>
      </w:r>
    </w:p>
    <w:tbl>
      <w:tblPr>
        <w:tblW w:w="5000" w:type="pct"/>
        <w:jc w:val="center"/>
        <w:tblCellMar>
          <w:top w:w="15" w:type="dxa"/>
          <w:left w:w="15" w:type="dxa"/>
          <w:bottom w:w="15" w:type="dxa"/>
          <w:right w:w="15" w:type="dxa"/>
        </w:tblCellMar>
        <w:tblLook w:val="04A0" w:firstRow="1" w:lastRow="0" w:firstColumn="1" w:lastColumn="0" w:noHBand="0" w:noVBand="1"/>
      </w:tblPr>
      <w:tblGrid>
        <w:gridCol w:w="36"/>
        <w:gridCol w:w="178"/>
        <w:gridCol w:w="36"/>
        <w:gridCol w:w="55"/>
        <w:gridCol w:w="7965"/>
        <w:gridCol w:w="36"/>
      </w:tblGrid>
      <w:tr w:rsidR="00000000">
        <w:trPr>
          <w:jc w:val="center"/>
        </w:trPr>
        <w:tc>
          <w:tcPr>
            <w:tcW w:w="5" w:type="pct"/>
            <w:vAlign w:val="center"/>
            <w:hideMark/>
          </w:tcPr>
          <w:p w:rsidR="00000000" w:rsidRDefault="00E0782F">
            <w:pPr>
              <w:ind w:hanging="450"/>
              <w:rPr>
                <w:rFonts w:eastAsia="Times New Roman"/>
              </w:rPr>
            </w:pPr>
          </w:p>
        </w:tc>
        <w:tc>
          <w:tcPr>
            <w:tcW w:w="12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jc w:val="center"/>
        <w:rPr>
          <w:rFonts w:eastAsia="Times New Roman"/>
          <w:vanish/>
        </w:rPr>
      </w:pPr>
    </w:p>
    <w:tbl>
      <w:tblPr>
        <w:tblW w:w="4973" w:type="pct"/>
        <w:jc w:val="center"/>
        <w:tblCellMar>
          <w:top w:w="15" w:type="dxa"/>
          <w:left w:w="15" w:type="dxa"/>
          <w:bottom w:w="15" w:type="dxa"/>
          <w:right w:w="15" w:type="dxa"/>
        </w:tblCellMar>
        <w:tblLook w:val="04A0" w:firstRow="1" w:lastRow="0" w:firstColumn="1" w:lastColumn="0" w:noHBand="0" w:noVBand="1"/>
      </w:tblPr>
      <w:tblGrid>
        <w:gridCol w:w="69"/>
        <w:gridCol w:w="1547"/>
        <w:gridCol w:w="36"/>
        <w:gridCol w:w="69"/>
        <w:gridCol w:w="1547"/>
        <w:gridCol w:w="36"/>
        <w:gridCol w:w="69"/>
        <w:gridCol w:w="1547"/>
        <w:gridCol w:w="36"/>
        <w:gridCol w:w="69"/>
        <w:gridCol w:w="1547"/>
        <w:gridCol w:w="36"/>
        <w:gridCol w:w="69"/>
        <w:gridCol w:w="1548"/>
        <w:gridCol w:w="36"/>
      </w:tblGrid>
      <w:tr w:rsidR="00000000">
        <w:trPr>
          <w:jc w:val="center"/>
        </w:trPr>
        <w:tc>
          <w:tcPr>
            <w:tcW w:w="50" w:type="pct"/>
            <w:vAlign w:val="center"/>
            <w:hideMark/>
          </w:tcPr>
          <w:p w:rsidR="00000000" w:rsidRDefault="00E0782F">
            <w:pPr>
              <w:jc w:val="center"/>
              <w:rPr>
                <w:rFonts w:eastAsia="Times New Roman"/>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jc w:val="both"/>
        <w:divId w:val="565067103"/>
        <w:rPr>
          <w:rFonts w:eastAsia="Times New Roman"/>
        </w:rPr>
      </w:pPr>
    </w:p>
    <w:p w:rsidR="00000000" w:rsidRDefault="00E0782F">
      <w:pPr>
        <w:rPr>
          <w:rFonts w:eastAsia="Times New Roman"/>
        </w:rPr>
      </w:pPr>
      <w:r>
        <w:rPr>
          <w:rFonts w:eastAsia="Times New Roman"/>
        </w:rPr>
        <w:pict>
          <v:rect id="_x0000_i1025" style="width:0;height:1.5pt" o:hralign="center" o:hrstd="t" o:hr="t" fillcolor="#a0a0a0" stroked="f"/>
        </w:pict>
      </w:r>
    </w:p>
    <w:p w:rsidR="00000000" w:rsidRDefault="00E0782F">
      <w:pPr>
        <w:jc w:val="both"/>
        <w:divId w:val="1452088104"/>
        <w:rPr>
          <w:rFonts w:eastAsia="Times New Roman"/>
        </w:rPr>
      </w:pPr>
    </w:p>
    <w:p w:rsidR="00000000" w:rsidRDefault="00E0782F">
      <w:pPr>
        <w:jc w:val="center"/>
        <w:divId w:val="1478838618"/>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566"/>
        <w:gridCol w:w="38"/>
        <w:gridCol w:w="68"/>
        <w:gridCol w:w="6841"/>
        <w:gridCol w:w="39"/>
        <w:gridCol w:w="69"/>
        <w:gridCol w:w="574"/>
        <w:gridCol w:w="36"/>
      </w:tblGrid>
      <w:tr w:rsidR="00000000">
        <w:trPr>
          <w:divId w:val="1010529236"/>
        </w:trPr>
        <w:tc>
          <w:tcPr>
            <w:tcW w:w="50" w:type="pct"/>
            <w:vAlign w:val="center"/>
            <w:hideMark/>
          </w:tcPr>
          <w:p w:rsidR="00000000" w:rsidRDefault="00E0782F">
            <w:pPr>
              <w:jc w:val="center"/>
              <w:rPr>
                <w:rFonts w:eastAsia="Times New Roman"/>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20"/>
                <w:szCs w:val="20"/>
              </w:rPr>
              <w:t>Page</w:t>
            </w:r>
          </w:p>
        </w:tc>
      </w:tr>
      <w:tr w:rsidR="00000000">
        <w:trPr>
          <w:divId w:val="1010529236"/>
        </w:trPr>
        <w:tc>
          <w:tcPr>
            <w:tcW w:w="0" w:type="auto"/>
            <w:gridSpan w:val="6"/>
            <w:tcMar>
              <w:top w:w="30" w:type="dxa"/>
              <w:left w:w="20" w:type="dxa"/>
              <w:bottom w:w="30" w:type="dxa"/>
              <w:right w:w="20" w:type="dxa"/>
            </w:tcMar>
            <w:vAlign w:val="bottom"/>
            <w:hideMark/>
          </w:tcPr>
          <w:p w:rsidR="00000000" w:rsidRDefault="00E0782F">
            <w:pPr>
              <w:divId w:val="324674007"/>
              <w:rPr>
                <w:rFonts w:eastAsia="Times New Roman"/>
              </w:rPr>
            </w:pPr>
            <w:hyperlink w:anchor="i3af66512804646fcaf1b19a0aea6f320_13"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3" w:history="1">
              <w:r>
                <w:rPr>
                  <w:rStyle w:val="a3"/>
                  <w:rFonts w:eastAsia="Times New Roman"/>
                  <w:b/>
                  <w:bCs/>
                  <w:color w:val="000000"/>
                  <w:sz w:val="20"/>
                  <w:szCs w:val="20"/>
                  <w:u w:val="none"/>
                </w:rPr>
                <w:t>4</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1459106234"/>
              <w:rPr>
                <w:rFonts w:eastAsia="Times New Roman"/>
              </w:rPr>
            </w:pPr>
            <w:hyperlink w:anchor="i3af66512804646fcaf1b19a0aea6f320_16"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E0782F">
            <w:pPr>
              <w:divId w:val="1366515143"/>
              <w:rPr>
                <w:rFonts w:eastAsia="Times New Roman"/>
              </w:rPr>
            </w:pPr>
            <w:hyperlink w:anchor="i3af66512804646fcaf1b19a0aea6f320_16" w:history="1">
              <w:r>
                <w:rPr>
                  <w:rStyle w:val="a3"/>
                  <w:rFonts w:eastAsia="Times New Roman"/>
                  <w:color w:val="000000"/>
                  <w:sz w:val="20"/>
                  <w:szCs w:val="20"/>
                  <w:u w:val="none"/>
                </w:rPr>
                <w:t>Business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6" w:history="1">
              <w:r>
                <w:rPr>
                  <w:rStyle w:val="a3"/>
                  <w:rFonts w:eastAsia="Times New Roman"/>
                  <w:color w:val="000000"/>
                  <w:sz w:val="20"/>
                  <w:szCs w:val="20"/>
                  <w:u w:val="none"/>
                </w:rPr>
                <w:t>4</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211722586"/>
              <w:rPr>
                <w:rFonts w:eastAsia="Times New Roman"/>
              </w:rPr>
            </w:pPr>
            <w:hyperlink w:anchor="i3af66512804646fcaf1b19a0aea6f320_19" w:history="1">
              <w:r>
                <w:rPr>
                  <w:rStyle w:val="a3"/>
                  <w:rFonts w:eastAsia="Times New Roman"/>
                  <w:color w:val="000000"/>
                  <w:sz w:val="20"/>
                  <w:szCs w:val="20"/>
                  <w:u w:val="none"/>
                </w:rPr>
                <w:t>Overview</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2" w:history="1">
              <w:r>
                <w:rPr>
                  <w:rStyle w:val="a3"/>
                  <w:rFonts w:eastAsia="Times New Roman"/>
                  <w:color w:val="000000"/>
                  <w:sz w:val="20"/>
                  <w:szCs w:val="20"/>
                  <w:u w:val="none"/>
                </w:rPr>
                <w:t>4</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344017975"/>
              <w:rPr>
                <w:rFonts w:eastAsia="Times New Roman"/>
              </w:rPr>
            </w:pPr>
            <w:hyperlink w:anchor="i3af66512804646fcaf1b19a0aea6f320_34" w:history="1">
              <w:r>
                <w:rPr>
                  <w:rStyle w:val="a3"/>
                  <w:rFonts w:eastAsia="Times New Roman"/>
                  <w:color w:val="000000"/>
                  <w:sz w:val="20"/>
                  <w:szCs w:val="20"/>
                  <w:u w:val="none"/>
                </w:rPr>
                <w:t>Operations and Business Segments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4" w:history="1">
              <w:r>
                <w:rPr>
                  <w:rStyle w:val="a3"/>
                  <w:rFonts w:eastAsia="Times New Roman"/>
                  <w:color w:val="000000"/>
                  <w:sz w:val="20"/>
                  <w:szCs w:val="20"/>
                  <w:u w:val="none"/>
                </w:rPr>
                <w:t>7</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971664743"/>
              <w:rPr>
                <w:rFonts w:eastAsia="Times New Roman"/>
              </w:rPr>
            </w:pPr>
            <w:hyperlink w:anchor="i3af66512804646fcaf1b19a0aea6f320_37" w:history="1">
              <w:r>
                <w:rPr>
                  <w:rStyle w:val="a3"/>
                  <w:rFonts w:eastAsia="Times New Roman"/>
                  <w:color w:val="000000"/>
                  <w:sz w:val="20"/>
                  <w:szCs w:val="20"/>
                  <w:u w:val="none"/>
                </w:rPr>
                <w:t>Competition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7" w:history="1">
              <w:r>
                <w:rPr>
                  <w:rStyle w:val="a3"/>
                  <w:rFonts w:eastAsia="Times New Roman"/>
                  <w:color w:val="000000"/>
                  <w:sz w:val="20"/>
                  <w:szCs w:val="20"/>
                  <w:u w:val="none"/>
                </w:rPr>
                <w:t>8</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893151920"/>
              <w:rPr>
                <w:rFonts w:eastAsia="Times New Roman"/>
              </w:rPr>
            </w:pPr>
            <w:hyperlink w:anchor="i3af66512804646fcaf1b19a0aea6f320_298" w:history="1">
              <w:r>
                <w:rPr>
                  <w:rStyle w:val="a3"/>
                  <w:rFonts w:eastAsia="Times New Roman"/>
                  <w:color w:val="000000"/>
                  <w:sz w:val="20"/>
                  <w:szCs w:val="20"/>
                  <w:u w:val="none"/>
                </w:rPr>
                <w:t>Supervision and Regulation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98" w:history="1">
              <w:r>
                <w:rPr>
                  <w:rStyle w:val="a3"/>
                  <w:rFonts w:eastAsia="Times New Roman"/>
                  <w:color w:val="000000"/>
                  <w:sz w:val="20"/>
                  <w:szCs w:val="20"/>
                  <w:u w:val="none"/>
                </w:rPr>
                <w:t>8</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346252874"/>
              <w:rPr>
                <w:rFonts w:eastAsia="Times New Roman"/>
              </w:rPr>
            </w:pPr>
            <w:hyperlink w:anchor="i3af66512804646fcaf1b19a0aea6f320_40" w:history="1">
              <w:r>
                <w:rPr>
                  <w:rStyle w:val="a3"/>
                  <w:rFonts w:eastAsia="Times New Roman"/>
                  <w:color w:val="000000"/>
                  <w:sz w:val="20"/>
                  <w:szCs w:val="20"/>
                  <w:u w:val="none"/>
                </w:rPr>
                <w:t>Human Capital Resources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0" w:history="1">
              <w:r>
                <w:rPr>
                  <w:rStyle w:val="a3"/>
                  <w:rFonts w:eastAsia="Times New Roman"/>
                  <w:color w:val="000000"/>
                  <w:sz w:val="20"/>
                  <w:szCs w:val="20"/>
                  <w:u w:val="none"/>
                </w:rPr>
                <w:t>19</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314185544"/>
              <w:rPr>
                <w:rFonts w:eastAsia="Times New Roman"/>
              </w:rPr>
            </w:pPr>
            <w:hyperlink w:anchor="i3af66512804646fcaf1b19a0aea6f320_43" w:history="1">
              <w:r>
                <w:rPr>
                  <w:rStyle w:val="a3"/>
                  <w:rFonts w:eastAsia="Times New Roman"/>
                  <w:color w:val="000000"/>
                  <w:sz w:val="20"/>
                  <w:szCs w:val="20"/>
                  <w:u w:val="none"/>
                </w:rPr>
                <w:t>Additional Information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3" w:history="1">
              <w:r>
                <w:rPr>
                  <w:rStyle w:val="a3"/>
                  <w:rFonts w:eastAsia="Times New Roman"/>
                  <w:color w:val="000000"/>
                  <w:sz w:val="20"/>
                  <w:szCs w:val="20"/>
                  <w:u w:val="none"/>
                </w:rPr>
                <w:t>21</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963315578"/>
              <w:rPr>
                <w:rFonts w:eastAsia="Times New Roman"/>
              </w:rPr>
            </w:pPr>
            <w:hyperlink w:anchor="i3af66512804646fcaf1b19a0aea6f320_301" w:history="1">
              <w:r>
                <w:rPr>
                  <w:rStyle w:val="a3"/>
                  <w:rFonts w:eastAsia="Times New Roman"/>
                  <w:color w:val="000000"/>
                  <w:sz w:val="20"/>
                  <w:szCs w:val="20"/>
                  <w:u w:val="none"/>
                </w:rPr>
                <w:t>Forward-Looking Statements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01" w:history="1">
              <w:r>
                <w:rPr>
                  <w:rStyle w:val="a3"/>
                  <w:rFonts w:eastAsia="Times New Roman"/>
                  <w:color w:val="000000"/>
                  <w:sz w:val="20"/>
                  <w:szCs w:val="20"/>
                  <w:u w:val="none"/>
                </w:rPr>
                <w:t>22</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1721787236"/>
              <w:rPr>
                <w:rFonts w:eastAsia="Times New Roman"/>
              </w:rPr>
            </w:pPr>
            <w:hyperlink w:anchor="i3af66512804646fcaf1b19a0aea6f320_478"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E0782F">
            <w:pPr>
              <w:divId w:val="641811573"/>
              <w:rPr>
                <w:rFonts w:eastAsia="Times New Roman"/>
              </w:rPr>
            </w:pPr>
            <w:hyperlink w:anchor="i3af66512804646fcaf1b19a0aea6f320_478" w:history="1">
              <w:r>
                <w:rPr>
                  <w:rStyle w:val="a3"/>
                  <w:rFonts w:eastAsia="Times New Roman"/>
                  <w:color w:val="000000"/>
                  <w:sz w:val="20"/>
                  <w:szCs w:val="20"/>
                  <w:u w:val="none"/>
                </w:rPr>
                <w:t>Risk Factors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78" w:history="1">
              <w:r>
                <w:rPr>
                  <w:rStyle w:val="a3"/>
                  <w:rFonts w:eastAsia="Times New Roman"/>
                  <w:color w:val="000000"/>
                  <w:sz w:val="20"/>
                  <w:szCs w:val="20"/>
                  <w:u w:val="none"/>
                </w:rPr>
                <w:t>23</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1461876795"/>
              <w:rPr>
                <w:rFonts w:eastAsia="Times New Roman"/>
              </w:rPr>
            </w:pPr>
            <w:hyperlink w:anchor="i3af66512804646fcaf1b19a0aea6f320_52" w:history="1">
              <w:r>
                <w:rPr>
                  <w:rStyle w:val="a3"/>
                  <w:rFonts w:eastAsia="Times New Roman"/>
                  <w:color w:val="000000"/>
                  <w:sz w:val="20"/>
                  <w:szCs w:val="20"/>
                  <w:u w:val="none"/>
                </w:rPr>
                <w:t>Item 1B.</w:t>
              </w:r>
            </w:hyperlink>
          </w:p>
        </w:tc>
        <w:tc>
          <w:tcPr>
            <w:tcW w:w="0" w:type="auto"/>
            <w:gridSpan w:val="3"/>
            <w:tcMar>
              <w:top w:w="30" w:type="dxa"/>
              <w:left w:w="20" w:type="dxa"/>
              <w:bottom w:w="30" w:type="dxa"/>
              <w:right w:w="20" w:type="dxa"/>
            </w:tcMar>
            <w:vAlign w:val="bottom"/>
            <w:hideMark/>
          </w:tcPr>
          <w:p w:rsidR="00000000" w:rsidRDefault="00E0782F">
            <w:pPr>
              <w:divId w:val="747650668"/>
              <w:rPr>
                <w:rFonts w:eastAsia="Times New Roman"/>
              </w:rPr>
            </w:pPr>
            <w:hyperlink w:anchor="i3af66512804646fcaf1b19a0aea6f320_52" w:history="1">
              <w:r>
                <w:rPr>
                  <w:rStyle w:val="a3"/>
                  <w:rFonts w:eastAsia="Times New Roman"/>
                  <w:color w:val="000000"/>
                  <w:sz w:val="20"/>
                  <w:szCs w:val="20"/>
                  <w:u w:val="none"/>
                </w:rPr>
                <w:t>Unresolved Staff Comments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2" w:history="1">
              <w:r>
                <w:rPr>
                  <w:rStyle w:val="a3"/>
                  <w:rFonts w:eastAsia="Times New Roman"/>
                  <w:color w:val="000000"/>
                  <w:sz w:val="20"/>
                  <w:szCs w:val="20"/>
                  <w:u w:val="none"/>
                </w:rPr>
                <w:t>41</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1136218986"/>
              <w:rPr>
                <w:rFonts w:eastAsia="Times New Roman"/>
              </w:rPr>
            </w:pPr>
            <w:hyperlink w:anchor="i3af66512804646fcaf1b19a0aea6f320_55"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E0782F">
            <w:pPr>
              <w:divId w:val="762724080"/>
              <w:rPr>
                <w:rFonts w:eastAsia="Times New Roman"/>
              </w:rPr>
            </w:pPr>
            <w:hyperlink w:anchor="i3af66512804646fcaf1b19a0aea6f320_55" w:history="1">
              <w:r>
                <w:rPr>
                  <w:rStyle w:val="a3"/>
                  <w:rFonts w:eastAsia="Times New Roman"/>
                  <w:color w:val="000000"/>
                  <w:sz w:val="20"/>
                  <w:szCs w:val="20"/>
                  <w:u w:val="none"/>
                </w:rPr>
                <w:t>Properties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5" w:history="1">
              <w:r>
                <w:rPr>
                  <w:rStyle w:val="a3"/>
                  <w:rFonts w:eastAsia="Times New Roman"/>
                  <w:color w:val="000000"/>
                  <w:sz w:val="20"/>
                  <w:szCs w:val="20"/>
                  <w:u w:val="none"/>
                </w:rPr>
                <w:t>41</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524952617"/>
              <w:rPr>
                <w:rFonts w:eastAsia="Times New Roman"/>
              </w:rPr>
            </w:pPr>
            <w:hyperlink w:anchor="i3af66512804646fcaf1b19a0aea6f320_475"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E0782F">
            <w:pPr>
              <w:divId w:val="1531605208"/>
              <w:rPr>
                <w:rFonts w:eastAsia="Times New Roman"/>
              </w:rPr>
            </w:pPr>
            <w:hyperlink w:anchor="i3af66512804646fcaf1b19a0aea6f320_475" w:history="1">
              <w:r>
                <w:rPr>
                  <w:rStyle w:val="a3"/>
                  <w:rFonts w:eastAsia="Times New Roman"/>
                  <w:color w:val="000000"/>
                  <w:sz w:val="20"/>
                  <w:szCs w:val="20"/>
                  <w:u w:val="none"/>
                </w:rPr>
                <w:t>Legal Proceedings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75" w:history="1">
              <w:r>
                <w:rPr>
                  <w:rStyle w:val="a3"/>
                  <w:rFonts w:eastAsia="Times New Roman"/>
                  <w:color w:val="000000"/>
                  <w:sz w:val="20"/>
                  <w:szCs w:val="20"/>
                  <w:u w:val="none"/>
                </w:rPr>
                <w:t>41</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993332708"/>
              <w:rPr>
                <w:rFonts w:eastAsia="Times New Roman"/>
              </w:rPr>
            </w:pPr>
            <w:hyperlink w:anchor="i3af66512804646fcaf1b19a0aea6f320_487"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E0782F">
            <w:pPr>
              <w:divId w:val="42605721"/>
              <w:rPr>
                <w:rFonts w:eastAsia="Times New Roman"/>
              </w:rPr>
            </w:pPr>
            <w:hyperlink w:anchor="i3af66512804646fcaf1b19a0aea6f320_487" w:history="1">
              <w:r>
                <w:rPr>
                  <w:rStyle w:val="a3"/>
                  <w:rFonts w:eastAsia="Times New Roman"/>
                  <w:color w:val="000000"/>
                  <w:sz w:val="20"/>
                  <w:szCs w:val="20"/>
                  <w:u w:val="none"/>
                </w:rPr>
                <w:t>Mine Safety Disclosures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87" w:history="1">
              <w:r>
                <w:rPr>
                  <w:rStyle w:val="a3"/>
                  <w:rFonts w:eastAsia="Times New Roman"/>
                  <w:color w:val="000000"/>
                  <w:sz w:val="20"/>
                  <w:szCs w:val="20"/>
                  <w:u w:val="none"/>
                </w:rPr>
                <w:t>41</w:t>
              </w:r>
            </w:hyperlink>
          </w:p>
        </w:tc>
      </w:tr>
      <w:tr w:rsidR="00000000">
        <w:trPr>
          <w:divId w:val="1010529236"/>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Height w:val="28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10529236"/>
        </w:trPr>
        <w:tc>
          <w:tcPr>
            <w:tcW w:w="0" w:type="auto"/>
            <w:gridSpan w:val="6"/>
            <w:tcMar>
              <w:top w:w="30" w:type="dxa"/>
              <w:left w:w="20" w:type="dxa"/>
              <w:bottom w:w="30" w:type="dxa"/>
              <w:right w:w="20" w:type="dxa"/>
            </w:tcMar>
            <w:vAlign w:val="bottom"/>
            <w:hideMark/>
          </w:tcPr>
          <w:p w:rsidR="00000000" w:rsidRDefault="00E0782F">
            <w:pPr>
              <w:divId w:val="456262239"/>
              <w:rPr>
                <w:rFonts w:eastAsia="Times New Roman"/>
              </w:rPr>
            </w:pPr>
            <w:hyperlink w:anchor="i3af66512804646fcaf1b19a0aea6f320_58"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8" w:history="1">
              <w:r>
                <w:rPr>
                  <w:rStyle w:val="a3"/>
                  <w:rFonts w:eastAsia="Times New Roman"/>
                  <w:b/>
                  <w:bCs/>
                  <w:color w:val="000000"/>
                  <w:sz w:val="20"/>
                  <w:szCs w:val="20"/>
                  <w:u w:val="none"/>
                </w:rPr>
                <w:t>42</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1851604110"/>
              <w:rPr>
                <w:rFonts w:eastAsia="Times New Roman"/>
              </w:rPr>
            </w:pPr>
            <w:hyperlink w:anchor="i3af66512804646fcaf1b19a0aea6f320_61"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E0782F">
            <w:pPr>
              <w:divId w:val="537817002"/>
              <w:rPr>
                <w:rFonts w:eastAsia="Times New Roman"/>
              </w:rPr>
            </w:pPr>
            <w:hyperlink w:anchor="i3af66512804646fcaf1b19a0aea6f320_61" w:history="1">
              <w:r>
                <w:rPr>
                  <w:rStyle w:val="a3"/>
                  <w:rFonts w:eastAsia="Times New Roman"/>
                  <w:color w:val="000000"/>
                  <w:sz w:val="20"/>
                  <w:szCs w:val="20"/>
                  <w:u w:val="none"/>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61" w:history="1">
              <w:r>
                <w:rPr>
                  <w:rStyle w:val="a3"/>
                  <w:rFonts w:eastAsia="Times New Roman"/>
                  <w:color w:val="000000"/>
                  <w:sz w:val="20"/>
                  <w:szCs w:val="20"/>
                  <w:u w:val="none"/>
                </w:rPr>
                <w:t>42</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2072920572"/>
              <w:rPr>
                <w:rFonts w:eastAsia="Times New Roman"/>
              </w:rPr>
            </w:pPr>
            <w:hyperlink w:anchor="i3af66512804646fcaf1b19a0aea6f320_85"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E0782F">
            <w:pPr>
              <w:divId w:val="107359803"/>
              <w:rPr>
                <w:rFonts w:eastAsia="Times New Roman"/>
              </w:rPr>
            </w:pPr>
            <w:hyperlink w:anchor="i3af66512804646fcaf1b19a0aea6f320_85" w:history="1">
              <w:r>
                <w:rPr>
                  <w:rStyle w:val="a3"/>
                  <w:rFonts w:eastAsia="Times New Roman"/>
                  <w:color w:val="000000"/>
                  <w:sz w:val="20"/>
                  <w:szCs w:val="20"/>
                  <w:u w:val="none"/>
                </w:rPr>
                <w:t>Selected Financial Data</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85" w:history="1">
              <w:r>
                <w:rPr>
                  <w:rStyle w:val="a3"/>
                  <w:rFonts w:eastAsia="Times New Roman"/>
                  <w:color w:val="000000"/>
                  <w:sz w:val="20"/>
                  <w:szCs w:val="20"/>
                  <w:u w:val="none"/>
                </w:rPr>
                <w:t>44</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499345549"/>
              <w:rPr>
                <w:rFonts w:eastAsia="Times New Roman"/>
              </w:rPr>
            </w:pPr>
            <w:hyperlink w:anchor="i3af66512804646fcaf1b19a0aea6f320_70" w:history="1">
              <w:r>
                <w:rPr>
                  <w:rStyle w:val="a3"/>
                  <w:rFonts w:eastAsia="Times New Roman"/>
                  <w:color w:val="000000"/>
                  <w:sz w:val="20"/>
                  <w:szCs w:val="20"/>
                  <w:u w:val="none"/>
                </w:rPr>
                <w:t xml:space="preserve">Item </w:t>
              </w:r>
            </w:hyperlink>
            <w:hyperlink w:anchor="i3af66512804646fcaf1b19a0aea6f320_70" w:history="1">
              <w:r>
                <w:rPr>
                  <w:rStyle w:val="a3"/>
                  <w:rFonts w:eastAsia="Times New Roman"/>
                  <w:color w:val="000000"/>
                  <w:sz w:val="20"/>
                  <w:szCs w:val="20"/>
                  <w:u w:val="none"/>
                </w:rPr>
                <w:t>7</w:t>
              </w:r>
            </w:hyperlink>
            <w:hyperlink w:anchor="i3af66512804646fcaf1b19a0aea6f320_70"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0782F">
            <w:pPr>
              <w:divId w:val="358285468"/>
              <w:rPr>
                <w:rFonts w:eastAsia="Times New Roman"/>
              </w:rPr>
            </w:pPr>
            <w:hyperlink w:anchor="i3af66512804646fcaf1b19a0aea6f320_70" w:history="1">
              <w:r>
                <w:rPr>
                  <w:rStyle w:val="a3"/>
                  <w:rFonts w:eastAsia="Times New Roman"/>
                  <w:color w:val="000000"/>
                  <w:sz w:val="20"/>
                  <w:szCs w:val="20"/>
                  <w:u w:val="none"/>
                </w:rPr>
                <w:t>Management</w:t>
              </w:r>
              <w:r>
                <w:rPr>
                  <w:rStyle w:val="a3"/>
                  <w:rFonts w:eastAsia="Times New Roman"/>
                  <w:color w:val="000000"/>
                  <w:sz w:val="20"/>
                  <w:szCs w:val="20"/>
                  <w:u w:val="none"/>
                </w:rPr>
                <w:t>’s Discussion and Analysis of Financial Condition and Results of Operations (“MD&amp;A”)</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70" w:history="1">
              <w:r>
                <w:rPr>
                  <w:rStyle w:val="a3"/>
                  <w:rFonts w:eastAsia="Times New Roman"/>
                  <w:color w:val="000000"/>
                  <w:sz w:val="20"/>
                  <w:szCs w:val="20"/>
                  <w:u w:val="none"/>
                </w:rPr>
                <w:t>47</w:t>
              </w:r>
            </w:hyperlink>
          </w:p>
        </w:tc>
      </w:tr>
      <w:tr w:rsidR="00000000">
        <w:trPr>
          <w:divId w:val="1010529236"/>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divId w:val="1804226973"/>
              <w:rPr>
                <w:rFonts w:eastAsia="Times New Roman"/>
              </w:rPr>
            </w:pPr>
            <w:hyperlink w:anchor="i3af66512804646fcaf1b19a0aea6f320_91" w:history="1">
              <w:r>
                <w:rPr>
                  <w:rStyle w:val="a3"/>
                  <w:rFonts w:eastAsia="Times New Roman"/>
                  <w:color w:val="000000"/>
                  <w:sz w:val="20"/>
                  <w:szCs w:val="20"/>
                  <w:u w:val="none"/>
                </w:rPr>
                <w:t>Executive Summary and Business Outlook</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91" w:history="1">
              <w:r>
                <w:rPr>
                  <w:rStyle w:val="a3"/>
                  <w:rFonts w:eastAsia="Times New Roman"/>
                  <w:color w:val="000000"/>
                  <w:sz w:val="20"/>
                  <w:szCs w:val="20"/>
                  <w:u w:val="none"/>
                </w:rPr>
                <w:t>48</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605424540"/>
              <w:rPr>
                <w:rFonts w:eastAsia="Times New Roman"/>
              </w:rPr>
            </w:pPr>
            <w:hyperlink w:anchor="i3af66512804646fcaf1b19a0aea6f320_100" w:history="1">
              <w:r>
                <w:rPr>
                  <w:rStyle w:val="a3"/>
                  <w:rFonts w:eastAsia="Times New Roman"/>
                  <w:color w:val="000000"/>
                  <w:sz w:val="20"/>
                  <w:szCs w:val="20"/>
                  <w:u w:val="none"/>
                </w:rPr>
                <w:t>Consolidated Results of Oper</w:t>
              </w:r>
              <w:r>
                <w:rPr>
                  <w:rStyle w:val="a3"/>
                  <w:rFonts w:eastAsia="Times New Roman"/>
                  <w:color w:val="000000"/>
                  <w:sz w:val="20"/>
                  <w:szCs w:val="20"/>
                  <w:u w:val="none"/>
                </w:rPr>
                <w:t>ations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00" w:history="1">
              <w:r>
                <w:rPr>
                  <w:rStyle w:val="a3"/>
                  <w:rFonts w:eastAsia="Times New Roman"/>
                  <w:color w:val="000000"/>
                  <w:sz w:val="20"/>
                  <w:szCs w:val="20"/>
                  <w:u w:val="none"/>
                </w:rPr>
                <w:t>50</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683579906"/>
              <w:rPr>
                <w:rFonts w:eastAsia="Times New Roman"/>
              </w:rPr>
            </w:pPr>
            <w:hyperlink w:anchor="i3af66512804646fcaf1b19a0aea6f320_124" w:history="1">
              <w:r>
                <w:rPr>
                  <w:rStyle w:val="a3"/>
                  <w:rFonts w:eastAsia="Times New Roman"/>
                  <w:color w:val="000000"/>
                  <w:sz w:val="20"/>
                  <w:szCs w:val="20"/>
                  <w:u w:val="none"/>
                </w:rPr>
                <w:t>Consolidated Balance Sheets Analysis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24" w:history="1">
              <w:r>
                <w:rPr>
                  <w:rStyle w:val="a3"/>
                  <w:rFonts w:eastAsia="Times New Roman"/>
                  <w:color w:val="000000"/>
                  <w:sz w:val="20"/>
                  <w:szCs w:val="20"/>
                  <w:u w:val="none"/>
                </w:rPr>
                <w:t>55</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993990173"/>
              <w:rPr>
                <w:rFonts w:eastAsia="Times New Roman"/>
              </w:rPr>
            </w:pPr>
            <w:hyperlink w:anchor="i3af66512804646fcaf1b19a0aea6f320_148" w:history="1">
              <w:r>
                <w:rPr>
                  <w:rStyle w:val="a3"/>
                  <w:rFonts w:eastAsia="Times New Roman"/>
                  <w:color w:val="000000"/>
                  <w:sz w:val="20"/>
                  <w:szCs w:val="20"/>
                  <w:u w:val="none"/>
                </w:rPr>
                <w:t>Off-Balance Sheet Arrangements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48" w:history="1">
              <w:r>
                <w:rPr>
                  <w:rStyle w:val="a3"/>
                  <w:rFonts w:eastAsia="Times New Roman"/>
                  <w:color w:val="000000"/>
                  <w:sz w:val="20"/>
                  <w:szCs w:val="20"/>
                  <w:u w:val="none"/>
                </w:rPr>
                <w:t>57</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986425572"/>
              <w:rPr>
                <w:rFonts w:eastAsia="Times New Roman"/>
              </w:rPr>
            </w:pPr>
            <w:hyperlink w:anchor="i3af66512804646fcaf1b19a0aea6f320_151" w:history="1">
              <w:r>
                <w:rPr>
                  <w:rStyle w:val="a3"/>
                  <w:rFonts w:eastAsia="Times New Roman"/>
                  <w:color w:val="000000"/>
                  <w:sz w:val="20"/>
                  <w:szCs w:val="20"/>
                  <w:u w:val="none"/>
                </w:rPr>
                <w:t>Business Segment Financial Performance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51" w:history="1">
              <w:r>
                <w:rPr>
                  <w:rStyle w:val="a3"/>
                  <w:rFonts w:eastAsia="Times New Roman"/>
                  <w:color w:val="000000"/>
                  <w:sz w:val="20"/>
                  <w:szCs w:val="20"/>
                  <w:u w:val="none"/>
                </w:rPr>
                <w:t>57</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280600685"/>
              <w:rPr>
                <w:rFonts w:eastAsia="Times New Roman"/>
              </w:rPr>
            </w:pPr>
            <w:hyperlink w:anchor="i3af66512804646fcaf1b19a0aea6f320_175" w:history="1">
              <w:r>
                <w:rPr>
                  <w:rStyle w:val="a3"/>
                  <w:rFonts w:eastAsia="Times New Roman"/>
                  <w:color w:val="000000"/>
                  <w:sz w:val="20"/>
                  <w:szCs w:val="20"/>
                  <w:u w:val="none"/>
                </w:rPr>
                <w:t>Critical Accounting Policies and Estimates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75" w:history="1">
              <w:r>
                <w:rPr>
                  <w:rStyle w:val="a3"/>
                  <w:rFonts w:eastAsia="Times New Roman"/>
                  <w:color w:val="000000"/>
                  <w:sz w:val="20"/>
                  <w:szCs w:val="20"/>
                  <w:u w:val="none"/>
                </w:rPr>
                <w:t>66</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27530896"/>
              <w:rPr>
                <w:rFonts w:eastAsia="Times New Roman"/>
              </w:rPr>
            </w:pPr>
            <w:hyperlink w:anchor="i3af66512804646fcaf1b19a0aea6f320_178" w:history="1">
              <w:r>
                <w:rPr>
                  <w:rStyle w:val="a3"/>
                  <w:rFonts w:eastAsia="Times New Roman"/>
                  <w:color w:val="000000"/>
                  <w:sz w:val="20"/>
                  <w:szCs w:val="20"/>
                  <w:u w:val="none"/>
                </w:rPr>
                <w:t>Accounting Changes and Developments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78" w:history="1">
              <w:r>
                <w:rPr>
                  <w:rStyle w:val="a3"/>
                  <w:rFonts w:eastAsia="Times New Roman"/>
                  <w:color w:val="000000"/>
                  <w:sz w:val="20"/>
                  <w:szCs w:val="20"/>
                  <w:u w:val="none"/>
                </w:rPr>
                <w:t>70</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359473200"/>
              <w:rPr>
                <w:rFonts w:eastAsia="Times New Roman"/>
              </w:rPr>
            </w:pPr>
            <w:hyperlink w:anchor="i3af66512804646fcaf1b19a0aea6f320_184" w:history="1">
              <w:r>
                <w:rPr>
                  <w:rStyle w:val="a3"/>
                  <w:rFonts w:eastAsia="Times New Roman"/>
                  <w:color w:val="000000"/>
                  <w:sz w:val="20"/>
                  <w:szCs w:val="20"/>
                  <w:u w:val="none"/>
                </w:rPr>
                <w:t>Capital Management</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81" w:history="1">
              <w:r>
                <w:rPr>
                  <w:rStyle w:val="a3"/>
                  <w:rFonts w:eastAsia="Times New Roman"/>
                  <w:color w:val="000000"/>
                  <w:sz w:val="20"/>
                  <w:szCs w:val="20"/>
                  <w:u w:val="none"/>
                </w:rPr>
                <w:t>70</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355426463"/>
              <w:rPr>
                <w:rFonts w:eastAsia="Times New Roman"/>
              </w:rPr>
            </w:pPr>
            <w:hyperlink w:anchor="i3af66512804646fcaf1b19a0aea6f320_199" w:history="1">
              <w:r>
                <w:rPr>
                  <w:rStyle w:val="a3"/>
                  <w:rFonts w:eastAsia="Times New Roman"/>
                  <w:color w:val="000000"/>
                  <w:sz w:val="20"/>
                  <w:szCs w:val="20"/>
                  <w:u w:val="none"/>
                </w:rPr>
                <w:t>Risk Management</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99" w:history="1">
              <w:r>
                <w:rPr>
                  <w:rStyle w:val="a3"/>
                  <w:rFonts w:eastAsia="Times New Roman"/>
                  <w:color w:val="000000"/>
                  <w:sz w:val="20"/>
                  <w:szCs w:val="20"/>
                  <w:u w:val="none"/>
                </w:rPr>
                <w:t>77</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957447654"/>
              <w:rPr>
                <w:rFonts w:eastAsia="Times New Roman"/>
              </w:rPr>
            </w:pPr>
            <w:hyperlink w:anchor="i3af66512804646fcaf1b19a0aea6f320_202" w:history="1">
              <w:r>
                <w:rPr>
                  <w:rStyle w:val="a3"/>
                  <w:rFonts w:eastAsia="Times New Roman"/>
                  <w:color w:val="000000"/>
                  <w:sz w:val="20"/>
                  <w:szCs w:val="20"/>
                  <w:u w:val="none"/>
                </w:rPr>
                <w:t>Credit Risk Profile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02" w:history="1">
              <w:r>
                <w:rPr>
                  <w:rStyle w:val="a3"/>
                  <w:rFonts w:eastAsia="Times New Roman"/>
                  <w:color w:val="000000"/>
                  <w:sz w:val="20"/>
                  <w:szCs w:val="20"/>
                  <w:u w:val="none"/>
                </w:rPr>
                <w:t>83</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534273830"/>
              <w:rPr>
                <w:rFonts w:eastAsia="Times New Roman"/>
              </w:rPr>
            </w:pPr>
            <w:hyperlink w:anchor="i3af66512804646fcaf1b19a0aea6f320_259" w:history="1">
              <w:r>
                <w:rPr>
                  <w:rStyle w:val="a3"/>
                  <w:rFonts w:eastAsia="Times New Roman"/>
                  <w:color w:val="000000"/>
                  <w:sz w:val="20"/>
                  <w:szCs w:val="20"/>
                  <w:u w:val="none"/>
                </w:rPr>
                <w:t>Liquidity Risk Profile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59" w:history="1">
              <w:r>
                <w:rPr>
                  <w:rStyle w:val="a3"/>
                  <w:rFonts w:eastAsia="Times New Roman"/>
                  <w:color w:val="000000"/>
                  <w:sz w:val="20"/>
                  <w:szCs w:val="20"/>
                  <w:u w:val="none"/>
                </w:rPr>
                <w:t>96</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739935658"/>
              <w:rPr>
                <w:rFonts w:eastAsia="Times New Roman"/>
              </w:rPr>
            </w:pPr>
            <w:hyperlink w:anchor="i3af66512804646fcaf1b19a0aea6f320_289" w:history="1">
              <w:r>
                <w:rPr>
                  <w:rStyle w:val="a3"/>
                  <w:rFonts w:eastAsia="Times New Roman"/>
                  <w:color w:val="000000"/>
                  <w:sz w:val="20"/>
                  <w:szCs w:val="20"/>
                  <w:u w:val="none"/>
                </w:rPr>
                <w:t>Market Risk Profile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89" w:history="1">
              <w:r>
                <w:rPr>
                  <w:rStyle w:val="a3"/>
                  <w:rFonts w:eastAsia="Times New Roman"/>
                  <w:color w:val="000000"/>
                  <w:sz w:val="20"/>
                  <w:szCs w:val="20"/>
                  <w:u w:val="none"/>
                </w:rPr>
                <w:t>100</w:t>
              </w:r>
            </w:hyperlink>
          </w:p>
        </w:tc>
      </w:tr>
      <w:tr w:rsidR="00000000">
        <w:trPr>
          <w:divId w:val="1010529236"/>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divId w:val="1157844492"/>
              <w:rPr>
                <w:rFonts w:eastAsia="Times New Roman"/>
              </w:rPr>
            </w:pPr>
            <w:hyperlink w:anchor="i3af66512804646fcaf1b19a0aea6f320_304" w:history="1">
              <w:r>
                <w:rPr>
                  <w:rStyle w:val="a3"/>
                  <w:rFonts w:eastAsia="Times New Roman"/>
                  <w:color w:val="000000"/>
                  <w:sz w:val="20"/>
                  <w:szCs w:val="20"/>
                  <w:u w:val="none"/>
                </w:rPr>
                <w:t>Supplemental Table</w:t>
              </w:r>
            </w:hyperlink>
            <w:r>
              <w:rPr>
                <w:rFonts w:eastAsia="Times New Roman"/>
                <w:color w:val="000000"/>
                <w:sz w:val="20"/>
                <w:szCs w:val="20"/>
              </w:rPr>
              <w:t>s</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04" w:history="1">
              <w:r>
                <w:rPr>
                  <w:rStyle w:val="a3"/>
                  <w:rFonts w:eastAsia="Times New Roman"/>
                  <w:color w:val="000000"/>
                  <w:sz w:val="20"/>
                  <w:szCs w:val="20"/>
                  <w:u w:val="none"/>
                </w:rPr>
                <w:t>104</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152605411"/>
              <w:rPr>
                <w:rFonts w:eastAsia="Times New Roman"/>
              </w:rPr>
            </w:pPr>
            <w:hyperlink w:anchor="i3af66512804646fcaf1b19a0aea6f320_328" w:history="1">
              <w:r>
                <w:rPr>
                  <w:rStyle w:val="a3"/>
                  <w:rFonts w:eastAsia="Times New Roman"/>
                  <w:color w:val="000000"/>
                  <w:sz w:val="20"/>
                  <w:szCs w:val="20"/>
                  <w:u w:val="none"/>
                </w:rPr>
                <w:t>Glossary and Acronyms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28" w:history="1">
              <w:r>
                <w:rPr>
                  <w:rStyle w:val="a3"/>
                  <w:rFonts w:eastAsia="Times New Roman"/>
                  <w:color w:val="000000"/>
                  <w:sz w:val="20"/>
                  <w:szCs w:val="20"/>
                  <w:u w:val="none"/>
                </w:rPr>
                <w:t>109</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119036341"/>
              <w:rPr>
                <w:rFonts w:eastAsia="Times New Roman"/>
              </w:rPr>
            </w:pPr>
            <w:hyperlink w:anchor="i3af66512804646fcaf1b19a0aea6f320_466" w:history="1">
              <w:r>
                <w:rPr>
                  <w:rStyle w:val="a3"/>
                  <w:rFonts w:eastAsia="Times New Roman"/>
                  <w:color w:val="000000"/>
                  <w:sz w:val="20"/>
                  <w:szCs w:val="20"/>
                  <w:u w:val="none"/>
                </w:rPr>
                <w:t xml:space="preserve">Item </w:t>
              </w:r>
            </w:hyperlink>
            <w:hyperlink w:anchor="i3af66512804646fcaf1b19a0aea6f320_466" w:history="1">
              <w:r>
                <w:rPr>
                  <w:rStyle w:val="a3"/>
                  <w:rFonts w:eastAsia="Times New Roman"/>
                  <w:color w:val="000000"/>
                  <w:sz w:val="20"/>
                  <w:szCs w:val="20"/>
                  <w:u w:val="none"/>
                </w:rPr>
                <w:t>7A</w:t>
              </w:r>
            </w:hyperlink>
            <w:hyperlink w:anchor="i3af66512804646fcaf1b19a0aea6f320_466"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0782F">
            <w:pPr>
              <w:divId w:val="652949451"/>
              <w:rPr>
                <w:rFonts w:eastAsia="Times New Roman"/>
              </w:rPr>
            </w:pPr>
            <w:hyperlink w:anchor="i3af66512804646fcaf1b19a0aea6f320_466" w:history="1">
              <w:r>
                <w:rPr>
                  <w:rStyle w:val="a3"/>
                  <w:rFonts w:eastAsia="Times New Roman"/>
                  <w:color w:val="000000"/>
                  <w:sz w:val="20"/>
                  <w:szCs w:val="20"/>
                  <w:u w:val="none"/>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66" w:history="1">
              <w:r>
                <w:rPr>
                  <w:rStyle w:val="a3"/>
                  <w:rFonts w:eastAsia="Times New Roman"/>
                  <w:color w:val="000000"/>
                  <w:sz w:val="20"/>
                  <w:szCs w:val="20"/>
                  <w:u w:val="none"/>
                </w:rPr>
                <w:t>115</w:t>
              </w:r>
            </w:hyperlink>
          </w:p>
        </w:tc>
      </w:tr>
      <w:tr w:rsidR="00000000">
        <w:trPr>
          <w:divId w:val="1010529236"/>
        </w:trPr>
        <w:tc>
          <w:tcPr>
            <w:tcW w:w="0" w:type="auto"/>
            <w:gridSpan w:val="3"/>
            <w:tcMar>
              <w:top w:w="30" w:type="dxa"/>
              <w:left w:w="20" w:type="dxa"/>
              <w:bottom w:w="30" w:type="dxa"/>
              <w:right w:w="20" w:type="dxa"/>
            </w:tcMar>
            <w:vAlign w:val="center"/>
            <w:hideMark/>
          </w:tcPr>
          <w:p w:rsidR="00000000" w:rsidRDefault="00E0782F">
            <w:pPr>
              <w:divId w:val="12191079"/>
              <w:rPr>
                <w:rFonts w:eastAsia="Times New Roman"/>
              </w:rPr>
            </w:pPr>
            <w:hyperlink w:anchor="i3af66512804646fcaf1b19a0aea6f320_331" w:history="1">
              <w:r>
                <w:rPr>
                  <w:rStyle w:val="a3"/>
                  <w:rFonts w:eastAsia="Times New Roman"/>
                  <w:color w:val="000000"/>
                  <w:sz w:val="20"/>
                  <w:szCs w:val="20"/>
                  <w:u w:val="none"/>
                </w:rPr>
                <w:t>Item 8</w:t>
              </w:r>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0782F">
            <w:pPr>
              <w:divId w:val="1486625246"/>
              <w:rPr>
                <w:rFonts w:eastAsia="Times New Roman"/>
              </w:rPr>
            </w:pPr>
            <w:hyperlink w:anchor="i3af66512804646fcaf1b19a0aea6f320_331" w:history="1">
              <w:r>
                <w:rPr>
                  <w:rStyle w:val="a3"/>
                  <w:rFonts w:eastAsia="Times New Roman"/>
                  <w:color w:val="000000"/>
                  <w:sz w:val="20"/>
                  <w:szCs w:val="20"/>
                  <w:u w:val="none"/>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31" w:history="1">
              <w:r>
                <w:rPr>
                  <w:rStyle w:val="a3"/>
                  <w:rFonts w:eastAsia="Times New Roman"/>
                  <w:color w:val="000000"/>
                  <w:sz w:val="20"/>
                  <w:szCs w:val="20"/>
                  <w:u w:val="none"/>
                </w:rPr>
                <w:t>115</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954745634"/>
              <w:rPr>
                <w:rFonts w:eastAsia="Times New Roman"/>
              </w:rPr>
            </w:pPr>
            <w:hyperlink w:anchor="i3af66512804646fcaf1b19a0aea6f320_346"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46" w:history="1">
              <w:r>
                <w:rPr>
                  <w:rStyle w:val="a3"/>
                  <w:rFonts w:eastAsia="Times New Roman"/>
                  <w:color w:val="000000"/>
                  <w:sz w:val="20"/>
                  <w:szCs w:val="20"/>
                  <w:u w:val="none"/>
                </w:rPr>
                <w:t>121</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872643805"/>
              <w:rPr>
                <w:rFonts w:eastAsia="Times New Roman"/>
              </w:rPr>
            </w:pPr>
            <w:hyperlink w:anchor="i3af66512804646fcaf1b19a0aea6f320_349"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49" w:history="1">
              <w:r>
                <w:rPr>
                  <w:rStyle w:val="a3"/>
                  <w:rFonts w:eastAsia="Times New Roman"/>
                  <w:color w:val="000000"/>
                  <w:sz w:val="20"/>
                  <w:szCs w:val="20"/>
                  <w:u w:val="none"/>
                </w:rPr>
                <w:t>122</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927274430"/>
              <w:rPr>
                <w:rFonts w:eastAsia="Times New Roman"/>
              </w:rPr>
            </w:pPr>
            <w:hyperlink w:anchor="i3af66512804646fcaf1b19a0aea6f320_352"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52" w:history="1">
              <w:r>
                <w:rPr>
                  <w:rStyle w:val="a3"/>
                  <w:rFonts w:eastAsia="Times New Roman"/>
                  <w:color w:val="000000"/>
                  <w:sz w:val="20"/>
                  <w:szCs w:val="20"/>
                  <w:u w:val="none"/>
                </w:rPr>
                <w:t>123</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536625573"/>
              <w:rPr>
                <w:rFonts w:eastAsia="Times New Roman"/>
              </w:rPr>
            </w:pPr>
            <w:hyperlink w:anchor="i3af66512804646fcaf1b19a0aea6f320_358" w:history="1">
              <w:r>
                <w:rPr>
                  <w:rStyle w:val="a3"/>
                  <w:rFonts w:eastAsia="Times New Roman"/>
                  <w:color w:val="000000"/>
                  <w:sz w:val="20"/>
                  <w:szCs w:val="20"/>
                  <w:u w:val="none"/>
                </w:rPr>
                <w:t>Consolidated Statements of Changes in Stockholders’ Equity</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58" w:history="1">
              <w:r>
                <w:rPr>
                  <w:rStyle w:val="a3"/>
                  <w:rFonts w:eastAsia="Times New Roman"/>
                  <w:color w:val="000000"/>
                  <w:sz w:val="20"/>
                  <w:szCs w:val="20"/>
                  <w:u w:val="none"/>
                </w:rPr>
                <w:t>124</w:t>
              </w:r>
            </w:hyperlink>
          </w:p>
        </w:tc>
      </w:tr>
      <w:tr w:rsidR="00000000">
        <w:trPr>
          <w:divId w:val="1010529236"/>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635527926"/>
              <w:rPr>
                <w:rFonts w:eastAsia="Times New Roman"/>
              </w:rPr>
            </w:pPr>
            <w:hyperlink w:anchor="i3af66512804646fcaf1b19a0aea6f320_361"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61" w:history="1">
              <w:r>
                <w:rPr>
                  <w:rStyle w:val="a3"/>
                  <w:rFonts w:eastAsia="Times New Roman"/>
                  <w:color w:val="000000"/>
                  <w:sz w:val="20"/>
                  <w:szCs w:val="20"/>
                  <w:u w:val="none"/>
                </w:rPr>
                <w:t>125</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26" style="width:0;height:1.5pt" o:hralign="center" o:hrstd="t" o:hr="t" fillcolor="#a0a0a0" stroked="f"/>
        </w:pict>
      </w:r>
    </w:p>
    <w:p w:rsidR="00000000" w:rsidRDefault="00E0782F">
      <w:pPr>
        <w:jc w:val="both"/>
        <w:divId w:val="6333710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2"/>
        <w:gridCol w:w="650"/>
        <w:gridCol w:w="36"/>
        <w:gridCol w:w="44"/>
        <w:gridCol w:w="6817"/>
        <w:gridCol w:w="38"/>
        <w:gridCol w:w="44"/>
        <w:gridCol w:w="549"/>
        <w:gridCol w:w="36"/>
      </w:tblGrid>
      <w:tr w:rsidR="00000000">
        <w:trPr>
          <w:divId w:val="810639448"/>
        </w:trPr>
        <w:tc>
          <w:tcPr>
            <w:tcW w:w="50" w:type="pct"/>
            <w:vAlign w:val="center"/>
            <w:hideMark/>
          </w:tcPr>
          <w:p w:rsidR="00000000" w:rsidRDefault="00E0782F">
            <w:pPr>
              <w:jc w:val="both"/>
              <w:rPr>
                <w:rFonts w:eastAsia="Times New Roman"/>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10639448"/>
          <w:trHeight w:val="30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divId w:val="1990478008"/>
              <w:rPr>
                <w:rFonts w:eastAsia="Times New Roman"/>
              </w:rPr>
            </w:pPr>
            <w:hyperlink w:anchor="i3af66512804646fcaf1b19a0aea6f320_331"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64" w:history="1">
              <w:r>
                <w:rPr>
                  <w:rStyle w:val="a3"/>
                  <w:rFonts w:eastAsia="Times New Roman"/>
                  <w:color w:val="000000"/>
                  <w:sz w:val="20"/>
                  <w:szCs w:val="20"/>
                  <w:u w:val="none"/>
                </w:rPr>
                <w:t>127</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193766839"/>
              <w:rPr>
                <w:rFonts w:eastAsia="Times New Roman"/>
              </w:rPr>
            </w:pPr>
            <w:hyperlink w:anchor="i3af66512804646fcaf1b19a0aea6f320_364"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64" w:history="1">
              <w:r>
                <w:rPr>
                  <w:rStyle w:val="a3"/>
                  <w:rFonts w:eastAsia="Times New Roman"/>
                  <w:color w:val="000000"/>
                  <w:sz w:val="20"/>
                  <w:szCs w:val="20"/>
                  <w:u w:val="none"/>
                </w:rPr>
                <w:t>127</w:t>
              </w:r>
            </w:hyperlink>
          </w:p>
        </w:tc>
      </w:tr>
      <w:tr w:rsidR="00000000">
        <w:trPr>
          <w:divId w:val="810639448"/>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divId w:val="2028673965"/>
              <w:rPr>
                <w:rFonts w:eastAsia="Times New Roman"/>
              </w:rPr>
            </w:pPr>
            <w:hyperlink w:anchor="i3af66512804646fcaf1b19a0aea6f320_370" w:history="1">
              <w:r>
                <w:rPr>
                  <w:rStyle w:val="a3"/>
                  <w:rFonts w:eastAsia="Times New Roman"/>
                  <w:color w:val="000000"/>
                  <w:sz w:val="20"/>
                  <w:szCs w:val="20"/>
                  <w:u w:val="none"/>
                </w:rPr>
                <w:t>Note 2—Investment Securities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70" w:history="1">
              <w:r>
                <w:rPr>
                  <w:rStyle w:val="a3"/>
                  <w:rFonts w:eastAsia="Times New Roman"/>
                  <w:color w:val="000000"/>
                  <w:sz w:val="20"/>
                  <w:szCs w:val="20"/>
                  <w:u w:val="none"/>
                </w:rPr>
                <w:t>143</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541281674"/>
              <w:rPr>
                <w:rFonts w:eastAsia="Times New Roman"/>
              </w:rPr>
            </w:pPr>
            <w:hyperlink w:anchor="i3af66512804646fcaf1b19a0aea6f320_373"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73" w:history="1">
              <w:r>
                <w:rPr>
                  <w:rStyle w:val="a3"/>
                  <w:rFonts w:eastAsia="Times New Roman"/>
                  <w:color w:val="000000"/>
                  <w:sz w:val="20"/>
                  <w:szCs w:val="20"/>
                  <w:u w:val="none"/>
                </w:rPr>
                <w:t>146</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323514703"/>
              <w:rPr>
                <w:rFonts w:eastAsia="Times New Roman"/>
              </w:rPr>
            </w:pPr>
            <w:hyperlink w:anchor="i3af66512804646fcaf1b19a0aea6f320_397" w:history="1">
              <w:r>
                <w:rPr>
                  <w:rStyle w:val="a3"/>
                  <w:rFonts w:eastAsia="Times New Roman"/>
                  <w:color w:val="000000"/>
                  <w:sz w:val="20"/>
                  <w:szCs w:val="20"/>
                  <w:u w:val="none"/>
                </w:rPr>
                <w:t>Note 4—Allowance for</w:t>
              </w:r>
            </w:hyperlink>
            <w:hyperlink w:anchor="i3af66512804646fcaf1b19a0aea6f320_397" w:history="1">
              <w:r>
                <w:rPr>
                  <w:rStyle w:val="a3"/>
                  <w:rFonts w:eastAsia="Times New Roman"/>
                  <w:color w:val="000000"/>
                  <w:sz w:val="20"/>
                  <w:szCs w:val="20"/>
                  <w:u w:val="none"/>
                </w:rPr>
                <w:t xml:space="preserve"> Credit</w:t>
              </w:r>
            </w:hyperlink>
            <w:hyperlink w:anchor="i3af66512804646fcaf1b19a0aea6f320_397" w:history="1">
              <w:r>
                <w:rPr>
                  <w:rStyle w:val="a3"/>
                  <w:rFonts w:eastAsia="Times New Roman"/>
                  <w:color w:val="000000"/>
                  <w:sz w:val="20"/>
                  <w:szCs w:val="20"/>
                  <w:u w:val="none"/>
                </w:rPr>
                <w:t xml:space="preserve"> Losses and Reserve for Unfunded Lending Commitments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97" w:history="1">
              <w:r>
                <w:rPr>
                  <w:rStyle w:val="a3"/>
                  <w:rFonts w:eastAsia="Times New Roman"/>
                  <w:color w:val="000000"/>
                  <w:sz w:val="20"/>
                  <w:szCs w:val="20"/>
                  <w:u w:val="none"/>
                </w:rPr>
                <w:t>154</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88446749"/>
              <w:rPr>
                <w:rFonts w:eastAsia="Times New Roman"/>
              </w:rPr>
            </w:pPr>
            <w:hyperlink w:anchor="i3af66512804646fcaf1b19a0aea6f320_400"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00" w:history="1">
              <w:r>
                <w:rPr>
                  <w:rStyle w:val="a3"/>
                  <w:rFonts w:eastAsia="Times New Roman"/>
                  <w:color w:val="000000"/>
                  <w:sz w:val="20"/>
                  <w:szCs w:val="20"/>
                  <w:u w:val="none"/>
                </w:rPr>
                <w:t>158</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522479692"/>
              <w:rPr>
                <w:rFonts w:eastAsia="Times New Roman"/>
              </w:rPr>
            </w:pPr>
            <w:hyperlink w:anchor="i3af66512804646fcaf1b19a0aea6f320_403" w:history="1">
              <w:r>
                <w:rPr>
                  <w:rStyle w:val="a3"/>
                  <w:rFonts w:eastAsia="Times New Roman"/>
                  <w:color w:val="000000"/>
                  <w:sz w:val="20"/>
                  <w:szCs w:val="20"/>
                  <w:u w:val="none"/>
                </w:rPr>
                <w:t>Note 6—Goodwill and Intangible Assets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03" w:history="1">
              <w:r>
                <w:rPr>
                  <w:rStyle w:val="a3"/>
                  <w:rFonts w:eastAsia="Times New Roman"/>
                  <w:color w:val="000000"/>
                  <w:sz w:val="20"/>
                  <w:szCs w:val="20"/>
                  <w:u w:val="none"/>
                </w:rPr>
                <w:t>162</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496335695"/>
              <w:rPr>
                <w:rFonts w:eastAsia="Times New Roman"/>
              </w:rPr>
            </w:pPr>
            <w:hyperlink w:anchor="i3af66512804646fcaf1b19a0aea6f320_406" w:history="1">
              <w:r>
                <w:rPr>
                  <w:rStyle w:val="a3"/>
                  <w:rFonts w:eastAsia="Times New Roman"/>
                  <w:color w:val="000000"/>
                  <w:sz w:val="20"/>
                  <w:szCs w:val="20"/>
                  <w:u w:val="none"/>
                </w:rPr>
                <w:t>Note 7—Premises, Equipment and Leases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06" w:history="1">
              <w:r>
                <w:rPr>
                  <w:rStyle w:val="a3"/>
                  <w:rFonts w:eastAsia="Times New Roman"/>
                  <w:color w:val="000000"/>
                  <w:sz w:val="20"/>
                  <w:szCs w:val="20"/>
                  <w:u w:val="none"/>
                </w:rPr>
                <w:t>165</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94466167"/>
              <w:rPr>
                <w:rFonts w:eastAsia="Times New Roman"/>
              </w:rPr>
            </w:pPr>
            <w:hyperlink w:anchor="i3af66512804646fcaf1b19a0aea6f320_409" w:history="1">
              <w:r>
                <w:rPr>
                  <w:rStyle w:val="a3"/>
                  <w:rFonts w:eastAsia="Times New Roman"/>
                  <w:color w:val="000000"/>
                  <w:sz w:val="20"/>
                  <w:szCs w:val="20"/>
                  <w:u w:val="none"/>
                </w:rPr>
                <w:t>Note 8—Deposits and Borrowings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09" w:history="1">
              <w:r>
                <w:rPr>
                  <w:rStyle w:val="a3"/>
                  <w:rFonts w:eastAsia="Times New Roman"/>
                  <w:color w:val="000000"/>
                  <w:sz w:val="20"/>
                  <w:szCs w:val="20"/>
                  <w:u w:val="none"/>
                </w:rPr>
                <w:t>167</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594243680"/>
              <w:rPr>
                <w:rFonts w:eastAsia="Times New Roman"/>
              </w:rPr>
            </w:pPr>
            <w:hyperlink w:anchor="i3af66512804646fcaf1b19a0aea6f320_412" w:history="1">
              <w:r>
                <w:rPr>
                  <w:rStyle w:val="a3"/>
                  <w:rFonts w:eastAsia="Times New Roman"/>
                  <w:color w:val="000000"/>
                  <w:sz w:val="20"/>
                  <w:szCs w:val="20"/>
                  <w:u w:val="none"/>
                </w:rPr>
                <w:t>Note 9—Derivative Instruments and</w:t>
              </w:r>
              <w:r>
                <w:rPr>
                  <w:rStyle w:val="a3"/>
                  <w:rFonts w:eastAsia="Times New Roman"/>
                  <w:color w:val="000000"/>
                  <w:sz w:val="20"/>
                  <w:szCs w:val="20"/>
                  <w:u w:val="none"/>
                </w:rPr>
                <w:t xml:space="preserve"> Hedging Activities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12" w:history="1">
              <w:r>
                <w:rPr>
                  <w:rStyle w:val="a3"/>
                  <w:rFonts w:eastAsia="Times New Roman"/>
                  <w:color w:val="000000"/>
                  <w:sz w:val="20"/>
                  <w:szCs w:val="20"/>
                  <w:u w:val="none"/>
                </w:rPr>
                <w:t>169</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2097942856"/>
              <w:rPr>
                <w:rFonts w:eastAsia="Times New Roman"/>
              </w:rPr>
            </w:pPr>
            <w:hyperlink w:anchor="i3af66512804646fcaf1b19a0aea6f320_415" w:history="1">
              <w:r>
                <w:rPr>
                  <w:rStyle w:val="a3"/>
                  <w:rFonts w:eastAsia="Times New Roman"/>
                  <w:color w:val="000000"/>
                  <w:sz w:val="20"/>
                  <w:szCs w:val="20"/>
                  <w:u w:val="none"/>
                </w:rPr>
                <w:t>Note 10—Stockholders’ Equity</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15" w:history="1">
              <w:r>
                <w:rPr>
                  <w:rStyle w:val="a3"/>
                  <w:rFonts w:eastAsia="Times New Roman"/>
                  <w:color w:val="000000"/>
                  <w:sz w:val="20"/>
                  <w:szCs w:val="20"/>
                  <w:u w:val="none"/>
                </w:rPr>
                <w:t>178</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2005427670"/>
              <w:rPr>
                <w:rFonts w:eastAsia="Times New Roman"/>
              </w:rPr>
            </w:pPr>
            <w:hyperlink w:anchor="i3af66512804646fcaf1b19a0aea6f320_421" w:history="1">
              <w:r>
                <w:rPr>
                  <w:rStyle w:val="a3"/>
                  <w:rFonts w:eastAsia="Times New Roman"/>
                  <w:color w:val="000000"/>
                  <w:sz w:val="20"/>
                  <w:szCs w:val="20"/>
                  <w:u w:val="none"/>
                </w:rPr>
                <w:t>Note 11—Regulatory and Capital Adequacy</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21" w:history="1">
              <w:r>
                <w:rPr>
                  <w:rStyle w:val="a3"/>
                  <w:rFonts w:eastAsia="Times New Roman"/>
                  <w:color w:val="000000"/>
                  <w:sz w:val="20"/>
                  <w:szCs w:val="20"/>
                  <w:u w:val="none"/>
                </w:rPr>
                <w:t>182</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475874919"/>
              <w:rPr>
                <w:rFonts w:eastAsia="Times New Roman"/>
              </w:rPr>
            </w:pPr>
            <w:hyperlink w:anchor="i3af66512804646fcaf1b19a0aea6f320_424" w:history="1">
              <w:r>
                <w:rPr>
                  <w:rStyle w:val="a3"/>
                  <w:rFonts w:eastAsia="Times New Roman"/>
                  <w:color w:val="000000"/>
                  <w:sz w:val="20"/>
                  <w:szCs w:val="20"/>
                  <w:u w:val="none"/>
                </w:rPr>
                <w:t>Note 12—Earnings Per Common Share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24" w:history="1">
              <w:r>
                <w:rPr>
                  <w:rStyle w:val="a3"/>
                  <w:rFonts w:eastAsia="Times New Roman"/>
                  <w:color w:val="000000"/>
                  <w:sz w:val="20"/>
                  <w:szCs w:val="20"/>
                  <w:u w:val="none"/>
                </w:rPr>
                <w:t>184</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453866549"/>
              <w:rPr>
                <w:rFonts w:eastAsia="Times New Roman"/>
              </w:rPr>
            </w:pPr>
            <w:hyperlink w:anchor="i3af66512804646fcaf1b19a0aea6f320_427" w:history="1">
              <w:r>
                <w:rPr>
                  <w:rStyle w:val="a3"/>
                  <w:rFonts w:eastAsia="Times New Roman"/>
                  <w:color w:val="000000"/>
                  <w:sz w:val="20"/>
                  <w:szCs w:val="20"/>
                  <w:u w:val="none"/>
                </w:rPr>
                <w:t>Note 13—Stock-Based Compensation Plans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27" w:history="1">
              <w:r>
                <w:rPr>
                  <w:rStyle w:val="a3"/>
                  <w:rFonts w:eastAsia="Times New Roman"/>
                  <w:color w:val="000000"/>
                  <w:sz w:val="20"/>
                  <w:szCs w:val="20"/>
                  <w:u w:val="none"/>
                </w:rPr>
                <w:t>185</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570391550"/>
              <w:rPr>
                <w:rFonts w:eastAsia="Times New Roman"/>
              </w:rPr>
            </w:pPr>
            <w:hyperlink w:anchor="i3af66512804646fcaf1b19a0aea6f320_430" w:history="1">
              <w:r>
                <w:rPr>
                  <w:rStyle w:val="a3"/>
                  <w:rFonts w:eastAsia="Times New Roman"/>
                  <w:color w:val="000000"/>
                  <w:sz w:val="20"/>
                  <w:szCs w:val="20"/>
                  <w:u w:val="none"/>
                </w:rPr>
                <w:t>Note 14—Employee Benefit Plans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30" w:history="1">
              <w:r>
                <w:rPr>
                  <w:rStyle w:val="a3"/>
                  <w:rFonts w:eastAsia="Times New Roman"/>
                  <w:color w:val="000000"/>
                  <w:sz w:val="20"/>
                  <w:szCs w:val="20"/>
                  <w:u w:val="none"/>
                </w:rPr>
                <w:t>187</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998876371"/>
              <w:rPr>
                <w:rFonts w:eastAsia="Times New Roman"/>
              </w:rPr>
            </w:pPr>
            <w:hyperlink w:anchor="i3af66512804646fcaf1b19a0aea6f320_433" w:history="1">
              <w:r>
                <w:rPr>
                  <w:rStyle w:val="a3"/>
                  <w:rFonts w:eastAsia="Times New Roman"/>
                  <w:color w:val="000000"/>
                  <w:sz w:val="20"/>
                  <w:szCs w:val="20"/>
                  <w:u w:val="none"/>
                </w:rPr>
                <w:t>Note 15—Income Taxes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33" w:history="1">
              <w:r>
                <w:rPr>
                  <w:rStyle w:val="a3"/>
                  <w:rFonts w:eastAsia="Times New Roman"/>
                  <w:color w:val="000000"/>
                  <w:sz w:val="20"/>
                  <w:szCs w:val="20"/>
                  <w:u w:val="none"/>
                </w:rPr>
                <w:t>189</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716587146"/>
              <w:rPr>
                <w:rFonts w:eastAsia="Times New Roman"/>
              </w:rPr>
            </w:pPr>
            <w:hyperlink w:anchor="i3af66512804646fcaf1b19a0aea6f320_436" w:history="1">
              <w:r>
                <w:rPr>
                  <w:rStyle w:val="a3"/>
                  <w:rFonts w:eastAsia="Times New Roman"/>
                  <w:color w:val="000000"/>
                  <w:sz w:val="20"/>
                  <w:szCs w:val="20"/>
                  <w:u w:val="none"/>
                </w:rPr>
                <w:t>Note 16—Fair Value Measurement</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36" w:history="1">
              <w:r>
                <w:rPr>
                  <w:rStyle w:val="a3"/>
                  <w:rFonts w:eastAsia="Times New Roman"/>
                  <w:color w:val="000000"/>
                  <w:sz w:val="20"/>
                  <w:szCs w:val="20"/>
                  <w:u w:val="none"/>
                </w:rPr>
                <w:t>193</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388117468"/>
              <w:rPr>
                <w:rFonts w:eastAsia="Times New Roman"/>
              </w:rPr>
            </w:pPr>
            <w:hyperlink w:anchor="i3af66512804646fcaf1b19a0aea6f320_442" w:history="1">
              <w:r>
                <w:rPr>
                  <w:rStyle w:val="a3"/>
                  <w:rFonts w:eastAsia="Times New Roman"/>
                  <w:color w:val="000000"/>
                  <w:sz w:val="20"/>
                  <w:szCs w:val="20"/>
                  <w:u w:val="none"/>
                </w:rPr>
                <w:t>Note 17—Business Segments and Revenue from Contracts with Customers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42" w:history="1">
              <w:r>
                <w:rPr>
                  <w:rStyle w:val="a3"/>
                  <w:rFonts w:eastAsia="Times New Roman"/>
                  <w:color w:val="000000"/>
                  <w:sz w:val="20"/>
                  <w:szCs w:val="20"/>
                  <w:u w:val="none"/>
                </w:rPr>
                <w:t>202</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289869750"/>
              <w:rPr>
                <w:rFonts w:eastAsia="Times New Roman"/>
              </w:rPr>
            </w:pPr>
            <w:hyperlink w:anchor="i3af66512804646fcaf1b19a0aea6f320_445" w:history="1">
              <w:r>
                <w:rPr>
                  <w:rStyle w:val="a3"/>
                  <w:rFonts w:eastAsia="Times New Roman"/>
                  <w:color w:val="000000"/>
                  <w:sz w:val="20"/>
                  <w:szCs w:val="20"/>
                  <w:u w:val="none"/>
                </w:rPr>
                <w:t>Note 18—Commitments, Contingencies, Guarantees and Others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45" w:history="1">
              <w:r>
                <w:rPr>
                  <w:rStyle w:val="a3"/>
                  <w:rFonts w:eastAsia="Times New Roman"/>
                  <w:color w:val="000000"/>
                  <w:sz w:val="20"/>
                  <w:szCs w:val="20"/>
                  <w:u w:val="none"/>
                </w:rPr>
                <w:t>207</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890656002"/>
              <w:rPr>
                <w:rFonts w:eastAsia="Times New Roman"/>
              </w:rPr>
            </w:pPr>
            <w:hyperlink w:anchor="i3af66512804646fcaf1b19a0aea6f320_448" w:history="1">
              <w:r>
                <w:rPr>
                  <w:rStyle w:val="a3"/>
                  <w:rFonts w:eastAsia="Times New Roman"/>
                  <w:color w:val="000000"/>
                  <w:sz w:val="20"/>
                  <w:szCs w:val="20"/>
                  <w:u w:val="none"/>
                </w:rPr>
                <w:t>Note 19—Capital One Financial Corporation (Parent Company Only)</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48" w:history="1">
              <w:r>
                <w:rPr>
                  <w:rStyle w:val="a3"/>
                  <w:rFonts w:eastAsia="Times New Roman"/>
                  <w:color w:val="000000"/>
                  <w:sz w:val="20"/>
                  <w:szCs w:val="20"/>
                  <w:u w:val="none"/>
                </w:rPr>
                <w:t>211</w:t>
              </w:r>
            </w:hyperlink>
          </w:p>
        </w:tc>
      </w:tr>
      <w:tr w:rsidR="00000000">
        <w:trPr>
          <w:divId w:val="81063944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divId w:val="1355811128"/>
              <w:rPr>
                <w:rFonts w:eastAsia="Times New Roman"/>
              </w:rPr>
            </w:pPr>
            <w:hyperlink w:anchor="i3af66512804646fcaf1b19a0aea6f320_451" w:history="1">
              <w:r>
                <w:rPr>
                  <w:rStyle w:val="a3"/>
                  <w:rFonts w:eastAsia="Times New Roman"/>
                  <w:color w:val="000000"/>
                  <w:sz w:val="20"/>
                  <w:szCs w:val="20"/>
                  <w:u w:val="none"/>
                </w:rPr>
                <w:t>Note 20—Related Party Transactions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51" w:history="1">
              <w:r>
                <w:rPr>
                  <w:rStyle w:val="a3"/>
                  <w:rFonts w:eastAsia="Times New Roman"/>
                  <w:color w:val="000000"/>
                  <w:sz w:val="20"/>
                  <w:szCs w:val="20"/>
                  <w:u w:val="none"/>
                </w:rPr>
                <w:t>213</w:t>
              </w:r>
            </w:hyperlink>
          </w:p>
        </w:tc>
      </w:tr>
      <w:tr w:rsidR="00000000">
        <w:trPr>
          <w:divId w:val="810639448"/>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882789188"/>
              <w:rPr>
                <w:rFonts w:eastAsia="Times New Roman"/>
              </w:rPr>
            </w:pPr>
            <w:hyperlink w:anchor="i3af66512804646fcaf1b19a0aea6f320_463" w:history="1">
              <w:r>
                <w:rPr>
                  <w:rStyle w:val="a3"/>
                  <w:rFonts w:eastAsia="Times New Roman"/>
                  <w:color w:val="000000"/>
                  <w:sz w:val="20"/>
                  <w:szCs w:val="20"/>
                  <w:u w:val="none"/>
                </w:rPr>
                <w:t>Item 9.</w:t>
              </w:r>
            </w:hyperlink>
          </w:p>
        </w:tc>
        <w:tc>
          <w:tcPr>
            <w:tcW w:w="0" w:type="auto"/>
            <w:gridSpan w:val="3"/>
            <w:tcMar>
              <w:top w:w="30" w:type="dxa"/>
              <w:left w:w="20" w:type="dxa"/>
              <w:bottom w:w="30" w:type="dxa"/>
              <w:right w:w="20" w:type="dxa"/>
            </w:tcMar>
            <w:vAlign w:val="bottom"/>
            <w:hideMark/>
          </w:tcPr>
          <w:p w:rsidR="00000000" w:rsidRDefault="00E0782F">
            <w:pPr>
              <w:divId w:val="113796297"/>
              <w:rPr>
                <w:rFonts w:eastAsia="Times New Roman"/>
              </w:rPr>
            </w:pPr>
            <w:hyperlink w:anchor="i3af66512804646fcaf1b19a0aea6f320_463" w:history="1">
              <w:r>
                <w:rPr>
                  <w:rStyle w:val="a3"/>
                  <w:rFonts w:eastAsia="Times New Roman"/>
                  <w:color w:val="000000"/>
                  <w:sz w:val="20"/>
                  <w:szCs w:val="20"/>
                  <w:u w:val="none"/>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63" w:history="1">
              <w:r>
                <w:rPr>
                  <w:rStyle w:val="a3"/>
                  <w:rFonts w:eastAsia="Times New Roman"/>
                  <w:color w:val="000000"/>
                  <w:sz w:val="20"/>
                  <w:szCs w:val="20"/>
                  <w:u w:val="none"/>
                </w:rPr>
                <w:t>214</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555818959"/>
              <w:rPr>
                <w:rFonts w:eastAsia="Times New Roman"/>
              </w:rPr>
            </w:pPr>
            <w:hyperlink w:anchor="i3af66512804646fcaf1b19a0aea6f320_469" w:history="1">
              <w:r>
                <w:rPr>
                  <w:rStyle w:val="a3"/>
                  <w:rFonts w:eastAsia="Times New Roman"/>
                  <w:color w:val="000000"/>
                  <w:sz w:val="20"/>
                  <w:szCs w:val="20"/>
                  <w:u w:val="none"/>
                </w:rPr>
                <w:t>Item </w:t>
              </w:r>
            </w:hyperlink>
            <w:hyperlink w:anchor="i3af66512804646fcaf1b19a0aea6f320_469" w:history="1">
              <w:r>
                <w:rPr>
                  <w:rStyle w:val="a3"/>
                  <w:rFonts w:eastAsia="Times New Roman"/>
                  <w:color w:val="000000"/>
                  <w:sz w:val="20"/>
                  <w:szCs w:val="20"/>
                  <w:u w:val="none"/>
                </w:rPr>
                <w:t>9A</w:t>
              </w:r>
            </w:hyperlink>
            <w:hyperlink w:anchor="i3af66512804646fcaf1b19a0aea6f320_469" w:history="1">
              <w:r>
                <w:rPr>
                  <w:rStyle w:val="a3"/>
                  <w:rFonts w:eastAsia="Times New Roman"/>
                  <w:color w:val="000000"/>
                  <w:sz w:val="20"/>
                  <w:szCs w:val="20"/>
                  <w:u w:val="none"/>
                </w:rPr>
                <w:t>.</w:t>
              </w:r>
            </w:hyperlink>
          </w:p>
        </w:tc>
        <w:tc>
          <w:tcPr>
            <w:tcW w:w="0" w:type="auto"/>
            <w:gridSpan w:val="3"/>
            <w:tcMar>
              <w:top w:w="30" w:type="dxa"/>
              <w:left w:w="20" w:type="dxa"/>
              <w:bottom w:w="30" w:type="dxa"/>
              <w:right w:w="20" w:type="dxa"/>
            </w:tcMar>
            <w:vAlign w:val="bottom"/>
            <w:hideMark/>
          </w:tcPr>
          <w:p w:rsidR="00000000" w:rsidRDefault="00E0782F">
            <w:pPr>
              <w:divId w:val="1264411977"/>
              <w:rPr>
                <w:rFonts w:eastAsia="Times New Roman"/>
              </w:rPr>
            </w:pPr>
            <w:hyperlink w:anchor="i3af66512804646fcaf1b19a0aea6f320_469" w:history="1">
              <w:r>
                <w:rPr>
                  <w:rStyle w:val="a3"/>
                  <w:rFonts w:eastAsia="Times New Roman"/>
                  <w:color w:val="000000"/>
                  <w:sz w:val="20"/>
                  <w:szCs w:val="20"/>
                  <w:u w:val="none"/>
                </w:rPr>
                <w:t>Contr</w:t>
              </w:r>
              <w:r>
                <w:rPr>
                  <w:rStyle w:val="a3"/>
                  <w:rFonts w:eastAsia="Times New Roman"/>
                  <w:color w:val="000000"/>
                  <w:sz w:val="20"/>
                  <w:szCs w:val="20"/>
                  <w:u w:val="none"/>
                </w:rPr>
                <w:t>ols and Procedures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69" w:history="1">
              <w:r>
                <w:rPr>
                  <w:rStyle w:val="a3"/>
                  <w:rFonts w:eastAsia="Times New Roman"/>
                  <w:color w:val="000000"/>
                  <w:sz w:val="20"/>
                  <w:szCs w:val="20"/>
                  <w:u w:val="none"/>
                </w:rPr>
                <w:t>214</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1314945537"/>
              <w:rPr>
                <w:rFonts w:eastAsia="Times New Roman"/>
              </w:rPr>
            </w:pPr>
            <w:hyperlink w:anchor="i3af66512804646fcaf1b19a0aea6f320_490" w:history="1">
              <w:r>
                <w:rPr>
                  <w:rStyle w:val="a3"/>
                  <w:rFonts w:eastAsia="Times New Roman"/>
                  <w:color w:val="000000"/>
                  <w:sz w:val="20"/>
                  <w:szCs w:val="20"/>
                  <w:u w:val="none"/>
                </w:rPr>
                <w:t>Item 9B.</w:t>
              </w:r>
            </w:hyperlink>
          </w:p>
        </w:tc>
        <w:tc>
          <w:tcPr>
            <w:tcW w:w="0" w:type="auto"/>
            <w:gridSpan w:val="3"/>
            <w:tcMar>
              <w:top w:w="30" w:type="dxa"/>
              <w:left w:w="20" w:type="dxa"/>
              <w:bottom w:w="30" w:type="dxa"/>
              <w:right w:w="20" w:type="dxa"/>
            </w:tcMar>
            <w:vAlign w:val="bottom"/>
            <w:hideMark/>
          </w:tcPr>
          <w:p w:rsidR="00000000" w:rsidRDefault="00E0782F">
            <w:pPr>
              <w:divId w:val="446702932"/>
              <w:rPr>
                <w:rFonts w:eastAsia="Times New Roman"/>
              </w:rPr>
            </w:pPr>
            <w:hyperlink w:anchor="i3af66512804646fcaf1b19a0aea6f320_490" w:history="1">
              <w:r>
                <w:rPr>
                  <w:rStyle w:val="a3"/>
                  <w:rFonts w:eastAsia="Times New Roman"/>
                  <w:color w:val="000000"/>
                  <w:sz w:val="20"/>
                  <w:szCs w:val="20"/>
                  <w:u w:val="none"/>
                </w:rPr>
                <w:t>Other Information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90" w:history="1">
              <w:r>
                <w:rPr>
                  <w:rStyle w:val="a3"/>
                  <w:rFonts w:eastAsia="Times New Roman"/>
                  <w:color w:val="000000"/>
                  <w:sz w:val="20"/>
                  <w:szCs w:val="20"/>
                  <w:u w:val="none"/>
                </w:rPr>
                <w:t>214</w:t>
              </w:r>
            </w:hyperlink>
          </w:p>
        </w:tc>
      </w:tr>
      <w:tr w:rsidR="00000000">
        <w:trPr>
          <w:divId w:val="810639448"/>
          <w:trHeight w:val="28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0639448"/>
        </w:trPr>
        <w:tc>
          <w:tcPr>
            <w:tcW w:w="0" w:type="auto"/>
            <w:gridSpan w:val="6"/>
            <w:tcMar>
              <w:top w:w="30" w:type="dxa"/>
              <w:left w:w="20" w:type="dxa"/>
              <w:bottom w:w="30" w:type="dxa"/>
              <w:right w:w="20" w:type="dxa"/>
            </w:tcMar>
            <w:vAlign w:val="bottom"/>
            <w:hideMark/>
          </w:tcPr>
          <w:p w:rsidR="00000000" w:rsidRDefault="00E0782F">
            <w:pPr>
              <w:divId w:val="705066456"/>
              <w:rPr>
                <w:rFonts w:eastAsia="Times New Roman"/>
              </w:rPr>
            </w:pPr>
            <w:hyperlink w:anchor="i3af66512804646fcaf1b19a0aea6f320_472" w:history="1">
              <w:r>
                <w:rPr>
                  <w:rStyle w:val="a3"/>
                  <w:rFonts w:eastAsia="Times New Roman"/>
                  <w:b/>
                  <w:bCs/>
                  <w:color w:val="000000"/>
                  <w:sz w:val="20"/>
                  <w:szCs w:val="20"/>
                  <w:u w:val="none"/>
                </w:rPr>
                <w:t>PART II</w:t>
              </w:r>
            </w:hyperlink>
            <w:r>
              <w:rPr>
                <w:rFonts w:eastAsia="Times New Roman"/>
                <w:b/>
                <w:bCs/>
                <w:color w:val="000000"/>
                <w:sz w:val="20"/>
                <w:szCs w:val="20"/>
              </w:rPr>
              <w:t>I</w:t>
            </w: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72" w:history="1">
              <w:r>
                <w:rPr>
                  <w:rStyle w:val="a3"/>
                  <w:rFonts w:eastAsia="Times New Roman"/>
                  <w:b/>
                  <w:bCs/>
                  <w:color w:val="000000"/>
                  <w:sz w:val="20"/>
                  <w:szCs w:val="20"/>
                  <w:u w:val="none"/>
                </w:rPr>
                <w:t>215</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2078434500"/>
              <w:rPr>
                <w:rFonts w:eastAsia="Times New Roman"/>
              </w:rPr>
            </w:pPr>
            <w:hyperlink w:anchor="i3af66512804646fcaf1b19a0aea6f320_496" w:history="1">
              <w:r>
                <w:rPr>
                  <w:rStyle w:val="a3"/>
                  <w:rFonts w:eastAsia="Times New Roman"/>
                  <w:color w:val="000000"/>
                  <w:sz w:val="20"/>
                  <w:szCs w:val="20"/>
                  <w:u w:val="none"/>
                </w:rPr>
                <w:t>Item 10.</w:t>
              </w:r>
            </w:hyperlink>
          </w:p>
        </w:tc>
        <w:tc>
          <w:tcPr>
            <w:tcW w:w="0" w:type="auto"/>
            <w:gridSpan w:val="3"/>
            <w:tcMar>
              <w:top w:w="30" w:type="dxa"/>
              <w:left w:w="20" w:type="dxa"/>
              <w:bottom w:w="30" w:type="dxa"/>
              <w:right w:w="20" w:type="dxa"/>
            </w:tcMar>
            <w:vAlign w:val="bottom"/>
            <w:hideMark/>
          </w:tcPr>
          <w:p w:rsidR="00000000" w:rsidRDefault="00E0782F">
            <w:pPr>
              <w:divId w:val="1241061444"/>
              <w:rPr>
                <w:rFonts w:eastAsia="Times New Roman"/>
              </w:rPr>
            </w:pPr>
            <w:hyperlink w:anchor="i3af66512804646fcaf1b19a0aea6f320_496" w:history="1">
              <w:r>
                <w:rPr>
                  <w:rStyle w:val="a3"/>
                  <w:rFonts w:eastAsia="Times New Roman"/>
                  <w:color w:val="000000"/>
                  <w:sz w:val="20"/>
                  <w:szCs w:val="20"/>
                  <w:u w:val="none"/>
                </w:rPr>
                <w:t>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96" w:history="1">
              <w:r>
                <w:rPr>
                  <w:rStyle w:val="a3"/>
                  <w:rFonts w:eastAsia="Times New Roman"/>
                  <w:color w:val="000000"/>
                  <w:sz w:val="20"/>
                  <w:szCs w:val="20"/>
                  <w:u w:val="none"/>
                </w:rPr>
                <w:t>215</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1898347563"/>
              <w:rPr>
                <w:rFonts w:eastAsia="Times New Roman"/>
              </w:rPr>
            </w:pPr>
            <w:hyperlink w:anchor="i3af66512804646fcaf1b19a0aea6f320_499" w:history="1">
              <w:r>
                <w:rPr>
                  <w:rStyle w:val="a3"/>
                  <w:rFonts w:eastAsia="Times New Roman"/>
                  <w:color w:val="000000"/>
                  <w:sz w:val="20"/>
                  <w:szCs w:val="20"/>
                  <w:u w:val="none"/>
                </w:rPr>
                <w:t>Item 11.</w:t>
              </w:r>
            </w:hyperlink>
          </w:p>
        </w:tc>
        <w:tc>
          <w:tcPr>
            <w:tcW w:w="0" w:type="auto"/>
            <w:gridSpan w:val="3"/>
            <w:tcMar>
              <w:top w:w="30" w:type="dxa"/>
              <w:left w:w="20" w:type="dxa"/>
              <w:bottom w:w="30" w:type="dxa"/>
              <w:right w:w="20" w:type="dxa"/>
            </w:tcMar>
            <w:vAlign w:val="bottom"/>
            <w:hideMark/>
          </w:tcPr>
          <w:p w:rsidR="00000000" w:rsidRDefault="00E0782F">
            <w:pPr>
              <w:divId w:val="886793918"/>
              <w:rPr>
                <w:rFonts w:eastAsia="Times New Roman"/>
              </w:rPr>
            </w:pPr>
            <w:hyperlink w:anchor="i3af66512804646fcaf1b19a0aea6f320_499" w:history="1">
              <w:r>
                <w:rPr>
                  <w:rStyle w:val="a3"/>
                  <w:rFonts w:eastAsia="Times New Roman"/>
                  <w:color w:val="000000"/>
                  <w:sz w:val="20"/>
                  <w:szCs w:val="20"/>
                  <w:u w:val="none"/>
                </w:rPr>
                <w:t>Executive Compensation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499" w:history="1">
              <w:r>
                <w:rPr>
                  <w:rStyle w:val="a3"/>
                  <w:rFonts w:eastAsia="Times New Roman"/>
                  <w:color w:val="000000"/>
                  <w:sz w:val="20"/>
                  <w:szCs w:val="20"/>
                  <w:u w:val="none"/>
                </w:rPr>
                <w:t>215</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611016440"/>
              <w:rPr>
                <w:rFonts w:eastAsia="Times New Roman"/>
              </w:rPr>
            </w:pPr>
            <w:hyperlink w:anchor="i3af66512804646fcaf1b19a0aea6f320_502" w:history="1">
              <w:r>
                <w:rPr>
                  <w:rStyle w:val="a3"/>
                  <w:rFonts w:eastAsia="Times New Roman"/>
                  <w:color w:val="000000"/>
                  <w:sz w:val="20"/>
                  <w:szCs w:val="20"/>
                  <w:u w:val="none"/>
                </w:rPr>
                <w:t>Item 12.</w:t>
              </w:r>
            </w:hyperlink>
          </w:p>
        </w:tc>
        <w:tc>
          <w:tcPr>
            <w:tcW w:w="0" w:type="auto"/>
            <w:gridSpan w:val="3"/>
            <w:tcMar>
              <w:top w:w="30" w:type="dxa"/>
              <w:left w:w="20" w:type="dxa"/>
              <w:bottom w:w="30" w:type="dxa"/>
              <w:right w:w="20" w:type="dxa"/>
            </w:tcMar>
            <w:vAlign w:val="bottom"/>
            <w:hideMark/>
          </w:tcPr>
          <w:p w:rsidR="00000000" w:rsidRDefault="00E0782F">
            <w:pPr>
              <w:divId w:val="1722827538"/>
              <w:rPr>
                <w:rFonts w:eastAsia="Times New Roman"/>
              </w:rPr>
            </w:pPr>
            <w:hyperlink w:anchor="i3af66512804646fcaf1b19a0aea6f320_502" w:history="1">
              <w:r>
                <w:rPr>
                  <w:rStyle w:val="a3"/>
                  <w:rFonts w:eastAsia="Times New Roman"/>
                  <w:color w:val="000000"/>
                  <w:sz w:val="20"/>
                  <w:szCs w:val="20"/>
                  <w:u w:val="none"/>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02" w:history="1">
              <w:r>
                <w:rPr>
                  <w:rStyle w:val="a3"/>
                  <w:rFonts w:eastAsia="Times New Roman"/>
                  <w:color w:val="000000"/>
                  <w:sz w:val="20"/>
                  <w:szCs w:val="20"/>
                  <w:u w:val="none"/>
                </w:rPr>
                <w:t>215</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443576915"/>
              <w:rPr>
                <w:rFonts w:eastAsia="Times New Roman"/>
              </w:rPr>
            </w:pPr>
            <w:hyperlink w:anchor="i3af66512804646fcaf1b19a0aea6f320_505" w:history="1">
              <w:r>
                <w:rPr>
                  <w:rStyle w:val="a3"/>
                  <w:rFonts w:eastAsia="Times New Roman"/>
                  <w:color w:val="000000"/>
                  <w:sz w:val="20"/>
                  <w:szCs w:val="20"/>
                  <w:u w:val="none"/>
                </w:rPr>
                <w:t>Item 13.</w:t>
              </w:r>
            </w:hyperlink>
          </w:p>
        </w:tc>
        <w:tc>
          <w:tcPr>
            <w:tcW w:w="0" w:type="auto"/>
            <w:gridSpan w:val="3"/>
            <w:tcMar>
              <w:top w:w="30" w:type="dxa"/>
              <w:left w:w="20" w:type="dxa"/>
              <w:bottom w:w="30" w:type="dxa"/>
              <w:right w:w="20" w:type="dxa"/>
            </w:tcMar>
            <w:vAlign w:val="bottom"/>
            <w:hideMark/>
          </w:tcPr>
          <w:p w:rsidR="00000000" w:rsidRDefault="00E0782F">
            <w:pPr>
              <w:divId w:val="20668980"/>
              <w:rPr>
                <w:rFonts w:eastAsia="Times New Roman"/>
              </w:rPr>
            </w:pPr>
            <w:hyperlink w:anchor="i3af66512804646fcaf1b19a0aea6f320_505" w:history="1">
              <w:r>
                <w:rPr>
                  <w:rStyle w:val="a3"/>
                  <w:rFonts w:eastAsia="Times New Roman"/>
                  <w:color w:val="000000"/>
                  <w:sz w:val="20"/>
                  <w:szCs w:val="20"/>
                  <w:u w:val="none"/>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05" w:history="1">
              <w:r>
                <w:rPr>
                  <w:rStyle w:val="a3"/>
                  <w:rFonts w:eastAsia="Times New Roman"/>
                  <w:color w:val="000000"/>
                  <w:sz w:val="20"/>
                  <w:szCs w:val="20"/>
                  <w:u w:val="none"/>
                </w:rPr>
                <w:t>215</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196040714"/>
              <w:rPr>
                <w:rFonts w:eastAsia="Times New Roman"/>
              </w:rPr>
            </w:pPr>
            <w:hyperlink w:anchor="i3af66512804646fcaf1b19a0aea6f320_508" w:history="1">
              <w:r>
                <w:rPr>
                  <w:rStyle w:val="a3"/>
                  <w:rFonts w:eastAsia="Times New Roman"/>
                  <w:color w:val="000000"/>
                  <w:sz w:val="20"/>
                  <w:szCs w:val="20"/>
                  <w:u w:val="none"/>
                </w:rPr>
                <w:t>Item 14.</w:t>
              </w:r>
            </w:hyperlink>
          </w:p>
        </w:tc>
        <w:tc>
          <w:tcPr>
            <w:tcW w:w="0" w:type="auto"/>
            <w:gridSpan w:val="3"/>
            <w:tcMar>
              <w:top w:w="30" w:type="dxa"/>
              <w:left w:w="20" w:type="dxa"/>
              <w:bottom w:w="30" w:type="dxa"/>
              <w:right w:w="20" w:type="dxa"/>
            </w:tcMar>
            <w:vAlign w:val="bottom"/>
            <w:hideMark/>
          </w:tcPr>
          <w:p w:rsidR="00000000" w:rsidRDefault="00E0782F">
            <w:pPr>
              <w:divId w:val="147552926"/>
              <w:rPr>
                <w:rFonts w:eastAsia="Times New Roman"/>
              </w:rPr>
            </w:pPr>
            <w:hyperlink w:anchor="i3af66512804646fcaf1b19a0aea6f320_508" w:history="1">
              <w:r>
                <w:rPr>
                  <w:rStyle w:val="a3"/>
                  <w:rFonts w:eastAsia="Times New Roman"/>
                  <w:color w:val="000000"/>
                  <w:sz w:val="20"/>
                  <w:szCs w:val="20"/>
                  <w:u w:val="none"/>
                </w:rPr>
                <w:t>Principal Accountant Fees and Services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08" w:history="1">
              <w:r>
                <w:rPr>
                  <w:rStyle w:val="a3"/>
                  <w:rFonts w:eastAsia="Times New Roman"/>
                  <w:color w:val="000000"/>
                  <w:sz w:val="20"/>
                  <w:szCs w:val="20"/>
                  <w:u w:val="none"/>
                </w:rPr>
                <w:t>215</w:t>
              </w:r>
            </w:hyperlink>
          </w:p>
        </w:tc>
      </w:tr>
      <w:tr w:rsidR="00000000">
        <w:trPr>
          <w:divId w:val="810639448"/>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0639448"/>
          <w:trHeight w:val="28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0639448"/>
        </w:trPr>
        <w:tc>
          <w:tcPr>
            <w:tcW w:w="0" w:type="auto"/>
            <w:gridSpan w:val="6"/>
            <w:tcMar>
              <w:top w:w="30" w:type="dxa"/>
              <w:left w:w="20" w:type="dxa"/>
              <w:bottom w:w="30" w:type="dxa"/>
              <w:right w:w="20" w:type="dxa"/>
            </w:tcMar>
            <w:vAlign w:val="bottom"/>
            <w:hideMark/>
          </w:tcPr>
          <w:p w:rsidR="00000000" w:rsidRDefault="00E0782F">
            <w:pPr>
              <w:divId w:val="476654337"/>
              <w:rPr>
                <w:rFonts w:eastAsia="Times New Roman"/>
              </w:rPr>
            </w:pPr>
            <w:hyperlink w:anchor="i3af66512804646fcaf1b19a0aea6f320_511" w:history="1">
              <w:r>
                <w:rPr>
                  <w:rStyle w:val="a3"/>
                  <w:rFonts w:eastAsia="Times New Roman"/>
                  <w:b/>
                  <w:bCs/>
                  <w:color w:val="000000"/>
                  <w:sz w:val="20"/>
                  <w:szCs w:val="20"/>
                  <w:u w:val="none"/>
                </w:rPr>
                <w:t>PART IV</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11" w:history="1">
              <w:r>
                <w:rPr>
                  <w:rStyle w:val="a3"/>
                  <w:rFonts w:eastAsia="Times New Roman"/>
                  <w:b/>
                  <w:bCs/>
                  <w:color w:val="000000"/>
                  <w:sz w:val="20"/>
                  <w:szCs w:val="20"/>
                  <w:u w:val="none"/>
                </w:rPr>
                <w:t>216</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1535461111"/>
              <w:rPr>
                <w:rFonts w:eastAsia="Times New Roman"/>
              </w:rPr>
            </w:pPr>
            <w:hyperlink w:anchor="i3af66512804646fcaf1b19a0aea6f320_514" w:history="1">
              <w:r>
                <w:rPr>
                  <w:rStyle w:val="a3"/>
                  <w:rFonts w:eastAsia="Times New Roman"/>
                  <w:color w:val="000000"/>
                  <w:sz w:val="20"/>
                  <w:szCs w:val="20"/>
                  <w:u w:val="none"/>
                </w:rPr>
                <w:t>Item 15.</w:t>
              </w:r>
            </w:hyperlink>
          </w:p>
        </w:tc>
        <w:tc>
          <w:tcPr>
            <w:tcW w:w="0" w:type="auto"/>
            <w:gridSpan w:val="3"/>
            <w:tcMar>
              <w:top w:w="30" w:type="dxa"/>
              <w:left w:w="20" w:type="dxa"/>
              <w:bottom w:w="30" w:type="dxa"/>
              <w:right w:w="20" w:type="dxa"/>
            </w:tcMar>
            <w:vAlign w:val="bottom"/>
            <w:hideMark/>
          </w:tcPr>
          <w:p w:rsidR="00000000" w:rsidRDefault="00E0782F">
            <w:pPr>
              <w:divId w:val="94443400"/>
              <w:rPr>
                <w:rFonts w:eastAsia="Times New Roman"/>
              </w:rPr>
            </w:pPr>
            <w:hyperlink w:anchor="i3af66512804646fcaf1b19a0aea6f320_514" w:history="1">
              <w:r>
                <w:rPr>
                  <w:rStyle w:val="a3"/>
                  <w:rFonts w:eastAsia="Times New Roman"/>
                  <w:color w:val="000000"/>
                  <w:sz w:val="20"/>
                  <w:szCs w:val="20"/>
                  <w:u w:val="none"/>
                </w:rPr>
                <w:t>Exhibits, Financial Statement Schedules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14" w:history="1">
              <w:r>
                <w:rPr>
                  <w:rStyle w:val="a3"/>
                  <w:rFonts w:eastAsia="Times New Roman"/>
                  <w:color w:val="000000"/>
                  <w:sz w:val="20"/>
                  <w:szCs w:val="20"/>
                  <w:u w:val="none"/>
                </w:rPr>
                <w:t>216</w:t>
              </w:r>
            </w:hyperlink>
          </w:p>
        </w:tc>
      </w:tr>
      <w:tr w:rsidR="00000000">
        <w:trPr>
          <w:divId w:val="810639448"/>
        </w:trPr>
        <w:tc>
          <w:tcPr>
            <w:tcW w:w="0" w:type="auto"/>
            <w:gridSpan w:val="3"/>
            <w:tcMar>
              <w:top w:w="30" w:type="dxa"/>
              <w:left w:w="20" w:type="dxa"/>
              <w:bottom w:w="30" w:type="dxa"/>
              <w:right w:w="20" w:type="dxa"/>
            </w:tcMar>
            <w:vAlign w:val="center"/>
            <w:hideMark/>
          </w:tcPr>
          <w:p w:rsidR="00000000" w:rsidRDefault="00E0782F">
            <w:pPr>
              <w:divId w:val="1332567573"/>
              <w:rPr>
                <w:rFonts w:eastAsia="Times New Roman"/>
              </w:rPr>
            </w:pPr>
            <w:hyperlink w:anchor="i3af66512804646fcaf1b19a0aea6f320_517" w:history="1">
              <w:r>
                <w:rPr>
                  <w:rStyle w:val="a3"/>
                  <w:rFonts w:eastAsia="Times New Roman"/>
                  <w:color w:val="000000"/>
                  <w:sz w:val="20"/>
                  <w:szCs w:val="20"/>
                  <w:u w:val="none"/>
                </w:rPr>
                <w:t>Item 16.</w:t>
              </w:r>
            </w:hyperlink>
          </w:p>
        </w:tc>
        <w:tc>
          <w:tcPr>
            <w:tcW w:w="0" w:type="auto"/>
            <w:gridSpan w:val="3"/>
            <w:tcMar>
              <w:top w:w="30" w:type="dxa"/>
              <w:left w:w="20" w:type="dxa"/>
              <w:bottom w:w="30" w:type="dxa"/>
              <w:right w:w="20" w:type="dxa"/>
            </w:tcMar>
            <w:vAlign w:val="bottom"/>
            <w:hideMark/>
          </w:tcPr>
          <w:p w:rsidR="00000000" w:rsidRDefault="00E0782F">
            <w:pPr>
              <w:divId w:val="1565140467"/>
              <w:rPr>
                <w:rFonts w:eastAsia="Times New Roman"/>
              </w:rPr>
            </w:pPr>
            <w:hyperlink w:anchor="i3af66512804646fcaf1b19a0aea6f320_517" w:history="1">
              <w:r>
                <w:rPr>
                  <w:rStyle w:val="a3"/>
                  <w:rFonts w:eastAsia="Times New Roman"/>
                  <w:color w:val="000000"/>
                  <w:sz w:val="20"/>
                  <w:szCs w:val="20"/>
                  <w:u w:val="none"/>
                </w:rPr>
                <w:t>Form 10-K Summar</w:t>
              </w:r>
              <w:r>
                <w:rPr>
                  <w:rStyle w:val="a3"/>
                  <w:rFonts w:eastAsia="Times New Roman"/>
                  <w:color w:val="000000"/>
                  <w:sz w:val="20"/>
                  <w:szCs w:val="20"/>
                  <w:u w:val="none"/>
                </w:rPr>
                <w:t>y</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17" w:history="1">
              <w:r>
                <w:rPr>
                  <w:rStyle w:val="a3"/>
                  <w:rFonts w:eastAsia="Times New Roman"/>
                  <w:color w:val="000000"/>
                  <w:sz w:val="20"/>
                  <w:szCs w:val="20"/>
                  <w:u w:val="none"/>
                </w:rPr>
                <w:t>216</w:t>
              </w:r>
            </w:hyperlink>
          </w:p>
        </w:tc>
      </w:tr>
      <w:tr w:rsidR="00000000">
        <w:trPr>
          <w:divId w:val="810639448"/>
          <w:trHeight w:val="30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0639448"/>
        </w:trPr>
        <w:tc>
          <w:tcPr>
            <w:tcW w:w="0" w:type="auto"/>
            <w:gridSpan w:val="6"/>
            <w:tcMar>
              <w:top w:w="30" w:type="dxa"/>
              <w:left w:w="20" w:type="dxa"/>
              <w:bottom w:w="30" w:type="dxa"/>
              <w:right w:w="20" w:type="dxa"/>
            </w:tcMar>
            <w:hideMark/>
          </w:tcPr>
          <w:p w:rsidR="00000000" w:rsidRDefault="00E0782F">
            <w:pPr>
              <w:divId w:val="1885632040"/>
              <w:rPr>
                <w:rFonts w:eastAsia="Times New Roman"/>
              </w:rPr>
            </w:pPr>
            <w:hyperlink w:anchor="i3af66512804646fcaf1b19a0aea6f320_520" w:history="1">
              <w:r>
                <w:rPr>
                  <w:rStyle w:val="a3"/>
                  <w:rFonts w:eastAsia="Times New Roman"/>
                  <w:b/>
                  <w:bCs/>
                  <w:color w:val="000000"/>
                  <w:sz w:val="20"/>
                  <w:szCs w:val="20"/>
                  <w:u w:val="none"/>
                </w:rPr>
                <w:t>EXHIBIT INDEX</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20" w:history="1">
              <w:r>
                <w:rPr>
                  <w:rStyle w:val="a3"/>
                  <w:rFonts w:eastAsia="Times New Roman"/>
                  <w:b/>
                  <w:bCs/>
                  <w:color w:val="000000"/>
                  <w:sz w:val="20"/>
                  <w:szCs w:val="20"/>
                  <w:u w:val="none"/>
                </w:rPr>
                <w:t>217</w:t>
              </w:r>
            </w:hyperlink>
          </w:p>
        </w:tc>
      </w:tr>
      <w:tr w:rsidR="00000000">
        <w:trPr>
          <w:divId w:val="810639448"/>
        </w:trPr>
        <w:tc>
          <w:tcPr>
            <w:tcW w:w="0" w:type="auto"/>
            <w:gridSpan w:val="6"/>
            <w:tcMar>
              <w:top w:w="30" w:type="dxa"/>
              <w:left w:w="20" w:type="dxa"/>
              <w:bottom w:w="30" w:type="dxa"/>
              <w:right w:w="20" w:type="dxa"/>
            </w:tcMar>
            <w:hideMark/>
          </w:tcPr>
          <w:p w:rsidR="00000000" w:rsidRDefault="00E0782F">
            <w:pPr>
              <w:divId w:val="274600607"/>
              <w:rPr>
                <w:rFonts w:eastAsia="Times New Roman"/>
              </w:rPr>
            </w:pPr>
            <w:hyperlink w:anchor="i3af66512804646fcaf1b19a0aea6f320_523" w:history="1">
              <w:r>
                <w:rPr>
                  <w:rStyle w:val="a3"/>
                  <w:rFonts w:eastAsia="Times New Roman"/>
                  <w:b/>
                  <w:bCs/>
                  <w:color w:val="000000"/>
                  <w:sz w:val="20"/>
                  <w:szCs w:val="20"/>
                  <w:u w:val="none"/>
                </w:rPr>
                <w:t>SIGNATURES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523" w:history="1">
              <w:r>
                <w:rPr>
                  <w:rStyle w:val="a3"/>
                  <w:rFonts w:eastAsia="Times New Roman"/>
                  <w:b/>
                  <w:bCs/>
                  <w:color w:val="000000"/>
                  <w:sz w:val="20"/>
                  <w:szCs w:val="20"/>
                  <w:u w:val="none"/>
                </w:rPr>
                <w:t>221</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27" style="width:0;height:1.5pt" o:hralign="center" o:hrstd="t" o:hr="t" fillcolor="#a0a0a0" stroked="f"/>
        </w:pict>
      </w:r>
    </w:p>
    <w:p w:rsidR="00000000" w:rsidRDefault="00E0782F">
      <w:pPr>
        <w:jc w:val="both"/>
        <w:divId w:val="590966224"/>
        <w:rPr>
          <w:rFonts w:eastAsia="Times New Roman"/>
        </w:rPr>
      </w:pPr>
    </w:p>
    <w:p w:rsidR="00000000" w:rsidRDefault="00E0782F">
      <w:pPr>
        <w:jc w:val="center"/>
        <w:divId w:val="334965427"/>
        <w:rPr>
          <w:rFonts w:eastAsia="Times New Roman"/>
        </w:rPr>
      </w:pPr>
      <w:r>
        <w:rPr>
          <w:rFonts w:eastAsia="Times New Roman"/>
          <w:b/>
          <w:bCs/>
          <w:color w:val="000000"/>
          <w:sz w:val="20"/>
          <w:szCs w:val="20"/>
        </w:rPr>
        <w:t>INDEX OF MD&amp;A AND SUPPLEMENTAL TABLES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608"/>
        <w:gridCol w:w="38"/>
        <w:gridCol w:w="68"/>
        <w:gridCol w:w="6965"/>
        <w:gridCol w:w="40"/>
        <w:gridCol w:w="73"/>
        <w:gridCol w:w="410"/>
        <w:gridCol w:w="36"/>
      </w:tblGrid>
      <w:tr w:rsidR="00000000">
        <w:trPr>
          <w:divId w:val="2081562192"/>
          <w:jc w:val="center"/>
        </w:trPr>
        <w:tc>
          <w:tcPr>
            <w:tcW w:w="50" w:type="pct"/>
            <w:vAlign w:val="center"/>
            <w:hideMark/>
          </w:tcPr>
          <w:p w:rsidR="00000000" w:rsidRDefault="00E0782F">
            <w:pPr>
              <w:jc w:val="center"/>
              <w:rPr>
                <w:rFonts w:eastAsia="Times New Roman"/>
              </w:rPr>
            </w:pPr>
          </w:p>
        </w:tc>
        <w:tc>
          <w:tcPr>
            <w:tcW w:w="37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81562192"/>
          <w:jc w:val="center"/>
        </w:trPr>
        <w:tc>
          <w:tcPr>
            <w:tcW w:w="0" w:type="auto"/>
            <w:gridSpan w:val="6"/>
            <w:tcMar>
              <w:top w:w="30" w:type="dxa"/>
              <w:left w:w="20" w:type="dxa"/>
              <w:bottom w:w="30" w:type="dxa"/>
              <w:right w:w="20" w:type="dxa"/>
            </w:tcMar>
            <w:vAlign w:val="bottom"/>
            <w:hideMark/>
          </w:tcPr>
          <w:p w:rsidR="00000000" w:rsidRDefault="00E0782F">
            <w:pPr>
              <w:divId w:val="789013002"/>
              <w:rPr>
                <w:rFonts w:eastAsia="Times New Roman"/>
              </w:rPr>
            </w:pPr>
            <w:hyperlink w:anchor="i3af66512804646fcaf1b19a0aea6f320_70" w:history="1">
              <w:r>
                <w:rPr>
                  <w:rStyle w:val="a3"/>
                  <w:rFonts w:eastAsia="Times New Roman"/>
                  <w:b/>
                  <w:bCs/>
                  <w:color w:val="000000"/>
                  <w:sz w:val="20"/>
                  <w:szCs w:val="20"/>
                  <w:u w:val="none"/>
                </w:rPr>
                <w:t>MD&amp;A Tables: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20"/>
                <w:szCs w:val="20"/>
              </w:rPr>
              <w:t>Page</w:t>
            </w:r>
          </w:p>
        </w:tc>
      </w:tr>
      <w:tr w:rsidR="00000000">
        <w:trPr>
          <w:divId w:val="2081562192"/>
          <w:jc w:val="center"/>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E0782F">
            <w:pPr>
              <w:divId w:val="1209416382"/>
              <w:rPr>
                <w:rFonts w:eastAsia="Times New Roman"/>
              </w:rPr>
            </w:pPr>
            <w:hyperlink w:anchor="i3af66512804646fcaf1b19a0aea6f320_106" w:history="1">
              <w:r>
                <w:rPr>
                  <w:rStyle w:val="a3"/>
                  <w:rFonts w:eastAsia="Times New Roman"/>
                  <w:color w:val="000000"/>
                  <w:sz w:val="20"/>
                  <w:szCs w:val="20"/>
                  <w:u w:val="none"/>
                </w:rPr>
                <w:t>Average Balances, Net Interest Income and Net Interest Margin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06" w:history="1">
              <w:r>
                <w:rPr>
                  <w:rStyle w:val="a3"/>
                  <w:rFonts w:eastAsia="Times New Roman"/>
                  <w:color w:val="000000"/>
                  <w:sz w:val="20"/>
                  <w:szCs w:val="20"/>
                  <w:u w:val="none"/>
                </w:rPr>
                <w:t>51</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E0782F">
            <w:pPr>
              <w:divId w:val="479883577"/>
              <w:rPr>
                <w:rFonts w:eastAsia="Times New Roman"/>
              </w:rPr>
            </w:pPr>
            <w:hyperlink w:anchor="i3af66512804646fcaf1b19a0aea6f320_109" w:history="1">
              <w:r>
                <w:rPr>
                  <w:rStyle w:val="a3"/>
                  <w:rFonts w:eastAsia="Times New Roman"/>
                  <w:color w:val="000000"/>
                  <w:sz w:val="20"/>
                  <w:szCs w:val="20"/>
                  <w:u w:val="none"/>
                </w:rPr>
                <w:t>Rate/Volume Analysis of Net Interest Income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09" w:history="1">
              <w:r>
                <w:rPr>
                  <w:rStyle w:val="a3"/>
                  <w:rFonts w:eastAsia="Times New Roman"/>
                  <w:color w:val="000000"/>
                  <w:sz w:val="20"/>
                  <w:szCs w:val="20"/>
                  <w:u w:val="none"/>
                </w:rPr>
                <w:t>52</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E0782F">
            <w:pPr>
              <w:divId w:val="868640527"/>
              <w:rPr>
                <w:rFonts w:eastAsia="Times New Roman"/>
              </w:rPr>
            </w:pPr>
            <w:hyperlink w:anchor="i3af66512804646fcaf1b19a0aea6f320_112" w:history="1">
              <w:r>
                <w:rPr>
                  <w:rStyle w:val="a3"/>
                  <w:rFonts w:eastAsia="Times New Roman"/>
                  <w:color w:val="000000"/>
                  <w:sz w:val="20"/>
                  <w:szCs w:val="20"/>
                  <w:u w:val="none"/>
                </w:rPr>
                <w:t>Non-Interest Income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12" w:history="1">
              <w:r>
                <w:rPr>
                  <w:rStyle w:val="a3"/>
                  <w:rFonts w:eastAsia="Times New Roman"/>
                  <w:color w:val="000000"/>
                  <w:sz w:val="20"/>
                  <w:szCs w:val="20"/>
                  <w:u w:val="none"/>
                </w:rPr>
                <w:t>53</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4</w:t>
            </w:r>
          </w:p>
        </w:tc>
        <w:tc>
          <w:tcPr>
            <w:tcW w:w="0" w:type="auto"/>
            <w:gridSpan w:val="3"/>
            <w:tcMar>
              <w:top w:w="30" w:type="dxa"/>
              <w:left w:w="20" w:type="dxa"/>
              <w:bottom w:w="30" w:type="dxa"/>
              <w:right w:w="20" w:type="dxa"/>
            </w:tcMar>
            <w:vAlign w:val="bottom"/>
            <w:hideMark/>
          </w:tcPr>
          <w:p w:rsidR="00000000" w:rsidRDefault="00E0782F">
            <w:pPr>
              <w:divId w:val="1392079750"/>
              <w:rPr>
                <w:rFonts w:eastAsia="Times New Roman"/>
              </w:rPr>
            </w:pPr>
            <w:hyperlink w:anchor="i3af66512804646fcaf1b19a0aea6f320_118" w:history="1">
              <w:r>
                <w:rPr>
                  <w:rStyle w:val="a3"/>
                  <w:rFonts w:eastAsia="Times New Roman"/>
                  <w:color w:val="000000"/>
                  <w:sz w:val="20"/>
                  <w:szCs w:val="20"/>
                  <w:u w:val="none"/>
                </w:rPr>
                <w:t>Non-Interest Expense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18" w:history="1">
              <w:r>
                <w:rPr>
                  <w:rStyle w:val="a3"/>
                  <w:rFonts w:eastAsia="Times New Roman"/>
                  <w:color w:val="000000"/>
                  <w:sz w:val="20"/>
                  <w:szCs w:val="20"/>
                  <w:u w:val="none"/>
                </w:rPr>
                <w:t>54</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5</w:t>
            </w:r>
          </w:p>
        </w:tc>
        <w:tc>
          <w:tcPr>
            <w:tcW w:w="0" w:type="auto"/>
            <w:gridSpan w:val="3"/>
            <w:tcMar>
              <w:top w:w="30" w:type="dxa"/>
              <w:left w:w="20" w:type="dxa"/>
              <w:bottom w:w="30" w:type="dxa"/>
              <w:right w:w="20" w:type="dxa"/>
            </w:tcMar>
            <w:vAlign w:val="bottom"/>
            <w:hideMark/>
          </w:tcPr>
          <w:p w:rsidR="00000000" w:rsidRDefault="00E0782F">
            <w:pPr>
              <w:divId w:val="1985423412"/>
              <w:rPr>
                <w:rFonts w:eastAsia="Times New Roman"/>
              </w:rPr>
            </w:pPr>
            <w:hyperlink w:anchor="i3af66512804646fcaf1b19a0aea6f320_130" w:history="1">
              <w:r>
                <w:rPr>
                  <w:rStyle w:val="a3"/>
                  <w:rFonts w:eastAsia="Times New Roman"/>
                  <w:color w:val="000000"/>
                  <w:sz w:val="20"/>
                  <w:szCs w:val="20"/>
                  <w:u w:val="none"/>
                </w:rPr>
                <w:t>Investment Securities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30" w:history="1">
              <w:r>
                <w:rPr>
                  <w:rStyle w:val="a3"/>
                  <w:rFonts w:eastAsia="Times New Roman"/>
                  <w:color w:val="000000"/>
                  <w:sz w:val="20"/>
                  <w:szCs w:val="20"/>
                  <w:u w:val="none"/>
                </w:rPr>
                <w:t>55</w:t>
              </w:r>
            </w:hyperlink>
          </w:p>
        </w:tc>
      </w:tr>
      <w:tr w:rsidR="00000000">
        <w:trPr>
          <w:divId w:val="2081562192"/>
          <w:jc w:val="center"/>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6</w:t>
            </w:r>
          </w:p>
        </w:tc>
        <w:tc>
          <w:tcPr>
            <w:tcW w:w="0" w:type="auto"/>
            <w:gridSpan w:val="3"/>
            <w:tcMar>
              <w:top w:w="30" w:type="dxa"/>
              <w:left w:w="20" w:type="dxa"/>
              <w:bottom w:w="30" w:type="dxa"/>
              <w:right w:w="20" w:type="dxa"/>
            </w:tcMar>
            <w:vAlign w:val="bottom"/>
            <w:hideMark/>
          </w:tcPr>
          <w:p w:rsidR="00000000" w:rsidRDefault="00E0782F">
            <w:pPr>
              <w:divId w:val="1457142111"/>
              <w:rPr>
                <w:rFonts w:eastAsia="Times New Roman"/>
              </w:rPr>
            </w:pPr>
            <w:hyperlink w:anchor="i3af66512804646fcaf1b19a0aea6f320_136" w:history="1">
              <w:r>
                <w:rPr>
                  <w:rStyle w:val="a3"/>
                  <w:rFonts w:eastAsia="Times New Roman"/>
                  <w:color w:val="000000"/>
                  <w:sz w:val="20"/>
                  <w:szCs w:val="20"/>
                  <w:u w:val="none"/>
                </w:rPr>
                <w:t>Loans Held for Investment</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36" w:history="1">
              <w:r>
                <w:rPr>
                  <w:rStyle w:val="a3"/>
                  <w:rFonts w:eastAsia="Times New Roman"/>
                  <w:color w:val="000000"/>
                  <w:sz w:val="20"/>
                  <w:szCs w:val="20"/>
                  <w:u w:val="none"/>
                </w:rPr>
                <w:t>56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7</w:t>
            </w:r>
          </w:p>
        </w:tc>
        <w:tc>
          <w:tcPr>
            <w:tcW w:w="0" w:type="auto"/>
            <w:gridSpan w:val="3"/>
            <w:tcMar>
              <w:top w:w="30" w:type="dxa"/>
              <w:left w:w="20" w:type="dxa"/>
              <w:bottom w:w="30" w:type="dxa"/>
              <w:right w:w="20" w:type="dxa"/>
            </w:tcMar>
            <w:vAlign w:val="bottom"/>
            <w:hideMark/>
          </w:tcPr>
          <w:p w:rsidR="00000000" w:rsidRDefault="00E0782F">
            <w:pPr>
              <w:divId w:val="262887143"/>
              <w:rPr>
                <w:rFonts w:eastAsia="Times New Roman"/>
              </w:rPr>
            </w:pPr>
            <w:hyperlink w:anchor="i3af66512804646fcaf1b19a0aea6f320_139" w:history="1">
              <w:r>
                <w:rPr>
                  <w:rStyle w:val="a3"/>
                  <w:rFonts w:eastAsia="Times New Roman"/>
                  <w:color w:val="000000"/>
                  <w:sz w:val="20"/>
                  <w:szCs w:val="20"/>
                  <w:u w:val="none"/>
                </w:rPr>
                <w:t>Funding Sources Composition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39" w:history="1">
              <w:r>
                <w:rPr>
                  <w:rStyle w:val="a3"/>
                  <w:rFonts w:eastAsia="Times New Roman"/>
                  <w:color w:val="000000"/>
                  <w:sz w:val="20"/>
                  <w:szCs w:val="20"/>
                  <w:u w:val="none"/>
                </w:rPr>
                <w:t>56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8</w:t>
            </w:r>
          </w:p>
        </w:tc>
        <w:tc>
          <w:tcPr>
            <w:tcW w:w="0" w:type="auto"/>
            <w:gridSpan w:val="3"/>
            <w:tcMar>
              <w:top w:w="30" w:type="dxa"/>
              <w:left w:w="20" w:type="dxa"/>
              <w:bottom w:w="30" w:type="dxa"/>
              <w:right w:w="20" w:type="dxa"/>
            </w:tcMar>
            <w:vAlign w:val="bottom"/>
            <w:hideMark/>
          </w:tcPr>
          <w:p w:rsidR="00000000" w:rsidRDefault="00E0782F">
            <w:pPr>
              <w:divId w:val="1908421037"/>
              <w:rPr>
                <w:rFonts w:eastAsia="Times New Roman"/>
              </w:rPr>
            </w:pPr>
            <w:hyperlink w:anchor="i3af66512804646fcaf1b19a0aea6f320_154" w:history="1">
              <w:r>
                <w:rPr>
                  <w:rStyle w:val="a3"/>
                  <w:rFonts w:eastAsia="Times New Roman"/>
                  <w:color w:val="000000"/>
                  <w:sz w:val="20"/>
                  <w:szCs w:val="20"/>
                  <w:u w:val="none"/>
                </w:rPr>
                <w:t>Business Segment Results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54" w:history="1">
              <w:r>
                <w:rPr>
                  <w:rStyle w:val="a3"/>
                  <w:rFonts w:eastAsia="Times New Roman"/>
                  <w:color w:val="000000"/>
                  <w:sz w:val="20"/>
                  <w:szCs w:val="20"/>
                  <w:u w:val="none"/>
                </w:rPr>
                <w:t>58</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9</w:t>
            </w:r>
          </w:p>
        </w:tc>
        <w:tc>
          <w:tcPr>
            <w:tcW w:w="0" w:type="auto"/>
            <w:gridSpan w:val="3"/>
            <w:tcMar>
              <w:top w:w="30" w:type="dxa"/>
              <w:left w:w="20" w:type="dxa"/>
              <w:bottom w:w="30" w:type="dxa"/>
              <w:right w:w="20" w:type="dxa"/>
            </w:tcMar>
            <w:vAlign w:val="bottom"/>
            <w:hideMark/>
          </w:tcPr>
          <w:p w:rsidR="00000000" w:rsidRDefault="00E0782F">
            <w:pPr>
              <w:divId w:val="1095400950"/>
              <w:rPr>
                <w:rFonts w:eastAsia="Times New Roman"/>
              </w:rPr>
            </w:pPr>
            <w:hyperlink w:anchor="i3af66512804646fcaf1b19a0aea6f320_157" w:history="1">
              <w:r>
                <w:rPr>
                  <w:rStyle w:val="a3"/>
                  <w:rFonts w:eastAsia="Times New Roman"/>
                  <w:color w:val="000000"/>
                  <w:sz w:val="20"/>
                  <w:szCs w:val="20"/>
                  <w:u w:val="none"/>
                </w:rPr>
                <w:t>Credit Card Business Results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57" w:history="1">
              <w:r>
                <w:rPr>
                  <w:rStyle w:val="a3"/>
                  <w:rFonts w:eastAsia="Times New Roman"/>
                  <w:color w:val="000000"/>
                  <w:sz w:val="20"/>
                  <w:szCs w:val="20"/>
                  <w:u w:val="none"/>
                </w:rPr>
                <w:t>59</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9.1</w:t>
            </w:r>
          </w:p>
        </w:tc>
        <w:tc>
          <w:tcPr>
            <w:tcW w:w="0" w:type="auto"/>
            <w:gridSpan w:val="3"/>
            <w:tcMar>
              <w:top w:w="30" w:type="dxa"/>
              <w:left w:w="20" w:type="dxa"/>
              <w:bottom w:w="30" w:type="dxa"/>
              <w:right w:w="20" w:type="dxa"/>
            </w:tcMar>
            <w:vAlign w:val="bottom"/>
            <w:hideMark/>
          </w:tcPr>
          <w:p w:rsidR="00000000" w:rsidRDefault="00E0782F">
            <w:pPr>
              <w:divId w:val="1951935871"/>
              <w:rPr>
                <w:rFonts w:eastAsia="Times New Roman"/>
              </w:rPr>
            </w:pPr>
            <w:hyperlink w:anchor="i3af66512804646fcaf1b19a0aea6f320_160" w:history="1">
              <w:r>
                <w:rPr>
                  <w:rStyle w:val="a3"/>
                  <w:rFonts w:eastAsia="Times New Roman"/>
                  <w:color w:val="000000"/>
                  <w:sz w:val="20"/>
                  <w:szCs w:val="20"/>
                  <w:u w:val="none"/>
                </w:rPr>
                <w:t>Domestic Card Business Results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60" w:history="1">
              <w:r>
                <w:rPr>
                  <w:rStyle w:val="a3"/>
                  <w:rFonts w:eastAsia="Times New Roman"/>
                  <w:color w:val="000000"/>
                  <w:sz w:val="20"/>
                  <w:szCs w:val="20"/>
                  <w:u w:val="none"/>
                </w:rPr>
                <w:t>61</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10</w:t>
            </w:r>
          </w:p>
        </w:tc>
        <w:tc>
          <w:tcPr>
            <w:tcW w:w="0" w:type="auto"/>
            <w:gridSpan w:val="3"/>
            <w:tcMar>
              <w:top w:w="30" w:type="dxa"/>
              <w:left w:w="20" w:type="dxa"/>
              <w:bottom w:w="30" w:type="dxa"/>
              <w:right w:w="20" w:type="dxa"/>
            </w:tcMar>
            <w:vAlign w:val="bottom"/>
            <w:hideMark/>
          </w:tcPr>
          <w:p w:rsidR="00000000" w:rsidRDefault="00E0782F">
            <w:pPr>
              <w:divId w:val="1829248914"/>
              <w:rPr>
                <w:rFonts w:eastAsia="Times New Roman"/>
              </w:rPr>
            </w:pPr>
            <w:hyperlink w:anchor="i3af66512804646fcaf1b19a0aea6f320_163" w:history="1">
              <w:r>
                <w:rPr>
                  <w:rStyle w:val="a3"/>
                  <w:rFonts w:eastAsia="Times New Roman"/>
                  <w:color w:val="000000"/>
                  <w:sz w:val="20"/>
                  <w:szCs w:val="20"/>
                  <w:u w:val="none"/>
                </w:rPr>
                <w:t>Consumer Banking Business Results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63" w:history="1">
              <w:r>
                <w:rPr>
                  <w:rStyle w:val="a3"/>
                  <w:rFonts w:eastAsia="Times New Roman"/>
                  <w:color w:val="000000"/>
                  <w:sz w:val="20"/>
                  <w:szCs w:val="20"/>
                  <w:u w:val="none"/>
                </w:rPr>
                <w:t>62</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11</w:t>
            </w:r>
          </w:p>
        </w:tc>
        <w:tc>
          <w:tcPr>
            <w:tcW w:w="0" w:type="auto"/>
            <w:gridSpan w:val="3"/>
            <w:tcMar>
              <w:top w:w="30" w:type="dxa"/>
              <w:left w:w="20" w:type="dxa"/>
              <w:bottom w:w="30" w:type="dxa"/>
              <w:right w:w="20" w:type="dxa"/>
            </w:tcMar>
            <w:vAlign w:val="bottom"/>
            <w:hideMark/>
          </w:tcPr>
          <w:p w:rsidR="00000000" w:rsidRDefault="00E0782F">
            <w:pPr>
              <w:divId w:val="1172723373"/>
              <w:rPr>
                <w:rFonts w:eastAsia="Times New Roman"/>
              </w:rPr>
            </w:pPr>
            <w:hyperlink w:anchor="i3af66512804646fcaf1b19a0aea6f320_166" w:history="1">
              <w:r>
                <w:rPr>
                  <w:rStyle w:val="a3"/>
                  <w:rFonts w:eastAsia="Times New Roman"/>
                  <w:color w:val="000000"/>
                  <w:sz w:val="20"/>
                  <w:szCs w:val="20"/>
                  <w:u w:val="none"/>
                </w:rPr>
                <w:t>Commercial Banking Business Results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66" w:history="1">
              <w:r>
                <w:rPr>
                  <w:rStyle w:val="a3"/>
                  <w:rFonts w:eastAsia="Times New Roman"/>
                  <w:color w:val="000000"/>
                  <w:sz w:val="20"/>
                  <w:szCs w:val="20"/>
                  <w:u w:val="none"/>
                </w:rPr>
                <w:t>64</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12</w:t>
            </w:r>
          </w:p>
        </w:tc>
        <w:tc>
          <w:tcPr>
            <w:tcW w:w="0" w:type="auto"/>
            <w:gridSpan w:val="3"/>
            <w:tcMar>
              <w:top w:w="30" w:type="dxa"/>
              <w:left w:w="20" w:type="dxa"/>
              <w:bottom w:w="30" w:type="dxa"/>
              <w:right w:w="20" w:type="dxa"/>
            </w:tcMar>
            <w:vAlign w:val="bottom"/>
            <w:hideMark/>
          </w:tcPr>
          <w:p w:rsidR="00000000" w:rsidRDefault="00E0782F">
            <w:pPr>
              <w:divId w:val="1111777813"/>
              <w:rPr>
                <w:rFonts w:eastAsia="Times New Roman"/>
              </w:rPr>
            </w:pPr>
            <w:hyperlink w:anchor="i3af66512804646fcaf1b19a0aea6f320_169" w:history="1">
              <w:r>
                <w:rPr>
                  <w:rStyle w:val="a3"/>
                  <w:rFonts w:eastAsia="Times New Roman"/>
                  <w:color w:val="000000"/>
                  <w:sz w:val="20"/>
                  <w:szCs w:val="20"/>
                  <w:u w:val="none"/>
                </w:rPr>
                <w:t>Other Category Results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69" w:history="1">
              <w:r>
                <w:rPr>
                  <w:rStyle w:val="a3"/>
                  <w:rFonts w:eastAsia="Times New Roman"/>
                  <w:color w:val="000000"/>
                  <w:sz w:val="20"/>
                  <w:szCs w:val="20"/>
                  <w:u w:val="none"/>
                </w:rPr>
                <w:t>65</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13</w:t>
            </w:r>
          </w:p>
        </w:tc>
        <w:tc>
          <w:tcPr>
            <w:tcW w:w="0" w:type="auto"/>
            <w:gridSpan w:val="3"/>
            <w:tcMar>
              <w:top w:w="30" w:type="dxa"/>
              <w:left w:w="20" w:type="dxa"/>
              <w:bottom w:w="30" w:type="dxa"/>
              <w:right w:w="20" w:type="dxa"/>
            </w:tcMar>
            <w:vAlign w:val="bottom"/>
            <w:hideMark/>
          </w:tcPr>
          <w:p w:rsidR="00000000" w:rsidRDefault="00E0782F">
            <w:pPr>
              <w:divId w:val="1691182451"/>
              <w:rPr>
                <w:rFonts w:eastAsia="Times New Roman"/>
              </w:rPr>
            </w:pPr>
            <w:hyperlink w:anchor="i3af66512804646fcaf1b19a0aea6f320_187" w:history="1">
              <w:r>
                <w:rPr>
                  <w:rStyle w:val="a3"/>
                  <w:rFonts w:eastAsia="Times New Roman"/>
                  <w:color w:val="000000"/>
                  <w:sz w:val="20"/>
                  <w:szCs w:val="20"/>
                  <w:u w:val="none"/>
                </w:rPr>
                <w:t>Capital Ratios Under Basel III</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87" w:history="1">
              <w:r>
                <w:rPr>
                  <w:rStyle w:val="a3"/>
                  <w:rFonts w:eastAsia="Times New Roman"/>
                  <w:color w:val="000000"/>
                  <w:sz w:val="20"/>
                  <w:szCs w:val="20"/>
                  <w:u w:val="none"/>
                </w:rPr>
                <w:t>73</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14</w:t>
            </w:r>
          </w:p>
        </w:tc>
        <w:tc>
          <w:tcPr>
            <w:tcW w:w="0" w:type="auto"/>
            <w:gridSpan w:val="3"/>
            <w:tcMar>
              <w:top w:w="30" w:type="dxa"/>
              <w:left w:w="20" w:type="dxa"/>
              <w:bottom w:w="30" w:type="dxa"/>
              <w:right w:w="20" w:type="dxa"/>
            </w:tcMar>
            <w:vAlign w:val="bottom"/>
            <w:hideMark/>
          </w:tcPr>
          <w:p w:rsidR="00000000" w:rsidRDefault="00E0782F">
            <w:pPr>
              <w:divId w:val="306907925"/>
              <w:rPr>
                <w:rFonts w:eastAsia="Times New Roman"/>
              </w:rPr>
            </w:pPr>
            <w:hyperlink w:anchor="i3af66512804646fcaf1b19a0aea6f320_190" w:history="1">
              <w:r>
                <w:rPr>
                  <w:rStyle w:val="a3"/>
                  <w:rFonts w:eastAsia="Times New Roman"/>
                  <w:color w:val="000000"/>
                  <w:sz w:val="20"/>
                  <w:szCs w:val="20"/>
                  <w:u w:val="none"/>
                </w:rPr>
                <w:t>Regulatory Risk-Based Capital Components and Regulatory Capital Metrics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90" w:history="1">
              <w:r>
                <w:rPr>
                  <w:rStyle w:val="a3"/>
                  <w:rFonts w:eastAsia="Times New Roman"/>
                  <w:color w:val="000000"/>
                  <w:sz w:val="20"/>
                  <w:szCs w:val="20"/>
                  <w:u w:val="none"/>
                </w:rPr>
                <w:t>74</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15</w:t>
            </w:r>
          </w:p>
        </w:tc>
        <w:tc>
          <w:tcPr>
            <w:tcW w:w="0" w:type="auto"/>
            <w:gridSpan w:val="3"/>
            <w:tcMar>
              <w:top w:w="30" w:type="dxa"/>
              <w:left w:w="20" w:type="dxa"/>
              <w:bottom w:w="30" w:type="dxa"/>
              <w:right w:w="20" w:type="dxa"/>
            </w:tcMar>
            <w:vAlign w:val="bottom"/>
            <w:hideMark/>
          </w:tcPr>
          <w:p w:rsidR="00000000" w:rsidRDefault="00E0782F">
            <w:pPr>
              <w:divId w:val="1123963952"/>
              <w:rPr>
                <w:rFonts w:eastAsia="Times New Roman"/>
              </w:rPr>
            </w:pPr>
            <w:hyperlink w:anchor="i3af66512804646fcaf1b19a0aea6f320_196" w:history="1">
              <w:r>
                <w:rPr>
                  <w:rStyle w:val="a3"/>
                  <w:rFonts w:eastAsia="Times New Roman"/>
                  <w:color w:val="000000"/>
                  <w:sz w:val="20"/>
                  <w:szCs w:val="20"/>
                  <w:u w:val="none"/>
                </w:rPr>
                <w:t>Preferred Stock Dividends Paid Per Share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196" w:history="1">
              <w:r>
                <w:rPr>
                  <w:rStyle w:val="a3"/>
                  <w:rFonts w:eastAsia="Times New Roman"/>
                  <w:color w:val="000000"/>
                  <w:sz w:val="20"/>
                  <w:szCs w:val="20"/>
                  <w:u w:val="none"/>
                </w:rPr>
                <w:t>75</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lastRenderedPageBreak/>
              <w:t>16</w:t>
            </w:r>
          </w:p>
        </w:tc>
        <w:tc>
          <w:tcPr>
            <w:tcW w:w="0" w:type="auto"/>
            <w:gridSpan w:val="3"/>
            <w:tcMar>
              <w:top w:w="30" w:type="dxa"/>
              <w:left w:w="20" w:type="dxa"/>
              <w:bottom w:w="30" w:type="dxa"/>
              <w:right w:w="20" w:type="dxa"/>
            </w:tcMar>
            <w:vAlign w:val="bottom"/>
            <w:hideMark/>
          </w:tcPr>
          <w:p w:rsidR="00000000" w:rsidRDefault="00E0782F">
            <w:pPr>
              <w:divId w:val="1260522945"/>
              <w:rPr>
                <w:rFonts w:eastAsia="Times New Roman"/>
              </w:rPr>
            </w:pPr>
            <w:hyperlink w:anchor="i3af66512804646fcaf1b19a0aea6f320_205" w:history="1">
              <w:r>
                <w:rPr>
                  <w:rStyle w:val="a3"/>
                  <w:rFonts w:eastAsia="Times New Roman"/>
                  <w:color w:val="000000"/>
                  <w:sz w:val="20"/>
                  <w:szCs w:val="20"/>
                  <w:u w:val="none"/>
                </w:rPr>
                <w:t>Portfolio Composition of Loans Held for Investment</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05" w:history="1">
              <w:r>
                <w:rPr>
                  <w:rStyle w:val="a3"/>
                  <w:rFonts w:eastAsia="Times New Roman"/>
                  <w:color w:val="000000"/>
                  <w:sz w:val="20"/>
                  <w:szCs w:val="20"/>
                  <w:u w:val="none"/>
                </w:rPr>
                <w:t>84</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17</w:t>
            </w:r>
          </w:p>
        </w:tc>
        <w:tc>
          <w:tcPr>
            <w:tcW w:w="0" w:type="auto"/>
            <w:gridSpan w:val="3"/>
            <w:tcMar>
              <w:top w:w="30" w:type="dxa"/>
              <w:left w:w="20" w:type="dxa"/>
              <w:bottom w:w="30" w:type="dxa"/>
              <w:right w:w="20" w:type="dxa"/>
            </w:tcMar>
            <w:vAlign w:val="bottom"/>
            <w:hideMark/>
          </w:tcPr>
          <w:p w:rsidR="00000000" w:rsidRDefault="00E0782F">
            <w:pPr>
              <w:divId w:val="736628928"/>
              <w:rPr>
                <w:rFonts w:eastAsia="Times New Roman"/>
              </w:rPr>
            </w:pPr>
            <w:hyperlink w:anchor="i3af66512804646fcaf1b19a0aea6f320_208" w:history="1">
              <w:r>
                <w:rPr>
                  <w:rStyle w:val="a3"/>
                  <w:rFonts w:eastAsia="Times New Roman"/>
                  <w:color w:val="000000"/>
                  <w:sz w:val="20"/>
                  <w:szCs w:val="20"/>
                  <w:u w:val="none"/>
                </w:rPr>
                <w:t>Loan Maturit</w:t>
              </w:r>
              <w:r>
                <w:rPr>
                  <w:rStyle w:val="a3"/>
                  <w:rFonts w:eastAsia="Times New Roman"/>
                  <w:color w:val="000000"/>
                  <w:sz w:val="20"/>
                  <w:szCs w:val="20"/>
                  <w:u w:val="none"/>
                </w:rPr>
                <w:t>y Schedule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08" w:history="1">
              <w:r>
                <w:rPr>
                  <w:rStyle w:val="a3"/>
                  <w:rFonts w:eastAsia="Times New Roman"/>
                  <w:color w:val="000000"/>
                  <w:sz w:val="20"/>
                  <w:szCs w:val="20"/>
                  <w:u w:val="none"/>
                </w:rPr>
                <w:t>85</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18</w:t>
            </w:r>
          </w:p>
        </w:tc>
        <w:tc>
          <w:tcPr>
            <w:tcW w:w="0" w:type="auto"/>
            <w:gridSpan w:val="3"/>
            <w:tcMar>
              <w:top w:w="30" w:type="dxa"/>
              <w:left w:w="20" w:type="dxa"/>
              <w:bottom w:w="30" w:type="dxa"/>
              <w:right w:w="20" w:type="dxa"/>
            </w:tcMar>
            <w:vAlign w:val="bottom"/>
            <w:hideMark/>
          </w:tcPr>
          <w:p w:rsidR="00000000" w:rsidRDefault="00E0782F">
            <w:pPr>
              <w:divId w:val="365644223"/>
              <w:rPr>
                <w:rFonts w:eastAsia="Times New Roman"/>
              </w:rPr>
            </w:pPr>
            <w:hyperlink w:anchor="i3af66512804646fcaf1b19a0aea6f320_211" w:history="1">
              <w:r>
                <w:rPr>
                  <w:rStyle w:val="a3"/>
                  <w:rFonts w:eastAsia="Times New Roman"/>
                  <w:color w:val="000000"/>
                  <w:sz w:val="20"/>
                  <w:szCs w:val="20"/>
                  <w:u w:val="none"/>
                </w:rPr>
                <w:t>Credit Card Portfolio by Geographic Region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11" w:history="1">
              <w:r>
                <w:rPr>
                  <w:rStyle w:val="a3"/>
                  <w:rFonts w:eastAsia="Times New Roman"/>
                  <w:color w:val="000000"/>
                  <w:sz w:val="20"/>
                  <w:szCs w:val="20"/>
                  <w:u w:val="none"/>
                </w:rPr>
                <w:t>85</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19</w:t>
            </w:r>
          </w:p>
        </w:tc>
        <w:tc>
          <w:tcPr>
            <w:tcW w:w="0" w:type="auto"/>
            <w:gridSpan w:val="3"/>
            <w:tcMar>
              <w:top w:w="30" w:type="dxa"/>
              <w:left w:w="20" w:type="dxa"/>
              <w:bottom w:w="30" w:type="dxa"/>
              <w:right w:w="20" w:type="dxa"/>
            </w:tcMar>
            <w:vAlign w:val="bottom"/>
            <w:hideMark/>
          </w:tcPr>
          <w:p w:rsidR="00000000" w:rsidRDefault="00E0782F">
            <w:pPr>
              <w:divId w:val="978729519"/>
              <w:rPr>
                <w:rFonts w:eastAsia="Times New Roman"/>
              </w:rPr>
            </w:pPr>
            <w:hyperlink w:anchor="i3af66512804646fcaf1b19a0aea6f320_214" w:history="1">
              <w:r>
                <w:rPr>
                  <w:rStyle w:val="a3"/>
                  <w:rFonts w:eastAsia="Times New Roman"/>
                  <w:color w:val="000000"/>
                  <w:sz w:val="20"/>
                  <w:szCs w:val="20"/>
                  <w:u w:val="none"/>
                </w:rPr>
                <w:t>Consumer Banking Portfolio by Geographic Region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14" w:history="1">
              <w:r>
                <w:rPr>
                  <w:rStyle w:val="a3"/>
                  <w:rFonts w:eastAsia="Times New Roman"/>
                  <w:color w:val="000000"/>
                  <w:sz w:val="20"/>
                  <w:szCs w:val="20"/>
                  <w:u w:val="none"/>
                </w:rPr>
                <w:t>86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20</w:t>
            </w:r>
          </w:p>
        </w:tc>
        <w:tc>
          <w:tcPr>
            <w:tcW w:w="0" w:type="auto"/>
            <w:gridSpan w:val="3"/>
            <w:tcMar>
              <w:top w:w="30" w:type="dxa"/>
              <w:left w:w="20" w:type="dxa"/>
              <w:bottom w:w="30" w:type="dxa"/>
              <w:right w:w="20" w:type="dxa"/>
            </w:tcMar>
            <w:vAlign w:val="bottom"/>
            <w:hideMark/>
          </w:tcPr>
          <w:p w:rsidR="00000000" w:rsidRDefault="00E0782F">
            <w:pPr>
              <w:divId w:val="863131907"/>
              <w:rPr>
                <w:rFonts w:eastAsia="Times New Roman"/>
              </w:rPr>
            </w:pPr>
            <w:hyperlink w:anchor="i3af66512804646fcaf1b19a0aea6f320_217" w:history="1">
              <w:r>
                <w:rPr>
                  <w:rStyle w:val="a3"/>
                  <w:rFonts w:eastAsia="Times New Roman"/>
                  <w:color w:val="000000"/>
                  <w:sz w:val="20"/>
                  <w:szCs w:val="20"/>
                  <w:u w:val="none"/>
                </w:rPr>
                <w:t>Commercial Banking Portfolio by Geographic Region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17" w:history="1">
              <w:r>
                <w:rPr>
                  <w:rStyle w:val="a3"/>
                  <w:rFonts w:eastAsia="Times New Roman"/>
                  <w:color w:val="000000"/>
                  <w:sz w:val="20"/>
                  <w:szCs w:val="20"/>
                  <w:u w:val="none"/>
                </w:rPr>
                <w:t>86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21</w:t>
            </w:r>
          </w:p>
        </w:tc>
        <w:tc>
          <w:tcPr>
            <w:tcW w:w="0" w:type="auto"/>
            <w:gridSpan w:val="3"/>
            <w:tcMar>
              <w:top w:w="30" w:type="dxa"/>
              <w:left w:w="20" w:type="dxa"/>
              <w:bottom w:w="30" w:type="dxa"/>
              <w:right w:w="20" w:type="dxa"/>
            </w:tcMar>
            <w:vAlign w:val="bottom"/>
            <w:hideMark/>
          </w:tcPr>
          <w:p w:rsidR="00000000" w:rsidRDefault="00E0782F">
            <w:pPr>
              <w:divId w:val="2046783829"/>
              <w:rPr>
                <w:rFonts w:eastAsia="Times New Roman"/>
              </w:rPr>
            </w:pPr>
            <w:hyperlink w:anchor="i3af66512804646fcaf1b19a0aea6f320_220" w:history="1">
              <w:r>
                <w:rPr>
                  <w:rStyle w:val="a3"/>
                  <w:rFonts w:eastAsia="Times New Roman"/>
                  <w:color w:val="000000"/>
                  <w:sz w:val="20"/>
                  <w:szCs w:val="20"/>
                  <w:u w:val="none"/>
                </w:rPr>
                <w:t>Commercial Loans by Industry</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20" w:history="1">
              <w:r>
                <w:rPr>
                  <w:rStyle w:val="a3"/>
                  <w:rFonts w:eastAsia="Times New Roman"/>
                  <w:color w:val="000000"/>
                  <w:sz w:val="20"/>
                  <w:szCs w:val="20"/>
                  <w:u w:val="none"/>
                </w:rPr>
                <w:t>87</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22</w:t>
            </w:r>
          </w:p>
        </w:tc>
        <w:tc>
          <w:tcPr>
            <w:tcW w:w="0" w:type="auto"/>
            <w:gridSpan w:val="3"/>
            <w:tcMar>
              <w:top w:w="30" w:type="dxa"/>
              <w:left w:w="20" w:type="dxa"/>
              <w:bottom w:w="30" w:type="dxa"/>
              <w:right w:w="20" w:type="dxa"/>
            </w:tcMar>
            <w:vAlign w:val="bottom"/>
            <w:hideMark/>
          </w:tcPr>
          <w:p w:rsidR="00000000" w:rsidRDefault="00E0782F">
            <w:pPr>
              <w:divId w:val="1947883738"/>
              <w:rPr>
                <w:rFonts w:eastAsia="Times New Roman"/>
              </w:rPr>
            </w:pPr>
            <w:hyperlink w:anchor="i3af66512804646fcaf1b19a0aea6f320_223" w:history="1">
              <w:r>
                <w:rPr>
                  <w:rStyle w:val="a3"/>
                  <w:rFonts w:eastAsia="Times New Roman"/>
                  <w:color w:val="000000"/>
                  <w:sz w:val="20"/>
                  <w:szCs w:val="20"/>
                  <w:u w:val="none"/>
                </w:rPr>
                <w:t>Credit Score Distribution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23" w:history="1">
              <w:r>
                <w:rPr>
                  <w:rStyle w:val="a3"/>
                  <w:rFonts w:eastAsia="Times New Roman"/>
                  <w:color w:val="000000"/>
                  <w:sz w:val="20"/>
                  <w:szCs w:val="20"/>
                  <w:u w:val="none"/>
                </w:rPr>
                <w:t>88</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23</w:t>
            </w:r>
          </w:p>
        </w:tc>
        <w:tc>
          <w:tcPr>
            <w:tcW w:w="0" w:type="auto"/>
            <w:gridSpan w:val="3"/>
            <w:tcMar>
              <w:top w:w="30" w:type="dxa"/>
              <w:left w:w="20" w:type="dxa"/>
              <w:bottom w:w="30" w:type="dxa"/>
              <w:right w:w="20" w:type="dxa"/>
            </w:tcMar>
            <w:vAlign w:val="bottom"/>
            <w:hideMark/>
          </w:tcPr>
          <w:p w:rsidR="00000000" w:rsidRDefault="00E0782F">
            <w:pPr>
              <w:divId w:val="1360811766"/>
              <w:rPr>
                <w:rFonts w:eastAsia="Times New Roman"/>
              </w:rPr>
            </w:pPr>
            <w:hyperlink w:anchor="i3af66512804646fcaf1b19a0aea6f320_226" w:history="1">
              <w:r>
                <w:rPr>
                  <w:rStyle w:val="a3"/>
                  <w:rFonts w:eastAsia="Times New Roman"/>
                  <w:color w:val="000000"/>
                  <w:sz w:val="20"/>
                  <w:szCs w:val="20"/>
                  <w:u w:val="none"/>
                </w:rPr>
                <w:t>30+ Day Delinquencies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26" w:history="1">
              <w:r>
                <w:rPr>
                  <w:rStyle w:val="a3"/>
                  <w:rFonts w:eastAsia="Times New Roman"/>
                  <w:color w:val="000000"/>
                  <w:sz w:val="20"/>
                  <w:szCs w:val="20"/>
                  <w:u w:val="none"/>
                </w:rPr>
                <w:t>88</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24</w:t>
            </w:r>
          </w:p>
        </w:tc>
        <w:tc>
          <w:tcPr>
            <w:tcW w:w="0" w:type="auto"/>
            <w:gridSpan w:val="3"/>
            <w:tcMar>
              <w:top w:w="30" w:type="dxa"/>
              <w:left w:w="20" w:type="dxa"/>
              <w:bottom w:w="30" w:type="dxa"/>
              <w:right w:w="20" w:type="dxa"/>
            </w:tcMar>
            <w:vAlign w:val="bottom"/>
            <w:hideMark/>
          </w:tcPr>
          <w:p w:rsidR="00000000" w:rsidRDefault="00E0782F">
            <w:pPr>
              <w:divId w:val="1227302930"/>
              <w:rPr>
                <w:rFonts w:eastAsia="Times New Roman"/>
              </w:rPr>
            </w:pPr>
            <w:hyperlink w:anchor="i3af66512804646fcaf1b19a0aea6f320_229" w:history="1">
              <w:r>
                <w:rPr>
                  <w:rStyle w:val="a3"/>
                  <w:rFonts w:eastAsia="Times New Roman"/>
                  <w:color w:val="000000"/>
                  <w:sz w:val="20"/>
                  <w:szCs w:val="20"/>
                  <w:u w:val="none"/>
                </w:rPr>
                <w:t>Aging and Geography of 30+ Day Delinquent Loans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29" w:history="1">
              <w:r>
                <w:rPr>
                  <w:rStyle w:val="a3"/>
                  <w:rFonts w:eastAsia="Times New Roman"/>
                  <w:color w:val="000000"/>
                  <w:sz w:val="20"/>
                  <w:szCs w:val="20"/>
                  <w:u w:val="none"/>
                </w:rPr>
                <w:t>89</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25</w:t>
            </w:r>
          </w:p>
        </w:tc>
        <w:tc>
          <w:tcPr>
            <w:tcW w:w="0" w:type="auto"/>
            <w:gridSpan w:val="3"/>
            <w:tcMar>
              <w:top w:w="30" w:type="dxa"/>
              <w:left w:w="20" w:type="dxa"/>
              <w:bottom w:w="30" w:type="dxa"/>
              <w:right w:w="20" w:type="dxa"/>
            </w:tcMar>
            <w:vAlign w:val="bottom"/>
            <w:hideMark/>
          </w:tcPr>
          <w:p w:rsidR="00000000" w:rsidRDefault="00E0782F">
            <w:pPr>
              <w:divId w:val="1008943168"/>
              <w:rPr>
                <w:rFonts w:eastAsia="Times New Roman"/>
              </w:rPr>
            </w:pPr>
            <w:hyperlink w:anchor="i3af66512804646fcaf1b19a0aea6f320_232" w:history="1">
              <w:r>
                <w:rPr>
                  <w:rStyle w:val="a3"/>
                  <w:rFonts w:eastAsia="Times New Roman"/>
                  <w:color w:val="000000"/>
                  <w:sz w:val="20"/>
                  <w:szCs w:val="20"/>
                  <w:u w:val="none"/>
                </w:rPr>
                <w:t>90+ Day Delinquent Loans Accruing Interest</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32" w:history="1">
              <w:r>
                <w:rPr>
                  <w:rStyle w:val="a3"/>
                  <w:rFonts w:eastAsia="Times New Roman"/>
                  <w:color w:val="000000"/>
                  <w:sz w:val="20"/>
                  <w:szCs w:val="20"/>
                  <w:u w:val="none"/>
                </w:rPr>
                <w:t>90</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26</w:t>
            </w:r>
          </w:p>
        </w:tc>
        <w:tc>
          <w:tcPr>
            <w:tcW w:w="0" w:type="auto"/>
            <w:gridSpan w:val="3"/>
            <w:tcMar>
              <w:top w:w="30" w:type="dxa"/>
              <w:left w:w="20" w:type="dxa"/>
              <w:bottom w:w="30" w:type="dxa"/>
              <w:right w:w="20" w:type="dxa"/>
            </w:tcMar>
            <w:vAlign w:val="bottom"/>
            <w:hideMark/>
          </w:tcPr>
          <w:p w:rsidR="00000000" w:rsidRDefault="00E0782F">
            <w:pPr>
              <w:divId w:val="1600215737"/>
              <w:rPr>
                <w:rFonts w:eastAsia="Times New Roman"/>
              </w:rPr>
            </w:pPr>
            <w:hyperlink w:anchor="i3af66512804646fcaf1b19a0aea6f320_235"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35" w:history="1">
              <w:r>
                <w:rPr>
                  <w:rStyle w:val="a3"/>
                  <w:rFonts w:eastAsia="Times New Roman"/>
                  <w:color w:val="000000"/>
                  <w:sz w:val="20"/>
                  <w:szCs w:val="20"/>
                  <w:u w:val="none"/>
                </w:rPr>
                <w:t>90</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27</w:t>
            </w:r>
          </w:p>
        </w:tc>
        <w:tc>
          <w:tcPr>
            <w:tcW w:w="0" w:type="auto"/>
            <w:gridSpan w:val="3"/>
            <w:tcMar>
              <w:top w:w="30" w:type="dxa"/>
              <w:left w:w="20" w:type="dxa"/>
              <w:bottom w:w="30" w:type="dxa"/>
              <w:right w:w="20" w:type="dxa"/>
            </w:tcMar>
            <w:vAlign w:val="bottom"/>
            <w:hideMark/>
          </w:tcPr>
          <w:p w:rsidR="00000000" w:rsidRDefault="00E0782F">
            <w:pPr>
              <w:divId w:val="278804666"/>
              <w:rPr>
                <w:rFonts w:eastAsia="Times New Roman"/>
              </w:rPr>
            </w:pPr>
            <w:hyperlink w:anchor="i3af66512804646fcaf1b19a0aea6f320_238" w:history="1">
              <w:r>
                <w:rPr>
                  <w:rStyle w:val="a3"/>
                  <w:rFonts w:eastAsia="Times New Roman"/>
                  <w:color w:val="000000"/>
                  <w:sz w:val="20"/>
                  <w:szCs w:val="20"/>
                  <w:u w:val="none"/>
                </w:rPr>
                <w:t>Net Charge-O</w:t>
              </w:r>
              <w:r>
                <w:rPr>
                  <w:rStyle w:val="a3"/>
                  <w:rFonts w:eastAsia="Times New Roman"/>
                  <w:color w:val="000000"/>
                  <w:sz w:val="20"/>
                  <w:szCs w:val="20"/>
                  <w:u w:val="none"/>
                </w:rPr>
                <w:t>ffs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38" w:history="1">
              <w:r>
                <w:rPr>
                  <w:rStyle w:val="a3"/>
                  <w:rFonts w:eastAsia="Times New Roman"/>
                  <w:color w:val="000000"/>
                  <w:sz w:val="20"/>
                  <w:szCs w:val="20"/>
                  <w:u w:val="none"/>
                </w:rPr>
                <w:t>91</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28</w:t>
            </w:r>
          </w:p>
        </w:tc>
        <w:tc>
          <w:tcPr>
            <w:tcW w:w="0" w:type="auto"/>
            <w:gridSpan w:val="3"/>
            <w:tcMar>
              <w:top w:w="30" w:type="dxa"/>
              <w:left w:w="20" w:type="dxa"/>
              <w:bottom w:w="30" w:type="dxa"/>
              <w:right w:w="20" w:type="dxa"/>
            </w:tcMar>
            <w:vAlign w:val="bottom"/>
            <w:hideMark/>
          </w:tcPr>
          <w:p w:rsidR="00000000" w:rsidRDefault="00E0782F">
            <w:pPr>
              <w:divId w:val="1271006556"/>
              <w:rPr>
                <w:rFonts w:eastAsia="Times New Roman"/>
              </w:rPr>
            </w:pPr>
            <w:hyperlink w:anchor="i3af66512804646fcaf1b19a0aea6f320_244" w:history="1">
              <w:r>
                <w:rPr>
                  <w:rStyle w:val="a3"/>
                  <w:rFonts w:eastAsia="Times New Roman"/>
                  <w:color w:val="000000"/>
                  <w:sz w:val="20"/>
                  <w:szCs w:val="20"/>
                  <w:u w:val="none"/>
                </w:rPr>
                <w:t>Troubled Debt Restructurings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44" w:history="1">
              <w:r>
                <w:rPr>
                  <w:rStyle w:val="a3"/>
                  <w:rFonts w:eastAsia="Times New Roman"/>
                  <w:color w:val="000000"/>
                  <w:sz w:val="20"/>
                  <w:szCs w:val="20"/>
                  <w:u w:val="none"/>
                </w:rPr>
                <w:t>93</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29</w:t>
            </w:r>
          </w:p>
        </w:tc>
        <w:tc>
          <w:tcPr>
            <w:tcW w:w="0" w:type="auto"/>
            <w:gridSpan w:val="3"/>
            <w:tcMar>
              <w:top w:w="30" w:type="dxa"/>
              <w:left w:w="20" w:type="dxa"/>
              <w:bottom w:w="30" w:type="dxa"/>
              <w:right w:w="20" w:type="dxa"/>
            </w:tcMar>
            <w:vAlign w:val="bottom"/>
            <w:hideMark/>
          </w:tcPr>
          <w:p w:rsidR="00000000" w:rsidRDefault="00E0782F">
            <w:pPr>
              <w:divId w:val="780882319"/>
              <w:rPr>
                <w:rFonts w:eastAsia="Times New Roman"/>
              </w:rPr>
            </w:pPr>
            <w:hyperlink w:anchor="i3af66512804646fcaf1b19a0aea6f320_253" w:history="1">
              <w:r>
                <w:rPr>
                  <w:rStyle w:val="a3"/>
                  <w:rFonts w:eastAsia="Times New Roman"/>
                  <w:color w:val="000000"/>
                  <w:sz w:val="20"/>
                  <w:szCs w:val="20"/>
                  <w:u w:val="none"/>
                </w:rPr>
                <w:t>Allowance for Credit Losses and Reserve for Unfunded Lending Commitments Activity</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53" w:history="1">
              <w:r>
                <w:rPr>
                  <w:rStyle w:val="a3"/>
                  <w:rFonts w:eastAsia="Times New Roman"/>
                  <w:color w:val="000000"/>
                  <w:sz w:val="20"/>
                  <w:szCs w:val="20"/>
                  <w:u w:val="none"/>
                </w:rPr>
                <w:t>95</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30</w:t>
            </w:r>
          </w:p>
        </w:tc>
        <w:tc>
          <w:tcPr>
            <w:tcW w:w="0" w:type="auto"/>
            <w:gridSpan w:val="3"/>
            <w:tcMar>
              <w:top w:w="30" w:type="dxa"/>
              <w:left w:w="20" w:type="dxa"/>
              <w:bottom w:w="30" w:type="dxa"/>
              <w:right w:w="20" w:type="dxa"/>
            </w:tcMar>
            <w:vAlign w:val="bottom"/>
            <w:hideMark/>
          </w:tcPr>
          <w:p w:rsidR="00000000" w:rsidRDefault="00E0782F">
            <w:pPr>
              <w:divId w:val="2010794187"/>
              <w:rPr>
                <w:rFonts w:eastAsia="Times New Roman"/>
              </w:rPr>
            </w:pPr>
            <w:hyperlink w:anchor="i3af66512804646fcaf1b19a0aea6f320_256" w:history="1">
              <w:r>
                <w:rPr>
                  <w:rStyle w:val="a3"/>
                  <w:rFonts w:eastAsia="Times New Roman"/>
                  <w:color w:val="000000"/>
                  <w:sz w:val="20"/>
                  <w:szCs w:val="20"/>
                  <w:u w:val="none"/>
                </w:rPr>
                <w:t>Allowance Coverage Ratios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56" w:history="1">
              <w:r>
                <w:rPr>
                  <w:rStyle w:val="a3"/>
                  <w:rFonts w:eastAsia="Times New Roman"/>
                  <w:color w:val="000000"/>
                  <w:sz w:val="20"/>
                  <w:szCs w:val="20"/>
                  <w:u w:val="none"/>
                </w:rPr>
                <w:t>96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E0782F">
            <w:pPr>
              <w:divId w:val="1121074572"/>
              <w:rPr>
                <w:rFonts w:eastAsia="Times New Roman"/>
              </w:rPr>
            </w:pPr>
            <w:hyperlink w:anchor="i3af66512804646fcaf1b19a0aea6f320_262" w:history="1">
              <w:r>
                <w:rPr>
                  <w:rStyle w:val="a3"/>
                  <w:rFonts w:eastAsia="Times New Roman"/>
                  <w:color w:val="000000"/>
                  <w:sz w:val="20"/>
                  <w:szCs w:val="20"/>
                  <w:u w:val="none"/>
                </w:rPr>
                <w:t>Liquidity Reserves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62" w:history="1">
              <w:r>
                <w:rPr>
                  <w:rStyle w:val="a3"/>
                  <w:rFonts w:eastAsia="Times New Roman"/>
                  <w:color w:val="000000"/>
                  <w:sz w:val="20"/>
                  <w:szCs w:val="20"/>
                  <w:u w:val="none"/>
                </w:rPr>
                <w:t>96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E0782F">
            <w:pPr>
              <w:divId w:val="1050300804"/>
              <w:rPr>
                <w:rFonts w:eastAsia="Times New Roman"/>
              </w:rPr>
            </w:pPr>
            <w:hyperlink w:anchor="i3af66512804646fcaf1b19a0aea6f320_271" w:history="1">
              <w:r>
                <w:rPr>
                  <w:rStyle w:val="a3"/>
                  <w:rFonts w:eastAsia="Times New Roman"/>
                  <w:color w:val="000000"/>
                  <w:sz w:val="20"/>
                  <w:szCs w:val="20"/>
                  <w:u w:val="none"/>
                </w:rPr>
                <w:t>Deposits Composition and Average Deposits Interest Rates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71" w:history="1">
              <w:r>
                <w:rPr>
                  <w:rStyle w:val="a3"/>
                  <w:rFonts w:eastAsia="Times New Roman"/>
                  <w:color w:val="000000"/>
                  <w:sz w:val="20"/>
                  <w:szCs w:val="20"/>
                  <w:u w:val="none"/>
                </w:rPr>
                <w:t>97</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vAlign w:val="bottom"/>
            <w:hideMark/>
          </w:tcPr>
          <w:p w:rsidR="00000000" w:rsidRDefault="00E0782F">
            <w:pPr>
              <w:divId w:val="1621037537"/>
              <w:rPr>
                <w:rFonts w:eastAsia="Times New Roman"/>
              </w:rPr>
            </w:pPr>
            <w:hyperlink w:anchor="i3af66512804646fcaf1b19a0aea6f320_274" w:history="1">
              <w:r>
                <w:rPr>
                  <w:rStyle w:val="a3"/>
                  <w:rFonts w:eastAsia="Times New Roman"/>
                  <w:color w:val="000000"/>
                  <w:sz w:val="20"/>
                  <w:szCs w:val="20"/>
                  <w:u w:val="none"/>
                </w:rPr>
                <w:t>Maturities of Large-Denomination Domestic Time Deposits—$100,000 or More</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74" w:history="1">
              <w:r>
                <w:rPr>
                  <w:rStyle w:val="a3"/>
                  <w:rFonts w:eastAsia="Times New Roman"/>
                  <w:color w:val="000000"/>
                  <w:sz w:val="20"/>
                  <w:szCs w:val="20"/>
                  <w:u w:val="none"/>
                </w:rPr>
                <w:t>98</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34</w:t>
            </w:r>
          </w:p>
        </w:tc>
        <w:tc>
          <w:tcPr>
            <w:tcW w:w="0" w:type="auto"/>
            <w:gridSpan w:val="3"/>
            <w:tcMar>
              <w:top w:w="30" w:type="dxa"/>
              <w:left w:w="20" w:type="dxa"/>
              <w:bottom w:w="30" w:type="dxa"/>
              <w:right w:w="20" w:type="dxa"/>
            </w:tcMar>
            <w:vAlign w:val="bottom"/>
            <w:hideMark/>
          </w:tcPr>
          <w:p w:rsidR="00000000" w:rsidRDefault="00E0782F">
            <w:pPr>
              <w:divId w:val="1958177220"/>
              <w:rPr>
                <w:rFonts w:eastAsia="Times New Roman"/>
              </w:rPr>
            </w:pPr>
            <w:hyperlink w:anchor="i3af66512804646fcaf1b19a0aea6f320_280" w:history="1">
              <w:r>
                <w:rPr>
                  <w:rStyle w:val="a3"/>
                  <w:rFonts w:eastAsia="Times New Roman"/>
                  <w:color w:val="000000"/>
                  <w:sz w:val="20"/>
                  <w:szCs w:val="20"/>
                  <w:u w:val="none"/>
                </w:rPr>
                <w:t>Long-Term Funding</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80" w:history="1">
              <w:r>
                <w:rPr>
                  <w:rStyle w:val="a3"/>
                  <w:rFonts w:eastAsia="Times New Roman"/>
                  <w:color w:val="000000"/>
                  <w:sz w:val="20"/>
                  <w:szCs w:val="20"/>
                  <w:u w:val="none"/>
                </w:rPr>
                <w:t>98</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35</w:t>
            </w:r>
          </w:p>
        </w:tc>
        <w:tc>
          <w:tcPr>
            <w:tcW w:w="0" w:type="auto"/>
            <w:gridSpan w:val="3"/>
            <w:tcMar>
              <w:top w:w="30" w:type="dxa"/>
              <w:left w:w="20" w:type="dxa"/>
              <w:bottom w:w="30" w:type="dxa"/>
              <w:right w:w="20" w:type="dxa"/>
            </w:tcMar>
            <w:vAlign w:val="bottom"/>
            <w:hideMark/>
          </w:tcPr>
          <w:p w:rsidR="00000000" w:rsidRDefault="00E0782F">
            <w:pPr>
              <w:divId w:val="691415597"/>
              <w:rPr>
                <w:rFonts w:eastAsia="Times New Roman"/>
              </w:rPr>
            </w:pPr>
            <w:hyperlink w:anchor="i3af66512804646fcaf1b19a0aea6f320_283" w:history="1">
              <w:r>
                <w:rPr>
                  <w:rStyle w:val="a3"/>
                  <w:rFonts w:eastAsia="Times New Roman"/>
                  <w:color w:val="000000"/>
                  <w:sz w:val="20"/>
                  <w:szCs w:val="20"/>
                  <w:u w:val="none"/>
                </w:rPr>
                <w:t>Senior Unsecured Long-Term Debt Credit Rating</w:t>
              </w:r>
              <w:r>
                <w:rPr>
                  <w:rStyle w:val="a3"/>
                  <w:rFonts w:eastAsia="Times New Roman"/>
                  <w:color w:val="000000"/>
                  <w:sz w:val="20"/>
                  <w:szCs w:val="20"/>
                  <w:u w:val="none"/>
                </w:rPr>
                <w: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83" w:history="1">
              <w:r>
                <w:rPr>
                  <w:rStyle w:val="a3"/>
                  <w:rFonts w:eastAsia="Times New Roman"/>
                  <w:color w:val="000000"/>
                  <w:sz w:val="20"/>
                  <w:szCs w:val="20"/>
                  <w:u w:val="none"/>
                </w:rPr>
                <w:t>99</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36</w:t>
            </w:r>
          </w:p>
        </w:tc>
        <w:tc>
          <w:tcPr>
            <w:tcW w:w="0" w:type="auto"/>
            <w:gridSpan w:val="3"/>
            <w:tcMar>
              <w:top w:w="30" w:type="dxa"/>
              <w:left w:w="20" w:type="dxa"/>
              <w:bottom w:w="30" w:type="dxa"/>
              <w:right w:w="20" w:type="dxa"/>
            </w:tcMar>
            <w:vAlign w:val="bottom"/>
            <w:hideMark/>
          </w:tcPr>
          <w:p w:rsidR="00000000" w:rsidRDefault="00E0782F">
            <w:pPr>
              <w:divId w:val="599995628"/>
              <w:rPr>
                <w:rFonts w:eastAsia="Times New Roman"/>
              </w:rPr>
            </w:pPr>
            <w:hyperlink w:anchor="i3af66512804646fcaf1b19a0aea6f320_286" w:history="1">
              <w:r>
                <w:rPr>
                  <w:rStyle w:val="a3"/>
                  <w:rFonts w:eastAsia="Times New Roman"/>
                  <w:color w:val="000000"/>
                  <w:sz w:val="20"/>
                  <w:szCs w:val="20"/>
                  <w:u w:val="none"/>
                </w:rPr>
                <w:t>Contractual Obligations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86" w:history="1">
              <w:r>
                <w:rPr>
                  <w:rStyle w:val="a3"/>
                  <w:rFonts w:eastAsia="Times New Roman"/>
                  <w:color w:val="000000"/>
                  <w:sz w:val="20"/>
                  <w:szCs w:val="20"/>
                  <w:u w:val="none"/>
                </w:rPr>
                <w:t>99</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37</w:t>
            </w:r>
          </w:p>
        </w:tc>
        <w:tc>
          <w:tcPr>
            <w:tcW w:w="0" w:type="auto"/>
            <w:gridSpan w:val="3"/>
            <w:tcMar>
              <w:top w:w="30" w:type="dxa"/>
              <w:left w:w="20" w:type="dxa"/>
              <w:bottom w:w="30" w:type="dxa"/>
              <w:right w:w="20" w:type="dxa"/>
            </w:tcMar>
            <w:vAlign w:val="bottom"/>
            <w:hideMark/>
          </w:tcPr>
          <w:p w:rsidR="00000000" w:rsidRDefault="00E0782F">
            <w:pPr>
              <w:divId w:val="1631203965"/>
              <w:rPr>
                <w:rFonts w:eastAsia="Times New Roman"/>
              </w:rPr>
            </w:pPr>
            <w:hyperlink w:anchor="i3af66512804646fcaf1b19a0aea6f320_292" w:history="1">
              <w:r>
                <w:rPr>
                  <w:rStyle w:val="a3"/>
                  <w:rFonts w:eastAsia="Times New Roman"/>
                  <w:color w:val="000000"/>
                  <w:sz w:val="20"/>
                  <w:szCs w:val="20"/>
                  <w:u w:val="none"/>
                </w:rPr>
                <w:t>Interest Rate Sensitivity Analysis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292" w:history="1">
              <w:r>
                <w:rPr>
                  <w:rStyle w:val="a3"/>
                  <w:rFonts w:eastAsia="Times New Roman"/>
                  <w:color w:val="000000"/>
                  <w:sz w:val="20"/>
                  <w:szCs w:val="20"/>
                  <w:u w:val="none"/>
                </w:rPr>
                <w:t>101</w:t>
              </w:r>
            </w:hyperlink>
          </w:p>
        </w:tc>
      </w:tr>
      <w:tr w:rsidR="00000000">
        <w:trPr>
          <w:divId w:val="2081562192"/>
          <w:trHeight w:val="240"/>
          <w:jc w:val="center"/>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81562192"/>
          <w:jc w:val="center"/>
        </w:trPr>
        <w:tc>
          <w:tcPr>
            <w:tcW w:w="0" w:type="auto"/>
            <w:gridSpan w:val="6"/>
            <w:tcMar>
              <w:top w:w="30" w:type="dxa"/>
              <w:left w:w="20" w:type="dxa"/>
              <w:bottom w:w="30" w:type="dxa"/>
              <w:right w:w="20" w:type="dxa"/>
            </w:tcMar>
            <w:vAlign w:val="bottom"/>
            <w:hideMark/>
          </w:tcPr>
          <w:p w:rsidR="00000000" w:rsidRDefault="00E0782F">
            <w:pPr>
              <w:divId w:val="2023243614"/>
              <w:rPr>
                <w:rFonts w:eastAsia="Times New Roman"/>
              </w:rPr>
            </w:pPr>
            <w:hyperlink w:anchor="i3af66512804646fcaf1b19a0aea6f320_304" w:history="1">
              <w:r>
                <w:rPr>
                  <w:rStyle w:val="a3"/>
                  <w:rFonts w:eastAsia="Times New Roman"/>
                  <w:b/>
                  <w:bCs/>
                  <w:color w:val="000000"/>
                  <w:sz w:val="20"/>
                  <w:szCs w:val="20"/>
                  <w:u w:val="none"/>
                </w:rPr>
                <w:t>Supplemental Tables:</w:t>
              </w:r>
            </w:hyperlink>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A</w:t>
            </w:r>
          </w:p>
        </w:tc>
        <w:tc>
          <w:tcPr>
            <w:tcW w:w="0" w:type="auto"/>
            <w:gridSpan w:val="3"/>
            <w:tcMar>
              <w:top w:w="30" w:type="dxa"/>
              <w:left w:w="20" w:type="dxa"/>
              <w:bottom w:w="30" w:type="dxa"/>
              <w:right w:w="20" w:type="dxa"/>
            </w:tcMar>
            <w:vAlign w:val="bottom"/>
            <w:hideMark/>
          </w:tcPr>
          <w:p w:rsidR="00000000" w:rsidRDefault="00E0782F">
            <w:pPr>
              <w:divId w:val="280111986"/>
              <w:rPr>
                <w:rFonts w:eastAsia="Times New Roman"/>
              </w:rPr>
            </w:pPr>
            <w:hyperlink w:anchor="i3af66512804646fcaf1b19a0aea6f320_307" w:history="1">
              <w:r>
                <w:rPr>
                  <w:rStyle w:val="a3"/>
                  <w:rFonts w:eastAsia="Times New Roman"/>
                  <w:color w:val="000000"/>
                  <w:sz w:val="20"/>
                  <w:szCs w:val="20"/>
                  <w:u w:val="none"/>
                </w:rPr>
                <w:t>Loans Held for Investment Portfolio Composition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07" w:history="1">
              <w:r>
                <w:rPr>
                  <w:rStyle w:val="a3"/>
                  <w:rFonts w:eastAsia="Times New Roman"/>
                  <w:color w:val="000000"/>
                  <w:sz w:val="20"/>
                  <w:szCs w:val="20"/>
                  <w:u w:val="none"/>
                </w:rPr>
                <w:t>104</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B</w:t>
            </w:r>
          </w:p>
        </w:tc>
        <w:tc>
          <w:tcPr>
            <w:tcW w:w="0" w:type="auto"/>
            <w:gridSpan w:val="3"/>
            <w:tcMar>
              <w:top w:w="30" w:type="dxa"/>
              <w:left w:w="20" w:type="dxa"/>
              <w:bottom w:w="30" w:type="dxa"/>
              <w:right w:w="20" w:type="dxa"/>
            </w:tcMar>
            <w:vAlign w:val="bottom"/>
            <w:hideMark/>
          </w:tcPr>
          <w:p w:rsidR="00000000" w:rsidRDefault="00E0782F">
            <w:pPr>
              <w:divId w:val="1296450727"/>
              <w:rPr>
                <w:rFonts w:eastAsia="Times New Roman"/>
              </w:rPr>
            </w:pPr>
            <w:hyperlink w:anchor="i3af66512804646fcaf1b19a0aea6f320_310" w:history="1">
              <w:r>
                <w:rPr>
                  <w:rStyle w:val="a3"/>
                  <w:rFonts w:eastAsia="Times New Roman"/>
                  <w:color w:val="000000"/>
                  <w:sz w:val="20"/>
                  <w:szCs w:val="20"/>
                  <w:u w:val="none"/>
                </w:rPr>
                <w:t>Performing Delinquencies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10" w:history="1">
              <w:r>
                <w:rPr>
                  <w:rStyle w:val="a3"/>
                  <w:rFonts w:eastAsia="Times New Roman"/>
                  <w:color w:val="000000"/>
                  <w:sz w:val="20"/>
                  <w:szCs w:val="20"/>
                  <w:u w:val="none"/>
                </w:rPr>
                <w:t>104</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C</w:t>
            </w:r>
          </w:p>
        </w:tc>
        <w:tc>
          <w:tcPr>
            <w:tcW w:w="0" w:type="auto"/>
            <w:gridSpan w:val="3"/>
            <w:tcMar>
              <w:top w:w="30" w:type="dxa"/>
              <w:left w:w="20" w:type="dxa"/>
              <w:bottom w:w="30" w:type="dxa"/>
              <w:right w:w="20" w:type="dxa"/>
            </w:tcMar>
            <w:vAlign w:val="bottom"/>
            <w:hideMark/>
          </w:tcPr>
          <w:p w:rsidR="00000000" w:rsidRDefault="00E0782F">
            <w:pPr>
              <w:divId w:val="1659453573"/>
              <w:rPr>
                <w:rFonts w:eastAsia="Times New Roman"/>
              </w:rPr>
            </w:pPr>
            <w:hyperlink w:anchor="i3af66512804646fcaf1b19a0aea6f320_313" w:history="1">
              <w:r>
                <w:rPr>
                  <w:rStyle w:val="a3"/>
                  <w:rFonts w:eastAsia="Times New Roman"/>
                  <w:color w:val="000000"/>
                  <w:sz w:val="20"/>
                  <w:szCs w:val="20"/>
                  <w:u w:val="none"/>
                </w:rPr>
                <w:t>Nonperforming Loans and Other Nonperforming Assets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13" w:history="1">
              <w:r>
                <w:rPr>
                  <w:rStyle w:val="a3"/>
                  <w:rFonts w:eastAsia="Times New Roman"/>
                  <w:color w:val="000000"/>
                  <w:sz w:val="20"/>
                  <w:szCs w:val="20"/>
                  <w:u w:val="none"/>
                </w:rPr>
                <w:t>105</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D</w:t>
            </w:r>
          </w:p>
        </w:tc>
        <w:tc>
          <w:tcPr>
            <w:tcW w:w="0" w:type="auto"/>
            <w:gridSpan w:val="3"/>
            <w:tcMar>
              <w:top w:w="30" w:type="dxa"/>
              <w:left w:w="20" w:type="dxa"/>
              <w:bottom w:w="30" w:type="dxa"/>
              <w:right w:w="20" w:type="dxa"/>
            </w:tcMar>
            <w:vAlign w:val="bottom"/>
            <w:hideMark/>
          </w:tcPr>
          <w:p w:rsidR="00000000" w:rsidRDefault="00E0782F">
            <w:pPr>
              <w:divId w:val="1198589549"/>
              <w:rPr>
                <w:rFonts w:eastAsia="Times New Roman"/>
              </w:rPr>
            </w:pPr>
            <w:hyperlink w:anchor="i3af66512804646fcaf1b19a0aea6f320_316" w:history="1">
              <w:r>
                <w:rPr>
                  <w:rStyle w:val="a3"/>
                  <w:rFonts w:eastAsia="Times New Roman"/>
                  <w:color w:val="000000"/>
                  <w:sz w:val="20"/>
                  <w:szCs w:val="20"/>
                  <w:u w:val="none"/>
                </w:rPr>
                <w:t>Net Charge-Offs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16" w:history="1">
              <w:r>
                <w:rPr>
                  <w:rStyle w:val="a3"/>
                  <w:rFonts w:eastAsia="Times New Roman"/>
                  <w:color w:val="000000"/>
                  <w:sz w:val="20"/>
                  <w:szCs w:val="20"/>
                  <w:u w:val="none"/>
                </w:rPr>
                <w:t>106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E</w:t>
            </w:r>
          </w:p>
        </w:tc>
        <w:tc>
          <w:tcPr>
            <w:tcW w:w="0" w:type="auto"/>
            <w:gridSpan w:val="3"/>
            <w:tcMar>
              <w:top w:w="30" w:type="dxa"/>
              <w:left w:w="20" w:type="dxa"/>
              <w:bottom w:w="30" w:type="dxa"/>
              <w:right w:w="20" w:type="dxa"/>
            </w:tcMar>
            <w:vAlign w:val="bottom"/>
            <w:hideMark/>
          </w:tcPr>
          <w:p w:rsidR="00000000" w:rsidRDefault="00E0782F">
            <w:pPr>
              <w:divId w:val="230628823"/>
              <w:rPr>
                <w:rFonts w:eastAsia="Times New Roman"/>
              </w:rPr>
            </w:pPr>
            <w:hyperlink w:anchor="i3af66512804646fcaf1b19a0aea6f320_319" w:history="1">
              <w:r>
                <w:rPr>
                  <w:rStyle w:val="a3"/>
                  <w:rFonts w:eastAsia="Times New Roman"/>
                  <w:color w:val="000000"/>
                  <w:sz w:val="20"/>
                  <w:szCs w:val="20"/>
                  <w:u w:val="none"/>
                </w:rPr>
                <w:t xml:space="preserve">Summary of Allowance for </w:t>
              </w:r>
            </w:hyperlink>
            <w:hyperlink w:anchor="i3af66512804646fcaf1b19a0aea6f320_319" w:history="1">
              <w:r>
                <w:rPr>
                  <w:rStyle w:val="a3"/>
                  <w:rFonts w:eastAsia="Times New Roman"/>
                  <w:color w:val="000000"/>
                  <w:sz w:val="20"/>
                  <w:szCs w:val="20"/>
                  <w:u w:val="none"/>
                </w:rPr>
                <w:t>C</w:t>
              </w:r>
            </w:hyperlink>
            <w:hyperlink w:anchor="i3af66512804646fcaf1b19a0aea6f320_319" w:history="1">
              <w:r>
                <w:rPr>
                  <w:rStyle w:val="a3"/>
                  <w:rFonts w:eastAsia="Times New Roman"/>
                  <w:color w:val="000000"/>
                  <w:sz w:val="20"/>
                  <w:szCs w:val="20"/>
                  <w:u w:val="none"/>
                </w:rPr>
                <w:t>redit</w:t>
              </w:r>
            </w:hyperlink>
            <w:hyperlink w:anchor="i3af66512804646fcaf1b19a0aea6f320_319" w:history="1">
              <w:r>
                <w:rPr>
                  <w:rStyle w:val="a3"/>
                  <w:rFonts w:eastAsia="Times New Roman"/>
                  <w:color w:val="000000"/>
                  <w:sz w:val="20"/>
                  <w:szCs w:val="20"/>
                  <w:u w:val="none"/>
                </w:rPr>
                <w:t xml:space="preserve"> </w:t>
              </w:r>
            </w:hyperlink>
            <w:hyperlink w:anchor="i3af66512804646fcaf1b19a0aea6f320_319" w:history="1">
              <w:r>
                <w:rPr>
                  <w:rStyle w:val="a3"/>
                  <w:rFonts w:eastAsia="Times New Roman"/>
                  <w:color w:val="000000"/>
                  <w:sz w:val="20"/>
                  <w:szCs w:val="20"/>
                  <w:u w:val="none"/>
                </w:rPr>
                <w:t>Losses and Reserve for Unfunded</w:t>
              </w:r>
              <w:r>
                <w:rPr>
                  <w:rStyle w:val="a3"/>
                  <w:rFonts w:eastAsia="Times New Roman"/>
                  <w:color w:val="000000"/>
                  <w:sz w:val="20"/>
                  <w:szCs w:val="20"/>
                  <w:u w:val="none"/>
                </w:rPr>
                <w:t xml:space="preserve"> Lending Commitments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19" w:history="1">
              <w:r>
                <w:rPr>
                  <w:rStyle w:val="a3"/>
                  <w:rFonts w:eastAsia="Times New Roman"/>
                  <w:color w:val="000000"/>
                  <w:sz w:val="20"/>
                  <w:szCs w:val="20"/>
                  <w:u w:val="none"/>
                </w:rPr>
                <w:t>106</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F</w:t>
            </w:r>
          </w:p>
        </w:tc>
        <w:tc>
          <w:tcPr>
            <w:tcW w:w="0" w:type="auto"/>
            <w:gridSpan w:val="3"/>
            <w:tcMar>
              <w:top w:w="30" w:type="dxa"/>
              <w:left w:w="20" w:type="dxa"/>
              <w:bottom w:w="30" w:type="dxa"/>
              <w:right w:w="20" w:type="dxa"/>
            </w:tcMar>
            <w:vAlign w:val="bottom"/>
            <w:hideMark/>
          </w:tcPr>
          <w:p w:rsidR="00000000" w:rsidRDefault="00E0782F">
            <w:pPr>
              <w:divId w:val="1601988900"/>
              <w:rPr>
                <w:rFonts w:eastAsia="Times New Roman"/>
              </w:rPr>
            </w:pPr>
            <w:hyperlink w:anchor="i3af66512804646fcaf1b19a0aea6f320_322" w:history="1">
              <w:r>
                <w:rPr>
                  <w:rStyle w:val="a3"/>
                  <w:rFonts w:eastAsia="Times New Roman"/>
                  <w:color w:val="000000"/>
                  <w:sz w:val="20"/>
                  <w:szCs w:val="20"/>
                  <w:u w:val="none"/>
                </w:rPr>
                <w:t>Reconciliation of Non-GAAP Measures</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22" w:history="1">
              <w:r>
                <w:rPr>
                  <w:rStyle w:val="a3"/>
                  <w:rFonts w:eastAsia="Times New Roman"/>
                  <w:color w:val="000000"/>
                  <w:sz w:val="20"/>
                  <w:szCs w:val="20"/>
                  <w:u w:val="none"/>
                </w:rPr>
                <w:t>107</w:t>
              </w:r>
            </w:hyperlink>
          </w:p>
        </w:tc>
      </w:tr>
      <w:tr w:rsidR="00000000">
        <w:trPr>
          <w:divId w:val="2081562192"/>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20"/>
                <w:szCs w:val="20"/>
              </w:rPr>
              <w:t>G</w:t>
            </w:r>
          </w:p>
        </w:tc>
        <w:tc>
          <w:tcPr>
            <w:tcW w:w="0" w:type="auto"/>
            <w:gridSpan w:val="3"/>
            <w:tcMar>
              <w:top w:w="30" w:type="dxa"/>
              <w:left w:w="20" w:type="dxa"/>
              <w:bottom w:w="30" w:type="dxa"/>
              <w:right w:w="20" w:type="dxa"/>
            </w:tcMar>
            <w:vAlign w:val="bottom"/>
            <w:hideMark/>
          </w:tcPr>
          <w:p w:rsidR="00000000" w:rsidRDefault="00E0782F">
            <w:pPr>
              <w:divId w:val="869612220"/>
              <w:rPr>
                <w:rFonts w:eastAsia="Times New Roman"/>
              </w:rPr>
            </w:pPr>
            <w:hyperlink w:anchor="i3af66512804646fcaf1b19a0aea6f320_325" w:history="1">
              <w:r>
                <w:rPr>
                  <w:rStyle w:val="a3"/>
                  <w:rFonts w:eastAsia="Times New Roman"/>
                  <w:color w:val="000000"/>
                  <w:sz w:val="20"/>
                  <w:szCs w:val="20"/>
                  <w:u w:val="none"/>
                </w:rPr>
                <w:t>Selected Quarterly Financial Information</w:t>
              </w:r>
            </w:hyperlink>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hyperlink w:anchor="i3af66512804646fcaf1b19a0aea6f320_325" w:history="1">
              <w:r>
                <w:rPr>
                  <w:rStyle w:val="a3"/>
                  <w:rFonts w:eastAsia="Times New Roman"/>
                  <w:color w:val="000000"/>
                  <w:sz w:val="20"/>
                  <w:szCs w:val="20"/>
                  <w:u w:val="none"/>
                </w:rPr>
                <w:t>108</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28" style="width:0;height:1.5pt" o:hralign="center" o:hrstd="t" o:hr="t" fillcolor="#a0a0a0" stroked="f"/>
        </w:pict>
      </w:r>
    </w:p>
    <w:p w:rsidR="00000000" w:rsidRDefault="00E0782F">
      <w:pPr>
        <w:jc w:val="both"/>
        <w:divId w:val="190436822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32144843"/>
        <w:rPr>
          <w:rFonts w:eastAsia="Times New Roman"/>
        </w:rPr>
      </w:pPr>
      <w:r>
        <w:rPr>
          <w:rFonts w:eastAsia="Times New Roman"/>
          <w:b/>
          <w:bCs/>
          <w:color w:val="000000"/>
          <w:sz w:val="20"/>
          <w:szCs w:val="20"/>
        </w:rPr>
        <w:t xml:space="preserve">PART I </w:t>
      </w:r>
    </w:p>
    <w:p w:rsidR="00000000" w:rsidRDefault="00E0782F">
      <w:pPr>
        <w:divId w:val="869033472"/>
        <w:rPr>
          <w:rFonts w:eastAsia="Times New Roman"/>
        </w:rPr>
      </w:pPr>
      <w:r>
        <w:rPr>
          <w:rFonts w:eastAsia="Times New Roman"/>
          <w:b/>
          <w:bCs/>
          <w:color w:val="000000"/>
          <w:sz w:val="20"/>
          <w:szCs w:val="20"/>
        </w:rPr>
        <w:t xml:space="preserve">Item 1. Business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8989698"/>
          <w:jc w:val="center"/>
        </w:trPr>
        <w:tc>
          <w:tcPr>
            <w:tcW w:w="50" w:type="pct"/>
            <w:vAlign w:val="center"/>
            <w:hideMark/>
          </w:tcPr>
          <w:p w:rsidR="00000000" w:rsidRDefault="00E0782F">
            <w:pP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8989698"/>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OVERVIEW</w:t>
            </w:r>
          </w:p>
        </w:tc>
      </w:tr>
    </w:tbl>
    <w:p w:rsidR="00000000" w:rsidRDefault="00E0782F">
      <w:pPr>
        <w:divId w:val="362949793"/>
        <w:rPr>
          <w:rFonts w:eastAsia="Times New Roman"/>
        </w:rPr>
      </w:pPr>
      <w:r>
        <w:rPr>
          <w:rFonts w:eastAsia="Times New Roman"/>
          <w:b/>
          <w:bCs/>
          <w:color w:val="000000"/>
          <w:sz w:val="20"/>
          <w:szCs w:val="20"/>
        </w:rPr>
        <w:t>General</w:t>
      </w:r>
    </w:p>
    <w:p w:rsidR="00000000" w:rsidRDefault="00E0782F">
      <w:pPr>
        <w:jc w:val="both"/>
        <w:divId w:val="963123338"/>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Corporation and its su</w:t>
      </w:r>
      <w:r>
        <w:rPr>
          <w:rFonts w:eastAsia="Times New Roman"/>
          <w:color w:val="000000"/>
          <w:sz w:val="20"/>
          <w:szCs w:val="20"/>
        </w:rPr>
        <w:t xml:space="preserve">bsidiaries (the “Company” or “Capital One”) </w:t>
      </w:r>
      <w:r>
        <w:rPr>
          <w:rFonts w:eastAsia="Times New Roman"/>
          <w:color w:val="000000"/>
          <w:sz w:val="20"/>
          <w:szCs w:val="20"/>
        </w:rPr>
        <w:lastRenderedPageBreak/>
        <w:t xml:space="preserve">offer a broad array of financial products and services to consumers, small businesses and commercial clients through digital channels, branches, Cafés and other distribution channels. </w:t>
      </w:r>
    </w:p>
    <w:p w:rsidR="00000000" w:rsidRDefault="00E0782F">
      <w:pPr>
        <w:jc w:val="both"/>
        <w:divId w:val="1720548298"/>
        <w:rPr>
          <w:rFonts w:eastAsia="Times New Roman"/>
        </w:rPr>
      </w:pPr>
      <w:r>
        <w:rPr>
          <w:rFonts w:eastAsia="Times New Roman"/>
          <w:color w:val="000000"/>
          <w:sz w:val="20"/>
          <w:szCs w:val="20"/>
        </w:rPr>
        <w:t>As of December 31, 2020, ou</w:t>
      </w:r>
      <w:r>
        <w:rPr>
          <w:rFonts w:eastAsia="Times New Roman"/>
          <w:color w:val="000000"/>
          <w:sz w:val="20"/>
          <w:szCs w:val="20"/>
        </w:rPr>
        <w:t>r principal subsidiaries included:</w:t>
      </w:r>
    </w:p>
    <w:p w:rsidR="00000000" w:rsidRDefault="00E0782F">
      <w:pPr>
        <w:ind w:hanging="360"/>
        <w:jc w:val="both"/>
        <w:divId w:val="240407521"/>
        <w:rPr>
          <w:rFonts w:eastAsia="Times New Roman"/>
        </w:rPr>
      </w:pPr>
      <w:r>
        <w:rPr>
          <w:rFonts w:eastAsia="Times New Roman"/>
          <w:color w:val="000000"/>
          <w:sz w:val="20"/>
          <w:szCs w:val="20"/>
        </w:rPr>
        <w:t>•Capital One Bank (USA), National Association (“COBNA”), which offers credit and debit card products, other lending products and deposit products; and</w:t>
      </w:r>
    </w:p>
    <w:p w:rsidR="00000000" w:rsidRDefault="00E0782F">
      <w:pPr>
        <w:ind w:hanging="360"/>
        <w:jc w:val="both"/>
        <w:divId w:val="2053455777"/>
        <w:rPr>
          <w:rFonts w:eastAsia="Times New Roman"/>
        </w:rPr>
      </w:pPr>
      <w:r>
        <w:rPr>
          <w:rFonts w:eastAsia="Times New Roman"/>
          <w:color w:val="000000"/>
          <w:sz w:val="20"/>
          <w:szCs w:val="20"/>
        </w:rPr>
        <w:t>•Capital One, National Association (“CONA”), which offers a broad spec</w:t>
      </w:r>
      <w:r>
        <w:rPr>
          <w:rFonts w:eastAsia="Times New Roman"/>
          <w:color w:val="000000"/>
          <w:sz w:val="20"/>
          <w:szCs w:val="20"/>
        </w:rPr>
        <w:t>trum of banking products and financial services to consumers, small businesses and commercial clients.</w:t>
      </w:r>
    </w:p>
    <w:p w:rsidR="00000000" w:rsidRDefault="00E0782F">
      <w:pPr>
        <w:jc w:val="both"/>
        <w:divId w:val="225452729"/>
        <w:rPr>
          <w:rFonts w:eastAsia="Times New Roman"/>
        </w:rPr>
      </w:pPr>
      <w:r>
        <w:rPr>
          <w:rFonts w:eastAsia="Times New Roman"/>
          <w:color w:val="000000"/>
          <w:sz w:val="20"/>
          <w:szCs w:val="20"/>
        </w:rPr>
        <w:t>The Company is hereafter collectively referred to as “we,” “us” or “our.” COBNA and CONA are collectively referred to as the “Banks.” References to “this</w:t>
      </w:r>
      <w:r>
        <w:rPr>
          <w:rFonts w:eastAsia="Times New Roman"/>
          <w:color w:val="000000"/>
          <w:sz w:val="20"/>
          <w:szCs w:val="20"/>
        </w:rPr>
        <w:t xml:space="preserve"> Report” or our “2020 Form 10-K” or “2020 Annual Report” are to our Annual Report on Form 10-K for the fiscal year ended December 31, 2020. All references to 2020, 2019, 2018, 2017 and 2016, refer to our fiscal years ended, or the dates, as the context req</w:t>
      </w:r>
      <w:r>
        <w:rPr>
          <w:rFonts w:eastAsia="Times New Roman"/>
          <w:color w:val="000000"/>
          <w:sz w:val="20"/>
          <w:szCs w:val="20"/>
        </w:rPr>
        <w:t>uires, December 31, 2020, December 31, 2019, December 31, 2018, December 31, 2017 and December 31, 2016, respectively. Certain business terms used in this document are defined in the “MD&amp;A—Glossary and Acronyms” and should be read in conjunction with the C</w:t>
      </w:r>
      <w:r>
        <w:rPr>
          <w:rFonts w:eastAsia="Times New Roman"/>
          <w:color w:val="000000"/>
          <w:sz w:val="20"/>
          <w:szCs w:val="20"/>
        </w:rPr>
        <w:t>onsolidated Financial Statements included in this Report.</w:t>
      </w:r>
    </w:p>
    <w:p w:rsidR="00000000" w:rsidRDefault="00E0782F">
      <w:pPr>
        <w:jc w:val="both"/>
        <w:divId w:val="776758538"/>
        <w:rPr>
          <w:rFonts w:eastAsia="Times New Roman"/>
        </w:rPr>
      </w:pPr>
      <w:r>
        <w:rPr>
          <w:rFonts w:eastAsia="Times New Roman"/>
          <w:color w:val="000000"/>
          <w:sz w:val="20"/>
          <w:szCs w:val="20"/>
        </w:rPr>
        <w:t>As one of the nation’s largest banks based on deposits as of December 31, 2020, we service banking customer accounts through digital channels, as well as through branch locations, call centers, ATMs</w:t>
      </w:r>
      <w:r>
        <w:rPr>
          <w:rFonts w:eastAsia="Times New Roman"/>
          <w:color w:val="000000"/>
          <w:sz w:val="20"/>
          <w:szCs w:val="20"/>
        </w:rPr>
        <w:t xml:space="preserve"> and Cafés. We also operate as one of the largest online direct banks in the United States of America (“U.S.”) by deposits. In addition to bank lending, treasury management and depository services, we offer credit and debit card products, auto loans and ot</w:t>
      </w:r>
      <w:r>
        <w:rPr>
          <w:rFonts w:eastAsia="Times New Roman"/>
          <w:color w:val="000000"/>
          <w:sz w:val="20"/>
          <w:szCs w:val="20"/>
        </w:rPr>
        <w:t>her consumer lending products in markets across the U.S. We were the third largest issuer of Vis</w:t>
      </w:r>
      <w:r>
        <w:rPr>
          <w:rFonts w:eastAsia="Times New Roman"/>
          <w:color w:val="000000"/>
          <w:sz w:val="20"/>
          <w:szCs w:val="20"/>
        </w:rPr>
        <w:t>a</w:t>
      </w:r>
      <w:r>
        <w:rPr>
          <w:rFonts w:eastAsia="Times New Roman"/>
          <w:color w:val="000000"/>
          <w:sz w:val="13"/>
          <w:szCs w:val="13"/>
        </w:rPr>
        <w:t>®</w:t>
      </w:r>
      <w:r>
        <w:rPr>
          <w:rFonts w:eastAsia="Times New Roman"/>
          <w:color w:val="000000"/>
          <w:sz w:val="20"/>
          <w:szCs w:val="20"/>
        </w:rPr>
        <w:t xml:space="preserve"> (“Visa”) and MasterCar</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(“MasterCard”) credit cards in the U.S. based on the outstanding balance of credit card loans as of December 31, 2020.</w:t>
      </w:r>
    </w:p>
    <w:p w:rsidR="00000000" w:rsidRDefault="00E0782F">
      <w:pPr>
        <w:jc w:val="both"/>
        <w:divId w:val="1383140593"/>
        <w:rPr>
          <w:rFonts w:eastAsia="Times New Roman"/>
        </w:rPr>
      </w:pPr>
      <w:r>
        <w:rPr>
          <w:rFonts w:eastAsia="Times New Roman"/>
          <w:color w:val="000000"/>
          <w:sz w:val="20"/>
          <w:szCs w:val="20"/>
        </w:rPr>
        <w:t>We also offer products outside of the U.S. principally through Capital One (Europe) plc (“COEP”), an indirect subsidiary of COBNA organized and located in the United Kingdom (“U.K.”), and through a branch of COBNA in Canada. Both COEP and our Canadian bran</w:t>
      </w:r>
      <w:r>
        <w:rPr>
          <w:rFonts w:eastAsia="Times New Roman"/>
          <w:color w:val="000000"/>
          <w:sz w:val="20"/>
          <w:szCs w:val="20"/>
        </w:rPr>
        <w:t>ch of COBNA have the authority to provide credit card loans.</w:t>
      </w:r>
    </w:p>
    <w:p w:rsidR="00000000" w:rsidRDefault="00E0782F">
      <w:pPr>
        <w:divId w:val="238634987"/>
        <w:rPr>
          <w:rFonts w:eastAsia="Times New Roman"/>
        </w:rPr>
      </w:pPr>
      <w:r>
        <w:rPr>
          <w:rFonts w:eastAsia="Times New Roman"/>
          <w:b/>
          <w:bCs/>
          <w:color w:val="000000"/>
          <w:sz w:val="20"/>
          <w:szCs w:val="20"/>
        </w:rPr>
        <w:t>Business Developments</w:t>
      </w:r>
    </w:p>
    <w:p w:rsidR="00000000" w:rsidRDefault="00E0782F">
      <w:pPr>
        <w:jc w:val="both"/>
        <w:divId w:val="568343845"/>
        <w:rPr>
          <w:rFonts w:eastAsia="Times New Roman"/>
        </w:rPr>
      </w:pPr>
      <w:r>
        <w:rPr>
          <w:rFonts w:eastAsia="Times New Roman"/>
          <w:color w:val="000000"/>
          <w:sz w:val="20"/>
          <w:szCs w:val="20"/>
        </w:rPr>
        <w:t xml:space="preserve">We regularly explore and evaluate opportunities to acquire financial products and services as well as financial assets, including credit card and other loan portfolios, and </w:t>
      </w:r>
      <w:r>
        <w:rPr>
          <w:rFonts w:eastAsia="Times New Roman"/>
          <w:color w:val="000000"/>
          <w:sz w:val="20"/>
          <w:szCs w:val="20"/>
        </w:rPr>
        <w:t>enter into strategic partnerships as part of our growth strategy. We also explore opportunities to acquire technology companies and related assets to improve our information technology infrastructure and to deliver on our digital strategy. We may issue equ</w:t>
      </w:r>
      <w:r>
        <w:rPr>
          <w:rFonts w:eastAsia="Times New Roman"/>
          <w:color w:val="000000"/>
          <w:sz w:val="20"/>
          <w:szCs w:val="20"/>
        </w:rPr>
        <w:t xml:space="preserve">ity or debt to fund our acquisitions. In addition, we regularly consider the potential disposition of certain of our assets, branches, partnership agreements or lines of business. </w:t>
      </w:r>
    </w:p>
    <w:p w:rsidR="00000000" w:rsidRDefault="00E0782F">
      <w:pPr>
        <w:jc w:val="both"/>
        <w:divId w:val="1553076564"/>
        <w:rPr>
          <w:rFonts w:eastAsia="Times New Roman"/>
        </w:rPr>
      </w:pPr>
      <w:r>
        <w:rPr>
          <w:rFonts w:eastAsia="Times New Roman"/>
          <w:color w:val="000000"/>
          <w:sz w:val="20"/>
          <w:szCs w:val="20"/>
        </w:rPr>
        <w:t>In the fourth quarter of 2020, we entered into an agreement to sell a partn</w:t>
      </w:r>
      <w:r>
        <w:rPr>
          <w:rFonts w:eastAsia="Times New Roman"/>
          <w:color w:val="000000"/>
          <w:sz w:val="20"/>
          <w:szCs w:val="20"/>
        </w:rPr>
        <w:t xml:space="preserve">ership credit card loan portfolio of approximately $2.1 billion, which had been transferred to held for sale as of September 30, 2020, resulting in an allowance release of $327 million. </w:t>
      </w:r>
    </w:p>
    <w:p w:rsidR="00000000" w:rsidRDefault="00E0782F">
      <w:pPr>
        <w:jc w:val="both"/>
        <w:divId w:val="1667056292"/>
        <w:rPr>
          <w:rFonts w:eastAsia="Times New Roman"/>
        </w:rPr>
      </w:pPr>
      <w:r>
        <w:rPr>
          <w:rFonts w:eastAsia="Times New Roman"/>
          <w:color w:val="000000"/>
          <w:sz w:val="20"/>
          <w:szCs w:val="20"/>
        </w:rPr>
        <w:t>On September 24, 2019, we launched a new credit card issuance program</w:t>
      </w:r>
      <w:r>
        <w:rPr>
          <w:rFonts w:eastAsia="Times New Roman"/>
          <w:color w:val="000000"/>
          <w:sz w:val="20"/>
          <w:szCs w:val="20"/>
        </w:rPr>
        <w:t xml:space="preserve"> with Walmart Inc. (“Walmart”) and are now the exclusive issuer of Walmart’s cobrand and private label credit card program in the U.S.. On October 11, 2019, we completed the acquisition of the existing portfolio of Walmart’s cobrand and private label credi</w:t>
      </w:r>
      <w:r>
        <w:rPr>
          <w:rFonts w:eastAsia="Times New Roman"/>
          <w:color w:val="000000"/>
          <w:sz w:val="20"/>
          <w:szCs w:val="20"/>
        </w:rPr>
        <w:t xml:space="preserve">t card receivables, which added approximately $8.1 billion to our domestic credit card loans held for investment portfolio as of the acquisition date.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6732189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67321897"/>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6732189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29" style="width:0;height:1.5pt" o:hralign="center" o:hrstd="t" o:hr="t" fillcolor="#a0a0a0" stroked="f"/>
        </w:pict>
      </w:r>
    </w:p>
    <w:p w:rsidR="00000000" w:rsidRDefault="00E0782F">
      <w:pPr>
        <w:jc w:val="both"/>
        <w:divId w:val="173299420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1687175298"/>
        <w:rPr>
          <w:rFonts w:eastAsia="Times New Roman"/>
        </w:rPr>
      </w:pPr>
      <w:r>
        <w:rPr>
          <w:rFonts w:eastAsia="Times New Roman"/>
          <w:b/>
          <w:bCs/>
          <w:color w:val="000000"/>
          <w:sz w:val="20"/>
          <w:szCs w:val="20"/>
        </w:rPr>
        <w:t xml:space="preserve">Coronavirus Disease 2019 (COVID-19) Pandemic </w:t>
      </w:r>
    </w:p>
    <w:p w:rsidR="00000000" w:rsidRDefault="00E0782F">
      <w:pPr>
        <w:jc w:val="both"/>
        <w:divId w:val="1416852815"/>
        <w:rPr>
          <w:rFonts w:eastAsia="Times New Roman"/>
        </w:rPr>
      </w:pPr>
      <w:r>
        <w:rPr>
          <w:rFonts w:eastAsia="Times New Roman"/>
          <w:color w:val="000000"/>
          <w:sz w:val="20"/>
          <w:szCs w:val="20"/>
        </w:rPr>
        <w:t>The COVID-19 pandemic has resulted in a global public-health crisis, disrupting economies and intr</w:t>
      </w:r>
      <w:r>
        <w:rPr>
          <w:rFonts w:eastAsia="Times New Roman"/>
          <w:color w:val="000000"/>
          <w:sz w:val="20"/>
          <w:szCs w:val="20"/>
        </w:rPr>
        <w:t>oducing significant volatility into financial markets and uncertainty as to when economic and operating conditions will return to normalcy. This crisis continues to impact individuals, households and businesses in a multitude of ways. Companies in the U.S.</w:t>
      </w:r>
      <w:r>
        <w:rPr>
          <w:rFonts w:eastAsia="Times New Roman"/>
          <w:color w:val="000000"/>
          <w:sz w:val="20"/>
          <w:szCs w:val="20"/>
        </w:rPr>
        <w:t xml:space="preserve"> and abroad have experienced unprecedented disruptions to normal business operations, including customer-facing interactions, supply chains, office closures, changes in demand for products and services, and others. Financial institutions, including us, hav</w:t>
      </w:r>
      <w:r>
        <w:rPr>
          <w:rFonts w:eastAsia="Times New Roman"/>
          <w:color w:val="000000"/>
          <w:sz w:val="20"/>
          <w:szCs w:val="20"/>
        </w:rPr>
        <w:t>e been deemed an essential service and exempted from the myriad of shutdowns across the country. We transformed how we work in order to protect the well-being of our associates and our customers, serve our customers, support our communities, and position o</w:t>
      </w:r>
      <w:r>
        <w:rPr>
          <w:rFonts w:eastAsia="Times New Roman"/>
          <w:color w:val="000000"/>
          <w:sz w:val="20"/>
          <w:szCs w:val="20"/>
        </w:rPr>
        <w:t>urselves to navigate the challenges ahead.</w:t>
      </w:r>
    </w:p>
    <w:p w:rsidR="00000000" w:rsidRDefault="00E0782F">
      <w:pPr>
        <w:jc w:val="both"/>
        <w:divId w:val="300424491"/>
        <w:rPr>
          <w:rFonts w:eastAsia="Times New Roman"/>
        </w:rPr>
      </w:pPr>
      <w:r>
        <w:rPr>
          <w:rFonts w:eastAsia="Times New Roman"/>
          <w:color w:val="000000"/>
          <w:sz w:val="20"/>
          <w:szCs w:val="20"/>
        </w:rPr>
        <w:t>Since the start of the COVID-19 pandemic, a significant majority of our associates across our workforce have transitioned to working remotely, relying on our technology infrastructure and systems that have been de</w:t>
      </w:r>
      <w:r>
        <w:rPr>
          <w:rFonts w:eastAsia="Times New Roman"/>
          <w:color w:val="000000"/>
          <w:sz w:val="20"/>
          <w:szCs w:val="20"/>
        </w:rPr>
        <w:t xml:space="preserve">signed for resilience and security. The majority of our associates will continue to work remotely through at least the summer of 2021, as we continue to prioritize their safety while planning our return to the office. We have been able to continue serving </w:t>
      </w:r>
      <w:r>
        <w:rPr>
          <w:rFonts w:eastAsia="Times New Roman"/>
          <w:color w:val="000000"/>
          <w:sz w:val="20"/>
          <w:szCs w:val="20"/>
        </w:rPr>
        <w:t>customers by successfully managing critical functions and keeping our lines of business operating. We implemented additional paid benefits and flexible attendance policies that are intended to enable our associates to care for their families and loved ones</w:t>
      </w:r>
      <w:r>
        <w:rPr>
          <w:rFonts w:eastAsia="Times New Roman"/>
          <w:color w:val="000000"/>
          <w:sz w:val="20"/>
          <w:szCs w:val="20"/>
        </w:rPr>
        <w:t>, including increased pay for branch and Café associates working in open locations, associates that perform essential and time-sensitive banking activities that cannot be performed remotely, and other U.S.-based associates in roles instrumental to maintain</w:t>
      </w:r>
      <w:r>
        <w:rPr>
          <w:rFonts w:eastAsia="Times New Roman"/>
          <w:color w:val="000000"/>
          <w:sz w:val="20"/>
          <w:szCs w:val="20"/>
        </w:rPr>
        <w:t xml:space="preserve">ing essential customer support. We continue to monitor and revise our safety precautions and policies at banking locations as government authorities continue to implement and modify measures to contain the further spread of COVID-19. In our Retail Banking </w:t>
      </w:r>
      <w:r>
        <w:rPr>
          <w:rFonts w:eastAsia="Times New Roman"/>
          <w:color w:val="000000"/>
          <w:sz w:val="20"/>
          <w:szCs w:val="20"/>
        </w:rPr>
        <w:t>business, nearly all of our Cafés and branches across our network are open with increased safety precautions. We will continue to monitor local conditions to ensure the safety of our associates and customers while providing critical banking services.</w:t>
      </w:r>
    </w:p>
    <w:p w:rsidR="00000000" w:rsidRDefault="00E0782F">
      <w:pPr>
        <w:jc w:val="both"/>
        <w:divId w:val="165248023"/>
        <w:rPr>
          <w:rFonts w:eastAsia="Times New Roman"/>
        </w:rPr>
      </w:pPr>
      <w:r>
        <w:rPr>
          <w:rFonts w:eastAsia="Times New Roman"/>
          <w:color w:val="000000"/>
          <w:sz w:val="20"/>
          <w:szCs w:val="20"/>
        </w:rPr>
        <w:t>We ha</w:t>
      </w:r>
      <w:r>
        <w:rPr>
          <w:rFonts w:eastAsia="Times New Roman"/>
          <w:color w:val="000000"/>
          <w:sz w:val="20"/>
          <w:szCs w:val="20"/>
        </w:rPr>
        <w:t xml:space="preserve">ve offered a range of policies and programs to accommodate customer hardship across our lines of business. In our Credit Card and Auto businesses, our customers, who were in need and made a request, received forbearance primarily in the form of short-term </w:t>
      </w:r>
      <w:r>
        <w:rPr>
          <w:rFonts w:eastAsia="Times New Roman"/>
          <w:color w:val="000000"/>
          <w:sz w:val="20"/>
          <w:szCs w:val="20"/>
        </w:rPr>
        <w:t>payment deferrals or extensions and fee waivers. In our Retail Banking business, we waived select fees for impacted customers and offered short-term payment deferrals for our small business banking customers. We have also been working with our Commercial B</w:t>
      </w:r>
      <w:r>
        <w:rPr>
          <w:rFonts w:eastAsia="Times New Roman"/>
          <w:color w:val="000000"/>
          <w:sz w:val="20"/>
          <w:szCs w:val="20"/>
        </w:rPr>
        <w:t xml:space="preserve">anking customers on a more customized basis. In addition, we have participated in the Paycheck Protection Program (“PPP”), established by the Coronavirus Aid, Relief, and Economic Security Act (the “CARES Act”) enacted in March 2020 and implemented by the </w:t>
      </w:r>
      <w:r>
        <w:rPr>
          <w:rFonts w:eastAsia="Times New Roman"/>
          <w:color w:val="000000"/>
          <w:sz w:val="20"/>
          <w:szCs w:val="20"/>
        </w:rPr>
        <w:t>Small Business Administration. See “MD&amp;A—Credit Risk Profile” for more information about our customer assistance programs, including enrollment volumes and outstandings, customer performance and current program offerings.</w:t>
      </w:r>
    </w:p>
    <w:p w:rsidR="00000000" w:rsidRDefault="00E0782F">
      <w:pPr>
        <w:jc w:val="both"/>
        <w:divId w:val="607398263"/>
        <w:rPr>
          <w:rFonts w:eastAsia="Times New Roman"/>
        </w:rPr>
      </w:pPr>
      <w:r>
        <w:rPr>
          <w:rFonts w:eastAsia="Times New Roman"/>
          <w:color w:val="000000"/>
          <w:sz w:val="20"/>
          <w:szCs w:val="20"/>
        </w:rPr>
        <w:t>We reported net income of $2.7 bil</w:t>
      </w:r>
      <w:r>
        <w:rPr>
          <w:rFonts w:eastAsia="Times New Roman"/>
          <w:color w:val="000000"/>
          <w:sz w:val="20"/>
          <w:szCs w:val="20"/>
        </w:rPr>
        <w:t xml:space="preserve">lion ($5.18 per diluted common share) for 2020, which reflects $5.0 billion in allowance builds in the first and second quarters of 2020 due to expectations of economic worsening as a result of the COVID-19 pandemic. These allowance builds, in combination </w:t>
      </w:r>
      <w:r>
        <w:rPr>
          <w:rFonts w:eastAsia="Times New Roman"/>
          <w:color w:val="000000"/>
          <w:sz w:val="20"/>
          <w:szCs w:val="20"/>
        </w:rPr>
        <w:t xml:space="preserve">with the adoption impact of the Current Expected Credit Loss (“CECL”) standard, significantly increased our allowance coverage ratio to 6.19% as of December 31, 2020 from 2.71% as of December 31, 2019. For more information, see “MD&amp;A—Executive Summary and </w:t>
      </w:r>
      <w:r>
        <w:rPr>
          <w:rFonts w:eastAsia="Times New Roman"/>
          <w:color w:val="000000"/>
          <w:sz w:val="20"/>
          <w:szCs w:val="20"/>
        </w:rPr>
        <w:t>Business Outlook” and “MD&amp;A—Credit Risk Profile.” We have continued to evaluate the potential impact on our goodwill impairment analysis and have incorporated recent market events and trends into our valuations of instruments measured at fair value. See mo</w:t>
      </w:r>
      <w:r>
        <w:rPr>
          <w:rFonts w:eastAsia="Times New Roman"/>
          <w:color w:val="000000"/>
          <w:sz w:val="20"/>
          <w:szCs w:val="20"/>
        </w:rPr>
        <w:t xml:space="preserve">re details in “MD&amp;A—Critical Accounting Policies and Estimates,” “MD&amp;A—Market Risk Profile” and “Note 9—Derivative Instruments and Hedging Activities.” See “MD&amp;A—Liquidity Risk Profile” for information relating to our liquidity reserves as of December 31, </w:t>
      </w:r>
      <w:r>
        <w:rPr>
          <w:rFonts w:eastAsia="Times New Roman"/>
          <w:color w:val="000000"/>
          <w:sz w:val="20"/>
          <w:szCs w:val="20"/>
        </w:rPr>
        <w:t>2020.</w:t>
      </w:r>
    </w:p>
    <w:p w:rsidR="00000000" w:rsidRDefault="00E0782F">
      <w:pPr>
        <w:jc w:val="both"/>
        <w:divId w:val="1236890395"/>
        <w:rPr>
          <w:rFonts w:eastAsia="Times New Roman"/>
        </w:rPr>
      </w:pPr>
      <w:r>
        <w:rPr>
          <w:rFonts w:eastAsia="Times New Roman"/>
          <w:color w:val="000000"/>
          <w:sz w:val="20"/>
          <w:szCs w:val="20"/>
        </w:rPr>
        <w:t>The COVID-19 pandemic impacted the demand for our products and services throughout 2020. In our Domestic Card business, loan balances, and revenue are down year-over-year, while purchase volume was relatively flat due to higher first and fourth quart</w:t>
      </w:r>
      <w:r>
        <w:rPr>
          <w:rFonts w:eastAsia="Times New Roman"/>
          <w:color w:val="000000"/>
          <w:sz w:val="20"/>
          <w:szCs w:val="20"/>
        </w:rPr>
        <w:t xml:space="preserve">er activity substantially offsetting year-over-year volume declines in the second and third quarters. In our Auto business, we saw an increase in origination volumes and loan growth driven by our relationship strategy and digital capabilities that we have </w:t>
      </w:r>
      <w:r>
        <w:rPr>
          <w:rFonts w:eastAsia="Times New Roman"/>
          <w:color w:val="000000"/>
          <w:sz w:val="20"/>
          <w:szCs w:val="20"/>
        </w:rPr>
        <w:t>developed. In our Retail Banking business, we have seen strong deposit growth throughout the year from increased consumer savings aided by the impact of government stimulus. In our Commercial Banking business, loan balances were relatively flat year-over y</w:t>
      </w:r>
      <w:r>
        <w:rPr>
          <w:rFonts w:eastAsia="Times New Roman"/>
          <w:color w:val="000000"/>
          <w:sz w:val="20"/>
          <w:szCs w:val="20"/>
        </w:rPr>
        <w:t>ear, while deposit balances were up significantly, reflecting the impact of the economic environment and government stimulus on our customers.</w:t>
      </w:r>
    </w:p>
    <w:p w:rsidR="00000000" w:rsidRDefault="00E0782F">
      <w:pPr>
        <w:jc w:val="both"/>
        <w:divId w:val="2032956047"/>
        <w:rPr>
          <w:rFonts w:eastAsia="Times New Roman"/>
        </w:rPr>
      </w:pPr>
      <w:r>
        <w:rPr>
          <w:rFonts w:eastAsia="Times New Roman"/>
          <w:color w:val="000000"/>
          <w:sz w:val="20"/>
          <w:szCs w:val="20"/>
        </w:rPr>
        <w:t>We are actively monitoring and responding to developments across the myriad of landscapes affected by the COVID-1</w:t>
      </w:r>
      <w:r>
        <w:rPr>
          <w:rFonts w:eastAsia="Times New Roman"/>
          <w:color w:val="000000"/>
          <w:sz w:val="20"/>
          <w:szCs w:val="20"/>
        </w:rPr>
        <w:t>9 pandemic, including social, financial, legal, regulatory and governmental. As guidance is issued by governments and our regulators, we continue to assess the impacts on us. As government authorities continue to implement, modify and reinstate social dist</w:t>
      </w:r>
      <w:r>
        <w:rPr>
          <w:rFonts w:eastAsia="Times New Roman"/>
          <w:color w:val="000000"/>
          <w:sz w:val="20"/>
          <w:szCs w:val="20"/>
        </w:rPr>
        <w:t xml:space="preserve">ancing and reopening plans and other measures to contain the further spread of COVID-19, including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4944573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4944573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4944573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0" style="width:0;height:1.5pt" o:hralign="center" o:hrstd="t" o:hr="t" fillcolor="#a0a0a0" stroked="f"/>
        </w:pict>
      </w:r>
    </w:p>
    <w:p w:rsidR="00000000" w:rsidRDefault="00E0782F">
      <w:pPr>
        <w:jc w:val="both"/>
        <w:divId w:val="151272197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143549185"/>
        <w:rPr>
          <w:rFonts w:eastAsia="Times New Roman"/>
        </w:rPr>
      </w:pPr>
      <w:r>
        <w:rPr>
          <w:rFonts w:eastAsia="Times New Roman"/>
          <w:color w:val="000000"/>
          <w:sz w:val="20"/>
          <w:szCs w:val="20"/>
        </w:rPr>
        <w:t>administration of vaccines, we will continue to adjust our business operations, policies and practices, keeping the best interests of our associ</w:t>
      </w:r>
      <w:r>
        <w:rPr>
          <w:rFonts w:eastAsia="Times New Roman"/>
          <w:color w:val="000000"/>
          <w:sz w:val="20"/>
          <w:szCs w:val="20"/>
        </w:rPr>
        <w:t>ates, customers and business partners at the forefront.</w:t>
      </w:r>
    </w:p>
    <w:p w:rsidR="00000000" w:rsidRDefault="00E0782F">
      <w:pPr>
        <w:divId w:val="239020167"/>
        <w:rPr>
          <w:rFonts w:eastAsia="Times New Roman"/>
        </w:rPr>
      </w:pPr>
      <w:r>
        <w:rPr>
          <w:rFonts w:eastAsia="Times New Roman"/>
          <w:b/>
          <w:bCs/>
          <w:color w:val="000000"/>
          <w:sz w:val="20"/>
          <w:szCs w:val="20"/>
        </w:rPr>
        <w:t xml:space="preserve">Cybersecurity Incident </w:t>
      </w:r>
    </w:p>
    <w:p w:rsidR="00000000" w:rsidRDefault="00E0782F">
      <w:pPr>
        <w:jc w:val="both"/>
        <w:divId w:val="1283728975"/>
        <w:rPr>
          <w:rFonts w:eastAsia="Times New Roman"/>
        </w:rPr>
      </w:pPr>
      <w:r>
        <w:rPr>
          <w:rFonts w:eastAsia="Times New Roman"/>
          <w:color w:val="000000"/>
          <w:sz w:val="20"/>
          <w:szCs w:val="20"/>
        </w:rPr>
        <w:t>On July 29, 2019, we announced that on March 22 and 23, 2019 an outside individual gained unauthorized access to our systems. This individual obtained certain types of personal</w:t>
      </w:r>
      <w:r>
        <w:rPr>
          <w:rFonts w:eastAsia="Times New Roman"/>
          <w:color w:val="000000"/>
          <w:sz w:val="20"/>
          <w:szCs w:val="20"/>
        </w:rPr>
        <w:t xml:space="preserve"> information relating to people who had applied for our credit card products and to our credit card customers (the “Cybersecurity Incident”). We retained a leading independent cybersecurity firm that confirmed we correctly identified and fixed the specific</w:t>
      </w:r>
      <w:r>
        <w:rPr>
          <w:rFonts w:eastAsia="Times New Roman"/>
          <w:color w:val="000000"/>
          <w:sz w:val="20"/>
          <w:szCs w:val="20"/>
        </w:rPr>
        <w:t xml:space="preserve"> configuration vulnerability exploited in the Cybersecurity Incident. We continue to invest significantly in cybersecurity and related risk management activities and expect to make additional investments as we continue to assess our cybersecurity program.</w:t>
      </w:r>
    </w:p>
    <w:p w:rsidR="00000000" w:rsidRDefault="00E0782F">
      <w:pPr>
        <w:jc w:val="both"/>
        <w:divId w:val="634143294"/>
        <w:rPr>
          <w:rFonts w:eastAsia="Times New Roman"/>
        </w:rPr>
      </w:pPr>
      <w:r>
        <w:rPr>
          <w:rFonts w:eastAsia="Times New Roman"/>
          <w:color w:val="000000"/>
          <w:sz w:val="20"/>
          <w:szCs w:val="20"/>
        </w:rPr>
        <w:t>During the year ended December 31, 2020, we incurred $66 million of incremental expenses related to the remediation of and response to the Cybersecurity Incident, offset by $39 million of insurance recoveries. To date, we have incurred $138 million of incr</w:t>
      </w:r>
      <w:r>
        <w:rPr>
          <w:rFonts w:eastAsia="Times New Roman"/>
          <w:color w:val="000000"/>
          <w:sz w:val="20"/>
          <w:szCs w:val="20"/>
        </w:rPr>
        <w:t>emental expenses, offset by $73 million of insurance recoveries pursuant to the cyber risk insurance coverage we carry. These expenses mainly consist of customer notifications, credit monitoring, technology costs, and professional and legal support. We exp</w:t>
      </w:r>
      <w:r>
        <w:rPr>
          <w:rFonts w:eastAsia="Times New Roman"/>
          <w:color w:val="000000"/>
          <w:sz w:val="20"/>
          <w:szCs w:val="20"/>
        </w:rPr>
        <w:t>ect any further expenses, net of insurance, to be immaterial in future periods. We carry insurance to cover certain costs associated with a cyber risk event. This insurance has a total coverage limit of $400 million and is subject to a $10 million deductib</w:t>
      </w:r>
      <w:r>
        <w:rPr>
          <w:rFonts w:eastAsia="Times New Roman"/>
          <w:color w:val="000000"/>
          <w:sz w:val="20"/>
          <w:szCs w:val="20"/>
        </w:rPr>
        <w:t>le, which was met in the third quarter of 2019, as well as standard exclusions. The expenses discussed in this paragraph do not include any amounts related to the matters described in “Note 18—Commitments, Contingencies, Guarantees and Others.”</w:t>
      </w:r>
    </w:p>
    <w:p w:rsidR="00000000" w:rsidRDefault="00E0782F">
      <w:pPr>
        <w:jc w:val="both"/>
        <w:divId w:val="1444107352"/>
        <w:rPr>
          <w:rFonts w:eastAsia="Times New Roman"/>
        </w:rPr>
      </w:pPr>
      <w:r>
        <w:rPr>
          <w:rFonts w:eastAsia="Times New Roman"/>
          <w:color w:val="000000"/>
          <w:sz w:val="20"/>
          <w:szCs w:val="20"/>
        </w:rPr>
        <w:t>Although th</w:t>
      </w:r>
      <w:r>
        <w:rPr>
          <w:rFonts w:eastAsia="Times New Roman"/>
          <w:color w:val="000000"/>
          <w:sz w:val="20"/>
          <w:szCs w:val="20"/>
        </w:rPr>
        <w:t xml:space="preserve">e ultimate magnitude and timing of expenses or other impacts to our business or reputation related to the Cybersecurity Incident are uncertain, they may be significant, and some of the costs may not be covered by insurance. However, we do not believe that </w:t>
      </w:r>
      <w:r>
        <w:rPr>
          <w:rFonts w:eastAsia="Times New Roman"/>
          <w:color w:val="000000"/>
          <w:sz w:val="20"/>
          <w:szCs w:val="20"/>
        </w:rPr>
        <w:t>this incident will materially impact our strategy or our long-term financial health. For more information, see “Note 18—Commitments, Contingencies, Guarantees and Others.”</w:t>
      </w:r>
    </w:p>
    <w:p w:rsidR="00000000" w:rsidRDefault="00E0782F">
      <w:pPr>
        <w:divId w:val="1123769618"/>
        <w:rPr>
          <w:rFonts w:eastAsia="Times New Roman"/>
        </w:rPr>
      </w:pPr>
      <w:r>
        <w:rPr>
          <w:rFonts w:eastAsia="Times New Roman"/>
          <w:b/>
          <w:bCs/>
          <w:color w:val="000000"/>
          <w:sz w:val="20"/>
          <w:szCs w:val="20"/>
        </w:rPr>
        <w:t>Additional Information</w:t>
      </w:r>
    </w:p>
    <w:p w:rsidR="00000000" w:rsidRDefault="00E0782F">
      <w:pPr>
        <w:jc w:val="both"/>
        <w:divId w:val="348875171"/>
        <w:rPr>
          <w:rFonts w:eastAsia="Times New Roman"/>
        </w:rPr>
      </w:pPr>
      <w:r>
        <w:rPr>
          <w:rFonts w:eastAsia="Times New Roman"/>
          <w:color w:val="000000"/>
          <w:sz w:val="20"/>
          <w:szCs w:val="20"/>
        </w:rPr>
        <w:t>Our common stock trades on the New York Stock Exchange (“NYSE”) under the symbol “COF” and is included in the Standard &amp; Poor’s (“S&amp;P”) 100 Index. We maintain a website at www.capitalone.com. Documents available under Corporate Governance in the Investor R</w:t>
      </w:r>
      <w:r>
        <w:rPr>
          <w:rFonts w:eastAsia="Times New Roman"/>
          <w:color w:val="000000"/>
          <w:sz w:val="20"/>
          <w:szCs w:val="20"/>
        </w:rPr>
        <w:t>elations section of our website include:</w:t>
      </w:r>
    </w:p>
    <w:p w:rsidR="00000000" w:rsidRDefault="00E0782F">
      <w:pPr>
        <w:ind w:hanging="360"/>
        <w:jc w:val="both"/>
        <w:divId w:val="1199046996"/>
        <w:rPr>
          <w:rFonts w:eastAsia="Times New Roman"/>
        </w:rPr>
      </w:pPr>
      <w:r>
        <w:rPr>
          <w:rFonts w:eastAsia="Times New Roman"/>
          <w:color w:val="000000"/>
          <w:sz w:val="20"/>
          <w:szCs w:val="20"/>
        </w:rPr>
        <w:t>•our Code of Conduct;</w:t>
      </w:r>
    </w:p>
    <w:p w:rsidR="00000000" w:rsidRDefault="00E0782F">
      <w:pPr>
        <w:ind w:hanging="360"/>
        <w:jc w:val="both"/>
        <w:divId w:val="2044792715"/>
        <w:rPr>
          <w:rFonts w:eastAsia="Times New Roman"/>
        </w:rPr>
      </w:pPr>
      <w:r>
        <w:rPr>
          <w:rFonts w:eastAsia="Times New Roman"/>
          <w:color w:val="000000"/>
          <w:sz w:val="20"/>
          <w:szCs w:val="20"/>
        </w:rPr>
        <w:t>•our Corporate Governance Guidelines; and</w:t>
      </w:r>
    </w:p>
    <w:p w:rsidR="00000000" w:rsidRDefault="00E0782F">
      <w:pPr>
        <w:ind w:hanging="360"/>
        <w:jc w:val="both"/>
        <w:divId w:val="1174414894"/>
        <w:rPr>
          <w:rFonts w:eastAsia="Times New Roman"/>
        </w:rPr>
      </w:pPr>
      <w:r>
        <w:rPr>
          <w:rFonts w:eastAsia="Times New Roman"/>
          <w:color w:val="000000"/>
          <w:sz w:val="20"/>
          <w:szCs w:val="20"/>
        </w:rPr>
        <w:t>•charters for the Audit, Compensation, Governance and Nominating, and Risk Committees of the Board of Directors.</w:t>
      </w:r>
    </w:p>
    <w:p w:rsidR="00000000" w:rsidRDefault="00E0782F">
      <w:pPr>
        <w:jc w:val="both"/>
        <w:divId w:val="903105028"/>
        <w:rPr>
          <w:rFonts w:eastAsia="Times New Roman"/>
        </w:rPr>
      </w:pPr>
      <w:r>
        <w:rPr>
          <w:rFonts w:eastAsia="Times New Roman"/>
          <w:color w:val="000000"/>
          <w:sz w:val="20"/>
          <w:szCs w:val="20"/>
        </w:rPr>
        <w:t xml:space="preserve">These documents also are available in </w:t>
      </w:r>
      <w:r>
        <w:rPr>
          <w:rFonts w:eastAsia="Times New Roman"/>
          <w:color w:val="000000"/>
          <w:sz w:val="20"/>
          <w:szCs w:val="20"/>
        </w:rPr>
        <w:t>print to any stockholder who requests a copy. We intend to disclose future amendments to certain provisions of our Code of Conduct, and waivers of our Code of Conduct granted to executive officers and directors, on the website within four business days fol</w:t>
      </w:r>
      <w:r>
        <w:rPr>
          <w:rFonts w:eastAsia="Times New Roman"/>
          <w:color w:val="000000"/>
          <w:sz w:val="20"/>
          <w:szCs w:val="20"/>
        </w:rPr>
        <w:t>lowing the date of the amendment or waiver.</w:t>
      </w:r>
    </w:p>
    <w:p w:rsidR="00000000" w:rsidRDefault="00E0782F">
      <w:pPr>
        <w:jc w:val="both"/>
        <w:divId w:val="502280224"/>
        <w:rPr>
          <w:rFonts w:eastAsia="Times New Roman"/>
        </w:rPr>
      </w:pPr>
      <w:r>
        <w:rPr>
          <w:rFonts w:eastAsia="Times New Roman"/>
          <w:color w:val="000000"/>
          <w:sz w:val="20"/>
          <w:szCs w:val="20"/>
        </w:rPr>
        <w:t>In addition, we make available free of charge through our website all of our U.S. Securities and Exchange Commission (“SEC”) filings, including our Annual Reports on Form 10-K, Quarterly Reports on Form 10-Q, Cur</w:t>
      </w:r>
      <w:r>
        <w:rPr>
          <w:rFonts w:eastAsia="Times New Roman"/>
          <w:color w:val="000000"/>
          <w:sz w:val="20"/>
          <w:szCs w:val="20"/>
        </w:rPr>
        <w:t>rent Reports on Form 8-K and amendments to those reports, as soon as reasonably practicable after electronically filing or furnishing such material to the SEC at www.sec.gov.</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9408534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39408534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39408534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1" style="width:0;height:1.5pt" o:hralign="center" o:hrstd="t" o:hr="t" fillcolor="#a0a0a0" stroked="f"/>
        </w:pict>
      </w:r>
    </w:p>
    <w:p w:rsidR="00000000" w:rsidRDefault="00E0782F">
      <w:pPr>
        <w:jc w:val="both"/>
        <w:divId w:val="1360550164"/>
        <w:rPr>
          <w:rFonts w:eastAsia="Times New Roman"/>
        </w:rPr>
      </w:pPr>
      <w:hyperlink w:anchor="i3af66512804646fcaf1b19a0aea6f320_7"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937830790"/>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3783079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OPERATIONS AND BUSINESS SEGMENTS</w:t>
            </w:r>
          </w:p>
        </w:tc>
      </w:tr>
    </w:tbl>
    <w:p w:rsidR="00000000" w:rsidRDefault="00E0782F">
      <w:pPr>
        <w:jc w:val="both"/>
        <w:divId w:val="2115785760"/>
        <w:rPr>
          <w:rFonts w:eastAsia="Times New Roman"/>
        </w:rPr>
      </w:pPr>
      <w:r>
        <w:rPr>
          <w:rFonts w:eastAsia="Times New Roman"/>
          <w:color w:val="000000"/>
          <w:sz w:val="20"/>
          <w:szCs w:val="20"/>
        </w:rPr>
        <w:t>Our consolidated total net revenues are derived primarily from lending to consumer and commercial customers net of funding costs associated with our deposits, long-term debt and other borrowings. We also earn non-interest income which primarily consists of</w:t>
      </w:r>
      <w:r>
        <w:rPr>
          <w:rFonts w:eastAsia="Times New Roman"/>
          <w:color w:val="000000"/>
          <w:sz w:val="20"/>
          <w:szCs w:val="20"/>
        </w:rPr>
        <w:t xml:space="preserve"> interchange income, net of reward expenses, service charges and other customer-related fees. Our expenses primarily consist of the provision for credit losses, operating expenses, marketing expenses and income taxes.</w:t>
      </w:r>
    </w:p>
    <w:p w:rsidR="00000000" w:rsidRDefault="00E0782F">
      <w:pPr>
        <w:jc w:val="both"/>
        <w:divId w:val="1987079855"/>
        <w:rPr>
          <w:rFonts w:eastAsia="Times New Roman"/>
        </w:rPr>
      </w:pPr>
      <w:r>
        <w:rPr>
          <w:rFonts w:eastAsia="Times New Roman"/>
          <w:color w:val="000000"/>
          <w:sz w:val="20"/>
          <w:szCs w:val="20"/>
        </w:rPr>
        <w:t>Our principal operations are organized</w:t>
      </w:r>
      <w:r>
        <w:rPr>
          <w:rFonts w:eastAsia="Times New Roman"/>
          <w:color w:val="000000"/>
          <w:sz w:val="20"/>
          <w:szCs w:val="20"/>
        </w:rPr>
        <w:t xml:space="preserve"> for management reporting purposes into three major business segments, which are defined primarily based on the products and services provided or the types of customers served: Credit Card, Consumer Banking and Commercial Banking. The operations of acquire</w:t>
      </w:r>
      <w:r>
        <w:rPr>
          <w:rFonts w:eastAsia="Times New Roman"/>
          <w:color w:val="000000"/>
          <w:sz w:val="20"/>
          <w:szCs w:val="20"/>
        </w:rPr>
        <w:t>d businesses have been integrated into or managed as a part of our existing business segments. Certain activities that are not part of a segment, such as management of our corporate investment portfolio, asset/liability management by our centralized Corpor</w:t>
      </w:r>
      <w:r>
        <w:rPr>
          <w:rFonts w:eastAsia="Times New Roman"/>
          <w:color w:val="000000"/>
          <w:sz w:val="20"/>
          <w:szCs w:val="20"/>
        </w:rPr>
        <w:t>ate Treasury group and residual tax expense or benefit to arrive at the consolidated effective tax rate that is not assessed to our primary business segments, are included in the Other category.</w:t>
      </w:r>
    </w:p>
    <w:p w:rsidR="00000000" w:rsidRDefault="00E0782F">
      <w:pPr>
        <w:ind w:hanging="360"/>
        <w:jc w:val="both"/>
        <w:divId w:val="1650204618"/>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w:t>
      </w:r>
      <w:r>
        <w:rPr>
          <w:rFonts w:eastAsia="Times New Roman"/>
          <w:color w:val="000000"/>
          <w:sz w:val="20"/>
          <w:szCs w:val="20"/>
        </w:rPr>
        <w:t xml:space="preserve">iness card lending, and international card businesses in Canada and the United Kingdom. </w:t>
      </w:r>
    </w:p>
    <w:p w:rsidR="00000000" w:rsidRDefault="00E0782F">
      <w:pPr>
        <w:ind w:hanging="360"/>
        <w:jc w:val="both"/>
        <w:divId w:val="251280329"/>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Consists of our deposit gathering and lending activities for consumers and small businesses, and national auto lending. </w:t>
      </w:r>
    </w:p>
    <w:p w:rsidR="00000000" w:rsidRDefault="00E0782F">
      <w:pPr>
        <w:ind w:hanging="360"/>
        <w:jc w:val="both"/>
        <w:divId w:val="933167160"/>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w:t>
      </w:r>
      <w:r>
        <w:rPr>
          <w:rFonts w:eastAsia="Times New Roman"/>
          <w:color w:val="000000"/>
          <w:sz w:val="20"/>
          <w:szCs w:val="20"/>
        </w:rPr>
        <w:t>ts of our lending, deposit gathering, capital markets and treasury management services to commercial real estate and commercial and industrial customers. Our customers typically include companies with annual revenues between $20 million and $2 billion.</w:t>
      </w:r>
    </w:p>
    <w:p w:rsidR="00000000" w:rsidRDefault="00E0782F">
      <w:pPr>
        <w:jc w:val="both"/>
        <w:divId w:val="1910265385"/>
        <w:rPr>
          <w:rFonts w:eastAsia="Times New Roman"/>
        </w:rPr>
      </w:pPr>
      <w:r>
        <w:rPr>
          <w:rFonts w:eastAsia="Times New Roman"/>
          <w:color w:val="000000"/>
          <w:sz w:val="20"/>
          <w:szCs w:val="20"/>
        </w:rPr>
        <w:t>Cus</w:t>
      </w:r>
      <w:r>
        <w:rPr>
          <w:rFonts w:eastAsia="Times New Roman"/>
          <w:color w:val="000000"/>
          <w:sz w:val="20"/>
          <w:szCs w:val="20"/>
        </w:rPr>
        <w:t>tomer usage and payment patterns, credit quality, levels of marketing expense and operating efficiency all affect our profitability. In our Credit Card business, we experience fluctuations in purchase volume and the level of outstanding loan receivables du</w:t>
      </w:r>
      <w:r>
        <w:rPr>
          <w:rFonts w:eastAsia="Times New Roman"/>
          <w:color w:val="000000"/>
          <w:sz w:val="20"/>
          <w:szCs w:val="20"/>
        </w:rPr>
        <w:t>e to seasonal variances in consumer spending and payment patterns which, for example, have historically been the highest around the winter holiday season. Net charge-off rates for our credit card loan portfolio also have historically exhibited seasonal pat</w:t>
      </w:r>
      <w:r>
        <w:rPr>
          <w:rFonts w:eastAsia="Times New Roman"/>
          <w:color w:val="000000"/>
          <w:sz w:val="20"/>
          <w:szCs w:val="20"/>
        </w:rPr>
        <w:t xml:space="preserve">terns as well and generally tend to be the highest in the first quarter of the year. </w:t>
      </w:r>
    </w:p>
    <w:p w:rsidR="00000000" w:rsidRDefault="00E0782F">
      <w:pPr>
        <w:jc w:val="both"/>
        <w:divId w:val="2031712894"/>
        <w:rPr>
          <w:rFonts w:eastAsia="Times New Roman"/>
        </w:rPr>
      </w:pPr>
      <w:r>
        <w:rPr>
          <w:rFonts w:eastAsia="Times New Roman"/>
          <w:color w:val="000000"/>
          <w:sz w:val="20"/>
          <w:szCs w:val="20"/>
        </w:rPr>
        <w:t>For additional information on our business segments, including the financial performance of each business, see “Part II—Item 7. Management’s Discussion and Analysis of Fi</w:t>
      </w:r>
      <w:r>
        <w:rPr>
          <w:rFonts w:eastAsia="Times New Roman"/>
          <w:color w:val="000000"/>
          <w:sz w:val="20"/>
          <w:szCs w:val="20"/>
        </w:rPr>
        <w:t>nancial Condition and Results of Operations (“MD&amp;A”)—Executive Summary and Business Outlook,” “MD&amp;A—Business Segment Financial Performance” and “Note 17—Business Segments and Revenue from Contracts with Customers” of this Report.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1934786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1934786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1934786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2" style="width:0;height:1.5pt" o:hralign="center" o:hrstd="t" o:hr="t" fillcolor="#a0a0a0" stroked="f"/>
        </w:pict>
      </w:r>
    </w:p>
    <w:p w:rsidR="00000000" w:rsidRDefault="00E0782F">
      <w:pPr>
        <w:jc w:val="both"/>
        <w:divId w:val="732196686"/>
        <w:rPr>
          <w:rFonts w:eastAsia="Times New Roman"/>
        </w:rPr>
      </w:pPr>
      <w:hyperlink w:anchor="i3af66512804646fcaf1b19a0aea6f320_7"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01397360"/>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0139736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COMPETITION</w:t>
            </w:r>
          </w:p>
        </w:tc>
      </w:tr>
    </w:tbl>
    <w:p w:rsidR="00000000" w:rsidRDefault="00E0782F">
      <w:pPr>
        <w:jc w:val="both"/>
        <w:divId w:val="307365754"/>
        <w:rPr>
          <w:rFonts w:eastAsia="Times New Roman"/>
        </w:rPr>
      </w:pPr>
      <w:r>
        <w:rPr>
          <w:rFonts w:eastAsia="Times New Roman"/>
          <w:color w:val="000000"/>
          <w:sz w:val="20"/>
          <w:szCs w:val="20"/>
        </w:rPr>
        <w:t>Each of our business segments operates in a highly competitive environment, and we face competition in all aspects of our business from numerous bank and non-bank providers of financial services.</w:t>
      </w:r>
    </w:p>
    <w:p w:rsidR="00000000" w:rsidRDefault="00E0782F">
      <w:pPr>
        <w:jc w:val="both"/>
        <w:divId w:val="1286353740"/>
        <w:rPr>
          <w:rFonts w:eastAsia="Times New Roman"/>
        </w:rPr>
      </w:pPr>
      <w:r>
        <w:rPr>
          <w:rFonts w:eastAsia="Times New Roman"/>
          <w:color w:val="000000"/>
          <w:sz w:val="20"/>
          <w:szCs w:val="20"/>
        </w:rPr>
        <w:t>Our Credit Card business competes with international, nation</w:t>
      </w:r>
      <w:r>
        <w:rPr>
          <w:rFonts w:eastAsia="Times New Roman"/>
          <w:color w:val="000000"/>
          <w:sz w:val="20"/>
          <w:szCs w:val="20"/>
        </w:rPr>
        <w:t>al, regional and local issuers of Visa and MasterCard credit cards, as well as with American Expres</w:t>
      </w:r>
      <w:r>
        <w:rPr>
          <w:rFonts w:eastAsia="Times New Roman"/>
          <w:color w:val="000000"/>
          <w:sz w:val="20"/>
          <w:szCs w:val="20"/>
        </w:rPr>
        <w:t>s</w:t>
      </w:r>
      <w:r>
        <w:rPr>
          <w:rFonts w:eastAsia="Times New Roman"/>
          <w:color w:val="000000"/>
          <w:sz w:val="13"/>
          <w:szCs w:val="13"/>
        </w:rPr>
        <w:t>®</w:t>
      </w:r>
      <w:r>
        <w:rPr>
          <w:rFonts w:eastAsia="Times New Roman"/>
          <w:color w:val="000000"/>
          <w:sz w:val="20"/>
          <w:szCs w:val="20"/>
        </w:rPr>
        <w:t>, Discover Car</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private-label card brands, and, to a certain extent, issuers of debit cards. In general, customers are attracted to credit card issuers l</w:t>
      </w:r>
      <w:r>
        <w:rPr>
          <w:rFonts w:eastAsia="Times New Roman"/>
          <w:color w:val="000000"/>
          <w:sz w:val="20"/>
          <w:szCs w:val="20"/>
        </w:rPr>
        <w:t>argely on the basis of price, credit limit, reward programs and other product features.</w:t>
      </w:r>
    </w:p>
    <w:p w:rsidR="00000000" w:rsidRDefault="00E0782F">
      <w:pPr>
        <w:jc w:val="both"/>
        <w:divId w:val="1988627490"/>
        <w:rPr>
          <w:rFonts w:eastAsia="Times New Roman"/>
        </w:rPr>
      </w:pPr>
      <w:r>
        <w:rPr>
          <w:rFonts w:eastAsia="Times New Roman"/>
          <w:color w:val="000000"/>
          <w:sz w:val="20"/>
          <w:szCs w:val="20"/>
        </w:rPr>
        <w:t>Our Consumer Banking and Commercial Banking businesses compete with national, state and direct banks for deposits, commercial and auto loans, as well as with savings an</w:t>
      </w:r>
      <w:r>
        <w:rPr>
          <w:rFonts w:eastAsia="Times New Roman"/>
          <w:color w:val="000000"/>
          <w:sz w:val="20"/>
          <w:szCs w:val="20"/>
        </w:rPr>
        <w:t>d loan associations and credit unions for loans and deposits. Our competitors also include automotive finance companies, commercial mortgage banking companies and other financial services providers that provide loans, deposits, and other similar services a</w:t>
      </w:r>
      <w:r>
        <w:rPr>
          <w:rFonts w:eastAsia="Times New Roman"/>
          <w:color w:val="000000"/>
          <w:sz w:val="20"/>
          <w:szCs w:val="20"/>
        </w:rPr>
        <w:t xml:space="preserve">nd products. In addition, we compete against non-depository institutions that are able to offer these products and services. </w:t>
      </w:r>
    </w:p>
    <w:p w:rsidR="00000000" w:rsidRDefault="00E0782F">
      <w:pPr>
        <w:jc w:val="both"/>
        <w:divId w:val="1863857451"/>
        <w:rPr>
          <w:rFonts w:eastAsia="Times New Roman"/>
        </w:rPr>
      </w:pPr>
      <w:r>
        <w:rPr>
          <w:rFonts w:eastAsia="Times New Roman"/>
          <w:color w:val="000000"/>
          <w:sz w:val="20"/>
          <w:szCs w:val="20"/>
        </w:rPr>
        <w:t>We also consider new and emerging companies in the digital and mobile payments space and other financial technology providers amon</w:t>
      </w:r>
      <w:r>
        <w:rPr>
          <w:rFonts w:eastAsia="Times New Roman"/>
          <w:color w:val="000000"/>
          <w:sz w:val="20"/>
          <w:szCs w:val="20"/>
        </w:rPr>
        <w:t>g our competitors. We compete with many forms of payment mechanisms, systems and products, offered by both bank and non-bank providers.</w:t>
      </w:r>
    </w:p>
    <w:p w:rsidR="00000000" w:rsidRDefault="00E0782F">
      <w:pPr>
        <w:jc w:val="both"/>
        <w:divId w:val="1131050061"/>
        <w:rPr>
          <w:rFonts w:eastAsia="Times New Roman"/>
        </w:rPr>
      </w:pPr>
      <w:r>
        <w:rPr>
          <w:rFonts w:eastAsia="Times New Roman"/>
          <w:color w:val="000000"/>
          <w:sz w:val="20"/>
          <w:szCs w:val="20"/>
        </w:rPr>
        <w:t>Our businesses generally compete on the basis of the quality and range of their products and services, transaction execu</w:t>
      </w:r>
      <w:r>
        <w:rPr>
          <w:rFonts w:eastAsia="Times New Roman"/>
          <w:color w:val="000000"/>
          <w:sz w:val="20"/>
          <w:szCs w:val="20"/>
        </w:rPr>
        <w:t>tion, innovation and price. Competition varies based on the types of clients, customers, industries and geographies served. Our ability to compete depends, in part, on our ability to attract and retain our associates and on our reputation as well as our ab</w:t>
      </w:r>
      <w:r>
        <w:rPr>
          <w:rFonts w:eastAsia="Times New Roman"/>
          <w:color w:val="000000"/>
          <w:sz w:val="20"/>
          <w:szCs w:val="20"/>
        </w:rPr>
        <w:t>ility to keep pace with innovation, in particular in the development of new technology platforms. There can be no assurance, however, that our ability to market products and services successfully or to obtain adequate returns on our products and services w</w:t>
      </w:r>
      <w:r>
        <w:rPr>
          <w:rFonts w:eastAsia="Times New Roman"/>
          <w:color w:val="000000"/>
          <w:sz w:val="20"/>
          <w:szCs w:val="20"/>
        </w:rPr>
        <w:t>ill not be impacted by the nature of the competition that now exists or may later develop, or by the broader economic environment. For a discussion of the risks related to our competitive environment, see “Part I—Item 1A. Risk Factors.”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9571546"/>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957154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SUPERVISION AND REGULATION</w:t>
            </w:r>
          </w:p>
        </w:tc>
      </w:tr>
    </w:tbl>
    <w:p w:rsidR="00000000" w:rsidRDefault="00E0782F">
      <w:pPr>
        <w:jc w:val="both"/>
        <w:divId w:val="2122724684"/>
        <w:rPr>
          <w:rFonts w:eastAsia="Times New Roman"/>
        </w:rPr>
      </w:pPr>
      <w:r>
        <w:rPr>
          <w:rFonts w:eastAsia="Times New Roman"/>
          <w:color w:val="000000"/>
          <w:sz w:val="20"/>
          <w:szCs w:val="20"/>
        </w:rPr>
        <w:t>The regulatory framework applicable to banking organizations is intended primarily for the protection of depositors and the stability of the U.S. financial system, rather than for the protection of shareholders and creditors.</w:t>
      </w:r>
      <w:r>
        <w:rPr>
          <w:rFonts w:eastAsia="Times New Roman"/>
          <w:color w:val="000000"/>
          <w:sz w:val="20"/>
          <w:szCs w:val="20"/>
        </w:rPr>
        <w:t xml:space="preserve"> </w:t>
      </w:r>
    </w:p>
    <w:p w:rsidR="00000000" w:rsidRDefault="00E0782F">
      <w:pPr>
        <w:jc w:val="both"/>
        <w:divId w:val="735199506"/>
        <w:rPr>
          <w:rFonts w:eastAsia="Times New Roman"/>
        </w:rPr>
      </w:pPr>
      <w:r>
        <w:rPr>
          <w:rFonts w:eastAsia="Times New Roman"/>
          <w:color w:val="000000"/>
          <w:sz w:val="20"/>
          <w:szCs w:val="20"/>
        </w:rPr>
        <w:t>As a banking organization, we are subject to extensive regulation and supervision. In addition to banking laws and regulations, we are subject to various other laws and regulations, all of which directly or indirectly affect our operations and management</w:t>
      </w:r>
      <w:r>
        <w:rPr>
          <w:rFonts w:eastAsia="Times New Roman"/>
          <w:color w:val="000000"/>
          <w:sz w:val="20"/>
          <w:szCs w:val="20"/>
        </w:rPr>
        <w:t xml:space="preserve"> and our ability to make distributions to shareholders. We and our subsidiaries are also subject to supervision and examination by multiple regulators. In addition to laws and regulations, state and federal bank regulatory agencies may issue policy stateme</w:t>
      </w:r>
      <w:r>
        <w:rPr>
          <w:rFonts w:eastAsia="Times New Roman"/>
          <w:color w:val="000000"/>
          <w:sz w:val="20"/>
          <w:szCs w:val="20"/>
        </w:rPr>
        <w:t>nts, interpretive letters and similar written guidance applicable to us and our subsidiaries. Any change in the statutes, regulations or regulatory policies applicable to us, including changes in their interpretation or implementation, could have a materia</w:t>
      </w:r>
      <w:r>
        <w:rPr>
          <w:rFonts w:eastAsia="Times New Roman"/>
          <w:color w:val="000000"/>
          <w:sz w:val="20"/>
          <w:szCs w:val="20"/>
        </w:rPr>
        <w:t xml:space="preserve">l effect on our business or organization. </w:t>
      </w:r>
    </w:p>
    <w:p w:rsidR="00000000" w:rsidRDefault="00E0782F">
      <w:pPr>
        <w:jc w:val="both"/>
        <w:divId w:val="1646858040"/>
        <w:rPr>
          <w:rFonts w:eastAsia="Times New Roman"/>
        </w:rPr>
      </w:pPr>
      <w:r>
        <w:rPr>
          <w:rFonts w:eastAsia="Times New Roman"/>
          <w:color w:val="000000"/>
          <w:sz w:val="20"/>
          <w:szCs w:val="20"/>
        </w:rPr>
        <w:t xml:space="preserve">Both the scope of the laws and regulations and the intensity of the supervision to which we are subject have increased in recent years, initially in response to the financial crisis, and more recently in light of </w:t>
      </w:r>
      <w:r>
        <w:rPr>
          <w:rFonts w:eastAsia="Times New Roman"/>
          <w:color w:val="000000"/>
          <w:sz w:val="20"/>
          <w:szCs w:val="20"/>
        </w:rPr>
        <w:t xml:space="preserve">other factors such as technological, political and market changes. Regulatory enforcement and fines have also increased across the banking and financial services sector. </w:t>
      </w:r>
    </w:p>
    <w:p w:rsidR="00000000" w:rsidRDefault="00E0782F">
      <w:pPr>
        <w:jc w:val="both"/>
        <w:divId w:val="1381200932"/>
        <w:rPr>
          <w:rFonts w:eastAsia="Times New Roman"/>
        </w:rPr>
      </w:pPr>
      <w:r>
        <w:rPr>
          <w:rFonts w:eastAsia="Times New Roman"/>
          <w:color w:val="000000"/>
          <w:sz w:val="20"/>
          <w:szCs w:val="20"/>
        </w:rPr>
        <w:t xml:space="preserve">The descriptions below summarize certain significant state and federal laws to which </w:t>
      </w:r>
      <w:r>
        <w:rPr>
          <w:rFonts w:eastAsia="Times New Roman"/>
          <w:color w:val="000000"/>
          <w:sz w:val="20"/>
          <w:szCs w:val="20"/>
        </w:rPr>
        <w:t xml:space="preserve">we are subject. The descriptions are qualified in their entirety by reference to the particular statutory or regulatory provisions summarized. They do not summarize all possible or proposed changes in current laws or regulations and are not intended to be </w:t>
      </w:r>
      <w:r>
        <w:rPr>
          <w:rFonts w:eastAsia="Times New Roman"/>
          <w:color w:val="000000"/>
          <w:sz w:val="20"/>
          <w:szCs w:val="20"/>
        </w:rPr>
        <w:t>a substitute for the related statues or regulatory provisions.</w:t>
      </w:r>
    </w:p>
    <w:p w:rsidR="00000000" w:rsidRDefault="00E0782F">
      <w:pPr>
        <w:divId w:val="1019550829"/>
        <w:rPr>
          <w:rFonts w:eastAsia="Times New Roman"/>
        </w:rPr>
      </w:pPr>
      <w:r>
        <w:rPr>
          <w:rFonts w:eastAsia="Times New Roman"/>
          <w:b/>
          <w:bCs/>
          <w:color w:val="000000"/>
          <w:sz w:val="20"/>
          <w:szCs w:val="20"/>
        </w:rPr>
        <w:t>Banking Regulation</w:t>
      </w:r>
    </w:p>
    <w:p w:rsidR="00000000" w:rsidRDefault="00E0782F">
      <w:pPr>
        <w:jc w:val="both"/>
        <w:divId w:val="244926070"/>
        <w:rPr>
          <w:rFonts w:eastAsia="Times New Roman"/>
        </w:rPr>
      </w:pPr>
      <w:r>
        <w:rPr>
          <w:rFonts w:eastAsia="Times New Roman"/>
          <w:color w:val="000000"/>
          <w:sz w:val="20"/>
          <w:szCs w:val="20"/>
        </w:rPr>
        <w:t>Capital One Financial Corporation is a bank holding company (“BHC”) and a financial holding company (“FHC”) under the Bank Holding Company Act of 1956, as amended (“BHC Act”)</w:t>
      </w:r>
      <w:r>
        <w:rPr>
          <w:rFonts w:eastAsia="Times New Roman"/>
          <w:color w:val="000000"/>
          <w:sz w:val="20"/>
          <w:szCs w:val="20"/>
        </w:rPr>
        <w:t>, and is subject to the requirements of the BHC Act, including approval requirements for investments in or acquisitions of banking organizations, capital adequacy standards and limitations on non-banking activities. As a BHC and FHC, we are subject to supe</w:t>
      </w:r>
      <w:r>
        <w:rPr>
          <w:rFonts w:eastAsia="Times New Roman"/>
          <w:color w:val="000000"/>
          <w:sz w:val="20"/>
          <w:szCs w:val="20"/>
        </w:rPr>
        <w:t>rvision, examination and regulation by the Board of Governors of the Federal Reserve System (“Federal Reserve”). Permissible activities for a BHC include those activities that are so closely related to banking as to be a proper incident thereto. In additio</w:t>
      </w:r>
      <w:r>
        <w:rPr>
          <w:rFonts w:eastAsia="Times New Roman"/>
          <w:color w:val="000000"/>
          <w:sz w:val="20"/>
          <w:szCs w:val="20"/>
        </w:rPr>
        <w:t xml:space="preserve">n, an FHC is permitted to engage in activities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7533346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7533346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7533346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3" style="width:0;height:1.5pt" o:hralign="center" o:hrstd="t" o:hr="t" fillcolor="#a0a0a0" stroked="f"/>
        </w:pict>
      </w:r>
    </w:p>
    <w:p w:rsidR="00000000" w:rsidRDefault="00E0782F">
      <w:pPr>
        <w:jc w:val="both"/>
        <w:divId w:val="103071710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363140809"/>
        <w:rPr>
          <w:rFonts w:eastAsia="Times New Roman"/>
        </w:rPr>
      </w:pPr>
      <w:r>
        <w:rPr>
          <w:rFonts w:eastAsia="Times New Roman"/>
          <w:color w:val="000000"/>
          <w:sz w:val="20"/>
          <w:szCs w:val="20"/>
        </w:rPr>
        <w:t>considered to be financial in nature (including, for example, securities underwriting and dealing and merchant banking activities), incidental to financial activities or, if the Federal Reserve determines that they pose no risk to the safety or soundness o</w:t>
      </w:r>
      <w:r>
        <w:rPr>
          <w:rFonts w:eastAsia="Times New Roman"/>
          <w:color w:val="000000"/>
          <w:sz w:val="20"/>
          <w:szCs w:val="20"/>
        </w:rPr>
        <w:t>f depository institutions or the financial system in general, activities complementary to financial activities.</w:t>
      </w:r>
    </w:p>
    <w:p w:rsidR="00000000" w:rsidRDefault="00E0782F">
      <w:pPr>
        <w:jc w:val="both"/>
        <w:divId w:val="596061191"/>
        <w:rPr>
          <w:rFonts w:eastAsia="Times New Roman"/>
        </w:rPr>
      </w:pPr>
      <w:r>
        <w:rPr>
          <w:rFonts w:eastAsia="Times New Roman"/>
          <w:color w:val="000000"/>
          <w:sz w:val="20"/>
          <w:szCs w:val="20"/>
        </w:rPr>
        <w:t>To become and remain eligible for FHC status, a BHC and its subsidiary depository institutions must meet certain criteria, including capital, ma</w:t>
      </w:r>
      <w:r>
        <w:rPr>
          <w:rFonts w:eastAsia="Times New Roman"/>
          <w:color w:val="000000"/>
          <w:sz w:val="20"/>
          <w:szCs w:val="20"/>
        </w:rPr>
        <w:t>nagement and Community Reinvestment Act (“CRA”) requirements. Failure to meet such criteria could result, depending on which requirements were not met, in restrictions on new financial activities or acquisitions or being required to discontinue existing ac</w:t>
      </w:r>
      <w:r>
        <w:rPr>
          <w:rFonts w:eastAsia="Times New Roman"/>
          <w:color w:val="000000"/>
          <w:sz w:val="20"/>
          <w:szCs w:val="20"/>
        </w:rPr>
        <w:t>tivities that are not generally permissible for BHCs.</w:t>
      </w:r>
    </w:p>
    <w:p w:rsidR="00000000" w:rsidRDefault="00E0782F">
      <w:pPr>
        <w:jc w:val="both"/>
        <w:divId w:val="504169790"/>
        <w:rPr>
          <w:rFonts w:eastAsia="Times New Roman"/>
        </w:rPr>
      </w:pPr>
      <w:r>
        <w:rPr>
          <w:rFonts w:eastAsia="Times New Roman"/>
          <w:color w:val="000000"/>
          <w:sz w:val="20"/>
          <w:szCs w:val="20"/>
        </w:rPr>
        <w:t>The Banks are national associations chartered under the National Bank Act, and the deposits of which are insured by the Deposit Insurance Fund (“DIF”) of the Federal Deposit Insurance Corporation (“FDIC</w:t>
      </w:r>
      <w:r>
        <w:rPr>
          <w:rFonts w:eastAsia="Times New Roman"/>
          <w:color w:val="000000"/>
          <w:sz w:val="20"/>
          <w:szCs w:val="20"/>
        </w:rPr>
        <w:t>”) up to applicable limits. The Banks are subject to comprehensive regulation and periodic examination by the Office of the Comptroller of the Currency (“OCC”), the FDIC and the Consumer Financial Protection Bureau (“CFPB”).</w:t>
      </w:r>
    </w:p>
    <w:p w:rsidR="00000000" w:rsidRDefault="00E0782F">
      <w:pPr>
        <w:jc w:val="both"/>
        <w:divId w:val="522593188"/>
        <w:rPr>
          <w:rFonts w:eastAsia="Times New Roman"/>
        </w:rPr>
      </w:pPr>
      <w:r>
        <w:rPr>
          <w:rFonts w:eastAsia="Times New Roman"/>
          <w:color w:val="000000"/>
          <w:sz w:val="20"/>
          <w:szCs w:val="20"/>
        </w:rPr>
        <w:t>We are also registered as a fin</w:t>
      </w:r>
      <w:r>
        <w:rPr>
          <w:rFonts w:eastAsia="Times New Roman"/>
          <w:color w:val="000000"/>
          <w:sz w:val="20"/>
          <w:szCs w:val="20"/>
        </w:rPr>
        <w:t xml:space="preserve">ancial institution holding company under the laws of the Commonwealth of Virginia and, as such, we are subject to periodic examination by the Virginia Bureau of Financial Institutions. We also face regulation in the international jurisdictions in which we </w:t>
      </w:r>
      <w:r>
        <w:rPr>
          <w:rFonts w:eastAsia="Times New Roman"/>
          <w:color w:val="000000"/>
          <w:sz w:val="20"/>
          <w:szCs w:val="20"/>
        </w:rPr>
        <w:t>conduct business. See “Regulation of Businesses by Authorities Outside the United States” below for additional details.</w:t>
      </w:r>
    </w:p>
    <w:p w:rsidR="00000000" w:rsidRDefault="00E0782F">
      <w:pPr>
        <w:divId w:val="1474371645"/>
        <w:rPr>
          <w:rFonts w:eastAsia="Times New Roman"/>
        </w:rPr>
      </w:pPr>
      <w:r>
        <w:rPr>
          <w:rFonts w:eastAsia="Times New Roman"/>
          <w:b/>
          <w:bCs/>
          <w:color w:val="000000"/>
          <w:sz w:val="20"/>
          <w:szCs w:val="20"/>
        </w:rPr>
        <w:t>Regulation of Business Activities</w:t>
      </w:r>
    </w:p>
    <w:p w:rsidR="00000000" w:rsidRDefault="00E0782F">
      <w:pPr>
        <w:jc w:val="both"/>
        <w:divId w:val="1418207640"/>
        <w:rPr>
          <w:rFonts w:eastAsia="Times New Roman"/>
        </w:rPr>
      </w:pPr>
      <w:r>
        <w:rPr>
          <w:rFonts w:eastAsia="Times New Roman"/>
          <w:color w:val="000000"/>
          <w:sz w:val="20"/>
          <w:szCs w:val="20"/>
        </w:rPr>
        <w:t>The business activities of the Company and the Banks are also subject to regulation and supervision un</w:t>
      </w:r>
      <w:r>
        <w:rPr>
          <w:rFonts w:eastAsia="Times New Roman"/>
          <w:color w:val="000000"/>
          <w:sz w:val="20"/>
          <w:szCs w:val="20"/>
        </w:rPr>
        <w:t>der various laws and regulations.</w:t>
      </w:r>
    </w:p>
    <w:p w:rsidR="00000000" w:rsidRDefault="00E0782F">
      <w:pPr>
        <w:divId w:val="1352610983"/>
        <w:rPr>
          <w:rFonts w:eastAsia="Times New Roman"/>
        </w:rPr>
      </w:pPr>
      <w:r>
        <w:rPr>
          <w:rFonts w:eastAsia="Times New Roman"/>
          <w:b/>
          <w:bCs/>
          <w:i/>
          <w:iCs/>
          <w:color w:val="000000"/>
          <w:sz w:val="20"/>
          <w:szCs w:val="20"/>
        </w:rPr>
        <w:t>Regulations of Consumer Lending Activities</w:t>
      </w:r>
    </w:p>
    <w:p w:rsidR="00000000" w:rsidRDefault="00E0782F">
      <w:pPr>
        <w:jc w:val="both"/>
        <w:divId w:val="126823532"/>
        <w:rPr>
          <w:rFonts w:eastAsia="Times New Roman"/>
        </w:rPr>
      </w:pPr>
      <w:r>
        <w:rPr>
          <w:rFonts w:eastAsia="Times New Roman"/>
          <w:color w:val="000000"/>
          <w:sz w:val="20"/>
          <w:szCs w:val="20"/>
        </w:rPr>
        <w:t>The activities of the Banks as consumer lenders are subject to regulation under various federal laws, including, for example, the Truth in Lending Act (“TILA”), the Equal Credit O</w:t>
      </w:r>
      <w:r>
        <w:rPr>
          <w:rFonts w:eastAsia="Times New Roman"/>
          <w:color w:val="000000"/>
          <w:sz w:val="20"/>
          <w:szCs w:val="20"/>
        </w:rPr>
        <w:t>pportunity Act, the Fair Credit Reporting Act, the CRA, the Dodd-Frank Wall Street Reform and Consumer Protection Act of 2010 (“Dodd-Frank Act”), the Servicemembers Civil Relief Act and the Military Lending Act, as well as under various state laws. TILA, a</w:t>
      </w:r>
      <w:r>
        <w:rPr>
          <w:rFonts w:eastAsia="Times New Roman"/>
          <w:color w:val="000000"/>
          <w:sz w:val="20"/>
          <w:szCs w:val="20"/>
        </w:rPr>
        <w:t>s amended, imposes a number of restrictions on credit card practices impacting rates and fees, requires that a consumer’s ability to pay be taken into account before issuing credit or increasing credit limits, and imposes revised disclosures required for o</w:t>
      </w:r>
      <w:r>
        <w:rPr>
          <w:rFonts w:eastAsia="Times New Roman"/>
          <w:color w:val="000000"/>
          <w:sz w:val="20"/>
          <w:szCs w:val="20"/>
        </w:rPr>
        <w:t>pen-end credit.</w:t>
      </w:r>
    </w:p>
    <w:p w:rsidR="00000000" w:rsidRDefault="00E0782F">
      <w:pPr>
        <w:jc w:val="both"/>
        <w:divId w:val="983116930"/>
        <w:rPr>
          <w:rFonts w:eastAsia="Times New Roman"/>
        </w:rPr>
      </w:pPr>
      <w:r>
        <w:rPr>
          <w:rFonts w:eastAsia="Times New Roman"/>
          <w:color w:val="000000"/>
          <w:sz w:val="20"/>
          <w:szCs w:val="20"/>
        </w:rPr>
        <w:t>Depending on the underlying issue and applicable law, regulators may be authorized to impose penalties for violations of these statutes and, in certain cases, to order banks to compensate customers. Borrowers may also have a private right o</w:t>
      </w:r>
      <w:r>
        <w:rPr>
          <w:rFonts w:eastAsia="Times New Roman"/>
          <w:color w:val="000000"/>
          <w:sz w:val="20"/>
          <w:szCs w:val="20"/>
        </w:rPr>
        <w:t>f action for certain violations. Federal bankruptcy and state debtor relief and collection laws may also affect the ability of a bank, including the Banks, to collect outstanding balances owed by borrowers.</w:t>
      </w:r>
    </w:p>
    <w:p w:rsidR="00000000" w:rsidRDefault="00E0782F">
      <w:pPr>
        <w:divId w:val="217594851"/>
        <w:rPr>
          <w:rFonts w:eastAsia="Times New Roman"/>
        </w:rPr>
      </w:pPr>
      <w:r>
        <w:rPr>
          <w:rFonts w:eastAsia="Times New Roman"/>
          <w:b/>
          <w:bCs/>
          <w:i/>
          <w:iCs/>
          <w:color w:val="000000"/>
          <w:sz w:val="20"/>
          <w:szCs w:val="20"/>
        </w:rPr>
        <w:t>Debit Interchange Fees</w:t>
      </w:r>
    </w:p>
    <w:p w:rsidR="00000000" w:rsidRDefault="00E0782F">
      <w:pPr>
        <w:jc w:val="both"/>
        <w:divId w:val="26225241"/>
        <w:rPr>
          <w:rFonts w:eastAsia="Times New Roman"/>
        </w:rPr>
      </w:pPr>
      <w:r>
        <w:rPr>
          <w:rFonts w:eastAsia="Times New Roman"/>
          <w:color w:val="000000"/>
          <w:sz w:val="20"/>
          <w:szCs w:val="20"/>
        </w:rPr>
        <w:t>The Dodd-Frank Act require</w:t>
      </w:r>
      <w:r>
        <w:rPr>
          <w:rFonts w:eastAsia="Times New Roman"/>
          <w:color w:val="000000"/>
          <w:sz w:val="20"/>
          <w:szCs w:val="20"/>
        </w:rPr>
        <w:t>s that the amount of any interchange fee received by a debit card issuer with respect to debit card transactions be reasonable and proportional to the cost incurred by the issuer with respect to the transaction. Rules adopted by the Federal Reserve to impl</w:t>
      </w:r>
      <w:r>
        <w:rPr>
          <w:rFonts w:eastAsia="Times New Roman"/>
          <w:color w:val="000000"/>
          <w:sz w:val="20"/>
          <w:szCs w:val="20"/>
        </w:rPr>
        <w:t xml:space="preserve">ement these requirements limit interchange fees per debit card transaction to $0.21 plus five basis points of the transaction amount and provide for an additional $0.01 fraud prevention adjustment to the interchange fee for issuers that meet certain fraud </w:t>
      </w:r>
      <w:r>
        <w:rPr>
          <w:rFonts w:eastAsia="Times New Roman"/>
          <w:color w:val="000000"/>
          <w:sz w:val="20"/>
          <w:szCs w:val="20"/>
        </w:rPr>
        <w:t>prevention requirements.</w:t>
      </w:r>
    </w:p>
    <w:p w:rsidR="00000000" w:rsidRDefault="00E0782F">
      <w:pPr>
        <w:divId w:val="887305620"/>
        <w:rPr>
          <w:rFonts w:eastAsia="Times New Roman"/>
        </w:rPr>
      </w:pPr>
      <w:r>
        <w:rPr>
          <w:rFonts w:eastAsia="Times New Roman"/>
          <w:b/>
          <w:bCs/>
          <w:i/>
          <w:iCs/>
          <w:color w:val="000000"/>
          <w:sz w:val="20"/>
          <w:szCs w:val="20"/>
        </w:rPr>
        <w:t>Privacy, Data Protection and Cybersecurity</w:t>
      </w:r>
    </w:p>
    <w:p w:rsidR="00000000" w:rsidRDefault="00E0782F">
      <w:pPr>
        <w:jc w:val="both"/>
        <w:divId w:val="179010337"/>
        <w:rPr>
          <w:rFonts w:eastAsia="Times New Roman"/>
        </w:rPr>
      </w:pPr>
      <w:r>
        <w:rPr>
          <w:rFonts w:eastAsia="Times New Roman"/>
          <w:color w:val="000000"/>
          <w:sz w:val="20"/>
          <w:szCs w:val="20"/>
        </w:rPr>
        <w:t>We are subject to multiple federal and state laws concerning privacy, data protection and cybersecurity, such as the Gramm-Leach Bliley Act (“GLBA”). This area has seen an increase in legi</w:t>
      </w:r>
      <w:r>
        <w:rPr>
          <w:rFonts w:eastAsia="Times New Roman"/>
          <w:color w:val="000000"/>
          <w:sz w:val="20"/>
          <w:szCs w:val="20"/>
        </w:rPr>
        <w:t>slative and regulatory activity over the past several years. For example, in 2018, the State of California passed the California Consumer Privacy Act (“CCPA”), which became effective on January 1, 2020. The CCPA and its implementing regulations, as recentl</w:t>
      </w:r>
      <w:r>
        <w:rPr>
          <w:rFonts w:eastAsia="Times New Roman"/>
          <w:color w:val="000000"/>
          <w:sz w:val="20"/>
          <w:szCs w:val="20"/>
        </w:rPr>
        <w:t>y amended by the California Privacy Rights Act, create obligations on covered companies to, among other things, share certain information they have collected about individuals who are California residents with those individuals, subject to some exceptions.</w:t>
      </w:r>
      <w:r>
        <w:rPr>
          <w:rFonts w:eastAsia="Times New Roman"/>
          <w:color w:val="000000"/>
          <w:sz w:val="20"/>
          <w:szCs w:val="20"/>
        </w:rPr>
        <w:t xml:space="preserve"> </w:t>
      </w:r>
    </w:p>
    <w:p w:rsidR="00000000" w:rsidRDefault="00E0782F">
      <w:pPr>
        <w:jc w:val="both"/>
        <w:divId w:val="1609199838"/>
        <w:rPr>
          <w:rFonts w:eastAsia="Times New Roman"/>
        </w:rPr>
      </w:pPr>
      <w:r>
        <w:rPr>
          <w:rFonts w:eastAsia="Times New Roman"/>
          <w:color w:val="000000"/>
          <w:sz w:val="20"/>
          <w:szCs w:val="20"/>
        </w:rPr>
        <w:t>In addition, in December 2020, the Federal Reserve, OCC and FDIC (collectively, the “Federal Banking Agencies”) issued a notice of proposed rulemaking that, among other things, would require a banking organization to notify its primary federal regulators</w:t>
      </w:r>
      <w:r>
        <w:rPr>
          <w:rFonts w:eastAsia="Times New Roman"/>
          <w:color w:val="000000"/>
          <w:sz w:val="20"/>
          <w:szCs w:val="20"/>
        </w:rPr>
        <w:t xml:space="preserve"> within 36 hours after identifying a "computer-security incident" that the banking organization believes in good faith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3768402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63768402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63768402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4" style="width:0;height:1.5pt" o:hralign="center" o:hrstd="t" o:hr="t" fillcolor="#a0a0a0" stroked="f"/>
        </w:pict>
      </w:r>
    </w:p>
    <w:p w:rsidR="00000000" w:rsidRDefault="00E0782F">
      <w:pPr>
        <w:jc w:val="both"/>
        <w:divId w:val="198692891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2028825339"/>
        <w:rPr>
          <w:rFonts w:eastAsia="Times New Roman"/>
        </w:rPr>
      </w:pPr>
      <w:r>
        <w:rPr>
          <w:rFonts w:eastAsia="Times New Roman"/>
          <w:color w:val="000000"/>
          <w:sz w:val="20"/>
          <w:szCs w:val="20"/>
        </w:rPr>
        <w:t>could materially disrupt, degrade or impair its business or operations in a manner that would, among other things, jeopardize the viability of its operations, result in customers being unable to access their deposit and other accounts, result in a material</w:t>
      </w:r>
      <w:r>
        <w:rPr>
          <w:rFonts w:eastAsia="Times New Roman"/>
          <w:color w:val="000000"/>
          <w:sz w:val="20"/>
          <w:szCs w:val="20"/>
        </w:rPr>
        <w:t xml:space="preserve"> loss of revenue, profit or franchise value, or pose a threat to the financial stability of the United States.</w:t>
      </w:r>
    </w:p>
    <w:p w:rsidR="00000000" w:rsidRDefault="00E0782F">
      <w:pPr>
        <w:jc w:val="both"/>
        <w:divId w:val="976880831"/>
        <w:rPr>
          <w:rFonts w:eastAsia="Times New Roman"/>
        </w:rPr>
      </w:pPr>
      <w:r>
        <w:rPr>
          <w:rFonts w:eastAsia="Times New Roman"/>
          <w:color w:val="000000"/>
          <w:sz w:val="20"/>
          <w:szCs w:val="20"/>
        </w:rPr>
        <w:t xml:space="preserve">We continue to monitor data privacy and cybersecurity legal developments in the jurisdictions in which we do business. For further discussion of </w:t>
      </w:r>
      <w:r>
        <w:rPr>
          <w:rFonts w:eastAsia="Times New Roman"/>
          <w:color w:val="000000"/>
          <w:sz w:val="20"/>
          <w:szCs w:val="20"/>
        </w:rPr>
        <w:t>privacy, data protection and cybersecurity, and related risks for our business, see “Part I—Item 1A. Risk Factors” under the headings “We face risks related to our operational, technological and organizational infrastructure,” “Theft, loss or misuse of inf</w:t>
      </w:r>
      <w:r>
        <w:rPr>
          <w:rFonts w:eastAsia="Times New Roman"/>
          <w:color w:val="000000"/>
          <w:sz w:val="20"/>
          <w:szCs w:val="20"/>
        </w:rPr>
        <w:t xml:space="preserve">ormation as a result of a cyber-attack may result in increased costs, reductions in revenue, reputational damage and business disruptions,” and “Potential data protection and privacy incidents, and our required compliance with laws and regulations related </w:t>
      </w:r>
      <w:r>
        <w:rPr>
          <w:rFonts w:eastAsia="Times New Roman"/>
          <w:color w:val="000000"/>
          <w:sz w:val="20"/>
          <w:szCs w:val="20"/>
        </w:rPr>
        <w:t xml:space="preserve">to these areas, may increase our costs, result in legal liability, reduce our revenue and limit our ability to pursue business opportunities.” </w:t>
      </w:r>
    </w:p>
    <w:p w:rsidR="00000000" w:rsidRDefault="00E0782F">
      <w:pPr>
        <w:divId w:val="667951693"/>
        <w:rPr>
          <w:rFonts w:eastAsia="Times New Roman"/>
        </w:rPr>
      </w:pPr>
      <w:r>
        <w:rPr>
          <w:rFonts w:eastAsia="Times New Roman"/>
          <w:b/>
          <w:bCs/>
          <w:i/>
          <w:iCs/>
          <w:color w:val="000000"/>
          <w:sz w:val="20"/>
          <w:szCs w:val="20"/>
        </w:rPr>
        <w:t xml:space="preserve">Anti-Money Laundering and Anti-Terrorism </w:t>
      </w:r>
    </w:p>
    <w:p w:rsidR="00000000" w:rsidRDefault="00E0782F">
      <w:pPr>
        <w:jc w:val="both"/>
        <w:divId w:val="1703364728"/>
        <w:rPr>
          <w:rFonts w:eastAsia="Times New Roman"/>
        </w:rPr>
      </w:pPr>
      <w:r>
        <w:rPr>
          <w:rFonts w:eastAsia="Times New Roman"/>
          <w:color w:val="000000"/>
          <w:sz w:val="20"/>
          <w:szCs w:val="20"/>
        </w:rPr>
        <w:t>The Bank Secrecy Act and the USA PATRIOT Act of 2001 (“Patriot Act”) r</w:t>
      </w:r>
      <w:r>
        <w:rPr>
          <w:rFonts w:eastAsia="Times New Roman"/>
          <w:color w:val="000000"/>
          <w:sz w:val="20"/>
          <w:szCs w:val="20"/>
        </w:rPr>
        <w:t>equire financial institutions, among other things, to implement a risk-based program reasonably designed to prevent money laundering and to combat the financing of terrorism, including through suspicious activity and currency transaction reporting, complia</w:t>
      </w:r>
      <w:r>
        <w:rPr>
          <w:rFonts w:eastAsia="Times New Roman"/>
          <w:color w:val="000000"/>
          <w:sz w:val="20"/>
          <w:szCs w:val="20"/>
        </w:rPr>
        <w:t>nce, record-keeping and customer due diligence.</w:t>
      </w:r>
    </w:p>
    <w:p w:rsidR="00000000" w:rsidRDefault="00E0782F">
      <w:pPr>
        <w:jc w:val="both"/>
        <w:divId w:val="805196303"/>
        <w:rPr>
          <w:rFonts w:eastAsia="Times New Roman"/>
        </w:rPr>
      </w:pPr>
      <w:r>
        <w:rPr>
          <w:rFonts w:eastAsia="Times New Roman"/>
          <w:color w:val="000000"/>
          <w:sz w:val="20"/>
          <w:szCs w:val="20"/>
        </w:rPr>
        <w:t>The Patriot Act also contains financial transparency laws and provides enhanced information collection tools and enforcement mechanisms to the U.S. government, including due diligence and record-keeping requi</w:t>
      </w:r>
      <w:r>
        <w:rPr>
          <w:rFonts w:eastAsia="Times New Roman"/>
          <w:color w:val="000000"/>
          <w:sz w:val="20"/>
          <w:szCs w:val="20"/>
        </w:rPr>
        <w:t>rements for private banking and correspondent accounts; standards for verifying customer identification at account opening; rules to produce certain records upon request of a regulator or law enforcement agency; and rules to promote cooperation among finan</w:t>
      </w:r>
      <w:r>
        <w:rPr>
          <w:rFonts w:eastAsia="Times New Roman"/>
          <w:color w:val="000000"/>
          <w:sz w:val="20"/>
          <w:szCs w:val="20"/>
        </w:rPr>
        <w:t>cial institutions, regulators and law enforcement agencies in identifying parties that may be involved in terrorism, money laundering and other crimes.</w:t>
      </w:r>
    </w:p>
    <w:p w:rsidR="00000000" w:rsidRDefault="00E0782F">
      <w:pPr>
        <w:jc w:val="both"/>
        <w:divId w:val="649945949"/>
        <w:rPr>
          <w:rFonts w:eastAsia="Times New Roman"/>
        </w:rPr>
      </w:pPr>
      <w:r>
        <w:rPr>
          <w:rFonts w:eastAsia="Times New Roman"/>
          <w:color w:val="000000"/>
          <w:sz w:val="20"/>
          <w:szCs w:val="20"/>
        </w:rPr>
        <w:t>The Anti-Money Laundering Act of 2020 (“AML Act”</w:t>
      </w:r>
      <w:r>
        <w:rPr>
          <w:rFonts w:eastAsia="Times New Roman"/>
          <w:color w:val="000000"/>
          <w:sz w:val="20"/>
          <w:szCs w:val="20"/>
        </w:rPr>
        <w:t>), enacted on January 1, 2021 as part of the National Defense Authorization Act, does not directly impose new requirements on banks, but requires the U.S. Treasury Department to issue National Anti-Money Laundering and Countering the Financing of Terrorism</w:t>
      </w:r>
      <w:r>
        <w:rPr>
          <w:rFonts w:eastAsia="Times New Roman"/>
          <w:color w:val="000000"/>
          <w:sz w:val="20"/>
          <w:szCs w:val="20"/>
        </w:rPr>
        <w:t xml:space="preserve"> Priorities, and conduct studies and issue regulations that may, over the next few years, significantly alter some of the due diligence, recordkeeping and reporting requirements that the Bank Secrecy Act and Patriot Act impose on banks. The AML Act also co</w:t>
      </w:r>
      <w:r>
        <w:rPr>
          <w:rFonts w:eastAsia="Times New Roman"/>
          <w:color w:val="000000"/>
          <w:sz w:val="20"/>
          <w:szCs w:val="20"/>
        </w:rPr>
        <w:t>ntains provisions that promote increased information-sharing and use of technology, and increases penalties for violations of the Bank Secrecy Act and includes whistleblower incentives, both of which could increase the prospect of regulatory enforcement.</w:t>
      </w:r>
    </w:p>
    <w:p w:rsidR="00000000" w:rsidRDefault="00E0782F">
      <w:pPr>
        <w:divId w:val="486749767"/>
        <w:rPr>
          <w:rFonts w:eastAsia="Times New Roman"/>
        </w:rPr>
      </w:pPr>
      <w:r>
        <w:rPr>
          <w:rFonts w:eastAsia="Times New Roman"/>
          <w:b/>
          <w:bCs/>
          <w:i/>
          <w:iCs/>
          <w:color w:val="000000"/>
          <w:sz w:val="20"/>
          <w:szCs w:val="20"/>
        </w:rPr>
        <w:t>F</w:t>
      </w:r>
      <w:r>
        <w:rPr>
          <w:rFonts w:eastAsia="Times New Roman"/>
          <w:b/>
          <w:bCs/>
          <w:i/>
          <w:iCs/>
          <w:color w:val="000000"/>
          <w:sz w:val="20"/>
          <w:szCs w:val="20"/>
        </w:rPr>
        <w:t>unding</w:t>
      </w:r>
    </w:p>
    <w:p w:rsidR="00000000" w:rsidRDefault="00E0782F">
      <w:pPr>
        <w:jc w:val="both"/>
        <w:divId w:val="1613975953"/>
        <w:rPr>
          <w:rFonts w:eastAsia="Times New Roman"/>
        </w:rPr>
      </w:pPr>
      <w:r>
        <w:rPr>
          <w:rFonts w:eastAsia="Times New Roman"/>
          <w:color w:val="000000"/>
          <w:sz w:val="20"/>
          <w:szCs w:val="20"/>
        </w:rPr>
        <w:t>Under the Federal Deposit Insurance Corporation Improvement Act of 1991 (“FDICIA”), as discussed in “MD&amp;A—Liquidity Risk Profile,” only well capitalized and adequately capitalized institutions may accept brokered deposits. Adequately capitalized ins</w:t>
      </w:r>
      <w:r>
        <w:rPr>
          <w:rFonts w:eastAsia="Times New Roman"/>
          <w:color w:val="000000"/>
          <w:sz w:val="20"/>
          <w:szCs w:val="20"/>
        </w:rPr>
        <w:t>titutions, however, must obtain a waiver from the FDIC before accepting brokered deposits, and such institutions may not pay rates that significantly exceed the rates paid on deposits of similar maturity obtained from the institution’s normal market area o</w:t>
      </w:r>
      <w:r>
        <w:rPr>
          <w:rFonts w:eastAsia="Times New Roman"/>
          <w:color w:val="000000"/>
          <w:sz w:val="20"/>
          <w:szCs w:val="20"/>
        </w:rPr>
        <w:t>r, for deposits obtained from outside the institution’s normal market area, the national rate on deposits of comparable maturity. In December 2020, the FDIC finalized amendments to the brokered deposit regulation that, among other things, generally clarify</w:t>
      </w:r>
      <w:r>
        <w:rPr>
          <w:rFonts w:eastAsia="Times New Roman"/>
          <w:color w:val="000000"/>
          <w:sz w:val="20"/>
          <w:szCs w:val="20"/>
        </w:rPr>
        <w:t xml:space="preserve"> and narrow the scope of the "deposit broker" definition. The amendments become effective April 1, 2021.</w:t>
      </w:r>
    </w:p>
    <w:p w:rsidR="00000000" w:rsidRDefault="00E0782F">
      <w:pPr>
        <w:jc w:val="both"/>
        <w:divId w:val="1189491940"/>
        <w:rPr>
          <w:rFonts w:eastAsia="Times New Roman"/>
        </w:rPr>
      </w:pPr>
      <w:r>
        <w:rPr>
          <w:rFonts w:eastAsia="Times New Roman"/>
          <w:color w:val="000000"/>
          <w:sz w:val="20"/>
          <w:szCs w:val="20"/>
        </w:rPr>
        <w:t>The FDIC is authorized to terminate a bank’s deposit insurance upon a finding by the FDIC that the bank’s financial condition is unsafe or unsound or t</w:t>
      </w:r>
      <w:r>
        <w:rPr>
          <w:rFonts w:eastAsia="Times New Roman"/>
          <w:color w:val="000000"/>
          <w:sz w:val="20"/>
          <w:szCs w:val="20"/>
        </w:rPr>
        <w:t>hat the institution has engaged in unsafe or unsound practices or has violated any applicable rule, regulation, order or condition enacted or imposed by the bank’s regulatory agency.</w:t>
      </w:r>
    </w:p>
    <w:p w:rsidR="00000000" w:rsidRDefault="00E0782F">
      <w:pPr>
        <w:divId w:val="717120646"/>
        <w:rPr>
          <w:rFonts w:eastAsia="Times New Roman"/>
        </w:rPr>
      </w:pPr>
      <w:r>
        <w:rPr>
          <w:rFonts w:eastAsia="Times New Roman"/>
          <w:b/>
          <w:bCs/>
          <w:i/>
          <w:iCs/>
          <w:color w:val="000000"/>
          <w:sz w:val="20"/>
          <w:szCs w:val="20"/>
        </w:rPr>
        <w:t>Broker-Dealer and Investment Advisory Activities</w:t>
      </w:r>
    </w:p>
    <w:p w:rsidR="00000000" w:rsidRDefault="00E0782F">
      <w:pPr>
        <w:jc w:val="both"/>
        <w:divId w:val="315378050"/>
        <w:rPr>
          <w:rFonts w:eastAsia="Times New Roman"/>
        </w:rPr>
      </w:pPr>
      <w:r>
        <w:rPr>
          <w:rFonts w:eastAsia="Times New Roman"/>
          <w:color w:val="000000"/>
          <w:sz w:val="20"/>
          <w:szCs w:val="20"/>
        </w:rPr>
        <w:t xml:space="preserve">Certain of our non-bank </w:t>
      </w:r>
      <w:r>
        <w:rPr>
          <w:rFonts w:eastAsia="Times New Roman"/>
          <w:color w:val="000000"/>
          <w:sz w:val="20"/>
          <w:szCs w:val="20"/>
        </w:rPr>
        <w:t>subsidiaries are subject to regulation and supervision by various federal and state authorities. United Income, Inc. is an investment adviser registered with the SEC and primarily regulated under the Investment Advisers Act of 1940. Capital One Securities,</w:t>
      </w:r>
      <w:r>
        <w:rPr>
          <w:rFonts w:eastAsia="Times New Roman"/>
          <w:color w:val="000000"/>
          <w:sz w:val="20"/>
          <w:szCs w:val="20"/>
        </w:rPr>
        <w:t xml:space="preserve"> Inc. and KippsDeSanto &amp; Company are registered broker-dealers regulated by the SEC and the Financial Industry Regulatory Authority. These broker-dealer subsidiaries are subject, among other things, to net capital rules designed to measure the general fina</w:t>
      </w:r>
      <w:r>
        <w:rPr>
          <w:rFonts w:eastAsia="Times New Roman"/>
          <w:color w:val="000000"/>
          <w:sz w:val="20"/>
          <w:szCs w:val="20"/>
        </w:rPr>
        <w:t>ncial condition and liquidity of a broker-dealer. Under these rules, broker-dealers are required to maintain the minimum net capital deemed necessary to meet their continuing commitments to customers and others, and to keep a substantial portion of their a</w:t>
      </w:r>
      <w:r>
        <w:rPr>
          <w:rFonts w:eastAsia="Times New Roman"/>
          <w:color w:val="000000"/>
          <w:sz w:val="20"/>
          <w:szCs w:val="20"/>
        </w:rPr>
        <w:t xml:space="preserve">ssets in relatively liquid form. These rules also limit the ability of a broker-dealer to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0103140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0103140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0103140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5" style="width:0;height:1.5pt" o:hralign="center" o:hrstd="t" o:hr="t" fillcolor="#a0a0a0" stroked="f"/>
        </w:pict>
      </w:r>
    </w:p>
    <w:p w:rsidR="00000000" w:rsidRDefault="00E0782F">
      <w:pPr>
        <w:jc w:val="both"/>
        <w:divId w:val="178002643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513104070"/>
        <w:rPr>
          <w:rFonts w:eastAsia="Times New Roman"/>
        </w:rPr>
      </w:pPr>
      <w:r>
        <w:rPr>
          <w:rFonts w:eastAsia="Times New Roman"/>
          <w:color w:val="000000"/>
          <w:sz w:val="20"/>
          <w:szCs w:val="20"/>
        </w:rPr>
        <w:t>transfer capital to its parent companies and other affiliates. Broker-dealers are also subject to regulations covering their business operations</w:t>
      </w:r>
      <w:r>
        <w:rPr>
          <w:rFonts w:eastAsia="Times New Roman"/>
          <w:color w:val="000000"/>
          <w:sz w:val="20"/>
          <w:szCs w:val="20"/>
        </w:rPr>
        <w:t>, including sales and trading practices, public offerings, publication of research reports, use and safekeeping of client funds and securities, capital structure, record-keeping and the conduct of directors, officers and employees.</w:t>
      </w:r>
    </w:p>
    <w:p w:rsidR="00000000" w:rsidRDefault="00E0782F">
      <w:pPr>
        <w:divId w:val="176894521"/>
        <w:rPr>
          <w:rFonts w:eastAsia="Times New Roman"/>
        </w:rPr>
      </w:pPr>
      <w:r>
        <w:rPr>
          <w:rFonts w:eastAsia="Times New Roman"/>
          <w:b/>
          <w:bCs/>
          <w:i/>
          <w:iCs/>
          <w:color w:val="000000"/>
          <w:sz w:val="20"/>
          <w:szCs w:val="20"/>
        </w:rPr>
        <w:t>Derivatives Activities</w:t>
      </w:r>
    </w:p>
    <w:p w:rsidR="00000000" w:rsidRDefault="00E0782F">
      <w:pPr>
        <w:jc w:val="both"/>
        <w:divId w:val="1264024342"/>
        <w:rPr>
          <w:rFonts w:eastAsia="Times New Roman"/>
        </w:rPr>
      </w:pPr>
      <w:r>
        <w:rPr>
          <w:rFonts w:eastAsia="Times New Roman"/>
          <w:color w:val="000000"/>
          <w:sz w:val="20"/>
          <w:szCs w:val="20"/>
        </w:rPr>
        <w:t>T</w:t>
      </w:r>
      <w:r>
        <w:rPr>
          <w:rFonts w:eastAsia="Times New Roman"/>
          <w:color w:val="000000"/>
          <w:sz w:val="20"/>
          <w:szCs w:val="20"/>
        </w:rPr>
        <w:t>itle VII of the Dodd-Frank Act establishes a regulatory framework for the governance of the over-the-counter (“OTC”) derivatives market, including swaps and security-based swaps and the registration of certain market participants as a swap dealer. CONA pro</w:t>
      </w:r>
      <w:r>
        <w:rPr>
          <w:rFonts w:eastAsia="Times New Roman"/>
          <w:color w:val="000000"/>
          <w:sz w:val="20"/>
          <w:szCs w:val="20"/>
        </w:rPr>
        <w:t>visionally registered with the Commodity Futures Trading Commission (the “CFTC”) as a swap dealer in the third quarter of 2020. Registration as a swap dealer subjects CONA to additional regulatory requirements with respect to its swaps and other derivative</w:t>
      </w:r>
      <w:r>
        <w:rPr>
          <w:rFonts w:eastAsia="Times New Roman"/>
          <w:color w:val="000000"/>
          <w:sz w:val="20"/>
          <w:szCs w:val="20"/>
        </w:rPr>
        <w:t>s activities. As a result of CONA’s swap dealer registration, it is subject to the rules of the OCC concerning capital and margin requirements for swap dealers, including the mandatory exchange of variation margin and initial margin with certain counterpar</w:t>
      </w:r>
      <w:r>
        <w:rPr>
          <w:rFonts w:eastAsia="Times New Roman"/>
          <w:color w:val="000000"/>
          <w:sz w:val="20"/>
          <w:szCs w:val="20"/>
        </w:rPr>
        <w:t>ties. Additionally, as a provisionally registered swap dealer, CONA is subject to requirements under the CFTC’s regulatory regime, including rules regarding business conduct standards, recordkeeping obligations, regulatory reporting and procedures relating</w:t>
      </w:r>
      <w:r>
        <w:rPr>
          <w:rFonts w:eastAsia="Times New Roman"/>
          <w:color w:val="000000"/>
          <w:sz w:val="20"/>
          <w:szCs w:val="20"/>
        </w:rPr>
        <w:t xml:space="preserve"> to swaps trading. CONA’s swaps and other derivatives activities do not require it to register with the SEC as a security-based swap dealer.</w:t>
      </w:r>
    </w:p>
    <w:p w:rsidR="00000000" w:rsidRDefault="00E0782F">
      <w:pPr>
        <w:divId w:val="392002125"/>
        <w:rPr>
          <w:rFonts w:eastAsia="Times New Roman"/>
        </w:rPr>
      </w:pPr>
      <w:r>
        <w:rPr>
          <w:rFonts w:eastAsia="Times New Roman"/>
          <w:b/>
          <w:bCs/>
          <w:i/>
          <w:iCs/>
          <w:color w:val="000000"/>
          <w:sz w:val="20"/>
          <w:szCs w:val="20"/>
        </w:rPr>
        <w:t>Transactions with Affiliates</w:t>
      </w:r>
    </w:p>
    <w:p w:rsidR="00000000" w:rsidRDefault="00E0782F">
      <w:pPr>
        <w:jc w:val="both"/>
        <w:divId w:val="126971717"/>
        <w:rPr>
          <w:rFonts w:eastAsia="Times New Roman"/>
        </w:rPr>
      </w:pPr>
      <w:r>
        <w:rPr>
          <w:rFonts w:eastAsia="Times New Roman"/>
          <w:color w:val="000000"/>
          <w:sz w:val="20"/>
          <w:szCs w:val="20"/>
        </w:rPr>
        <w:t>There are various legal restrictions on the extent to which we and our non-bank subsid</w:t>
      </w:r>
      <w:r>
        <w:rPr>
          <w:rFonts w:eastAsia="Times New Roman"/>
          <w:color w:val="000000"/>
          <w:sz w:val="20"/>
          <w:szCs w:val="20"/>
        </w:rPr>
        <w:t>iaries may borrow or otherwise engage in certain types of transactions with the Banks. Under the Federal Reserve Act and Federal Reserve regulations, the Banks and their subsidiaries are subject to quantitative and qualitative limits on extensions of credi</w:t>
      </w:r>
      <w:r>
        <w:rPr>
          <w:rFonts w:eastAsia="Times New Roman"/>
          <w:color w:val="000000"/>
          <w:sz w:val="20"/>
          <w:szCs w:val="20"/>
        </w:rPr>
        <w:t>t, purchases of assets, and certain other transactions involving its non-bank affiliates. In addition, transactions between the Banks and their non-bank affiliates are required to be on arm’s length terms and must be consistent with standards of safety and</w:t>
      </w:r>
      <w:r>
        <w:rPr>
          <w:rFonts w:eastAsia="Times New Roman"/>
          <w:color w:val="000000"/>
          <w:sz w:val="20"/>
          <w:szCs w:val="20"/>
        </w:rPr>
        <w:t xml:space="preserve"> soundness.</w:t>
      </w:r>
    </w:p>
    <w:p w:rsidR="00000000" w:rsidRDefault="00E0782F">
      <w:pPr>
        <w:divId w:val="1155685587"/>
        <w:rPr>
          <w:rFonts w:eastAsia="Times New Roman"/>
        </w:rPr>
      </w:pPr>
      <w:r>
        <w:rPr>
          <w:rFonts w:eastAsia="Times New Roman"/>
          <w:b/>
          <w:bCs/>
          <w:i/>
          <w:iCs/>
          <w:color w:val="000000"/>
          <w:sz w:val="20"/>
          <w:szCs w:val="20"/>
        </w:rPr>
        <w:t>Volcker Rule</w:t>
      </w:r>
    </w:p>
    <w:p w:rsidR="00000000" w:rsidRDefault="00E0782F">
      <w:pPr>
        <w:jc w:val="both"/>
        <w:divId w:val="731201562"/>
        <w:rPr>
          <w:rFonts w:eastAsia="Times New Roman"/>
        </w:rPr>
      </w:pPr>
      <w:r>
        <w:rPr>
          <w:rFonts w:eastAsia="Times New Roman"/>
          <w:color w:val="000000"/>
          <w:sz w:val="20"/>
          <w:szCs w:val="20"/>
        </w:rPr>
        <w:t>We and each of our subsidiaries, including the Banks, are subject to the “Volcker Rule,” a provision of the Dodd-Frank Act that contains prohibitions on proprietary trading and certain investments in, and relationships with, covere</w:t>
      </w:r>
      <w:r>
        <w:rPr>
          <w:rFonts w:eastAsia="Times New Roman"/>
          <w:color w:val="000000"/>
          <w:sz w:val="20"/>
          <w:szCs w:val="20"/>
        </w:rPr>
        <w:t>d funds (hedge funds, private equity funds and similar funds), subject to certain exemptions, in each case as the applicable terms are defined in the Volcker Rule and the implementing regulations. The implementing regulations also require that we establish</w:t>
      </w:r>
      <w:r>
        <w:rPr>
          <w:rFonts w:eastAsia="Times New Roman"/>
          <w:color w:val="000000"/>
          <w:sz w:val="20"/>
          <w:szCs w:val="20"/>
        </w:rPr>
        <w:t xml:space="preserve"> and maintain a compliance program designed to ensure adherence with the requirements of the regulations.</w:t>
      </w:r>
    </w:p>
    <w:p w:rsidR="00000000" w:rsidRDefault="00E0782F">
      <w:pPr>
        <w:divId w:val="1319386729"/>
        <w:rPr>
          <w:rFonts w:eastAsia="Times New Roman"/>
        </w:rPr>
      </w:pPr>
      <w:r>
        <w:rPr>
          <w:rFonts w:eastAsia="Times New Roman"/>
          <w:b/>
          <w:bCs/>
          <w:color w:val="000000"/>
          <w:sz w:val="20"/>
          <w:szCs w:val="20"/>
        </w:rPr>
        <w:t>Capital and Liquidity Regulation</w:t>
      </w:r>
    </w:p>
    <w:p w:rsidR="00000000" w:rsidRDefault="00E0782F">
      <w:pPr>
        <w:jc w:val="both"/>
        <w:divId w:val="1279872012"/>
        <w:rPr>
          <w:rFonts w:eastAsia="Times New Roman"/>
        </w:rPr>
      </w:pPr>
      <w:r>
        <w:rPr>
          <w:rFonts w:eastAsia="Times New Roman"/>
          <w:color w:val="000000"/>
          <w:sz w:val="20"/>
          <w:szCs w:val="20"/>
        </w:rPr>
        <w:t>The Company and the Banks are subject to capital adequacy guidelines adopted by the Federal Reserve and OCC respectiv</w:t>
      </w:r>
      <w:r>
        <w:rPr>
          <w:rFonts w:eastAsia="Times New Roman"/>
          <w:color w:val="000000"/>
          <w:sz w:val="20"/>
          <w:szCs w:val="20"/>
        </w:rPr>
        <w:t>ely. For a further discussion of the capital adequacy guidelines, see “MD&amp;A—Capital Management,” “MD&amp;A—Liquidity Risk Profile” and “Note 11—Regulatory and Capital Adequacy.”</w:t>
      </w:r>
    </w:p>
    <w:p w:rsidR="00000000" w:rsidRDefault="00E0782F">
      <w:pPr>
        <w:divId w:val="12463250"/>
        <w:rPr>
          <w:rFonts w:eastAsia="Times New Roman"/>
        </w:rPr>
      </w:pPr>
      <w:r>
        <w:rPr>
          <w:rFonts w:eastAsia="Times New Roman"/>
          <w:b/>
          <w:bCs/>
          <w:i/>
          <w:iCs/>
          <w:color w:val="000000"/>
          <w:sz w:val="20"/>
          <w:szCs w:val="20"/>
        </w:rPr>
        <w:t>Basel III and United States Capital Rules</w:t>
      </w:r>
    </w:p>
    <w:p w:rsidR="00000000" w:rsidRDefault="00E0782F">
      <w:pPr>
        <w:jc w:val="both"/>
        <w:divId w:val="22097391"/>
        <w:rPr>
          <w:rFonts w:eastAsia="Times New Roman"/>
        </w:rPr>
      </w:pPr>
      <w:r>
        <w:rPr>
          <w:rFonts w:eastAsia="Times New Roman"/>
          <w:color w:val="000000"/>
          <w:sz w:val="20"/>
          <w:szCs w:val="20"/>
        </w:rPr>
        <w:t>The Company and the Banks are subject to</w:t>
      </w:r>
      <w:r>
        <w:rPr>
          <w:rFonts w:eastAsia="Times New Roman"/>
          <w:color w:val="000000"/>
          <w:sz w:val="20"/>
          <w:szCs w:val="20"/>
        </w:rPr>
        <w:t xml:space="preserve"> the regulatory capital requirements established by the Federal Reserve and the OCC respectively (the “Basel III Capital Rules”). The Basel III Capital Rules implement certain capital and liquidity requirements published by the Basel Committee on Banking S</w:t>
      </w:r>
      <w:r>
        <w:rPr>
          <w:rFonts w:eastAsia="Times New Roman"/>
          <w:color w:val="000000"/>
          <w:sz w:val="20"/>
          <w:szCs w:val="20"/>
        </w:rPr>
        <w:t>upervision (“Basel Committee”), along with certain Dodd-Frank Act and other capital provisions. Under the Basel III Capital Rules, we must maintain a minimum common equity Tier 1 (“CET1”) capital ratio of 4.5%, a Tier 1 capital ratio of 6.0%, and a total c</w:t>
      </w:r>
      <w:r>
        <w:rPr>
          <w:rFonts w:eastAsia="Times New Roman"/>
          <w:color w:val="000000"/>
          <w:sz w:val="20"/>
          <w:szCs w:val="20"/>
        </w:rPr>
        <w:t>apital ratio of 8.0%, in each case in relation to risk-weighted assets. In addition, we must maintain a minimum leverage ratio of 4% and a minimum supplementary leverage ratio of 3%. We are also subject to the capital conservation buffer and countercyclica</w:t>
      </w:r>
      <w:r>
        <w:rPr>
          <w:rFonts w:eastAsia="Times New Roman"/>
          <w:color w:val="000000"/>
          <w:sz w:val="20"/>
          <w:szCs w:val="20"/>
        </w:rPr>
        <w:t>l capital buffer requirements, as described below.</w:t>
      </w:r>
    </w:p>
    <w:p w:rsidR="00000000" w:rsidRDefault="00E0782F">
      <w:pPr>
        <w:jc w:val="both"/>
        <w:divId w:val="931204946"/>
        <w:rPr>
          <w:rFonts w:eastAsia="Times New Roman"/>
        </w:rPr>
      </w:pPr>
      <w:r>
        <w:rPr>
          <w:rFonts w:eastAsia="Times New Roman"/>
          <w:color w:val="000000"/>
          <w:sz w:val="20"/>
          <w:szCs w:val="20"/>
        </w:rPr>
        <w:t>In July 2019, the Federal Banking Agencies finalized certain changes to the Basel III Capital Rules for institutions not subject to the Basel III Advanced Approaches (“Capital Simplification Rule”). These changes, effective January 1, 2020, generally raise</w:t>
      </w:r>
      <w:r>
        <w:rPr>
          <w:rFonts w:eastAsia="Times New Roman"/>
          <w:color w:val="000000"/>
          <w:sz w:val="20"/>
          <w:szCs w:val="20"/>
        </w:rPr>
        <w:t xml:space="preserve">d the threshold above which a covered institution such as the Company must deduct certain assets from its CET1 capital, including certain deferred tax assets, mortgage servicing assets, and investments in unconsolidated financial institutions. </w:t>
      </w:r>
    </w:p>
    <w:p w:rsidR="00000000" w:rsidRDefault="00E0782F">
      <w:pPr>
        <w:jc w:val="both"/>
        <w:divId w:val="1177229234"/>
        <w:rPr>
          <w:rFonts w:eastAsia="Times New Roman"/>
        </w:rPr>
      </w:pPr>
      <w:r>
        <w:rPr>
          <w:rFonts w:eastAsia="Times New Roman"/>
          <w:color w:val="000000"/>
          <w:sz w:val="20"/>
          <w:szCs w:val="20"/>
        </w:rPr>
        <w:t xml:space="preserve">In October </w:t>
      </w:r>
      <w:r>
        <w:rPr>
          <w:rFonts w:eastAsia="Times New Roman"/>
          <w:color w:val="000000"/>
          <w:sz w:val="20"/>
          <w:szCs w:val="20"/>
        </w:rPr>
        <w:t>2019, the Federal Banking Agencies amended the Basel III Capital Rules to provide for tailored application of certain capital requirements across different categories of banking institutions (“Tailoring Rules”). These categories are determined primarily by</w:t>
      </w:r>
      <w:r>
        <w:rPr>
          <w:rFonts w:eastAsia="Times New Roman"/>
          <w:color w:val="000000"/>
          <w:sz w:val="20"/>
          <w:szCs w:val="20"/>
        </w:rPr>
        <w:t xml:space="preserve"> an institution’s asset size, with adjustments to a more stringent category possible if the institution exceeds certain risk-based thresholds. As a BHC with total consolidated assets of at least $250 billion that does not exceed any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6896332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6896332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6896332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6" style="width:0;height:1.5pt" o:hralign="center" o:hrstd="t" o:hr="t" fillcolor="#a0a0a0" stroked="f"/>
        </w:pict>
      </w:r>
    </w:p>
    <w:p w:rsidR="00000000" w:rsidRDefault="00E0782F">
      <w:pPr>
        <w:jc w:val="both"/>
        <w:divId w:val="135904625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234583704"/>
        <w:rPr>
          <w:rFonts w:eastAsia="Times New Roman"/>
        </w:rPr>
      </w:pPr>
      <w:r>
        <w:rPr>
          <w:rFonts w:eastAsia="Times New Roman"/>
          <w:color w:val="000000"/>
          <w:sz w:val="20"/>
          <w:szCs w:val="20"/>
        </w:rPr>
        <w:t>of the applicable risk-based thresholds, we are a Category III institution under the Tailoring Rules. Therefore, effective January 1, 2020, we w</w:t>
      </w:r>
      <w:r>
        <w:rPr>
          <w:rFonts w:eastAsia="Times New Roman"/>
          <w:color w:val="000000"/>
          <w:sz w:val="20"/>
          <w:szCs w:val="20"/>
        </w:rPr>
        <w:t xml:space="preserve">ere no longer subject to the Basel III “Advanced Approaches” framework and certain associated capital requirements, such as the requirement to include certain elements of accumulated other comprehensive income (“AOCI”) in our regulatory capital. We remain </w:t>
      </w:r>
      <w:r>
        <w:rPr>
          <w:rFonts w:eastAsia="Times New Roman"/>
          <w:color w:val="000000"/>
          <w:sz w:val="20"/>
          <w:szCs w:val="20"/>
        </w:rPr>
        <w:t xml:space="preserve">subject to the countercyclical capital buffer requirement (which is currently set at 0%) and supplementary leverage ratio requirement, which were previously required only for Basel III Advanced Approaches institutions. Effective as of the first quarter of </w:t>
      </w:r>
      <w:r>
        <w:rPr>
          <w:rFonts w:eastAsia="Times New Roman"/>
          <w:color w:val="000000"/>
          <w:sz w:val="20"/>
          <w:szCs w:val="20"/>
        </w:rPr>
        <w:t>2020, we excluded certain elements of AOCI from our regulatory capital as permitted by the Tailoring Rules. The Tailoring Rules and Capital Simplification Rule have, taken together, decreased our capital requirements.</w:t>
      </w:r>
    </w:p>
    <w:p w:rsidR="00000000" w:rsidRDefault="00E0782F">
      <w:pPr>
        <w:jc w:val="both"/>
        <w:divId w:val="1666544673"/>
        <w:rPr>
          <w:rFonts w:eastAsia="Times New Roman"/>
        </w:rPr>
      </w:pPr>
      <w:r>
        <w:rPr>
          <w:rFonts w:eastAsia="Times New Roman"/>
          <w:color w:val="000000"/>
          <w:sz w:val="20"/>
          <w:szCs w:val="20"/>
        </w:rPr>
        <w:t>Global systemically important banks (“</w:t>
      </w:r>
      <w:r>
        <w:rPr>
          <w:rFonts w:eastAsia="Times New Roman"/>
          <w:color w:val="000000"/>
          <w:sz w:val="20"/>
          <w:szCs w:val="20"/>
        </w:rPr>
        <w:t>G-SIBs”) that are based in the U.S. are subject to an additional CET1 capital requirement (“G-SIB Surcharge”). We are not a G-SIB based on the most recent available data and thus we are not subject to a G-SIB Surcharge.</w:t>
      </w:r>
    </w:p>
    <w:p w:rsidR="00000000" w:rsidRDefault="00E0782F">
      <w:pPr>
        <w:jc w:val="both"/>
        <w:divId w:val="842620759"/>
        <w:rPr>
          <w:rFonts w:eastAsia="Times New Roman"/>
        </w:rPr>
      </w:pPr>
      <w:r>
        <w:rPr>
          <w:rFonts w:eastAsia="Times New Roman"/>
          <w:b/>
          <w:bCs/>
          <w:i/>
          <w:iCs/>
          <w:color w:val="000000"/>
          <w:sz w:val="20"/>
          <w:szCs w:val="20"/>
        </w:rPr>
        <w:t>Stress Capital Buffer Rule</w:t>
      </w:r>
    </w:p>
    <w:p w:rsidR="00000000" w:rsidRDefault="00E0782F">
      <w:pPr>
        <w:jc w:val="both"/>
        <w:divId w:val="704478623"/>
        <w:rPr>
          <w:rFonts w:eastAsia="Times New Roman"/>
        </w:rPr>
      </w:pPr>
      <w:r>
        <w:rPr>
          <w:rFonts w:eastAsia="Times New Roman"/>
          <w:color w:val="000000"/>
          <w:sz w:val="20"/>
          <w:szCs w:val="20"/>
        </w:rPr>
        <w:t>The Basel</w:t>
      </w:r>
      <w:r>
        <w:rPr>
          <w:rFonts w:eastAsia="Times New Roman"/>
          <w:color w:val="000000"/>
          <w:sz w:val="20"/>
          <w:szCs w:val="20"/>
        </w:rPr>
        <w:t xml:space="preserve"> III Capital Rules also require banking institutions to maintain a capital conservation buffer, composed of CET1 capital, above the regulatory minimum ratios. The capital conservation buffer for BHCs was previously fixed at 2.5%. In March 2020, the Federal</w:t>
      </w:r>
      <w:r>
        <w:rPr>
          <w:rFonts w:eastAsia="Times New Roman"/>
          <w:color w:val="000000"/>
          <w:sz w:val="20"/>
          <w:szCs w:val="20"/>
        </w:rPr>
        <w:t xml:space="preserve"> Reserve issued a final rule to implement the stress capital buffer requirement (“Stress Capital Buffer Rule”). The stress capital buffer requirement is institution-specific and replaces the fixed 2.5% capital conservation buffer for BHCs. </w:t>
      </w:r>
    </w:p>
    <w:p w:rsidR="00000000" w:rsidRDefault="00E0782F">
      <w:pPr>
        <w:jc w:val="both"/>
        <w:divId w:val="2074311922"/>
        <w:rPr>
          <w:rFonts w:eastAsia="Times New Roman"/>
        </w:rPr>
      </w:pPr>
      <w:r>
        <w:rPr>
          <w:rFonts w:eastAsia="Times New Roman"/>
          <w:color w:val="000000"/>
          <w:sz w:val="20"/>
          <w:szCs w:val="20"/>
        </w:rPr>
        <w:t>Pursuant to the</w:t>
      </w:r>
      <w:r>
        <w:rPr>
          <w:rFonts w:eastAsia="Times New Roman"/>
          <w:color w:val="000000"/>
          <w:sz w:val="20"/>
          <w:szCs w:val="20"/>
        </w:rPr>
        <w:t xml:space="preserve"> Stress Capital Buffer Rule, the Federal Reserve will use the results of its supervisory stress test to determine the size of a BHC’s stress capital buffer requirement. In particular, a BHC’s stress capital buffer requirement will equal, subject to a floor</w:t>
      </w:r>
      <w:r>
        <w:rPr>
          <w:rFonts w:eastAsia="Times New Roman"/>
          <w:color w:val="000000"/>
          <w:sz w:val="20"/>
          <w:szCs w:val="20"/>
        </w:rPr>
        <w:t xml:space="preserve"> of 2.5%, the sum of (i) the difference between the BHC’s starting CET1 capital ratio and its lowest projected CET1 capital ratio under the severely adverse scenario of the Federal Reserve’s supervisory stress test plus (ii) the ratio of the BHC’s projecte</w:t>
      </w:r>
      <w:r>
        <w:rPr>
          <w:rFonts w:eastAsia="Times New Roman"/>
          <w:color w:val="000000"/>
          <w:sz w:val="20"/>
          <w:szCs w:val="20"/>
        </w:rPr>
        <w:t>d four quarters of common stock dividends (for the fourth to seventh quarters of the planning horizon) to the projected risk-weighted assets for the quarter in which the BHC’s projected CET1 capital ratio reaches its minimum under the supervisory stress te</w:t>
      </w:r>
      <w:r>
        <w:rPr>
          <w:rFonts w:eastAsia="Times New Roman"/>
          <w:color w:val="000000"/>
          <w:sz w:val="20"/>
          <w:szCs w:val="20"/>
        </w:rPr>
        <w:t xml:space="preserve">st. </w:t>
      </w:r>
    </w:p>
    <w:p w:rsidR="00000000" w:rsidRDefault="00E0782F">
      <w:pPr>
        <w:jc w:val="both"/>
        <w:divId w:val="129636702"/>
        <w:rPr>
          <w:rFonts w:eastAsia="Times New Roman"/>
        </w:rPr>
      </w:pPr>
      <w:r>
        <w:rPr>
          <w:rFonts w:eastAsia="Times New Roman"/>
          <w:color w:val="000000"/>
          <w:sz w:val="20"/>
          <w:szCs w:val="20"/>
        </w:rPr>
        <w:t xml:space="preserve">Under the Stress Capital Buffer Rule framework, the Company’s new “standardized approach capital conservation buffer” includes its stress capital buffer requirement (which will be recalibrated every year based on the Company’s supervisory stress test </w:t>
      </w:r>
      <w:r>
        <w:rPr>
          <w:rFonts w:eastAsia="Times New Roman"/>
          <w:color w:val="000000"/>
          <w:sz w:val="20"/>
          <w:szCs w:val="20"/>
        </w:rPr>
        <w:t>results), any G-SIB surcharge (which is not applicable to us) and the countercyclical capital buffer requirement (which is currently set at 0%). Any determination to increase the countercyclical capital buffer generally would be effective twelve months aft</w:t>
      </w:r>
      <w:r>
        <w:rPr>
          <w:rFonts w:eastAsia="Times New Roman"/>
          <w:color w:val="000000"/>
          <w:sz w:val="20"/>
          <w:szCs w:val="20"/>
        </w:rPr>
        <w:t xml:space="preserve">er the announcement of such an increase, unless the Federal Banking Agencies set an earlier effective date. </w:t>
      </w:r>
    </w:p>
    <w:p w:rsidR="00000000" w:rsidRDefault="00E0782F">
      <w:pPr>
        <w:jc w:val="both"/>
        <w:divId w:val="676613806"/>
        <w:rPr>
          <w:rFonts w:eastAsia="Times New Roman"/>
        </w:rPr>
      </w:pPr>
      <w:r>
        <w:rPr>
          <w:rFonts w:eastAsia="Times New Roman"/>
          <w:color w:val="000000"/>
          <w:sz w:val="20"/>
          <w:szCs w:val="20"/>
        </w:rPr>
        <w:t xml:space="preserve">The Stress Capital Buffer Rule does not apply to the Banks. The capital conservation buffer for the Banks continues to be fixed at 2.5%. </w:t>
      </w:r>
    </w:p>
    <w:p w:rsidR="00000000" w:rsidRDefault="00E0782F">
      <w:pPr>
        <w:jc w:val="both"/>
        <w:divId w:val="376591964"/>
        <w:rPr>
          <w:rFonts w:eastAsia="Times New Roman"/>
        </w:rPr>
      </w:pPr>
      <w:r>
        <w:rPr>
          <w:rFonts w:eastAsia="Times New Roman"/>
          <w:color w:val="000000"/>
          <w:sz w:val="20"/>
          <w:szCs w:val="20"/>
        </w:rPr>
        <w:t>If we fai</w:t>
      </w:r>
      <w:r>
        <w:rPr>
          <w:rFonts w:eastAsia="Times New Roman"/>
          <w:color w:val="000000"/>
          <w:sz w:val="20"/>
          <w:szCs w:val="20"/>
        </w:rPr>
        <w:t>l to maintain our capital ratios above the minimum capital requirements plus the applicable buffer requirements, we will face increasingly strict automatic limitations on capital distributions and discretionary bonus payments to certain executive officers.</w:t>
      </w:r>
    </w:p>
    <w:p w:rsidR="00000000" w:rsidRDefault="00E0782F">
      <w:pPr>
        <w:jc w:val="both"/>
        <w:divId w:val="697239808"/>
        <w:rPr>
          <w:rFonts w:eastAsia="Times New Roman"/>
        </w:rPr>
      </w:pPr>
      <w:r>
        <w:rPr>
          <w:rFonts w:eastAsia="Times New Roman"/>
          <w:color w:val="000000"/>
          <w:sz w:val="20"/>
          <w:szCs w:val="20"/>
        </w:rPr>
        <w:t>Under the Basel III Capital Rules, if a banking institution’s capital ratios fall within its buffer requirements, the maximum amount of capital distributions and discretionary bonus payments it can make is a function of its eligible retained income. In Ma</w:t>
      </w:r>
      <w:r>
        <w:rPr>
          <w:rFonts w:eastAsia="Times New Roman"/>
          <w:color w:val="000000"/>
          <w:sz w:val="20"/>
          <w:szCs w:val="20"/>
        </w:rPr>
        <w:t>rch 2020, the Federal Banking Agencies revised the definition of “eligible retained income” in their respective capital rules. Under the revised definition of “eligible retained income,” any such automatic limitations on capital distributions would apply i</w:t>
      </w:r>
      <w:r>
        <w:rPr>
          <w:rFonts w:eastAsia="Times New Roman"/>
          <w:color w:val="000000"/>
          <w:sz w:val="20"/>
          <w:szCs w:val="20"/>
        </w:rPr>
        <w:t>n a less severe and more gradual manner than would otherwise have occurred under the previous definition of that term. This change was made in response to the COVID-19 pandemic to support banking organizations that choose to use their capital and liquidity</w:t>
      </w:r>
      <w:r>
        <w:rPr>
          <w:rFonts w:eastAsia="Times New Roman"/>
          <w:color w:val="000000"/>
          <w:sz w:val="20"/>
          <w:szCs w:val="20"/>
        </w:rPr>
        <w:t xml:space="preserve"> buffers to lend and undertake other actions that support economic activity in a safe and sound manner.</w:t>
      </w:r>
    </w:p>
    <w:p w:rsidR="00000000" w:rsidRDefault="00E0782F">
      <w:pPr>
        <w:jc w:val="both"/>
        <w:divId w:val="1654945121"/>
        <w:rPr>
          <w:rFonts w:eastAsia="Times New Roman"/>
        </w:rPr>
      </w:pPr>
      <w:r>
        <w:rPr>
          <w:rFonts w:eastAsia="Times New Roman"/>
          <w:b/>
          <w:bCs/>
          <w:i/>
          <w:iCs/>
          <w:color w:val="000000"/>
          <w:sz w:val="20"/>
          <w:szCs w:val="20"/>
        </w:rPr>
        <w:t>CECL Transition</w:t>
      </w:r>
      <w:r>
        <w:rPr>
          <w:rFonts w:eastAsia="Times New Roman"/>
          <w:color w:val="000000"/>
          <w:sz w:val="20"/>
          <w:szCs w:val="20"/>
        </w:rPr>
        <w:t xml:space="preserve"> </w:t>
      </w:r>
      <w:r>
        <w:rPr>
          <w:rFonts w:eastAsia="Times New Roman"/>
          <w:b/>
          <w:bCs/>
          <w:i/>
          <w:iCs/>
          <w:color w:val="000000"/>
          <w:sz w:val="20"/>
          <w:szCs w:val="20"/>
        </w:rPr>
        <w:t>Rule</w:t>
      </w:r>
    </w:p>
    <w:p w:rsidR="00000000" w:rsidRDefault="00E0782F">
      <w:pPr>
        <w:jc w:val="both"/>
        <w:divId w:val="1037198069"/>
        <w:rPr>
          <w:rFonts w:eastAsia="Times New Roman"/>
        </w:rPr>
      </w:pPr>
      <w:r>
        <w:rPr>
          <w:rFonts w:eastAsia="Times New Roman"/>
          <w:color w:val="000000"/>
          <w:sz w:val="20"/>
          <w:szCs w:val="20"/>
        </w:rPr>
        <w:t>As part of the response to the COVID-19 pandemic, the Federal Banking Agencies adopted a final rule (“2020 CECL Transition Rule”) t</w:t>
      </w:r>
      <w:r>
        <w:rPr>
          <w:rFonts w:eastAsia="Times New Roman"/>
          <w:color w:val="000000"/>
          <w:sz w:val="20"/>
          <w:szCs w:val="20"/>
        </w:rPr>
        <w:t xml:space="preserve">hat provides banking institutions an optional five-year transition period to phase in the impact of the CECL standard on their regulatory capital (the “2020 CECL Transition Election”). </w:t>
      </w:r>
    </w:p>
    <w:p w:rsidR="00000000" w:rsidRDefault="00E0782F">
      <w:pPr>
        <w:jc w:val="both"/>
        <w:divId w:val="148324370"/>
        <w:rPr>
          <w:rFonts w:eastAsia="Times New Roman"/>
        </w:rPr>
      </w:pPr>
      <w:r>
        <w:rPr>
          <w:rFonts w:eastAsia="Times New Roman"/>
          <w:color w:val="000000"/>
          <w:sz w:val="20"/>
          <w:szCs w:val="20"/>
        </w:rPr>
        <w:t>Pursuant to the 2020 CECL Transition Rule, a banking institution may e</w:t>
      </w:r>
      <w:r>
        <w:rPr>
          <w:rFonts w:eastAsia="Times New Roman"/>
          <w:color w:val="000000"/>
          <w:sz w:val="20"/>
          <w:szCs w:val="20"/>
        </w:rPr>
        <w:t>lect to delay the estimated impact of adopting CECL on its regulatory capital through December 31, 2021 and then phase in the estimated cumulative impact from January 1, 2022 through December 31, 2024. For the “day 2” ongoing impact of CECL during the init</w:t>
      </w:r>
      <w:r>
        <w:rPr>
          <w:rFonts w:eastAsia="Times New Roman"/>
          <w:color w:val="000000"/>
          <w:sz w:val="20"/>
          <w:szCs w:val="20"/>
        </w:rPr>
        <w:t xml:space="preserve">ial two years, the Federal Banking Agencies use a uniform “scaling factor” of 25% as an approximation of the increase in the allowance under the CECL standard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327816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327816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327816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7" style="width:0;height:1.5pt" o:hralign="center" o:hrstd="t" o:hr="t" fillcolor="#a0a0a0" stroked="f"/>
        </w:pict>
      </w:r>
    </w:p>
    <w:p w:rsidR="00000000" w:rsidRDefault="00E0782F">
      <w:pPr>
        <w:jc w:val="both"/>
        <w:divId w:val="208479178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59388468"/>
        <w:rPr>
          <w:rFonts w:eastAsia="Times New Roman"/>
        </w:rPr>
      </w:pPr>
      <w:r>
        <w:rPr>
          <w:rFonts w:eastAsia="Times New Roman"/>
          <w:color w:val="000000"/>
          <w:sz w:val="20"/>
          <w:szCs w:val="20"/>
        </w:rPr>
        <w:t>compared to the prior incurred loss methodology. Accordingly, from January 1, 2020 through Decembe</w:t>
      </w:r>
      <w:r>
        <w:rPr>
          <w:rFonts w:eastAsia="Times New Roman"/>
          <w:color w:val="000000"/>
          <w:sz w:val="20"/>
          <w:szCs w:val="20"/>
        </w:rPr>
        <w:t>r 31, 2021, electing banking institutions are permitted to add back to their regulatory capital an amount equal to the sum of the after-tax “day 1” CECL adoption impact and 25% of the increase in the allowance since the adoption of the CECL standard. Begin</w:t>
      </w:r>
      <w:r>
        <w:rPr>
          <w:rFonts w:eastAsia="Times New Roman"/>
          <w:color w:val="000000"/>
          <w:sz w:val="20"/>
          <w:szCs w:val="20"/>
        </w:rPr>
        <w:t xml:space="preserve">ning January 1, 2022 through December 31, 2024, the after-tax “day 1” CECL adoption impact and the cumulative “day 2” ongoing impact will be phased in to regulatory capital at 25% per year. The following table summarizes the capital impact delay and phase </w:t>
      </w:r>
      <w:r>
        <w:rPr>
          <w:rFonts w:eastAsia="Times New Roman"/>
          <w:color w:val="000000"/>
          <w:sz w:val="20"/>
          <w:szCs w:val="20"/>
        </w:rPr>
        <w:t>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116608298"/>
        </w:trPr>
        <w:tc>
          <w:tcPr>
            <w:tcW w:w="50" w:type="pct"/>
            <w:vAlign w:val="center"/>
            <w:hideMark/>
          </w:tcPr>
          <w:p w:rsidR="00000000" w:rsidRDefault="00E0782F">
            <w:pPr>
              <w:jc w:val="both"/>
              <w:rPr>
                <w:rFonts w:eastAsia="Times New Roman"/>
              </w:rPr>
            </w:pPr>
          </w:p>
        </w:tc>
        <w:tc>
          <w:tcPr>
            <w:tcW w:w="14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6608298"/>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Phase In Period</w:t>
            </w:r>
          </w:p>
        </w:tc>
      </w:tr>
      <w:tr w:rsidR="00000000">
        <w:trPr>
          <w:divId w:val="116608298"/>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bottom w:val="single" w:sz="8" w:space="0" w:color="FFFFFF"/>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2025</w:t>
            </w:r>
          </w:p>
        </w:tc>
      </w:tr>
      <w:tr w:rsidR="00000000">
        <w:trPr>
          <w:divId w:val="116608298"/>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“Day 1” </w:t>
            </w:r>
            <w:r>
              <w:rPr>
                <w:rFonts w:eastAsia="Times New Roman"/>
                <w:color w:val="000000"/>
                <w:sz w:val="18"/>
                <w:szCs w:val="18"/>
              </w:rPr>
              <w:t>CECL adoption impact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Fully Phased In</w:t>
            </w:r>
          </w:p>
        </w:tc>
      </w:tr>
      <w:tr w:rsidR="00000000">
        <w:trPr>
          <w:divId w:val="116608298"/>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  </w:t>
            </w:r>
            <w:r>
              <w:rPr>
                <w:rFonts w:eastAsia="Times New Roman"/>
                <w:color w:val="000000"/>
                <w:sz w:val="18"/>
                <w:szCs w:val="18"/>
              </w:rPr>
              <w:t>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r>
    </w:tbl>
    <w:p w:rsidR="00000000" w:rsidRDefault="00E0782F">
      <w:pPr>
        <w:jc w:val="both"/>
        <w:divId w:val="1425102916"/>
        <w:rPr>
          <w:rFonts w:eastAsia="Times New Roman"/>
        </w:rPr>
      </w:pPr>
      <w:r>
        <w:rPr>
          <w:rFonts w:eastAsia="Times New Roman"/>
          <w:color w:val="000000"/>
          <w:sz w:val="20"/>
          <w:szCs w:val="20"/>
        </w:rPr>
        <w:t>We adopted the CECL standard (for accounting purposes) as of January 1, 2020, and made the 2020 CECL Transition Election (for regulatory capital purposes) in the first quarter of 2020.</w:t>
      </w:r>
    </w:p>
    <w:p w:rsidR="00000000" w:rsidRDefault="00E0782F">
      <w:pPr>
        <w:jc w:val="both"/>
        <w:divId w:val="1561284023"/>
        <w:rPr>
          <w:rFonts w:eastAsia="Times New Roman"/>
        </w:rPr>
      </w:pPr>
      <w:r>
        <w:rPr>
          <w:rFonts w:eastAsia="Times New Roman"/>
          <w:b/>
          <w:bCs/>
          <w:i/>
          <w:iCs/>
          <w:color w:val="000000"/>
          <w:sz w:val="20"/>
          <w:szCs w:val="20"/>
        </w:rPr>
        <w:t>Temporary Exclusions for Supplementary Leverage Ratio</w:t>
      </w:r>
    </w:p>
    <w:p w:rsidR="00000000" w:rsidRDefault="00E0782F">
      <w:pPr>
        <w:jc w:val="both"/>
        <w:divId w:val="2134402098"/>
        <w:rPr>
          <w:rFonts w:eastAsia="Times New Roman"/>
        </w:rPr>
      </w:pPr>
      <w:r>
        <w:rPr>
          <w:rFonts w:eastAsia="Times New Roman"/>
          <w:color w:val="000000"/>
          <w:sz w:val="20"/>
          <w:szCs w:val="20"/>
        </w:rPr>
        <w:t>In addition, in April 2020, as part of the response to the COVID-19 pandemic, the Federal Reserve issued an interim final rule that temporarily excludes U.S. Treasury securities and deposits at Federal Reserve Banks from the calculation of the supplementar</w:t>
      </w:r>
      <w:r>
        <w:rPr>
          <w:rFonts w:eastAsia="Times New Roman"/>
          <w:color w:val="000000"/>
          <w:sz w:val="20"/>
          <w:szCs w:val="20"/>
        </w:rPr>
        <w:t>y leverage ratio for BHCs. These exclusions became effective on April 1, 2020, and will remain in effect through March 31, 2021.</w:t>
      </w:r>
    </w:p>
    <w:p w:rsidR="00000000" w:rsidRDefault="00E0782F">
      <w:pPr>
        <w:jc w:val="both"/>
        <w:divId w:val="62458695"/>
        <w:rPr>
          <w:rFonts w:eastAsia="Times New Roman"/>
        </w:rPr>
      </w:pPr>
      <w:r>
        <w:rPr>
          <w:rFonts w:eastAsia="Times New Roman"/>
          <w:color w:val="000000"/>
          <w:sz w:val="20"/>
          <w:szCs w:val="20"/>
        </w:rPr>
        <w:t>Subsequently, in May 2020, the Federal Banking Agencies issued an interim final rule that provides an option for depository ins</w:t>
      </w:r>
      <w:r>
        <w:rPr>
          <w:rFonts w:eastAsia="Times New Roman"/>
          <w:color w:val="000000"/>
          <w:sz w:val="20"/>
          <w:szCs w:val="20"/>
        </w:rPr>
        <w:t>titutions to make similar exclusions to the calculation of the supplementary leverage ratio. If a depository institution elects to make such exclusions, it must request prior approval from its primary federal banking regulator before making capital distrib</w:t>
      </w:r>
      <w:r>
        <w:rPr>
          <w:rFonts w:eastAsia="Times New Roman"/>
          <w:color w:val="000000"/>
          <w:sz w:val="20"/>
          <w:szCs w:val="20"/>
        </w:rPr>
        <w:t>utions, such as paying dividends to its parent company, for as long as the exclusions are in effect. Neither CONA nor COBNA elected to make such exclusions.</w:t>
      </w:r>
    </w:p>
    <w:p w:rsidR="00000000" w:rsidRDefault="00E0782F">
      <w:pPr>
        <w:divId w:val="707605482"/>
        <w:rPr>
          <w:rFonts w:eastAsia="Times New Roman"/>
        </w:rPr>
      </w:pPr>
      <w:r>
        <w:rPr>
          <w:rFonts w:eastAsia="Times New Roman"/>
          <w:b/>
          <w:bCs/>
          <w:i/>
          <w:iCs/>
          <w:color w:val="000000"/>
          <w:sz w:val="20"/>
          <w:szCs w:val="20"/>
        </w:rPr>
        <w:t>Market Risk Rule</w:t>
      </w:r>
    </w:p>
    <w:p w:rsidR="00000000" w:rsidRDefault="00E0782F">
      <w:pPr>
        <w:jc w:val="both"/>
        <w:divId w:val="950744389"/>
        <w:rPr>
          <w:rFonts w:eastAsia="Times New Roman"/>
        </w:rPr>
      </w:pPr>
      <w:r>
        <w:rPr>
          <w:rFonts w:eastAsia="Times New Roman"/>
          <w:color w:val="000000"/>
          <w:sz w:val="20"/>
          <w:szCs w:val="20"/>
        </w:rPr>
        <w:t>The “Market Risk Rule” supplements the Basel III Capital Rules by requiring instit</w:t>
      </w:r>
      <w:r>
        <w:rPr>
          <w:rFonts w:eastAsia="Times New Roman"/>
          <w:color w:val="000000"/>
          <w:sz w:val="20"/>
          <w:szCs w:val="20"/>
        </w:rPr>
        <w:t>utions subject to the Market Risk Rule to adjust their risk-based capital ratios to reflect the market risk in their trading portfolios. The Market Risk Rule generally applies to institutions with aggregate trading assets and liabilities equal to the lesse</w:t>
      </w:r>
      <w:r>
        <w:rPr>
          <w:rFonts w:eastAsia="Times New Roman"/>
          <w:color w:val="000000"/>
          <w:sz w:val="20"/>
          <w:szCs w:val="20"/>
        </w:rPr>
        <w:t>r of 10% or more of total assets or $1 billion or more. The Company and CONA are subject to the Market Risk Rule. See “MD&amp;A—Market Risk Profile” below for additional information.</w:t>
      </w:r>
    </w:p>
    <w:p w:rsidR="00000000" w:rsidRDefault="00E0782F">
      <w:pPr>
        <w:divId w:val="567691409"/>
        <w:rPr>
          <w:rFonts w:eastAsia="Times New Roman"/>
        </w:rPr>
      </w:pPr>
      <w:r>
        <w:rPr>
          <w:rFonts w:eastAsia="Times New Roman"/>
          <w:b/>
          <w:bCs/>
          <w:i/>
          <w:iCs/>
          <w:color w:val="000000"/>
          <w:sz w:val="20"/>
          <w:szCs w:val="20"/>
        </w:rPr>
        <w:t>FDICIA and Prompt Corrective Action</w:t>
      </w:r>
    </w:p>
    <w:p w:rsidR="00000000" w:rsidRDefault="00E0782F">
      <w:pPr>
        <w:jc w:val="both"/>
        <w:divId w:val="1968773052"/>
        <w:rPr>
          <w:rFonts w:eastAsia="Times New Roman"/>
        </w:rPr>
      </w:pPr>
      <w:r>
        <w:rPr>
          <w:rFonts w:eastAsia="Times New Roman"/>
          <w:color w:val="000000"/>
          <w:sz w:val="20"/>
          <w:szCs w:val="20"/>
        </w:rPr>
        <w:t>The FDICIA requires the Federal Banking A</w:t>
      </w:r>
      <w:r>
        <w:rPr>
          <w:rFonts w:eastAsia="Times New Roman"/>
          <w:color w:val="000000"/>
          <w:sz w:val="20"/>
          <w:szCs w:val="20"/>
        </w:rPr>
        <w:t>gencies to take “prompt corrective action” for banks that do not meet minimum capital requirements. The FDICIA establishes five capital ratio levels: well capitalized; adequately capitalized; undercapitalized; significantly undercapitalized; and critically</w:t>
      </w:r>
      <w:r>
        <w:rPr>
          <w:rFonts w:eastAsia="Times New Roman"/>
          <w:color w:val="000000"/>
          <w:sz w:val="20"/>
          <w:szCs w:val="20"/>
        </w:rPr>
        <w:t xml:space="preserve"> undercapitalized. The three undercapitalized categories are based upon the amount by which a bank falls below the ratios applicable to an adequately capitalized institution. The capital categories relate to the FDICIA’s prompt corrective action (“PCA”) pr</w:t>
      </w:r>
      <w:r>
        <w:rPr>
          <w:rFonts w:eastAsia="Times New Roman"/>
          <w:color w:val="000000"/>
          <w:sz w:val="20"/>
          <w:szCs w:val="20"/>
        </w:rPr>
        <w:t>ovisions, and such capital categories may not constitute an accurate representation of the Banks’ overall financial condition or prospects.</w:t>
      </w:r>
    </w:p>
    <w:p w:rsidR="00000000" w:rsidRDefault="00E0782F">
      <w:pPr>
        <w:jc w:val="both"/>
        <w:divId w:val="378281857"/>
        <w:rPr>
          <w:rFonts w:eastAsia="Times New Roman"/>
        </w:rPr>
      </w:pPr>
      <w:r>
        <w:rPr>
          <w:rFonts w:eastAsia="Times New Roman"/>
          <w:color w:val="000000"/>
          <w:sz w:val="20"/>
          <w:szCs w:val="20"/>
        </w:rPr>
        <w:t>The Basel III Capital Rules updated the PCA framework to reflect new, higher regulatory capital minimums. For an ins</w:t>
      </w:r>
      <w:r>
        <w:rPr>
          <w:rFonts w:eastAsia="Times New Roman"/>
          <w:color w:val="000000"/>
          <w:sz w:val="20"/>
          <w:szCs w:val="20"/>
        </w:rPr>
        <w:t xml:space="preserve">ured depository institution to be well capitalized, it must maintain a total risk-based capital ratio of 10% or more; a Tier 1 capital ratio of 8% or more; a CET1 capital ratio of 6.5% or more; and a leverage ratio of 5% or more. An adequately capitalized </w:t>
      </w:r>
      <w:r>
        <w:rPr>
          <w:rFonts w:eastAsia="Times New Roman"/>
          <w:color w:val="000000"/>
          <w:sz w:val="20"/>
          <w:szCs w:val="20"/>
        </w:rPr>
        <w:t xml:space="preserve">depository institution must maintain a total risk-based capital ratio of 8% or more; a Tier 1 capital ratio of 6% or more; a CET1 capital ratio of 4.5% or more; a leverage ratio of 4% or more; and, for Category III and certain other institutions under the </w:t>
      </w:r>
      <w:r>
        <w:rPr>
          <w:rFonts w:eastAsia="Times New Roman"/>
          <w:color w:val="000000"/>
          <w:sz w:val="20"/>
          <w:szCs w:val="20"/>
        </w:rPr>
        <w:t>Tailoring Rules, a supplementary leverage ratio of 3% or more. The PCA provisions also authorize the Federal Banking Agencies to reclassify a bank’s capital category or take other action against banks that are determined to be in an unsafe or unsound condi</w:t>
      </w:r>
      <w:r>
        <w:rPr>
          <w:rFonts w:eastAsia="Times New Roman"/>
          <w:color w:val="000000"/>
          <w:sz w:val="20"/>
          <w:szCs w:val="20"/>
        </w:rPr>
        <w:t>tion or to have engaged in unsafe or unsound banking practices.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1534826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1534826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1534826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8" style="width:0;height:1.5pt" o:hralign="center" o:hrstd="t" o:hr="t" fillcolor="#a0a0a0" stroked="f"/>
        </w:pict>
      </w:r>
    </w:p>
    <w:p w:rsidR="00000000" w:rsidRDefault="00E0782F">
      <w:pPr>
        <w:jc w:val="both"/>
        <w:divId w:val="117214207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952708669"/>
        <w:rPr>
          <w:rFonts w:eastAsia="Times New Roman"/>
        </w:rPr>
      </w:pPr>
      <w:r>
        <w:rPr>
          <w:rFonts w:eastAsia="Times New Roman"/>
          <w:color w:val="000000"/>
          <w:sz w:val="20"/>
          <w:szCs w:val="20"/>
        </w:rPr>
        <w:t>As an additional means to identify problems in the financial management of depository institutions, the FDICIA required the Federal Banking Agen</w:t>
      </w:r>
      <w:r>
        <w:rPr>
          <w:rFonts w:eastAsia="Times New Roman"/>
          <w:color w:val="000000"/>
          <w:sz w:val="20"/>
          <w:szCs w:val="20"/>
        </w:rPr>
        <w:t>cies to establish certain non-capital safety and soundness standards. The standards adopted by the Federal Banking Agencies relate generally to operations and management, asset quality, interest rate exposure and executive compensation. The Federal Banking</w:t>
      </w:r>
      <w:r>
        <w:rPr>
          <w:rFonts w:eastAsia="Times New Roman"/>
          <w:color w:val="000000"/>
          <w:sz w:val="20"/>
          <w:szCs w:val="20"/>
        </w:rPr>
        <w:t xml:space="preserve"> Agencies are authorized to take action against institutions that fail to meet such standards.</w:t>
      </w:r>
    </w:p>
    <w:p w:rsidR="00000000" w:rsidRDefault="00E0782F">
      <w:pPr>
        <w:divId w:val="2042431830"/>
        <w:rPr>
          <w:rFonts w:eastAsia="Times New Roman"/>
        </w:rPr>
      </w:pPr>
      <w:r>
        <w:rPr>
          <w:rFonts w:eastAsia="Times New Roman"/>
          <w:b/>
          <w:bCs/>
          <w:i/>
          <w:iCs/>
          <w:color w:val="000000"/>
          <w:sz w:val="20"/>
          <w:szCs w:val="20"/>
        </w:rPr>
        <w:t>Basel III and United States Liquidity Rules</w:t>
      </w:r>
    </w:p>
    <w:p w:rsidR="00000000" w:rsidRDefault="00E0782F">
      <w:pPr>
        <w:jc w:val="both"/>
        <w:divId w:val="1014110814"/>
        <w:rPr>
          <w:rFonts w:eastAsia="Times New Roman"/>
        </w:rPr>
      </w:pPr>
      <w:r>
        <w:rPr>
          <w:rFonts w:eastAsia="Times New Roman"/>
          <w:color w:val="000000"/>
          <w:sz w:val="20"/>
          <w:szCs w:val="20"/>
        </w:rPr>
        <w:t>The Basel Committee has published a liquidity framework that includes two standards for liquidity risk supervision. O</w:t>
      </w:r>
      <w:r>
        <w:rPr>
          <w:rFonts w:eastAsia="Times New Roman"/>
          <w:color w:val="000000"/>
          <w:sz w:val="20"/>
          <w:szCs w:val="20"/>
        </w:rPr>
        <w:t>ne standard, the liquidity coverage ratio (“LCR”), seeks to promote short-term resilience by requiring organizations to hold sufficient high-quality liquid assets (“HQLAs”) to survive a stress scenario lasting for 30 days. The other standard, the net stabl</w:t>
      </w:r>
      <w:r>
        <w:rPr>
          <w:rFonts w:eastAsia="Times New Roman"/>
          <w:color w:val="000000"/>
          <w:sz w:val="20"/>
          <w:szCs w:val="20"/>
        </w:rPr>
        <w:t>e funding ratio (“NSFR”), seeks to promote longer-term resilience by requiring sufficient stable funding over a one-year period based on the liquidity characteristics of the organization’s assets and activities.</w:t>
      </w:r>
    </w:p>
    <w:p w:rsidR="00000000" w:rsidRDefault="00E0782F">
      <w:pPr>
        <w:jc w:val="both"/>
        <w:divId w:val="550193018"/>
        <w:rPr>
          <w:rFonts w:eastAsia="Times New Roman"/>
        </w:rPr>
      </w:pPr>
      <w:r>
        <w:rPr>
          <w:rFonts w:eastAsia="Times New Roman"/>
          <w:color w:val="000000"/>
          <w:sz w:val="20"/>
          <w:szCs w:val="20"/>
        </w:rPr>
        <w:t>The Company and the Banks are subject to the</w:t>
      </w:r>
      <w:r>
        <w:rPr>
          <w:rFonts w:eastAsia="Times New Roman"/>
          <w:color w:val="000000"/>
          <w:sz w:val="20"/>
          <w:szCs w:val="20"/>
        </w:rPr>
        <w:t xml:space="preserve"> LCR standard as implemented by the Federal Reserve and OCC (the “LCR Rule”). The LCR Rule requires the Company and each of the Banks to hold an amount of eligible HQLA that equals or exceeds 100% of its respective projected adjusted net cash outflows over</w:t>
      </w:r>
      <w:r>
        <w:rPr>
          <w:rFonts w:eastAsia="Times New Roman"/>
          <w:color w:val="000000"/>
          <w:sz w:val="20"/>
          <w:szCs w:val="20"/>
        </w:rPr>
        <w:t xml:space="preserve"> a 30-day period, each as calculated in accordance with the LCR Rule. The LCR Rule requires us to calculate our LCR daily. In addition, the Company is required to make quarterly public disclosures of its LCR and certain related quantitative liquidity metri</w:t>
      </w:r>
      <w:r>
        <w:rPr>
          <w:rFonts w:eastAsia="Times New Roman"/>
          <w:color w:val="000000"/>
          <w:sz w:val="20"/>
          <w:szCs w:val="20"/>
        </w:rPr>
        <w:t xml:space="preserve">cs, along with a qualitative discussion of its LCR. </w:t>
      </w:r>
    </w:p>
    <w:p w:rsidR="00000000" w:rsidRDefault="00E0782F">
      <w:pPr>
        <w:jc w:val="both"/>
        <w:divId w:val="845946774"/>
        <w:rPr>
          <w:rFonts w:eastAsia="Times New Roman"/>
        </w:rPr>
      </w:pPr>
      <w:r>
        <w:rPr>
          <w:rFonts w:eastAsia="Times New Roman"/>
          <w:color w:val="000000"/>
          <w:sz w:val="20"/>
          <w:szCs w:val="20"/>
        </w:rPr>
        <w:t>Under the Tailoring Rules, as a Category III institution with less than $75 billion in weighted average short-term wholesale funding, the Company’s and the Banks’ total net cash outflows are multiplied b</w:t>
      </w:r>
      <w:r>
        <w:rPr>
          <w:rFonts w:eastAsia="Times New Roman"/>
          <w:color w:val="000000"/>
          <w:sz w:val="20"/>
          <w:szCs w:val="20"/>
        </w:rPr>
        <w:t>y an outflow adjustment percentage of 85%. Although the Banks may hold more HQLA than they need to meet their LCR requirements, the LCR Rule restricts the amount of such excess HQLA held at the Banks (referred to as “Trapped Liquidity”) that can be include</w:t>
      </w:r>
      <w:r>
        <w:rPr>
          <w:rFonts w:eastAsia="Times New Roman"/>
          <w:color w:val="000000"/>
          <w:sz w:val="20"/>
          <w:szCs w:val="20"/>
        </w:rPr>
        <w:t>d in the Company’s HQLA amount. Because we typically manage the Banks’ LCRs to levels well above 100%, the amount of Trapped Liquidity will also increase as the Banks’ total net cash outflows are reduced by the outflow adjustment percentage of 85%. </w:t>
      </w:r>
    </w:p>
    <w:p w:rsidR="00000000" w:rsidRDefault="00E0782F">
      <w:pPr>
        <w:jc w:val="both"/>
        <w:divId w:val="1039864355"/>
        <w:rPr>
          <w:rFonts w:eastAsia="Times New Roman"/>
        </w:rPr>
      </w:pPr>
      <w:r>
        <w:rPr>
          <w:rFonts w:eastAsia="Times New Roman"/>
          <w:color w:val="000000"/>
          <w:sz w:val="20"/>
          <w:szCs w:val="20"/>
        </w:rPr>
        <w:t>In Oct</w:t>
      </w:r>
      <w:r>
        <w:rPr>
          <w:rFonts w:eastAsia="Times New Roman"/>
          <w:color w:val="000000"/>
          <w:sz w:val="20"/>
          <w:szCs w:val="20"/>
        </w:rPr>
        <w:t>ober 2020, the Federal Banking Agencies finalized a rule to implement the NSFR in the United States (the “NSFR Rule”). The NSFR Rule requires the Company and each of the Banks to maintain an amount of available stable funding, which is a weighted measure o</w:t>
      </w:r>
      <w:r>
        <w:rPr>
          <w:rFonts w:eastAsia="Times New Roman"/>
          <w:color w:val="000000"/>
          <w:sz w:val="20"/>
          <w:szCs w:val="20"/>
        </w:rPr>
        <w:t>f a company’s funding sources over a one-year time horizon, calculated by applying standardized weightings to equity and liabilities based on their expected stability, that is no less than the amount of required stable funding, which is calculated by apply</w:t>
      </w:r>
      <w:r>
        <w:rPr>
          <w:rFonts w:eastAsia="Times New Roman"/>
          <w:color w:val="000000"/>
          <w:sz w:val="20"/>
          <w:szCs w:val="20"/>
        </w:rPr>
        <w:t>ing standardized weightings to assets, derivatives exposures and certain other items based on their liquidity characteristics. As a Category III institution, the Company and the Banks are subject to an NSFR requirement equal to 85% of the full NSFR require</w:t>
      </w:r>
      <w:r>
        <w:rPr>
          <w:rFonts w:eastAsia="Times New Roman"/>
          <w:color w:val="000000"/>
          <w:sz w:val="20"/>
          <w:szCs w:val="20"/>
        </w:rPr>
        <w:t>ment. The NSFR Rule will become effective as of July 1, 2021 and will apply to the Company and each of the Banks. The NSFR Rule includes a semi-annual disclosure requirement, with the first public disclosure required after June 30, 2023.</w:t>
      </w:r>
    </w:p>
    <w:p w:rsidR="00000000" w:rsidRDefault="00E0782F">
      <w:pPr>
        <w:divId w:val="1307509007"/>
        <w:rPr>
          <w:rFonts w:eastAsia="Times New Roman"/>
        </w:rPr>
      </w:pPr>
      <w:r>
        <w:rPr>
          <w:rFonts w:eastAsia="Times New Roman"/>
          <w:b/>
          <w:bCs/>
          <w:color w:val="000000"/>
          <w:sz w:val="20"/>
          <w:szCs w:val="20"/>
        </w:rPr>
        <w:t>Enhanced Prudentia</w:t>
      </w:r>
      <w:r>
        <w:rPr>
          <w:rFonts w:eastAsia="Times New Roman"/>
          <w:b/>
          <w:bCs/>
          <w:color w:val="000000"/>
          <w:sz w:val="20"/>
          <w:szCs w:val="20"/>
        </w:rPr>
        <w:t>l Standards and Other Related Requirements</w:t>
      </w:r>
    </w:p>
    <w:p w:rsidR="00000000" w:rsidRDefault="00E0782F">
      <w:pPr>
        <w:jc w:val="both"/>
        <w:divId w:val="887767513"/>
        <w:rPr>
          <w:rFonts w:eastAsia="Times New Roman"/>
        </w:rPr>
      </w:pPr>
      <w:r>
        <w:rPr>
          <w:rFonts w:eastAsia="Times New Roman"/>
          <w:color w:val="000000"/>
          <w:sz w:val="20"/>
          <w:szCs w:val="20"/>
        </w:rPr>
        <w:t>We are subject to certain enhanced prudential standards under the Dodd-Frank Act, as amended by the Economic Growth, Regulatory Relief, and Consumer Protection Act (“EGRRCPA”) and implemented by various regulation</w:t>
      </w:r>
      <w:r>
        <w:rPr>
          <w:rFonts w:eastAsia="Times New Roman"/>
          <w:color w:val="000000"/>
          <w:sz w:val="20"/>
          <w:szCs w:val="20"/>
        </w:rPr>
        <w:t>s issued by the Federal Banking Agencies. The Financial Stability Oversight Council (“FSOC”) may also issue recommendations to the Federal Reserve or other primary financial regulatory agencies to apply new or enhanced standards to certain financial activi</w:t>
      </w:r>
      <w:r>
        <w:rPr>
          <w:rFonts w:eastAsia="Times New Roman"/>
          <w:color w:val="000000"/>
          <w:sz w:val="20"/>
          <w:szCs w:val="20"/>
        </w:rPr>
        <w:t>ties or practices.</w:t>
      </w:r>
    </w:p>
    <w:p w:rsidR="00000000" w:rsidRDefault="00E0782F">
      <w:pPr>
        <w:jc w:val="both"/>
        <w:divId w:val="848759479"/>
        <w:rPr>
          <w:rFonts w:eastAsia="Times New Roman"/>
        </w:rPr>
      </w:pPr>
      <w:r>
        <w:rPr>
          <w:rFonts w:eastAsia="Times New Roman"/>
          <w:color w:val="000000"/>
          <w:sz w:val="20"/>
          <w:szCs w:val="20"/>
        </w:rPr>
        <w:t>As part of the enhanced prudential standards, the Company is required to implement resolution planning for orderly resolution in the event it faces material financial distress or failure. The FDIC issued similar rules regarding resolutio</w:t>
      </w:r>
      <w:r>
        <w:rPr>
          <w:rFonts w:eastAsia="Times New Roman"/>
          <w:color w:val="000000"/>
          <w:sz w:val="20"/>
          <w:szCs w:val="20"/>
        </w:rPr>
        <w:t>n planning applicable to the Banks. In addition, the OCC has issued rules requiring banks with assets of $250 billion or more to develop recovery plans detailing the actions they would take to remain a going concern when they experience considerable financ</w:t>
      </w:r>
      <w:r>
        <w:rPr>
          <w:rFonts w:eastAsia="Times New Roman"/>
          <w:color w:val="000000"/>
          <w:sz w:val="20"/>
          <w:szCs w:val="20"/>
        </w:rPr>
        <w:t>ial or operational stress, but have not deteriorated to the point that resolution is imminent.</w:t>
      </w:r>
    </w:p>
    <w:p w:rsidR="00000000" w:rsidRDefault="00E0782F">
      <w:pPr>
        <w:jc w:val="both"/>
        <w:divId w:val="546914076"/>
        <w:rPr>
          <w:rFonts w:eastAsia="Times New Roman"/>
        </w:rPr>
      </w:pPr>
      <w:r>
        <w:rPr>
          <w:rFonts w:eastAsia="Times New Roman"/>
          <w:color w:val="000000"/>
          <w:sz w:val="20"/>
          <w:szCs w:val="20"/>
        </w:rPr>
        <w:t>The enhanced prudential standards also include supervisory and company-run stress testing requirements (also known as the “DFAST stress testing requirements”). I</w:t>
      </w:r>
      <w:r>
        <w:rPr>
          <w:rFonts w:eastAsia="Times New Roman"/>
          <w:color w:val="000000"/>
          <w:sz w:val="20"/>
          <w:szCs w:val="20"/>
        </w:rPr>
        <w:t>n particular, the Federal Reserve is required to conduct annual stress tests on certain covered companies, including us, to ensure that the covered companies have sufficient capital to absorb losses and continue operations during adverse economic condition</w:t>
      </w:r>
      <w:r>
        <w:rPr>
          <w:rFonts w:eastAsia="Times New Roman"/>
          <w:color w:val="000000"/>
          <w:sz w:val="20"/>
          <w:szCs w:val="20"/>
        </w:rPr>
        <w:t>s. Under the stress capital buffer framework, the result of our supervisory stress test will be used to determine our stress capital buffer requirement. As a covered company that is a Category III institution under the Tailoring Rules, we are also required</w:t>
      </w:r>
      <w:r>
        <w:rPr>
          <w:rFonts w:eastAsia="Times New Roman"/>
          <w:color w:val="000000"/>
          <w:sz w:val="20"/>
          <w:szCs w:val="20"/>
        </w:rPr>
        <w:t xml:space="preserve"> to conduct our own stress tests and publish the results of such tests on our website or other public forum. The Company must disclose the results of its company-run stress test on a biennial basis. The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0228384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0228384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0228384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39" style="width:0;height:1.5pt" o:hralign="center" o:hrstd="t" o:hr="t" fillcolor="#a0a0a0" stroked="f"/>
        </w:pict>
      </w:r>
    </w:p>
    <w:p w:rsidR="00000000" w:rsidRDefault="00E0782F">
      <w:pPr>
        <w:jc w:val="both"/>
        <w:divId w:val="153323016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747847852"/>
        <w:rPr>
          <w:rFonts w:eastAsia="Times New Roman"/>
        </w:rPr>
      </w:pPr>
      <w:r>
        <w:rPr>
          <w:rFonts w:eastAsia="Times New Roman"/>
          <w:color w:val="000000"/>
          <w:sz w:val="20"/>
          <w:szCs w:val="20"/>
        </w:rPr>
        <w:t>OCC has adopted a similar stress test rule requiring banks with at least $250 billion in assets, including CONA, to conduct their own company-ru</w:t>
      </w:r>
      <w:r>
        <w:rPr>
          <w:rFonts w:eastAsia="Times New Roman"/>
          <w:color w:val="000000"/>
          <w:sz w:val="20"/>
          <w:szCs w:val="20"/>
        </w:rPr>
        <w:t>n stress tests. Under that OCC rule, CONA must also disclose the results of its stress test on a biennial basis.</w:t>
      </w:r>
    </w:p>
    <w:p w:rsidR="00000000" w:rsidRDefault="00E0782F">
      <w:pPr>
        <w:jc w:val="both"/>
        <w:divId w:val="524640284"/>
        <w:rPr>
          <w:rFonts w:eastAsia="Times New Roman"/>
        </w:rPr>
      </w:pPr>
      <w:r>
        <w:rPr>
          <w:rFonts w:eastAsia="Times New Roman"/>
          <w:color w:val="000000"/>
          <w:sz w:val="20"/>
          <w:szCs w:val="20"/>
        </w:rPr>
        <w:t>In addition, the Company is required to meet liquidity risk management standards, conduct internal liquidity stress tests, and maintain a 30-da</w:t>
      </w:r>
      <w:r>
        <w:rPr>
          <w:rFonts w:eastAsia="Times New Roman"/>
          <w:color w:val="000000"/>
          <w:sz w:val="20"/>
          <w:szCs w:val="20"/>
        </w:rPr>
        <w:t>y buffer of highly liquid assets, in each case, consistent with the requirements of the enhanced prudential standards. These requirements are in addition to the LCR and NSFR Rules, discussed above in “Basel III and United States Liquidity Rules.” The enhan</w:t>
      </w:r>
      <w:r>
        <w:rPr>
          <w:rFonts w:eastAsia="Times New Roman"/>
          <w:color w:val="000000"/>
          <w:sz w:val="20"/>
          <w:szCs w:val="20"/>
        </w:rPr>
        <w:t>ced prudential standards also require that the Company comply with, and hold capital commensurate with, the requirements of, any regulations adopted by the Federal Reserve relating to capital planning and stress tests. Stress testing and capital planning r</w:t>
      </w:r>
      <w:r>
        <w:rPr>
          <w:rFonts w:eastAsia="Times New Roman"/>
          <w:color w:val="000000"/>
          <w:sz w:val="20"/>
          <w:szCs w:val="20"/>
        </w:rPr>
        <w:t>egulations are discussed further below under “Dividends, Stock Repurchases and Transfers of Funds.” Finally, the Company is also required to establish and maintain an enterprise-wide risk management framework that includes a risk committee and a chief risk</w:t>
      </w:r>
      <w:r>
        <w:rPr>
          <w:rFonts w:eastAsia="Times New Roman"/>
          <w:color w:val="000000"/>
          <w:sz w:val="20"/>
          <w:szCs w:val="20"/>
        </w:rPr>
        <w:t xml:space="preserve"> officer.</w:t>
      </w:r>
    </w:p>
    <w:p w:rsidR="00000000" w:rsidRDefault="00E0782F">
      <w:pPr>
        <w:jc w:val="both"/>
        <w:divId w:val="762459769"/>
        <w:rPr>
          <w:rFonts w:eastAsia="Times New Roman"/>
        </w:rPr>
      </w:pPr>
      <w:r>
        <w:rPr>
          <w:rFonts w:eastAsia="Times New Roman"/>
          <w:color w:val="000000"/>
          <w:sz w:val="20"/>
          <w:szCs w:val="20"/>
        </w:rPr>
        <w:t>Although not a requirement of the Dodd-Frank Act, the OCC established regulatory guidelines (“Heightened Standards Guidelines”</w:t>
      </w:r>
      <w:r>
        <w:rPr>
          <w:rFonts w:eastAsia="Times New Roman"/>
          <w:color w:val="000000"/>
          <w:sz w:val="20"/>
          <w:szCs w:val="20"/>
        </w:rPr>
        <w:t>) that apply heightened standards to the governance and risk management practices of large institutions subject to its supervision, including the Banks. The Heightened Standards Guidelines establish standards for the development and implementation by the B</w:t>
      </w:r>
      <w:r>
        <w:rPr>
          <w:rFonts w:eastAsia="Times New Roman"/>
          <w:color w:val="000000"/>
          <w:sz w:val="20"/>
          <w:szCs w:val="20"/>
        </w:rPr>
        <w:t>anks of a risk governance framework.</w:t>
      </w:r>
    </w:p>
    <w:p w:rsidR="00000000" w:rsidRDefault="00E0782F">
      <w:pPr>
        <w:divId w:val="1659529994"/>
        <w:rPr>
          <w:rFonts w:eastAsia="Times New Roman"/>
        </w:rPr>
      </w:pPr>
      <w:r>
        <w:rPr>
          <w:rFonts w:eastAsia="Times New Roman"/>
          <w:b/>
          <w:bCs/>
          <w:color w:val="000000"/>
          <w:sz w:val="20"/>
          <w:szCs w:val="20"/>
        </w:rPr>
        <w:t>Dividends, Stock Repurchases and Transfers of Funds</w:t>
      </w:r>
    </w:p>
    <w:p w:rsidR="00000000" w:rsidRDefault="00E0782F">
      <w:pPr>
        <w:jc w:val="both"/>
        <w:divId w:val="77139912"/>
        <w:rPr>
          <w:rFonts w:eastAsia="Times New Roman"/>
        </w:rPr>
      </w:pPr>
      <w:r>
        <w:rPr>
          <w:rFonts w:eastAsia="Times New Roman"/>
          <w:color w:val="000000"/>
          <w:sz w:val="20"/>
          <w:szCs w:val="20"/>
        </w:rPr>
        <w:t>Under the Federal Reserve’s capital planning rules (commonly referred to as Comprehensive Capital Analysis and Review or “CCAR” requirements), a “covered BHC,” such as</w:t>
      </w:r>
      <w:r>
        <w:rPr>
          <w:rFonts w:eastAsia="Times New Roman"/>
          <w:color w:val="000000"/>
          <w:sz w:val="20"/>
          <w:szCs w:val="20"/>
        </w:rPr>
        <w:t xml:space="preserve"> the Company, must submit a capital plan to the Federal Reserve on an annual basis that contains a description of all planned capital actions, including dividends or stock repurchases, over a nine-quarter planning horizon beginning with the first quarter o</w:t>
      </w:r>
      <w:r>
        <w:rPr>
          <w:rFonts w:eastAsia="Times New Roman"/>
          <w:color w:val="000000"/>
          <w:sz w:val="20"/>
          <w:szCs w:val="20"/>
        </w:rPr>
        <w:t>f the calendar year the capital plan is submitted (“CCAR cycle”).</w:t>
      </w:r>
    </w:p>
    <w:p w:rsidR="00000000" w:rsidRDefault="00E0782F">
      <w:pPr>
        <w:jc w:val="both"/>
        <w:divId w:val="2144611585"/>
        <w:rPr>
          <w:rFonts w:eastAsia="Times New Roman"/>
        </w:rPr>
      </w:pPr>
      <w:r>
        <w:rPr>
          <w:rFonts w:eastAsia="Times New Roman"/>
          <w:color w:val="000000"/>
          <w:sz w:val="20"/>
          <w:szCs w:val="20"/>
        </w:rPr>
        <w:t>The DFAST stress testing requirements, described above in “Enhanced Prudential Standards and Other Related Requirements,” is a complementary exercise to CCAR. It is a forward-looking exercis</w:t>
      </w:r>
      <w:r>
        <w:rPr>
          <w:rFonts w:eastAsia="Times New Roman"/>
          <w:color w:val="000000"/>
          <w:sz w:val="20"/>
          <w:szCs w:val="20"/>
        </w:rPr>
        <w:t>e conducted by the Federal Reserve and each covered company to help assess whether a company has sufficient capital to absorb losses and continue operations during adverse economic conditions.</w:t>
      </w:r>
    </w:p>
    <w:p w:rsidR="00000000" w:rsidRDefault="00E0782F">
      <w:pPr>
        <w:jc w:val="both"/>
        <w:divId w:val="332993840"/>
        <w:rPr>
          <w:rFonts w:eastAsia="Times New Roman"/>
        </w:rPr>
      </w:pPr>
      <w:r>
        <w:rPr>
          <w:rFonts w:eastAsia="Times New Roman"/>
          <w:color w:val="000000"/>
          <w:sz w:val="20"/>
          <w:szCs w:val="20"/>
        </w:rPr>
        <w:t>Pursuant to the CCAR requirements, the Company must file its capital plan and stress testing results with the Federal Reserve by April 5 of each year (unless the Federal Reserve designates a later date), using data as of the end of the prior calendar year.</w:t>
      </w:r>
      <w:r>
        <w:rPr>
          <w:rFonts w:eastAsia="Times New Roman"/>
          <w:color w:val="000000"/>
          <w:sz w:val="20"/>
          <w:szCs w:val="20"/>
        </w:rPr>
        <w:t xml:space="preserve"> The Federal Reserve will conduct its supervisory stress test in the second quarter and determine the Company’s stress capital buffer by June 30 of that year. The Company will have two business days from receipt of its stress capital buffer to make any nec</w:t>
      </w:r>
      <w:r>
        <w:rPr>
          <w:rFonts w:eastAsia="Times New Roman"/>
          <w:color w:val="000000"/>
          <w:sz w:val="20"/>
          <w:szCs w:val="20"/>
        </w:rPr>
        <w:t>essary adjustments to its planned capital distributions. The Federal Reserve will then finalize the stress capital buffer requirement for the Company based on its adjusted planned capital distributions and confirm the Company’s planned capital distribution</w:t>
      </w:r>
      <w:r>
        <w:rPr>
          <w:rFonts w:eastAsia="Times New Roman"/>
          <w:color w:val="000000"/>
          <w:sz w:val="20"/>
          <w:szCs w:val="20"/>
        </w:rPr>
        <w:t>s by August 31 of that year. The Company’s final stress capital buffer requirement will be effective from the fourth quarter of the year the capital plan is submitted through the third quarter of the following year. The Company may make the planned capital</w:t>
      </w:r>
      <w:r>
        <w:rPr>
          <w:rFonts w:eastAsia="Times New Roman"/>
          <w:color w:val="000000"/>
          <w:sz w:val="20"/>
          <w:szCs w:val="20"/>
        </w:rPr>
        <w:t xml:space="preserve"> distributions confirmed by the Federal Reserve. In addition, under the Stress Capital Buffer Rule, the Company is no longer required to seek prior approval of the Federal Reserve to make capital distributions in excess of those included in its capital pla</w:t>
      </w:r>
      <w:r>
        <w:rPr>
          <w:rFonts w:eastAsia="Times New Roman"/>
          <w:color w:val="000000"/>
          <w:sz w:val="20"/>
          <w:szCs w:val="20"/>
        </w:rPr>
        <w:t xml:space="preserve">n so long as the Company is otherwise in compliance with the capital rule’s automatic limitations on capital distributions. </w:t>
      </w:r>
    </w:p>
    <w:p w:rsidR="00000000" w:rsidRDefault="00E0782F">
      <w:pPr>
        <w:jc w:val="both"/>
        <w:divId w:val="1590624727"/>
        <w:rPr>
          <w:rFonts w:eastAsia="Times New Roman"/>
        </w:rPr>
      </w:pPr>
      <w:r>
        <w:rPr>
          <w:rFonts w:eastAsia="Times New Roman"/>
          <w:color w:val="000000"/>
          <w:sz w:val="20"/>
          <w:szCs w:val="20"/>
        </w:rPr>
        <w:t>In December 2018, the Federal Reserve announced that it would maintain its pre-CECL framework for calculating allowances on loans i</w:t>
      </w:r>
      <w:r>
        <w:rPr>
          <w:rFonts w:eastAsia="Times New Roman"/>
          <w:color w:val="000000"/>
          <w:sz w:val="20"/>
          <w:szCs w:val="20"/>
        </w:rPr>
        <w:t>n the supervisory stress test for the 2020 and 2021 cycles until the impact of CECL is better known and understood. The Federal Reserve stated further that, although BHCs required to perform company-run stress tests will be required to incorporate CECL int</w:t>
      </w:r>
      <w:r>
        <w:rPr>
          <w:rFonts w:eastAsia="Times New Roman"/>
          <w:color w:val="000000"/>
          <w:sz w:val="20"/>
          <w:szCs w:val="20"/>
        </w:rPr>
        <w:t>o those stress tests starting in the 2020 cycle, it will not issue supervisory findings on those BHCs’ allowance estimations in the CCAR exercise through 2021.</w:t>
      </w:r>
    </w:p>
    <w:p w:rsidR="00000000" w:rsidRDefault="00E0782F">
      <w:pPr>
        <w:jc w:val="both"/>
        <w:divId w:val="307439925"/>
        <w:rPr>
          <w:rFonts w:eastAsia="Times New Roman"/>
        </w:rPr>
      </w:pPr>
      <w:r>
        <w:rPr>
          <w:rFonts w:eastAsia="Times New Roman"/>
          <w:color w:val="000000"/>
          <w:sz w:val="20"/>
          <w:szCs w:val="20"/>
        </w:rPr>
        <w:t>Historically, dividends from the Company’s direct and indirect subsidiaries have represented a m</w:t>
      </w:r>
      <w:r>
        <w:rPr>
          <w:rFonts w:eastAsia="Times New Roman"/>
          <w:color w:val="000000"/>
          <w:sz w:val="20"/>
          <w:szCs w:val="20"/>
        </w:rPr>
        <w:t xml:space="preserve">ajor source of the funds we have used to pay dividends on our capital stock, make payments on our corporate debt securities and meet our other obligations. There are various federal law limitations on the extent to which the Banks can finance or otherwise </w:t>
      </w:r>
      <w:r>
        <w:rPr>
          <w:rFonts w:eastAsia="Times New Roman"/>
          <w:color w:val="000000"/>
          <w:sz w:val="20"/>
          <w:szCs w:val="20"/>
        </w:rPr>
        <w:t>supply funds to the Company through dividends and loans. These limitations include minimum regulatory capital requirements, federal banking law requirements concerning the payment of dividends out of net profits or surplus, provisions of Sections 23A and 2</w:t>
      </w:r>
      <w:r>
        <w:rPr>
          <w:rFonts w:eastAsia="Times New Roman"/>
          <w:color w:val="000000"/>
          <w:sz w:val="20"/>
          <w:szCs w:val="20"/>
        </w:rPr>
        <w:t>3B of the Federal Reserve Act and Regulation W governing transactions between an insured depository institution and its affiliates, as well as general federal regulatory oversight to prevent unsafe or unsound practices. In general, federal and applicable s</w:t>
      </w:r>
      <w:r>
        <w:rPr>
          <w:rFonts w:eastAsia="Times New Roman"/>
          <w:color w:val="000000"/>
          <w:sz w:val="20"/>
          <w:szCs w:val="20"/>
        </w:rPr>
        <w:t xml:space="preserve">tate banking laws prohibit insured depository institutions, such as the Banks, from making dividend distributions without first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1552350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15523507"/>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1552350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0" style="width:0;height:1.5pt" o:hralign="center" o:hrstd="t" o:hr="t" fillcolor="#a0a0a0" stroked="f"/>
        </w:pict>
      </w:r>
    </w:p>
    <w:p w:rsidR="00000000" w:rsidRDefault="00E0782F">
      <w:pPr>
        <w:jc w:val="both"/>
        <w:divId w:val="37967202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490629903"/>
        <w:rPr>
          <w:rFonts w:eastAsia="Times New Roman"/>
        </w:rPr>
      </w:pPr>
      <w:r>
        <w:rPr>
          <w:rFonts w:eastAsia="Times New Roman"/>
          <w:color w:val="000000"/>
          <w:sz w:val="20"/>
          <w:szCs w:val="20"/>
        </w:rPr>
        <w:t>obtaining regulatory approval if such distributions are not paid out of available earnings or would cause the institution to fail to meet applic</w:t>
      </w:r>
      <w:r>
        <w:rPr>
          <w:rFonts w:eastAsia="Times New Roman"/>
          <w:color w:val="000000"/>
          <w:sz w:val="20"/>
          <w:szCs w:val="20"/>
        </w:rPr>
        <w:t>able capital adequacy standards.</w:t>
      </w:r>
    </w:p>
    <w:p w:rsidR="00000000" w:rsidRDefault="00E0782F">
      <w:pPr>
        <w:jc w:val="both"/>
        <w:divId w:val="656038837"/>
        <w:rPr>
          <w:rFonts w:eastAsia="Times New Roman"/>
        </w:rPr>
      </w:pPr>
      <w:r>
        <w:rPr>
          <w:rFonts w:eastAsia="Times New Roman"/>
          <w:color w:val="000000"/>
          <w:sz w:val="20"/>
          <w:szCs w:val="20"/>
        </w:rPr>
        <w:t>In June 2020, in light of the COVID-19 pandemic, the Federal Reserve required all CCAR participating BHCs, including us, to update and resubmit their capital plans in the fourth quarter of 2020. In addition, the Federal Res</w:t>
      </w:r>
      <w:r>
        <w:rPr>
          <w:rFonts w:eastAsia="Times New Roman"/>
          <w:color w:val="000000"/>
          <w:sz w:val="20"/>
          <w:szCs w:val="20"/>
        </w:rPr>
        <w:t>erve required all participating BHCs, including us, to preserve capital by suspending share repurchases and capping common stock dividend payments for the third and fourth quarters of 2020 to the lower of (i) the amount paid in the second quarter of 2020 a</w:t>
      </w:r>
      <w:r>
        <w:rPr>
          <w:rFonts w:eastAsia="Times New Roman"/>
          <w:color w:val="000000"/>
          <w:sz w:val="20"/>
          <w:szCs w:val="20"/>
        </w:rPr>
        <w:t xml:space="preserve">nd (ii) an amount equal to the average net income earned across the four preceding calendar quarters. Scheduled payments on additional Tier 1 and Tier 2 capital instruments, such as preferred stock and subordinated debt, were not similarly restricted. </w:t>
      </w:r>
    </w:p>
    <w:p w:rsidR="00000000" w:rsidRDefault="00E0782F">
      <w:pPr>
        <w:jc w:val="both"/>
        <w:divId w:val="1230338727"/>
        <w:rPr>
          <w:rFonts w:eastAsia="Times New Roman"/>
        </w:rPr>
      </w:pPr>
      <w:r>
        <w:rPr>
          <w:rFonts w:eastAsia="Times New Roman"/>
          <w:color w:val="000000"/>
          <w:sz w:val="20"/>
          <w:szCs w:val="20"/>
        </w:rPr>
        <w:t xml:space="preserve">We </w:t>
      </w:r>
      <w:r>
        <w:rPr>
          <w:rFonts w:eastAsia="Times New Roman"/>
          <w:color w:val="000000"/>
          <w:sz w:val="20"/>
          <w:szCs w:val="20"/>
        </w:rPr>
        <w:t xml:space="preserve">conducted a second round of stress tests and submitted our updated capital plan to the Federal Reserve on November 2, 2020. On December 18, 2020, the Federal Reserve released the results of its second round of supervisory stress tests. The Federal Reserve </w:t>
      </w:r>
      <w:r>
        <w:rPr>
          <w:rFonts w:eastAsia="Times New Roman"/>
          <w:color w:val="000000"/>
          <w:sz w:val="20"/>
          <w:szCs w:val="20"/>
        </w:rPr>
        <w:t>did not recalculate our stress capital buffer requirement at that time, but reserved its ability to do so until March 31, 2021. Finally, the Federal Reserve extended the capital distribution restrictions for all participating BHCs through at least the firs</w:t>
      </w:r>
      <w:r>
        <w:rPr>
          <w:rFonts w:eastAsia="Times New Roman"/>
          <w:color w:val="000000"/>
          <w:sz w:val="20"/>
          <w:szCs w:val="20"/>
        </w:rPr>
        <w:t xml:space="preserve">t quarter of 2021, with certain modifications. In particular, for the first quarter of 2021, participating BHCs may resume share repurchases, but the aggregate amount of common stock dividend payments and share repurchases shall not exceed an amount equal </w:t>
      </w:r>
      <w:r>
        <w:rPr>
          <w:rFonts w:eastAsia="Times New Roman"/>
          <w:color w:val="000000"/>
          <w:sz w:val="20"/>
          <w:szCs w:val="20"/>
        </w:rPr>
        <w:t>to the average net income earned across the four preceding calendar quarters. In addition, common stock dividend payments for the first quarter of 2021 continue to be capped at the amount paid in the second quarter of 2020.</w:t>
      </w:r>
    </w:p>
    <w:p w:rsidR="00000000" w:rsidRDefault="00E0782F">
      <w:pPr>
        <w:divId w:val="193617399"/>
        <w:rPr>
          <w:rFonts w:eastAsia="Times New Roman"/>
        </w:rPr>
      </w:pPr>
      <w:r>
        <w:rPr>
          <w:rFonts w:eastAsia="Times New Roman"/>
          <w:b/>
          <w:bCs/>
          <w:color w:val="000000"/>
          <w:sz w:val="20"/>
          <w:szCs w:val="20"/>
        </w:rPr>
        <w:t>Investment in the Company and th</w:t>
      </w:r>
      <w:r>
        <w:rPr>
          <w:rFonts w:eastAsia="Times New Roman"/>
          <w:b/>
          <w:bCs/>
          <w:color w:val="000000"/>
          <w:sz w:val="20"/>
          <w:szCs w:val="20"/>
        </w:rPr>
        <w:t>e Banks</w:t>
      </w:r>
    </w:p>
    <w:p w:rsidR="00000000" w:rsidRDefault="00E0782F">
      <w:pPr>
        <w:jc w:val="both"/>
        <w:divId w:val="1589078964"/>
        <w:rPr>
          <w:rFonts w:eastAsia="Times New Roman"/>
        </w:rPr>
      </w:pPr>
      <w:r>
        <w:rPr>
          <w:rFonts w:eastAsia="Times New Roman"/>
          <w:color w:val="000000"/>
          <w:sz w:val="20"/>
          <w:szCs w:val="20"/>
        </w:rPr>
        <w:t xml:space="preserve">Certain acquisitions of our capital stock may be subject to regulatory approval or notice under federal or state law. Investors are responsible for ensuring that they do not, directly or indirectly, acquire shares of our capital stock in excess of </w:t>
      </w:r>
      <w:r>
        <w:rPr>
          <w:rFonts w:eastAsia="Times New Roman"/>
          <w:color w:val="000000"/>
          <w:sz w:val="20"/>
          <w:szCs w:val="20"/>
        </w:rPr>
        <w:t>the amount that can be acquired without regulatory approval, including under the BHC Act and the Change in Bank Control Act (“CIBC Act”).</w:t>
      </w:r>
    </w:p>
    <w:p w:rsidR="00000000" w:rsidRDefault="00E0782F">
      <w:pPr>
        <w:jc w:val="both"/>
        <w:divId w:val="2082024060"/>
        <w:rPr>
          <w:rFonts w:eastAsia="Times New Roman"/>
        </w:rPr>
      </w:pPr>
      <w:r>
        <w:rPr>
          <w:rFonts w:eastAsia="Times New Roman"/>
          <w:color w:val="000000"/>
          <w:sz w:val="20"/>
          <w:szCs w:val="20"/>
        </w:rPr>
        <w:t>Federal law and regulations prohibit any person or company from acquiring control of the Company or the Banks without,</w:t>
      </w:r>
      <w:r>
        <w:rPr>
          <w:rFonts w:eastAsia="Times New Roman"/>
          <w:color w:val="000000"/>
          <w:sz w:val="20"/>
          <w:szCs w:val="20"/>
        </w:rPr>
        <w:t xml:space="preserve"> in most cases, prior written approval of the Federal Reserve or the OCC, as applicable. Control under the BHC Act exists if, among other things, a person or company acquires more than 25% of any class of our voting stock or otherwise has a controlling inf</w:t>
      </w:r>
      <w:r>
        <w:rPr>
          <w:rFonts w:eastAsia="Times New Roman"/>
          <w:color w:val="000000"/>
          <w:sz w:val="20"/>
          <w:szCs w:val="20"/>
        </w:rPr>
        <w:t>luence over us. A rebuttable presumption of control arises under the CIBC Act for a publicly traded BHC such as ourselves if a person or company acquires more than 10% of any class of our voting stock.</w:t>
      </w:r>
    </w:p>
    <w:p w:rsidR="00000000" w:rsidRDefault="00E0782F">
      <w:pPr>
        <w:jc w:val="both"/>
        <w:divId w:val="1822577493"/>
        <w:rPr>
          <w:rFonts w:eastAsia="Times New Roman"/>
        </w:rPr>
      </w:pPr>
      <w:r>
        <w:rPr>
          <w:rFonts w:eastAsia="Times New Roman"/>
          <w:color w:val="000000"/>
          <w:sz w:val="20"/>
          <w:szCs w:val="20"/>
        </w:rPr>
        <w:t>Additionally, COBNA and CONA are “banks” within the me</w:t>
      </w:r>
      <w:r>
        <w:rPr>
          <w:rFonts w:eastAsia="Times New Roman"/>
          <w:color w:val="000000"/>
          <w:sz w:val="20"/>
          <w:szCs w:val="20"/>
        </w:rPr>
        <w:t>aning of Chapter 13 of Title 6.1 of the Code of Virginia governing the acquisition of interests in Virginia financial institutions (“Financial Institution Holding Company Act”). The Financial Institution Holding Company Act prohibits any person or entity f</w:t>
      </w:r>
      <w:r>
        <w:rPr>
          <w:rFonts w:eastAsia="Times New Roman"/>
          <w:color w:val="000000"/>
          <w:sz w:val="20"/>
          <w:szCs w:val="20"/>
        </w:rPr>
        <w:t>rom acquiring, or making any public offer to acquire, control of a Virginia financial institution or its holding company without making application to, and receiving prior approval from, the Virginia Bureau of Financial Institutions.</w:t>
      </w:r>
    </w:p>
    <w:p w:rsidR="00000000" w:rsidRDefault="00E0782F">
      <w:pPr>
        <w:divId w:val="224267694"/>
        <w:rPr>
          <w:rFonts w:eastAsia="Times New Roman"/>
        </w:rPr>
      </w:pPr>
      <w:r>
        <w:rPr>
          <w:rFonts w:eastAsia="Times New Roman"/>
          <w:b/>
          <w:bCs/>
          <w:color w:val="000000"/>
          <w:sz w:val="20"/>
          <w:szCs w:val="20"/>
        </w:rPr>
        <w:t>Deposit Insurance Asse</w:t>
      </w:r>
      <w:r>
        <w:rPr>
          <w:rFonts w:eastAsia="Times New Roman"/>
          <w:b/>
          <w:bCs/>
          <w:color w:val="000000"/>
          <w:sz w:val="20"/>
          <w:szCs w:val="20"/>
        </w:rPr>
        <w:t>ssments</w:t>
      </w:r>
    </w:p>
    <w:p w:rsidR="00000000" w:rsidRDefault="00E0782F">
      <w:pPr>
        <w:jc w:val="both"/>
        <w:divId w:val="1563715460"/>
        <w:rPr>
          <w:rFonts w:eastAsia="Times New Roman"/>
        </w:rPr>
      </w:pPr>
      <w:r>
        <w:rPr>
          <w:rFonts w:eastAsia="Times New Roman"/>
          <w:color w:val="000000"/>
          <w:sz w:val="20"/>
          <w:szCs w:val="20"/>
        </w:rPr>
        <w:t>Each of CONA and COBNA, as an insured depository institution, is a member of the DIF maintained by the FDIC. Through the DIF, the FDIC insures the deposits of insured depository institutions up to prescribed limits for each depositor. The FDIC sets</w:t>
      </w:r>
      <w:r>
        <w:rPr>
          <w:rFonts w:eastAsia="Times New Roman"/>
          <w:color w:val="000000"/>
          <w:sz w:val="20"/>
          <w:szCs w:val="20"/>
        </w:rPr>
        <w:t xml:space="preserve"> a Designated Reserve Ratio (“DRR”) for the DIF. To maintain the DIF, member institutions may be assessed an insurance premium, and the FDIC may take action to increase insurance premiums if the DRR falls below its required level.</w:t>
      </w:r>
    </w:p>
    <w:p w:rsidR="00000000" w:rsidRDefault="00E0782F">
      <w:pPr>
        <w:jc w:val="both"/>
        <w:divId w:val="1473057595"/>
        <w:rPr>
          <w:rFonts w:eastAsia="Times New Roman"/>
        </w:rPr>
      </w:pPr>
      <w:r>
        <w:rPr>
          <w:rFonts w:eastAsia="Times New Roman"/>
          <w:color w:val="000000"/>
          <w:sz w:val="20"/>
          <w:szCs w:val="20"/>
        </w:rPr>
        <w:t xml:space="preserve">As of June 30, 2020, the </w:t>
      </w:r>
      <w:r>
        <w:rPr>
          <w:rFonts w:eastAsia="Times New Roman"/>
          <w:color w:val="000000"/>
          <w:sz w:val="20"/>
          <w:szCs w:val="20"/>
        </w:rPr>
        <w:t>DIF reserve ratio fell to 1.30 percent. The FDIC, as required under the Federal Deposit Insurance Act, established a plan in September 2020, to restore the DIF reserve ratio to meet or exceed 1.35 percent within eight years. The FDIC’s restoration plan pro</w:t>
      </w:r>
      <w:r>
        <w:rPr>
          <w:rFonts w:eastAsia="Times New Roman"/>
          <w:color w:val="000000"/>
          <w:sz w:val="20"/>
          <w:szCs w:val="20"/>
        </w:rPr>
        <w:t>jects the reserve ratio to exceed 1.35 percent without increasing the deposit insurance assessment rate, subject to ongoing monitoring over the next eight years.</w:t>
      </w:r>
    </w:p>
    <w:p w:rsidR="00000000" w:rsidRDefault="00E0782F">
      <w:pPr>
        <w:divId w:val="1285771242"/>
        <w:rPr>
          <w:rFonts w:eastAsia="Times New Roman"/>
        </w:rPr>
      </w:pPr>
      <w:r>
        <w:rPr>
          <w:rFonts w:eastAsia="Times New Roman"/>
          <w:b/>
          <w:bCs/>
          <w:color w:val="000000"/>
          <w:sz w:val="20"/>
          <w:szCs w:val="20"/>
        </w:rPr>
        <w:t>Source of Strength and Liability for Commonly Controlled Institutions</w:t>
      </w:r>
    </w:p>
    <w:p w:rsidR="00000000" w:rsidRDefault="00E0782F">
      <w:pPr>
        <w:jc w:val="both"/>
        <w:divId w:val="1400245562"/>
        <w:rPr>
          <w:rFonts w:eastAsia="Times New Roman"/>
        </w:rPr>
      </w:pPr>
      <w:r>
        <w:rPr>
          <w:rFonts w:eastAsia="Times New Roman"/>
          <w:color w:val="000000"/>
          <w:sz w:val="20"/>
          <w:szCs w:val="20"/>
        </w:rPr>
        <w:t>Under regulations issued</w:t>
      </w:r>
      <w:r>
        <w:rPr>
          <w:rFonts w:eastAsia="Times New Roman"/>
          <w:color w:val="000000"/>
          <w:sz w:val="20"/>
          <w:szCs w:val="20"/>
        </w:rPr>
        <w:t xml:space="preserve"> by the Federal Reserve, a BHC must serve as a source of financial and managerial strength to its subsidiary banks (the so-called “source of strength doctrine”). The Dodd-Frank Act codified this doctrine.</w:t>
      </w:r>
    </w:p>
    <w:p w:rsidR="00000000" w:rsidRDefault="00E0782F">
      <w:pPr>
        <w:jc w:val="both"/>
        <w:divId w:val="2117092067"/>
        <w:rPr>
          <w:rFonts w:eastAsia="Times New Roman"/>
        </w:rPr>
      </w:pPr>
      <w:r>
        <w:rPr>
          <w:rFonts w:eastAsia="Times New Roman"/>
          <w:color w:val="000000"/>
          <w:sz w:val="20"/>
          <w:szCs w:val="20"/>
        </w:rPr>
        <w:t>Under the “cross-guarantee” provision of the Financ</w:t>
      </w:r>
      <w:r>
        <w:rPr>
          <w:rFonts w:eastAsia="Times New Roman"/>
          <w:color w:val="000000"/>
          <w:sz w:val="20"/>
          <w:szCs w:val="20"/>
        </w:rPr>
        <w:t>ial Institutions Reform, Recovery and Enforcement Act of 1989 (“FIRREA”), insured depository institutions such as the Banks may be liable to the FDIC with respect to any loss incurred, or reasonably anticipated to be incurred, by the FDIC in connection wit</w:t>
      </w:r>
      <w:r>
        <w:rPr>
          <w:rFonts w:eastAsia="Times New Roman"/>
          <w:color w:val="000000"/>
          <w:sz w:val="20"/>
          <w:szCs w:val="20"/>
        </w:rPr>
        <w:t xml:space="preserve">h the default of, or FDIC assistance to, any commonly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23379955"/>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2337995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2337995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1" style="width:0;height:1.5pt" o:hralign="center" o:hrstd="t" o:hr="t" fillcolor="#a0a0a0" stroked="f"/>
        </w:pict>
      </w:r>
    </w:p>
    <w:p w:rsidR="00000000" w:rsidRDefault="00E0782F">
      <w:pPr>
        <w:jc w:val="both"/>
        <w:divId w:val="48354369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696850391"/>
        <w:rPr>
          <w:rFonts w:eastAsia="Times New Roman"/>
        </w:rPr>
      </w:pPr>
      <w:r>
        <w:rPr>
          <w:rFonts w:eastAsia="Times New Roman"/>
          <w:color w:val="000000"/>
          <w:sz w:val="20"/>
          <w:szCs w:val="20"/>
        </w:rPr>
        <w:t>controlled insured depository institution. The Banks are commonly controlled within the meaning of the FIRREA cross-guarantee provision.</w:t>
      </w:r>
    </w:p>
    <w:p w:rsidR="00000000" w:rsidRDefault="00E0782F">
      <w:pPr>
        <w:divId w:val="402220378"/>
        <w:rPr>
          <w:rFonts w:eastAsia="Times New Roman"/>
        </w:rPr>
      </w:pPr>
      <w:r>
        <w:rPr>
          <w:rFonts w:eastAsia="Times New Roman"/>
          <w:b/>
          <w:bCs/>
          <w:color w:val="000000"/>
          <w:sz w:val="20"/>
          <w:szCs w:val="20"/>
        </w:rPr>
        <w:t>FDIC Orderly Liquidation Authority</w:t>
      </w:r>
    </w:p>
    <w:p w:rsidR="00000000" w:rsidRDefault="00E0782F">
      <w:pPr>
        <w:jc w:val="both"/>
        <w:divId w:val="1399087579"/>
        <w:rPr>
          <w:rFonts w:eastAsia="Times New Roman"/>
        </w:rPr>
      </w:pPr>
      <w:r>
        <w:rPr>
          <w:rFonts w:eastAsia="Times New Roman"/>
          <w:color w:val="000000"/>
          <w:sz w:val="20"/>
          <w:szCs w:val="20"/>
        </w:rPr>
        <w:t xml:space="preserve">The Dodd-Frank Act provides the FDIC with liquidation authority that may be used to </w:t>
      </w:r>
      <w:r>
        <w:rPr>
          <w:rFonts w:eastAsia="Times New Roman"/>
          <w:color w:val="000000"/>
          <w:sz w:val="20"/>
          <w:szCs w:val="20"/>
        </w:rPr>
        <w:t>liquidate non-bank financial companies and BHCs if the Treasury Secretary, in consultation with the President and based on the recommendation of the Federal Reserve and other appropriate Federal Banking Agencies, determines that doing so is necessary, amon</w:t>
      </w:r>
      <w:r>
        <w:rPr>
          <w:rFonts w:eastAsia="Times New Roman"/>
          <w:color w:val="000000"/>
          <w:sz w:val="20"/>
          <w:szCs w:val="20"/>
        </w:rPr>
        <w:t>g other criteria, to mitigate serious adverse effects on U.S. financial stability. Upon such a determination, the FDIC would be appointed receiver and must liquidate the company in a way that mitigates significant risks to financial stability and minimizes</w:t>
      </w:r>
      <w:r>
        <w:rPr>
          <w:rFonts w:eastAsia="Times New Roman"/>
          <w:color w:val="000000"/>
          <w:sz w:val="20"/>
          <w:szCs w:val="20"/>
        </w:rPr>
        <w:t xml:space="preserve"> moral hazard. The costs of a liquidation of the company would be borne by shareholders and unsecured creditors and then, if necessary, by risk-based assessments on large financial companies. The FDIC has issued rules implementing certain provisions of its</w:t>
      </w:r>
      <w:r>
        <w:rPr>
          <w:rFonts w:eastAsia="Times New Roman"/>
          <w:color w:val="000000"/>
          <w:sz w:val="20"/>
          <w:szCs w:val="20"/>
        </w:rPr>
        <w:t xml:space="preserve"> liquidation authority and may issue additional rules in the future.</w:t>
      </w:r>
    </w:p>
    <w:p w:rsidR="00000000" w:rsidRDefault="00E0782F">
      <w:pPr>
        <w:divId w:val="1054891821"/>
        <w:rPr>
          <w:rFonts w:eastAsia="Times New Roman"/>
        </w:rPr>
      </w:pPr>
      <w:r>
        <w:rPr>
          <w:rFonts w:eastAsia="Times New Roman"/>
          <w:b/>
          <w:bCs/>
          <w:color w:val="000000"/>
          <w:sz w:val="20"/>
          <w:szCs w:val="20"/>
        </w:rPr>
        <w:t>COVID-19 Activities</w:t>
      </w:r>
    </w:p>
    <w:p w:rsidR="00000000" w:rsidRDefault="00E0782F">
      <w:pPr>
        <w:jc w:val="both"/>
        <w:divId w:val="1489638106"/>
        <w:rPr>
          <w:rFonts w:eastAsia="Times New Roman"/>
        </w:rPr>
      </w:pPr>
      <w:r>
        <w:rPr>
          <w:rFonts w:eastAsia="Times New Roman"/>
          <w:color w:val="000000"/>
          <w:sz w:val="20"/>
          <w:szCs w:val="20"/>
        </w:rPr>
        <w:t>In response to disruptions in economic conditions caused by the COVID-19 pandemic, federal and state governments and agencies and government</w:t>
      </w:r>
      <w:r>
        <w:rPr>
          <w:rFonts w:eastAsia="Times New Roman"/>
          <w:color w:val="000000"/>
          <w:sz w:val="20"/>
          <w:szCs w:val="20"/>
        </w:rPr>
        <w:noBreakHyphen/>
        <w:t>sponsored enterprises have</w:t>
      </w:r>
      <w:r>
        <w:rPr>
          <w:rFonts w:eastAsia="Times New Roman"/>
          <w:color w:val="000000"/>
          <w:sz w:val="20"/>
          <w:szCs w:val="20"/>
        </w:rPr>
        <w:t xml:space="preserve"> taken a variety of actions to support people and entities affected by the pandemic, including the passage of the Coronavirus Aid, Relief, and Economic Security Act (the “CARES Act”) in March 2020. The CARES Act, among other provisions, authorized a number</w:t>
      </w:r>
      <w:r>
        <w:rPr>
          <w:rFonts w:eastAsia="Times New Roman"/>
          <w:color w:val="000000"/>
          <w:sz w:val="20"/>
          <w:szCs w:val="20"/>
        </w:rPr>
        <w:t xml:space="preserve"> of lending programs to support the flow of credit to consumers and businesses. For example, the CARES Act established several programs with the Small Business Administration, including the PPP, to provide loans to small businesses. </w:t>
      </w:r>
    </w:p>
    <w:p w:rsidR="00000000" w:rsidRDefault="00E0782F">
      <w:pPr>
        <w:jc w:val="both"/>
        <w:divId w:val="818115733"/>
        <w:rPr>
          <w:rFonts w:eastAsia="Times New Roman"/>
        </w:rPr>
      </w:pPr>
      <w:r>
        <w:rPr>
          <w:rFonts w:eastAsia="Times New Roman"/>
          <w:color w:val="000000"/>
          <w:sz w:val="20"/>
          <w:szCs w:val="20"/>
        </w:rPr>
        <w:t>The Federal Reserve ha</w:t>
      </w:r>
      <w:r>
        <w:rPr>
          <w:rFonts w:eastAsia="Times New Roman"/>
          <w:color w:val="000000"/>
          <w:sz w:val="20"/>
          <w:szCs w:val="20"/>
        </w:rPr>
        <w:t>d also taken extraordinary efforts in response to the pandemic, including, among other actions, the establishment of a Main Street Lending Program that is intended to support lending to eligible small and midsize businesses. The Federal Banking Agencies ha</w:t>
      </w:r>
      <w:r>
        <w:rPr>
          <w:rFonts w:eastAsia="Times New Roman"/>
          <w:color w:val="000000"/>
          <w:sz w:val="20"/>
          <w:szCs w:val="20"/>
        </w:rPr>
        <w:t>d also encouraged banking organizations to take certain additional actions to support the financial services needs of their customers in a prudent and safe and sound manner, including through loan modifications. Further, banking organizations had been prov</w:t>
      </w:r>
      <w:r>
        <w:rPr>
          <w:rFonts w:eastAsia="Times New Roman"/>
          <w:color w:val="000000"/>
          <w:sz w:val="20"/>
          <w:szCs w:val="20"/>
        </w:rPr>
        <w:t>ided with certain accounting, supervisory and regulatory relief during this period, including relief that is intended to allow banking organizations to enter into loan modifications without certain accounting and regulatory capital consequences. For exampl</w:t>
      </w:r>
      <w:r>
        <w:rPr>
          <w:rFonts w:eastAsia="Times New Roman"/>
          <w:color w:val="000000"/>
          <w:sz w:val="20"/>
          <w:szCs w:val="20"/>
        </w:rPr>
        <w:t>e, the CARES Act gave banking organizations an option to temporarily suspend the determination of certain qualified loans modified as a result of the COVID-19 pandemic as being troubled debt restructurings (“TDRs”). See “MD&amp;A—Credit Risk Profile—COVID-19 C</w:t>
      </w:r>
      <w:r>
        <w:rPr>
          <w:rFonts w:eastAsia="Times New Roman"/>
          <w:color w:val="000000"/>
          <w:sz w:val="20"/>
          <w:szCs w:val="20"/>
        </w:rPr>
        <w:t xml:space="preserve">ustomer Assistance Programs and Loan Modifications” for additional information. The CARES Act also amended the Fair Credit Reporting Act to impose new, temporary reporting requirements on furnishers of information to consumer reporting agencies related to </w:t>
      </w:r>
      <w:r>
        <w:rPr>
          <w:rFonts w:eastAsia="Times New Roman"/>
          <w:color w:val="000000"/>
          <w:sz w:val="20"/>
          <w:szCs w:val="20"/>
        </w:rPr>
        <w:t xml:space="preserve">accounts of consumers in payment accommodation programs in light of the COVID-19 pandemic. </w:t>
      </w:r>
    </w:p>
    <w:p w:rsidR="00000000" w:rsidRDefault="00E0782F">
      <w:pPr>
        <w:jc w:val="both"/>
        <w:divId w:val="366486177"/>
        <w:rPr>
          <w:rFonts w:eastAsia="Times New Roman"/>
        </w:rPr>
      </w:pPr>
      <w:r>
        <w:rPr>
          <w:rFonts w:eastAsia="Times New Roman"/>
          <w:color w:val="000000"/>
          <w:sz w:val="20"/>
          <w:szCs w:val="20"/>
        </w:rPr>
        <w:t>The Consolidated Appropriations Act, 2021, which was enacted in December 2020, extends certain relief provided by the CARES Act while also modifying or clarifying c</w:t>
      </w:r>
      <w:r>
        <w:rPr>
          <w:rFonts w:eastAsia="Times New Roman"/>
          <w:color w:val="000000"/>
          <w:sz w:val="20"/>
          <w:szCs w:val="20"/>
        </w:rPr>
        <w:t xml:space="preserve">ertain other provisions. Among other amendments to the CARES Act, the Consolidated Appropriations Act, 2021, extends the relief related to TDRs until January 1, 2022 and the PPP until March 31, 2021. In addition, the Consolidated Appropriations Act, 2021, </w:t>
      </w:r>
      <w:r>
        <w:rPr>
          <w:rFonts w:eastAsia="Times New Roman"/>
          <w:color w:val="000000"/>
          <w:sz w:val="20"/>
          <w:szCs w:val="20"/>
        </w:rPr>
        <w:t>rescinds certain funds that were appropriated to the U.S. Treasury to provide loans, loan guarantees, and make other investments in programs or facilities established by the Federal Reserve, and prohibits the Federal Reserve from making any new investments</w:t>
      </w:r>
      <w:r>
        <w:rPr>
          <w:rFonts w:eastAsia="Times New Roman"/>
          <w:color w:val="000000"/>
          <w:sz w:val="20"/>
          <w:szCs w:val="20"/>
        </w:rPr>
        <w:t>, loans or loan guarantees, or extensions of credit through those rescinded funds after December 31, 2020. Congress could determine to reauthorize these programs in future legislative packages. Federal Reserve programs and facilities that were not establis</w:t>
      </w:r>
      <w:r>
        <w:rPr>
          <w:rFonts w:eastAsia="Times New Roman"/>
          <w:color w:val="000000"/>
          <w:sz w:val="20"/>
          <w:szCs w:val="20"/>
        </w:rPr>
        <w:t>hed using CARES Act funding are not affected by the Consolidated Appropriations Act, 2021.</w:t>
      </w:r>
    </w:p>
    <w:p w:rsidR="00000000" w:rsidRDefault="00E0782F">
      <w:pPr>
        <w:jc w:val="both"/>
        <w:divId w:val="357658877"/>
        <w:rPr>
          <w:rFonts w:eastAsia="Times New Roman"/>
        </w:rPr>
      </w:pPr>
      <w:r>
        <w:rPr>
          <w:rFonts w:eastAsia="Times New Roman"/>
          <w:color w:val="000000"/>
          <w:sz w:val="20"/>
          <w:szCs w:val="20"/>
        </w:rPr>
        <w:t>For a discussion of the risks associated with the impact of the COVID-19 pandemic and related public health measures, see “Part I—Item 1A. Risk Factors” under the he</w:t>
      </w:r>
      <w:r>
        <w:rPr>
          <w:rFonts w:eastAsia="Times New Roman"/>
          <w:color w:val="000000"/>
          <w:sz w:val="20"/>
          <w:szCs w:val="20"/>
        </w:rPr>
        <w:t>ading “The COVID-19 pandemic has adversely impacted our business, operations and financial results, and the extent to which the pandemic and measures taken in response to the pandemic could materially and adversely impact our business, operations, financia</w:t>
      </w:r>
      <w:r>
        <w:rPr>
          <w:rFonts w:eastAsia="Times New Roman"/>
          <w:color w:val="000000"/>
          <w:sz w:val="20"/>
          <w:szCs w:val="20"/>
        </w:rPr>
        <w:t>l condition, liquidity, capital and results of operations will depend on future developments, which are highly uncertain and are difficult to predict.”</w:t>
      </w:r>
    </w:p>
    <w:p w:rsidR="00000000" w:rsidRDefault="00E0782F">
      <w:pPr>
        <w:divId w:val="1423722619"/>
        <w:rPr>
          <w:rFonts w:eastAsia="Times New Roman"/>
        </w:rPr>
      </w:pPr>
      <w:r>
        <w:rPr>
          <w:rFonts w:eastAsia="Times New Roman"/>
          <w:b/>
          <w:bCs/>
          <w:color w:val="000000"/>
          <w:sz w:val="20"/>
          <w:szCs w:val="20"/>
        </w:rPr>
        <w:t>Regulation of Businesses by Authorities Outside the United States</w:t>
      </w:r>
    </w:p>
    <w:p w:rsidR="00000000" w:rsidRDefault="00E0782F">
      <w:pPr>
        <w:jc w:val="both"/>
        <w:divId w:val="1016275620"/>
        <w:rPr>
          <w:rFonts w:eastAsia="Times New Roman"/>
        </w:rPr>
      </w:pPr>
      <w:r>
        <w:rPr>
          <w:rFonts w:eastAsia="Times New Roman"/>
          <w:color w:val="000000"/>
          <w:sz w:val="20"/>
          <w:szCs w:val="20"/>
        </w:rPr>
        <w:t>COBNA is subject to regulation in fore</w:t>
      </w:r>
      <w:r>
        <w:rPr>
          <w:rFonts w:eastAsia="Times New Roman"/>
          <w:color w:val="000000"/>
          <w:sz w:val="20"/>
          <w:szCs w:val="20"/>
        </w:rPr>
        <w:t>ign jurisdictions where it operates, currently in the United Kingdom (“U.K.”) and Canada.</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8937603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68937603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68937603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2" style="width:0;height:1.5pt" o:hralign="center" o:hrstd="t" o:hr="t" fillcolor="#a0a0a0" stroked="f"/>
        </w:pict>
      </w:r>
    </w:p>
    <w:p w:rsidR="00000000" w:rsidRDefault="00E0782F">
      <w:pPr>
        <w:jc w:val="both"/>
        <w:divId w:val="48975348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1471553283"/>
        <w:rPr>
          <w:rFonts w:eastAsia="Times New Roman"/>
        </w:rPr>
      </w:pPr>
      <w:r>
        <w:rPr>
          <w:rFonts w:eastAsia="Times New Roman"/>
          <w:b/>
          <w:bCs/>
          <w:i/>
          <w:iCs/>
          <w:color w:val="000000"/>
          <w:sz w:val="20"/>
          <w:szCs w:val="20"/>
        </w:rPr>
        <w:t>United Kingdom</w:t>
      </w:r>
    </w:p>
    <w:p w:rsidR="00000000" w:rsidRDefault="00E0782F">
      <w:pPr>
        <w:jc w:val="both"/>
        <w:divId w:val="1004237150"/>
        <w:rPr>
          <w:rFonts w:eastAsia="Times New Roman"/>
        </w:rPr>
      </w:pPr>
      <w:r>
        <w:rPr>
          <w:rFonts w:eastAsia="Times New Roman"/>
          <w:color w:val="000000"/>
          <w:sz w:val="20"/>
          <w:szCs w:val="20"/>
        </w:rPr>
        <w:t>In the United Kingdom, COBNA operates through COEP, which was established in 2000 and is an authorized payment institution regula</w:t>
      </w:r>
      <w:r>
        <w:rPr>
          <w:rFonts w:eastAsia="Times New Roman"/>
          <w:color w:val="000000"/>
          <w:sz w:val="20"/>
          <w:szCs w:val="20"/>
        </w:rPr>
        <w:t>ted by the Financial Conduct Authority (“FCA”) under the Payment Services Regulations 2017 and the Financial Services and Markets Act 2000. COEP’s indirect parent, Capital One Global Corporation, is wholly-owned by COBNA and is subject to regulation by the</w:t>
      </w:r>
      <w:r>
        <w:rPr>
          <w:rFonts w:eastAsia="Times New Roman"/>
          <w:color w:val="000000"/>
          <w:sz w:val="20"/>
          <w:szCs w:val="20"/>
        </w:rPr>
        <w:t xml:space="preserve"> Federal Reserve as an “agreement corporation” under the Federal Reserve’s Regulation K.</w:t>
      </w:r>
    </w:p>
    <w:p w:rsidR="00000000" w:rsidRDefault="00E0782F">
      <w:pPr>
        <w:jc w:val="both"/>
        <w:divId w:val="1418288644"/>
        <w:rPr>
          <w:rFonts w:eastAsia="Times New Roman"/>
        </w:rPr>
      </w:pPr>
      <w:r>
        <w:rPr>
          <w:rFonts w:eastAsia="Times New Roman"/>
          <w:color w:val="000000"/>
          <w:sz w:val="20"/>
          <w:szCs w:val="20"/>
        </w:rPr>
        <w:t>Previously, the FCA set a deadline of August 29, 2019 (“the Deadline”) for the submission of complaints to firms (including COEP) that had previously sold Payment Prot</w:t>
      </w:r>
      <w:r>
        <w:rPr>
          <w:rFonts w:eastAsia="Times New Roman"/>
          <w:color w:val="000000"/>
          <w:sz w:val="20"/>
          <w:szCs w:val="20"/>
        </w:rPr>
        <w:t>ection Insurance (“PPI”) to its customers. In order to ensure complainants are treated fairly, the FCA closely supervises all large lenders (including COEP). COEP has now finished handling almost all complaints it received prior to the Deadline and is in t</w:t>
      </w:r>
      <w:r>
        <w:rPr>
          <w:rFonts w:eastAsia="Times New Roman"/>
          <w:color w:val="000000"/>
          <w:sz w:val="20"/>
          <w:szCs w:val="20"/>
        </w:rPr>
        <w:t>he process of finalizing all remaining complaints, through continued discussions with third parties. Escalations to the Financial Ombudsman Service (“FOS”) are permitted to take place until the first quarter of 2021.</w:t>
      </w:r>
    </w:p>
    <w:p w:rsidR="00000000" w:rsidRDefault="00E0782F">
      <w:pPr>
        <w:divId w:val="1929343794"/>
        <w:rPr>
          <w:rFonts w:eastAsia="Times New Roman"/>
        </w:rPr>
      </w:pPr>
      <w:r>
        <w:rPr>
          <w:rFonts w:eastAsia="Times New Roman"/>
          <w:b/>
          <w:bCs/>
          <w:i/>
          <w:iCs/>
          <w:color w:val="000000"/>
          <w:sz w:val="20"/>
          <w:szCs w:val="20"/>
        </w:rPr>
        <w:t>Canada</w:t>
      </w:r>
    </w:p>
    <w:p w:rsidR="00000000" w:rsidRDefault="00E0782F">
      <w:pPr>
        <w:jc w:val="both"/>
        <w:divId w:val="1614093083"/>
        <w:rPr>
          <w:rFonts w:eastAsia="Times New Roman"/>
        </w:rPr>
      </w:pPr>
      <w:r>
        <w:rPr>
          <w:rFonts w:eastAsia="Times New Roman"/>
          <w:color w:val="000000"/>
          <w:sz w:val="20"/>
          <w:szCs w:val="20"/>
        </w:rPr>
        <w:t xml:space="preserve">In Canada, COBNA operates as an </w:t>
      </w:r>
      <w:r>
        <w:rPr>
          <w:rFonts w:eastAsia="Times New Roman"/>
          <w:color w:val="000000"/>
          <w:sz w:val="20"/>
          <w:szCs w:val="20"/>
        </w:rPr>
        <w:t>authorized foreign bank pursuant to the Bank Act (Canada) (“Bank Act”) and is permitted to conduct its credit card business in Canada through its Canadian branch, Capital One Bank (Canada Branch) (“Capital One Canada”). The primary regulator of Capital One</w:t>
      </w:r>
      <w:r>
        <w:rPr>
          <w:rFonts w:eastAsia="Times New Roman"/>
          <w:color w:val="000000"/>
          <w:sz w:val="20"/>
          <w:szCs w:val="20"/>
        </w:rPr>
        <w:t xml:space="preserve"> Canada is the Office of the Superintendent of Financial Institutions. Other regulators include the Financial Consumer Agency of Canada (“FCAC”), the Office of the Privacy Commissioner of Canada, and the Financial Transactions and Reports Analysis Centre o</w:t>
      </w:r>
      <w:r>
        <w:rPr>
          <w:rFonts w:eastAsia="Times New Roman"/>
          <w:color w:val="000000"/>
          <w:sz w:val="20"/>
          <w:szCs w:val="20"/>
        </w:rPr>
        <w:t>f Canada. Capital One Canada is subject to regulation under various Canadian federal laws, including the Bank Act and its regulations, the Proceeds of Crime (Money Laundering) and Terrorist Financing Act and the Personal Information Protection and Electron</w:t>
      </w:r>
      <w:r>
        <w:rPr>
          <w:rFonts w:eastAsia="Times New Roman"/>
          <w:color w:val="000000"/>
          <w:sz w:val="20"/>
          <w:szCs w:val="20"/>
        </w:rPr>
        <w:t>ic Documents Act.</w:t>
      </w:r>
    </w:p>
    <w:p w:rsidR="00000000" w:rsidRDefault="00E0782F">
      <w:pPr>
        <w:jc w:val="both"/>
        <w:divId w:val="1629509943"/>
        <w:rPr>
          <w:rFonts w:eastAsia="Times New Roman"/>
        </w:rPr>
      </w:pPr>
      <w:r>
        <w:rPr>
          <w:rFonts w:eastAsia="Times New Roman"/>
          <w:color w:val="000000"/>
          <w:sz w:val="20"/>
          <w:szCs w:val="20"/>
        </w:rPr>
        <w:t>On December 13, 2018, Bill C-86, Budget Implementation Act, 2018, No. 2 was passed by Parliament. Among other things, Bill C-86 amends the Bank Act (Canada) to consolidate and strengthen provisions that apply to banks and authorized forei</w:t>
      </w:r>
      <w:r>
        <w:rPr>
          <w:rFonts w:eastAsia="Times New Roman"/>
          <w:color w:val="000000"/>
          <w:sz w:val="20"/>
          <w:szCs w:val="20"/>
        </w:rPr>
        <w:t>gn banks in the areas of consumer protection, corporate governance, business practices, public reporting, disclosure of information and access to basic banking services. Bill C-86 also amends the FCAC Act to enhance the role and powers of the FCAC by incre</w:t>
      </w:r>
      <w:r>
        <w:rPr>
          <w:rFonts w:eastAsia="Times New Roman"/>
          <w:color w:val="000000"/>
          <w:sz w:val="20"/>
          <w:szCs w:val="20"/>
        </w:rPr>
        <w:t>asing the maximum penalty for a violation of the consumer protection provisions of the Bank Act from 50,000 Canadian dollars (“CAD”) for natural persons and 500,000 CAD in the case of financial institutions or a payment card network to 1 million CAD and 10</w:t>
      </w:r>
      <w:r>
        <w:rPr>
          <w:rFonts w:eastAsia="Times New Roman"/>
          <w:color w:val="000000"/>
          <w:sz w:val="20"/>
          <w:szCs w:val="20"/>
        </w:rPr>
        <w:t xml:space="preserve"> million CAD, respectively. We are continuing to analyze the impacts of Bill C-86 and the final regulations related thereto in order to determine its applicability and impact to our business.</w:t>
      </w:r>
    </w:p>
    <w:p w:rsidR="00000000" w:rsidRDefault="00E0782F">
      <w:pPr>
        <w:jc w:val="both"/>
        <w:divId w:val="1037510821"/>
        <w:rPr>
          <w:rFonts w:eastAsia="Times New Roman"/>
        </w:rPr>
      </w:pPr>
      <w:r>
        <w:rPr>
          <w:rFonts w:eastAsia="Times New Roman"/>
          <w:color w:val="000000"/>
          <w:sz w:val="20"/>
          <w:szCs w:val="20"/>
        </w:rPr>
        <w:t>In August 2018, the Government of Canada announced new voluntary</w:t>
      </w:r>
      <w:r>
        <w:rPr>
          <w:rFonts w:eastAsia="Times New Roman"/>
          <w:color w:val="000000"/>
          <w:sz w:val="20"/>
          <w:szCs w:val="20"/>
        </w:rPr>
        <w:t xml:space="preserve"> commitments from Visa Canada and MasterCard Canada, which took effect when the original commitments ended in 2020. As part of their new commitments, Visa and Mastercard will further reduce interchange fees for consumer credit cards by approximately 10 bas</w:t>
      </w:r>
      <w:r>
        <w:rPr>
          <w:rFonts w:eastAsia="Times New Roman"/>
          <w:color w:val="000000"/>
          <w:sz w:val="20"/>
          <w:szCs w:val="20"/>
        </w:rPr>
        <w:t>is points to an annual average effective rate of 1.4% for a period of five years. Visa and Mastercard will also narrow the range of interchange rates (lowest vs. highest fee) charged to businesses.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8370536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8370536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8370536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3" style="width:0;height:1.5pt" o:hralign="center" o:hrstd="t" o:hr="t" fillcolor="#a0a0a0" stroked="f"/>
        </w:pict>
      </w:r>
    </w:p>
    <w:p w:rsidR="00000000" w:rsidRDefault="00E0782F">
      <w:pPr>
        <w:jc w:val="both"/>
        <w:divId w:val="595791590"/>
        <w:rPr>
          <w:rFonts w:eastAsia="Times New Roman"/>
        </w:rPr>
      </w:pPr>
      <w:hyperlink w:anchor="i3af66512804646fcaf1b19a0aea6f320_7" w:history="1">
        <w:r>
          <w:rPr>
            <w:rStyle w:val="a3"/>
            <w:rFonts w:eastAsia="Times New Roman"/>
            <w:sz w:val="16"/>
            <w:szCs w:val="16"/>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831560643"/>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83156064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HUMAN CAPITAL RESOURCES</w:t>
            </w:r>
          </w:p>
        </w:tc>
      </w:tr>
    </w:tbl>
    <w:p w:rsidR="00000000" w:rsidRDefault="00E0782F">
      <w:pPr>
        <w:jc w:val="both"/>
        <w:divId w:val="537282330"/>
        <w:rPr>
          <w:rFonts w:eastAsia="Times New Roman"/>
        </w:rPr>
      </w:pPr>
      <w:r>
        <w:rPr>
          <w:rFonts w:eastAsia="Times New Roman"/>
          <w:color w:val="000000"/>
          <w:sz w:val="20"/>
          <w:szCs w:val="20"/>
        </w:rPr>
        <w:t>Our culture is rooted in putting people first with a focus on building and maintaining a workforce which fosters an inclusive environment based on diversity of our people, ideas and the merit of our work. Our workforce is our largest and one of our most va</w:t>
      </w:r>
      <w:r>
        <w:rPr>
          <w:rFonts w:eastAsia="Times New Roman"/>
          <w:color w:val="000000"/>
          <w:sz w:val="20"/>
          <w:szCs w:val="20"/>
        </w:rPr>
        <w:t>luable assets. We prioritize the recruitment, development, recognition, and retention of the 51,985 employees worldwide that we had as of December 31, 2020, whom we refer to as “associates.” The following disclosures provide information on our human capita</w:t>
      </w:r>
      <w:r>
        <w:rPr>
          <w:rFonts w:eastAsia="Times New Roman"/>
          <w:color w:val="000000"/>
          <w:sz w:val="20"/>
          <w:szCs w:val="20"/>
        </w:rPr>
        <w:t>l resources, including certain human capital objectives and measures that we focus on in managing our business.</w:t>
      </w:r>
    </w:p>
    <w:p w:rsidR="00000000" w:rsidRDefault="00E0782F">
      <w:pPr>
        <w:jc w:val="both"/>
        <w:divId w:val="1038506816"/>
        <w:rPr>
          <w:rFonts w:eastAsia="Times New Roman"/>
        </w:rPr>
      </w:pPr>
      <w:r>
        <w:rPr>
          <w:rFonts w:eastAsia="Times New Roman"/>
          <w:b/>
          <w:bCs/>
          <w:color w:val="000000"/>
          <w:sz w:val="20"/>
          <w:szCs w:val="20"/>
        </w:rPr>
        <w:t xml:space="preserve">Governance of Human Capital </w:t>
      </w:r>
    </w:p>
    <w:p w:rsidR="00000000" w:rsidRDefault="00E0782F">
      <w:pPr>
        <w:jc w:val="both"/>
        <w:divId w:val="1500193711"/>
        <w:rPr>
          <w:rFonts w:eastAsia="Times New Roman"/>
        </w:rPr>
      </w:pPr>
      <w:r>
        <w:rPr>
          <w:rFonts w:eastAsia="Times New Roman"/>
          <w:color w:val="000000"/>
          <w:sz w:val="20"/>
          <w:szCs w:val="20"/>
        </w:rPr>
        <w:t>Our full Board of Directors oversees our human capital management, including strategies, policies and practices, an</w:t>
      </w:r>
      <w:r>
        <w:rPr>
          <w:rFonts w:eastAsia="Times New Roman"/>
          <w:color w:val="000000"/>
          <w:sz w:val="20"/>
          <w:szCs w:val="20"/>
        </w:rPr>
        <w:t>d diversity, inclusion and belonging (“DIB”), and is assisted by our Board’s Compensation Committee and Governance and Nominating Committee. Our Executive Committee, a committee of senior management which includes our Chief Human Resources Officer, advises</w:t>
      </w:r>
      <w:r>
        <w:rPr>
          <w:rFonts w:eastAsia="Times New Roman"/>
          <w:color w:val="000000"/>
          <w:sz w:val="20"/>
          <w:szCs w:val="20"/>
        </w:rPr>
        <w:t xml:space="preserve">, assists and makes recommendations to our Chief Executive Officer and Board of Directors on human capital matters such as human resource practices and programs, including general employee benefits and compensation programs. Our Chief Diversity, Inclusion </w:t>
      </w:r>
      <w:r>
        <w:rPr>
          <w:rFonts w:eastAsia="Times New Roman"/>
          <w:color w:val="000000"/>
          <w:sz w:val="20"/>
          <w:szCs w:val="20"/>
        </w:rPr>
        <w:t xml:space="preserve">and Belonging Officer (“Chief DIB Officer”) provides an annual update on the progress, success and challenges on workforce representation, trends and programs to the Board of Directors and Executive Committee. </w:t>
      </w:r>
    </w:p>
    <w:p w:rsidR="00000000" w:rsidRDefault="00E0782F">
      <w:pPr>
        <w:jc w:val="both"/>
        <w:divId w:val="1952399646"/>
        <w:rPr>
          <w:rFonts w:eastAsia="Times New Roman"/>
        </w:rPr>
      </w:pPr>
      <w:r>
        <w:rPr>
          <w:rFonts w:eastAsia="Times New Roman"/>
          <w:b/>
          <w:bCs/>
          <w:color w:val="000000"/>
          <w:sz w:val="20"/>
          <w:szCs w:val="20"/>
        </w:rPr>
        <w:t>Hiring, Retention and Development</w:t>
      </w:r>
    </w:p>
    <w:p w:rsidR="00000000" w:rsidRDefault="00E0782F">
      <w:pPr>
        <w:jc w:val="both"/>
        <w:divId w:val="975718696"/>
        <w:rPr>
          <w:rFonts w:eastAsia="Times New Roman"/>
        </w:rPr>
      </w:pPr>
      <w:r>
        <w:rPr>
          <w:rFonts w:eastAsia="Times New Roman"/>
          <w:color w:val="000000"/>
          <w:sz w:val="20"/>
          <w:szCs w:val="20"/>
        </w:rPr>
        <w:t>We employ a</w:t>
      </w:r>
      <w:r>
        <w:rPr>
          <w:rFonts w:eastAsia="Times New Roman"/>
          <w:color w:val="000000"/>
          <w:sz w:val="20"/>
          <w:szCs w:val="20"/>
        </w:rPr>
        <w:t xml:space="preserve"> comprehensive people strategy that includes significant investments in recruiting, sourcing, and associate development to attract and retain top talent from all backgrounds to help drive our business’ long-term success. We recruit through a variety of cha</w:t>
      </w:r>
      <w:r>
        <w:rPr>
          <w:rFonts w:eastAsia="Times New Roman"/>
          <w:color w:val="000000"/>
          <w:sz w:val="20"/>
          <w:szCs w:val="20"/>
        </w:rPr>
        <w:t>nnels, including professional partnerships, job fairs, online platforms, on-campus recruiting, diversity-related recruiting events and initiatives, and internship and rotational programs, among others. We empower our associates to learn new skills, meet pe</w:t>
      </w:r>
      <w:r>
        <w:rPr>
          <w:rFonts w:eastAsia="Times New Roman"/>
          <w:color w:val="000000"/>
          <w:sz w:val="20"/>
          <w:szCs w:val="20"/>
        </w:rPr>
        <w:t>rsonalized development goals, and grow their careers. Investment in associate training and professional development is critical to maintaining our talent competitiveness. Our internal enterprise learning and development team blends multiple approaches to l</w:t>
      </w:r>
      <w:r>
        <w:rPr>
          <w:rFonts w:eastAsia="Times New Roman"/>
          <w:color w:val="000000"/>
          <w:sz w:val="20"/>
          <w:szCs w:val="20"/>
        </w:rPr>
        <w:t xml:space="preserve">earning to support associate development across lines of business, levels, and roles, including online and live classroom training. In addition to formal programming provided by learning professionals, including regulatory compliance, role-specific topics </w:t>
      </w:r>
      <w:r>
        <w:rPr>
          <w:rFonts w:eastAsia="Times New Roman"/>
          <w:color w:val="000000"/>
          <w:sz w:val="20"/>
          <w:szCs w:val="20"/>
        </w:rPr>
        <w:t xml:space="preserve">and others, our peer-to-peer learning strategy empowers associates to be both learners and teachers, further enhancing a culture of learning. We also focus on cultivating talent with leadership development courses, cohort-based programs, network building, </w:t>
      </w:r>
      <w:r>
        <w:rPr>
          <w:rFonts w:eastAsia="Times New Roman"/>
          <w:color w:val="000000"/>
          <w:sz w:val="20"/>
          <w:szCs w:val="20"/>
        </w:rPr>
        <w:t>and coaching.</w:t>
      </w:r>
    </w:p>
    <w:p w:rsidR="00000000" w:rsidRDefault="00E0782F">
      <w:pPr>
        <w:jc w:val="both"/>
        <w:divId w:val="345833475"/>
        <w:rPr>
          <w:rFonts w:eastAsia="Times New Roman"/>
        </w:rPr>
      </w:pPr>
      <w:r>
        <w:rPr>
          <w:rFonts w:eastAsia="Times New Roman"/>
          <w:color w:val="000000"/>
          <w:sz w:val="20"/>
          <w:szCs w:val="20"/>
        </w:rPr>
        <w:t>On a quarterly basis, we review our ability to attract and retain talent needed to deliver on our strategic business objectives. Each line of business and staff group reviews hiring, tenure and attrition metrics as part of this assessment, an</w:t>
      </w:r>
      <w:r>
        <w:rPr>
          <w:rFonts w:eastAsia="Times New Roman"/>
          <w:color w:val="000000"/>
          <w:sz w:val="20"/>
          <w:szCs w:val="20"/>
        </w:rPr>
        <w:t xml:space="preserve">d they implement mitigation plans when needed. </w:t>
      </w:r>
    </w:p>
    <w:p w:rsidR="00000000" w:rsidRDefault="00E0782F">
      <w:pPr>
        <w:jc w:val="both"/>
        <w:divId w:val="2022076216"/>
        <w:rPr>
          <w:rFonts w:eastAsia="Times New Roman"/>
        </w:rPr>
      </w:pPr>
      <w:r>
        <w:rPr>
          <w:rFonts w:eastAsia="Times New Roman"/>
          <w:b/>
          <w:bCs/>
          <w:color w:val="000000"/>
          <w:sz w:val="20"/>
          <w:szCs w:val="20"/>
        </w:rPr>
        <w:t>Diversity, Inclusion and Belonging</w:t>
      </w:r>
    </w:p>
    <w:p w:rsidR="00000000" w:rsidRDefault="00E0782F">
      <w:pPr>
        <w:jc w:val="both"/>
        <w:divId w:val="1700428962"/>
        <w:rPr>
          <w:rFonts w:eastAsia="Times New Roman"/>
        </w:rPr>
      </w:pPr>
      <w:r>
        <w:rPr>
          <w:rFonts w:eastAsia="Times New Roman"/>
          <w:color w:val="000000"/>
          <w:sz w:val="20"/>
          <w:szCs w:val="20"/>
        </w:rPr>
        <w:t>We continuously strive to empower our associates to do great work by creating an inclusive workplace and a culture of belonging that values diverse perspectives, fosters col</w:t>
      </w:r>
      <w:r>
        <w:rPr>
          <w:rFonts w:eastAsia="Times New Roman"/>
          <w:color w:val="000000"/>
          <w:sz w:val="20"/>
          <w:szCs w:val="20"/>
        </w:rPr>
        <w:t>laboration and encourages innovative ideas. We aim to create a place where associates of all backgrounds can thrive by bringing their best, most authentic selves to work. Our diversity and inclusion efforts are overseen by our Chief DIB Officer. This cultu</w:t>
      </w:r>
      <w:r>
        <w:rPr>
          <w:rFonts w:eastAsia="Times New Roman"/>
          <w:color w:val="000000"/>
          <w:sz w:val="20"/>
          <w:szCs w:val="20"/>
        </w:rPr>
        <w:t>re of belonging rests at the heart of our DIB efforts. Central to this effort are our business resource groups, associate-led organizations which deepen our understanding of different cultures, people and experiences, and enable associates to build connect</w:t>
      </w:r>
      <w:r>
        <w:rPr>
          <w:rFonts w:eastAsia="Times New Roman"/>
          <w:color w:val="000000"/>
          <w:sz w:val="20"/>
          <w:szCs w:val="20"/>
        </w:rPr>
        <w:t>ions, invest in their professional development, and support our commitment to attract, develop and retain a diverse workforce. In addition, our Chief Executive Officer and the Executive Committee engage with leaders of our business resource groups to ident</w:t>
      </w:r>
      <w:r>
        <w:rPr>
          <w:rFonts w:eastAsia="Times New Roman"/>
          <w:color w:val="000000"/>
          <w:sz w:val="20"/>
          <w:szCs w:val="20"/>
        </w:rPr>
        <w:t>ify opportunities to further our DIB agenda, enact positive change and build on existing initiatives designed to nurture our culture and workplace environment.</w:t>
      </w:r>
    </w:p>
    <w:p w:rsidR="00000000" w:rsidRDefault="00E0782F">
      <w:pPr>
        <w:jc w:val="both"/>
        <w:divId w:val="33235269"/>
        <w:rPr>
          <w:rFonts w:eastAsia="Times New Roman"/>
        </w:rPr>
      </w:pPr>
      <w:r>
        <w:rPr>
          <w:rFonts w:eastAsia="Times New Roman"/>
          <w:color w:val="000000"/>
          <w:sz w:val="20"/>
          <w:szCs w:val="20"/>
        </w:rPr>
        <w:t>Growing the diversity of our workforce at all levels, with an emphasis on leader and executive r</w:t>
      </w:r>
      <w:r>
        <w:rPr>
          <w:rFonts w:eastAsia="Times New Roman"/>
          <w:color w:val="000000"/>
          <w:sz w:val="20"/>
          <w:szCs w:val="20"/>
        </w:rPr>
        <w:t>oles, is an important component of our comprehensive DIB strategy. As of December 31, 2020, key measures of our workforce representation include:</w:t>
      </w:r>
    </w:p>
    <w:p w:rsidR="00000000" w:rsidRDefault="00E0782F">
      <w:pPr>
        <w:ind w:hanging="360"/>
        <w:jc w:val="both"/>
        <w:divId w:val="1916353813"/>
        <w:rPr>
          <w:rFonts w:eastAsia="Times New Roman"/>
        </w:rPr>
      </w:pPr>
      <w:r>
        <w:rPr>
          <w:rFonts w:eastAsia="Times New Roman"/>
          <w:color w:val="000000"/>
          <w:sz w:val="20"/>
          <w:szCs w:val="20"/>
        </w:rPr>
        <w:t>•Of the 11 members of our Board of Directors, 4 are women and 3 are people of color;</w:t>
      </w:r>
    </w:p>
    <w:p w:rsidR="00000000" w:rsidRDefault="00E0782F">
      <w:pPr>
        <w:ind w:hanging="360"/>
        <w:jc w:val="both"/>
        <w:divId w:val="1529876944"/>
        <w:rPr>
          <w:rFonts w:eastAsia="Times New Roman"/>
        </w:rPr>
      </w:pPr>
      <w:r>
        <w:rPr>
          <w:rFonts w:eastAsia="Times New Roman"/>
          <w:color w:val="000000"/>
          <w:sz w:val="20"/>
          <w:szCs w:val="20"/>
        </w:rPr>
        <w:t>•In the U.S., of the asso</w:t>
      </w:r>
      <w:r>
        <w:rPr>
          <w:rFonts w:eastAsia="Times New Roman"/>
          <w:color w:val="000000"/>
          <w:sz w:val="20"/>
          <w:szCs w:val="20"/>
        </w:rPr>
        <w:t>ciates who are vice president level and above, approximately 32% are women and 21% are people of color;</w:t>
      </w:r>
    </w:p>
    <w:p w:rsidR="00000000" w:rsidRDefault="00E0782F">
      <w:pPr>
        <w:ind w:hanging="360"/>
        <w:jc w:val="both"/>
        <w:divId w:val="1689526698"/>
        <w:rPr>
          <w:rFonts w:eastAsia="Times New Roman"/>
        </w:rPr>
      </w:pPr>
      <w:r>
        <w:rPr>
          <w:rFonts w:eastAsia="Times New Roman"/>
          <w:color w:val="000000"/>
          <w:sz w:val="20"/>
          <w:szCs w:val="20"/>
        </w:rPr>
        <w:t>•In the U.S., approximately 50% of associates are people of color; and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42647865"/>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14264786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14264786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4" style="width:0;height:1.5pt" o:hralign="center" o:hrstd="t" o:hr="t" fillcolor="#a0a0a0" stroked="f"/>
        </w:pict>
      </w:r>
    </w:p>
    <w:p w:rsidR="00000000" w:rsidRDefault="00E0782F">
      <w:pPr>
        <w:jc w:val="both"/>
        <w:divId w:val="157451284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ind w:hanging="360"/>
        <w:jc w:val="both"/>
        <w:divId w:val="1354308176"/>
        <w:rPr>
          <w:rFonts w:eastAsia="Times New Roman"/>
        </w:rPr>
      </w:pPr>
      <w:r>
        <w:rPr>
          <w:rFonts w:eastAsia="Times New Roman"/>
          <w:color w:val="000000"/>
          <w:sz w:val="20"/>
          <w:szCs w:val="20"/>
        </w:rPr>
        <w:t>•Worldwide, approximately 52% of associates are women, 47% of associates are men, and 1% of associates are undisclosed/other.</w:t>
      </w:r>
    </w:p>
    <w:p w:rsidR="00000000" w:rsidRDefault="00E0782F">
      <w:pPr>
        <w:jc w:val="both"/>
        <w:divId w:val="2083260560"/>
        <w:rPr>
          <w:rFonts w:eastAsia="Times New Roman"/>
        </w:rPr>
      </w:pPr>
      <w:r>
        <w:rPr>
          <w:rFonts w:eastAsia="Times New Roman"/>
          <w:color w:val="000000"/>
          <w:sz w:val="20"/>
          <w:szCs w:val="20"/>
        </w:rPr>
        <w:t>Our corporate website contains additional information regarding programs and other information integral to our philosophy of diversity, inclusion and belonging. We believe in the importance of transparency and will also provide on our website the 2020 Cons</w:t>
      </w:r>
      <w:r>
        <w:rPr>
          <w:rFonts w:eastAsia="Times New Roman"/>
          <w:color w:val="000000"/>
          <w:sz w:val="20"/>
          <w:szCs w:val="20"/>
        </w:rPr>
        <w:t>olidated EEO-1 Report upon submission to the U.S. Equal Employment Opportunity Commission.</w:t>
      </w:r>
    </w:p>
    <w:p w:rsidR="00000000" w:rsidRDefault="00E0782F">
      <w:pPr>
        <w:jc w:val="both"/>
        <w:divId w:val="396517633"/>
        <w:rPr>
          <w:rFonts w:eastAsia="Times New Roman"/>
        </w:rPr>
      </w:pPr>
      <w:r>
        <w:rPr>
          <w:rFonts w:eastAsia="Times New Roman"/>
          <w:b/>
          <w:bCs/>
          <w:color w:val="000000"/>
          <w:sz w:val="20"/>
          <w:szCs w:val="20"/>
        </w:rPr>
        <w:t>Compensation and Wellness</w:t>
      </w:r>
    </w:p>
    <w:p w:rsidR="00000000" w:rsidRDefault="00E0782F">
      <w:pPr>
        <w:jc w:val="both"/>
        <w:divId w:val="66656539"/>
        <w:rPr>
          <w:rFonts w:eastAsia="Times New Roman"/>
        </w:rPr>
      </w:pPr>
      <w:r>
        <w:rPr>
          <w:rFonts w:eastAsia="Times New Roman"/>
          <w:color w:val="000000"/>
          <w:sz w:val="20"/>
          <w:szCs w:val="20"/>
        </w:rPr>
        <w:t>We are committed to providing a competitive total compensation package that will attract, retain and motivate talent to help drive our busi</w:t>
      </w:r>
      <w:r>
        <w:rPr>
          <w:rFonts w:eastAsia="Times New Roman"/>
          <w:color w:val="000000"/>
          <w:sz w:val="20"/>
          <w:szCs w:val="20"/>
        </w:rPr>
        <w:t xml:space="preserve">ness’ long-term success. Our benefits, including competitive parental leave, on-site health centers, flexible work solutions, company contributions to associates’ 401(k) plans, educational assistance and other health, wellness, and financial benefits, are </w:t>
      </w:r>
      <w:r>
        <w:rPr>
          <w:rFonts w:eastAsia="Times New Roman"/>
          <w:color w:val="000000"/>
          <w:sz w:val="20"/>
          <w:szCs w:val="20"/>
        </w:rPr>
        <w:t>all designed to help associates grow and develop inside and outside of the workplace and empower them in their lives. Furthermore, pay equity has long been a core tenet of our pay philosophy and is central to our values. We annually evaluate base pay and i</w:t>
      </w:r>
      <w:r>
        <w:rPr>
          <w:rFonts w:eastAsia="Times New Roman"/>
          <w:color w:val="000000"/>
          <w:sz w:val="20"/>
          <w:szCs w:val="20"/>
        </w:rPr>
        <w:t>ncentive pay for all of our associates globally. This review and evaluation may occur more frequently as deemed necessary and prudent. We review groups of associates in similar roles, adjusting for factors that appropriately explain differences in pay such</w:t>
      </w:r>
      <w:r>
        <w:rPr>
          <w:rFonts w:eastAsia="Times New Roman"/>
          <w:color w:val="000000"/>
          <w:sz w:val="20"/>
          <w:szCs w:val="20"/>
        </w:rPr>
        <w:t xml:space="preserve"> as job location and experience. Based on our analysis, our aggregated adjusted pay gap results show that we pay women 100% of what men are paid, and we pay racial and ethnic minorities in the U.S. 100% of what non-minorities are paid. We use statistical m</w:t>
      </w:r>
      <w:r>
        <w:rPr>
          <w:rFonts w:eastAsia="Times New Roman"/>
          <w:color w:val="000000"/>
          <w:sz w:val="20"/>
          <w:szCs w:val="20"/>
        </w:rPr>
        <w:t>odeling to understand what drives pay gaps, instill new practices to eliminate them in the future, and if we find unexplained pay gaps, we close them.</w:t>
      </w:r>
    </w:p>
    <w:p w:rsidR="00000000" w:rsidRDefault="00E0782F">
      <w:pPr>
        <w:jc w:val="both"/>
        <w:divId w:val="685600699"/>
        <w:rPr>
          <w:rFonts w:eastAsia="Times New Roman"/>
        </w:rPr>
      </w:pPr>
      <w:r>
        <w:rPr>
          <w:rFonts w:eastAsia="Times New Roman"/>
          <w:color w:val="000000"/>
          <w:sz w:val="20"/>
          <w:szCs w:val="20"/>
        </w:rPr>
        <w:t>In 2020, a significant majority of our associates across our workforce have transitioned to working remot</w:t>
      </w:r>
      <w:r>
        <w:rPr>
          <w:rFonts w:eastAsia="Times New Roman"/>
          <w:color w:val="000000"/>
          <w:sz w:val="20"/>
          <w:szCs w:val="20"/>
        </w:rPr>
        <w:t xml:space="preserve">ely as we prioritize the safety of our associates during the COVID-19 pandemic. For more information on our response to the pandemic, please refer to </w:t>
      </w:r>
      <w:r>
        <w:rPr>
          <w:rFonts w:eastAsia="Times New Roman"/>
          <w:i/>
          <w:iCs/>
          <w:color w:val="000000"/>
          <w:sz w:val="20"/>
          <w:szCs w:val="20"/>
        </w:rPr>
        <w:t>Part I—Item 1.—Business—Overview—Coronavirus Disease 2019 (COVID-19) Pandemic</w:t>
      </w:r>
      <w:r>
        <w:rPr>
          <w:rFonts w:eastAsia="Times New Roman"/>
          <w:color w:val="000000"/>
          <w:sz w:val="20"/>
          <w:szCs w:val="20"/>
        </w:rPr>
        <w:t>.</w:t>
      </w:r>
    </w:p>
    <w:p w:rsidR="00000000" w:rsidRDefault="00E0782F">
      <w:pPr>
        <w:jc w:val="both"/>
        <w:divId w:val="307251095"/>
        <w:rPr>
          <w:rFonts w:eastAsia="Times New Roman"/>
        </w:rPr>
      </w:pPr>
      <w:r>
        <w:rPr>
          <w:rFonts w:eastAsia="Times New Roman"/>
          <w:b/>
          <w:bCs/>
          <w:color w:val="000000"/>
          <w:sz w:val="20"/>
          <w:szCs w:val="20"/>
        </w:rPr>
        <w:t>Communication and Connection</w:t>
      </w:r>
    </w:p>
    <w:p w:rsidR="00000000" w:rsidRDefault="00E0782F">
      <w:pPr>
        <w:jc w:val="both"/>
        <w:divId w:val="2134209234"/>
        <w:rPr>
          <w:rFonts w:eastAsia="Times New Roman"/>
        </w:rPr>
      </w:pPr>
      <w:r>
        <w:rPr>
          <w:rFonts w:eastAsia="Times New Roman"/>
          <w:color w:val="000000"/>
          <w:sz w:val="20"/>
          <w:szCs w:val="20"/>
        </w:rPr>
        <w:t>We communicate with our associates regularly to understand their perspectives and to hear their voices. Our senior leaders and Chief Executive Officer also communicate directly on societal events impacting our associates. To as</w:t>
      </w:r>
      <w:r>
        <w:rPr>
          <w:rFonts w:eastAsia="Times New Roman"/>
          <w:color w:val="000000"/>
          <w:sz w:val="20"/>
          <w:szCs w:val="20"/>
        </w:rPr>
        <w:t>sess and improve associate retention and engagement, the Company surveys associates on a periodic basis with the assistance of third-party consultants, and takes actions to address areas of associate concern. We encourage full participation and use the res</w:t>
      </w:r>
      <w:r>
        <w:rPr>
          <w:rFonts w:eastAsia="Times New Roman"/>
          <w:color w:val="000000"/>
          <w:sz w:val="20"/>
          <w:szCs w:val="20"/>
        </w:rPr>
        <w:t>ults to effect change and promote transparency.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86453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3864534"/>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386453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5" style="width:0;height:1.5pt" o:hralign="center" o:hrstd="t" o:hr="t" fillcolor="#a0a0a0" stroked="f"/>
        </w:pict>
      </w:r>
    </w:p>
    <w:p w:rsidR="00000000" w:rsidRDefault="00E0782F">
      <w:pPr>
        <w:jc w:val="both"/>
        <w:divId w:val="926497846"/>
        <w:rPr>
          <w:rFonts w:eastAsia="Times New Roman"/>
        </w:rPr>
      </w:pPr>
      <w:hyperlink w:anchor="i3af66512804646fcaf1b19a0aea6f320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38557963"/>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3855796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ADDITIONAL INFORMATION</w:t>
            </w:r>
          </w:p>
        </w:tc>
      </w:tr>
    </w:tbl>
    <w:p w:rsidR="00000000" w:rsidRDefault="00E0782F">
      <w:pPr>
        <w:divId w:val="27417242"/>
        <w:rPr>
          <w:rFonts w:eastAsia="Times New Roman"/>
        </w:rPr>
      </w:pPr>
      <w:r>
        <w:rPr>
          <w:rFonts w:eastAsia="Times New Roman"/>
          <w:b/>
          <w:bCs/>
          <w:color w:val="000000"/>
          <w:sz w:val="20"/>
          <w:szCs w:val="20"/>
        </w:rPr>
        <w:t>Technology/Systems</w:t>
      </w:r>
    </w:p>
    <w:p w:rsidR="00000000" w:rsidRDefault="00E0782F">
      <w:pPr>
        <w:jc w:val="both"/>
        <w:divId w:val="1733040997"/>
        <w:rPr>
          <w:rFonts w:eastAsia="Times New Roman"/>
        </w:rPr>
      </w:pPr>
      <w:r>
        <w:rPr>
          <w:rFonts w:eastAsia="Times New Roman"/>
          <w:color w:val="000000"/>
          <w:sz w:val="20"/>
          <w:szCs w:val="20"/>
        </w:rPr>
        <w:t>We leverage information and technology to achieve our business objectives and to develop and deliver products and services that satisfy our customers’ needs. A key part of our strategic focus is the development and use of efficient, flexible computer and o</w:t>
      </w:r>
      <w:r>
        <w:rPr>
          <w:rFonts w:eastAsia="Times New Roman"/>
          <w:color w:val="000000"/>
          <w:sz w:val="20"/>
          <w:szCs w:val="20"/>
        </w:rPr>
        <w:t xml:space="preserve">perational systems, such as cloud technology, to support complex marketing and account management strategies, the servicing of our customers, and the development of new and diversified products. We believe that the continued development and integration of </w:t>
      </w:r>
      <w:r>
        <w:rPr>
          <w:rFonts w:eastAsia="Times New Roman"/>
          <w:color w:val="000000"/>
          <w:sz w:val="20"/>
          <w:szCs w:val="20"/>
        </w:rPr>
        <w:t>these systems is an important part of our efforts to reduce costs, improve quality and security and provide faster, more flexible technology services. Consequently, we continuously review capabilities and develop or acquire systems, processes and competenc</w:t>
      </w:r>
      <w:r>
        <w:rPr>
          <w:rFonts w:eastAsia="Times New Roman"/>
          <w:color w:val="000000"/>
          <w:sz w:val="20"/>
          <w:szCs w:val="20"/>
        </w:rPr>
        <w:t>ies to meet our unique business requirements.</w:t>
      </w:r>
    </w:p>
    <w:p w:rsidR="00000000" w:rsidRDefault="00E0782F">
      <w:pPr>
        <w:jc w:val="both"/>
        <w:divId w:val="223182402"/>
        <w:rPr>
          <w:rFonts w:eastAsia="Times New Roman"/>
        </w:rPr>
      </w:pPr>
      <w:r>
        <w:rPr>
          <w:rFonts w:eastAsia="Times New Roman"/>
          <w:color w:val="000000"/>
          <w:sz w:val="20"/>
          <w:szCs w:val="20"/>
        </w:rPr>
        <w:t>As part of our continuous efforts to review and improve our technologies, we may either develop such capabilities internally or rely on third-party outsourcers who have the ability to deliver technology that is</w:t>
      </w:r>
      <w:r>
        <w:rPr>
          <w:rFonts w:eastAsia="Times New Roman"/>
          <w:color w:val="000000"/>
          <w:sz w:val="20"/>
          <w:szCs w:val="20"/>
        </w:rPr>
        <w:t xml:space="preserve"> of higher quality, lower cost, or both. We continue to rely on third-party outsourcers to help us deliver systems and operational infrastructure. These relationships include (but are not limited to): Amazon Web Services, Inc. (“AWS”) for our cloud infrast</w:t>
      </w:r>
      <w:r>
        <w:rPr>
          <w:rFonts w:eastAsia="Times New Roman"/>
          <w:color w:val="000000"/>
          <w:sz w:val="20"/>
          <w:szCs w:val="20"/>
        </w:rPr>
        <w:t>ructure, Total System Services LLC (“TSYS”) for consumer and commercial credit card processing services for our North American and U.K. portfolios, Fidelity Information Services (“FIS”) for certain of our banking systems and International Business Machines</w:t>
      </w:r>
      <w:r>
        <w:rPr>
          <w:rFonts w:eastAsia="Times New Roman"/>
          <w:color w:val="000000"/>
          <w:sz w:val="20"/>
          <w:szCs w:val="20"/>
        </w:rPr>
        <w:t xml:space="preserve"> Corporation for mainframe managed services.</w:t>
      </w:r>
    </w:p>
    <w:p w:rsidR="00000000" w:rsidRDefault="00E0782F">
      <w:pPr>
        <w:jc w:val="both"/>
        <w:divId w:val="1219393836"/>
        <w:rPr>
          <w:rFonts w:eastAsia="Times New Roman"/>
        </w:rPr>
      </w:pPr>
      <w:r>
        <w:rPr>
          <w:rFonts w:eastAsia="Times New Roman"/>
          <w:color w:val="000000"/>
          <w:sz w:val="20"/>
          <w:szCs w:val="20"/>
        </w:rPr>
        <w:t>We are committed to safeguarding our customers’ and our own information and technology, implementing backup and recovery systems, and generally require the same of our third-party service providers. We take meas</w:t>
      </w:r>
      <w:r>
        <w:rPr>
          <w:rFonts w:eastAsia="Times New Roman"/>
          <w:color w:val="000000"/>
          <w:sz w:val="20"/>
          <w:szCs w:val="20"/>
        </w:rPr>
        <w:t>ures that mitigate against known attacks and use internal and external resources to scan for vulnerabilities in platforms, systems, and applications necessary for delivering our products and services. For a discussion of the risks associated with our use o</w:t>
      </w:r>
      <w:r>
        <w:rPr>
          <w:rFonts w:eastAsia="Times New Roman"/>
          <w:color w:val="000000"/>
          <w:sz w:val="20"/>
          <w:szCs w:val="20"/>
        </w:rPr>
        <w:t>f technology systems, see “Part I—Item 1A. Risk Factors” under the headings “</w:t>
      </w:r>
      <w:r>
        <w:rPr>
          <w:rFonts w:eastAsia="Times New Roman"/>
          <w:i/>
          <w:iCs/>
          <w:color w:val="000000"/>
          <w:sz w:val="20"/>
          <w:szCs w:val="20"/>
        </w:rPr>
        <w:t>We face risks related to our operational, technological and organizational infrastructure</w:t>
      </w:r>
      <w:r>
        <w:rPr>
          <w:rFonts w:eastAsia="Times New Roman"/>
          <w:color w:val="000000"/>
          <w:sz w:val="20"/>
          <w:szCs w:val="20"/>
        </w:rPr>
        <w:t xml:space="preserve">” and </w:t>
      </w:r>
      <w:r>
        <w:rPr>
          <w:rFonts w:eastAsia="Times New Roman"/>
          <w:i/>
          <w:iCs/>
          <w:color w:val="000000"/>
          <w:sz w:val="20"/>
          <w:szCs w:val="20"/>
        </w:rPr>
        <w:t>“Increased costs, reductions in revenue, reputational damage and business disruption</w:t>
      </w:r>
      <w:r>
        <w:rPr>
          <w:rFonts w:eastAsia="Times New Roman"/>
          <w:i/>
          <w:iCs/>
          <w:color w:val="000000"/>
          <w:sz w:val="20"/>
          <w:szCs w:val="20"/>
        </w:rPr>
        <w:t>s can result from the theft, loss or misuse of information, including as a result of a cyber-attack.”</w:t>
      </w:r>
    </w:p>
    <w:p w:rsidR="00000000" w:rsidRDefault="00E0782F">
      <w:pPr>
        <w:divId w:val="1145855402"/>
        <w:rPr>
          <w:rFonts w:eastAsia="Times New Roman"/>
        </w:rPr>
      </w:pPr>
      <w:r>
        <w:rPr>
          <w:rFonts w:eastAsia="Times New Roman"/>
          <w:b/>
          <w:bCs/>
          <w:color w:val="000000"/>
          <w:sz w:val="20"/>
          <w:szCs w:val="20"/>
        </w:rPr>
        <w:t>Intellectual Property</w:t>
      </w:r>
    </w:p>
    <w:p w:rsidR="00000000" w:rsidRDefault="00E0782F">
      <w:pPr>
        <w:jc w:val="both"/>
        <w:divId w:val="2041973482"/>
        <w:rPr>
          <w:rFonts w:eastAsia="Times New Roman"/>
        </w:rPr>
      </w:pPr>
      <w:r>
        <w:rPr>
          <w:rFonts w:eastAsia="Times New Roman"/>
          <w:color w:val="000000"/>
          <w:sz w:val="20"/>
          <w:szCs w:val="20"/>
        </w:rPr>
        <w:t>As part of our overall and ongoing strategy to protect and enhance our intellectual property, we rely on a variety of protections, i</w:t>
      </w:r>
      <w:r>
        <w:rPr>
          <w:rFonts w:eastAsia="Times New Roman"/>
          <w:color w:val="000000"/>
          <w:sz w:val="20"/>
          <w:szCs w:val="20"/>
        </w:rPr>
        <w:t>ncluding copyrights, trademarks, trade secrets, patents and certain restrictions on disclosure, solicitation and competition. We also undertake other measures to control access to, or distribution of, our other proprietary information. Despite these precau</w:t>
      </w:r>
      <w:r>
        <w:rPr>
          <w:rFonts w:eastAsia="Times New Roman"/>
          <w:color w:val="000000"/>
          <w:sz w:val="20"/>
          <w:szCs w:val="20"/>
        </w:rPr>
        <w:t>tions, it may be possible for a third party to copy or otherwise obtain and use certain intellectual property or proprietary information without authorization. Our precautions may not prevent misappropriation or infringement of our intellectual property or</w:t>
      </w:r>
      <w:r>
        <w:rPr>
          <w:rFonts w:eastAsia="Times New Roman"/>
          <w:color w:val="000000"/>
          <w:sz w:val="20"/>
          <w:szCs w:val="20"/>
        </w:rPr>
        <w:t xml:space="preserve"> proprietary information. In addition, our competitors and other third parties also file patent applications for innovations that are used in our industry. The ability of our competitors and other third parties to obtain patents may adversely affect our ab</w:t>
      </w:r>
      <w:r>
        <w:rPr>
          <w:rFonts w:eastAsia="Times New Roman"/>
          <w:color w:val="000000"/>
          <w:sz w:val="20"/>
          <w:szCs w:val="20"/>
        </w:rPr>
        <w:t>ility to compete and our financial results. Conversely, our ability to obtain patents may increase our competitive advantage, preserve our freedom to operate, and allow us to enter into licensing (e.g., cross-licenses) or other arrangements with third part</w:t>
      </w:r>
      <w:r>
        <w:rPr>
          <w:rFonts w:eastAsia="Times New Roman"/>
          <w:color w:val="000000"/>
          <w:sz w:val="20"/>
          <w:szCs w:val="20"/>
        </w:rPr>
        <w:t>ies. There can be no assurance that we will be successful in such efforts, or that the ability of our competitors to obtain such patents may not adversely impact our financial results. For a discussion of risks associated with intellectual property, see “P</w:t>
      </w:r>
      <w:r>
        <w:rPr>
          <w:rFonts w:eastAsia="Times New Roman"/>
          <w:color w:val="000000"/>
          <w:sz w:val="20"/>
          <w:szCs w:val="20"/>
        </w:rPr>
        <w:t>art I—Item 1A. Risk Factors” under the heading “</w:t>
      </w:r>
      <w:r>
        <w:rPr>
          <w:rFonts w:eastAsia="Times New Roman"/>
          <w:i/>
          <w:iCs/>
          <w:color w:val="000000"/>
          <w:sz w:val="20"/>
          <w:szCs w:val="20"/>
        </w:rPr>
        <w:t>If we are not able to protect our intellectual property, our revenue and profitability could be negatively affected.”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6868005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6868005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6868005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6" style="width:0;height:1.5pt" o:hralign="center" o:hrstd="t" o:hr="t" fillcolor="#a0a0a0" stroked="f"/>
        </w:pict>
      </w:r>
    </w:p>
    <w:p w:rsidR="00000000" w:rsidRDefault="00E0782F">
      <w:pPr>
        <w:jc w:val="both"/>
        <w:divId w:val="1652097815"/>
        <w:rPr>
          <w:rFonts w:eastAsia="Times New Roman"/>
        </w:rPr>
      </w:pPr>
      <w:hyperlink w:anchor="i3af66512804646fcaf1b19a0aea6f320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08944615"/>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0894461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FORWARD-LOOKING STATEMENTS</w:t>
            </w:r>
          </w:p>
        </w:tc>
      </w:tr>
    </w:tbl>
    <w:p w:rsidR="00000000" w:rsidRDefault="00E0782F">
      <w:pPr>
        <w:jc w:val="both"/>
        <w:divId w:val="194777298"/>
        <w:rPr>
          <w:rFonts w:eastAsia="Times New Roman"/>
        </w:rPr>
      </w:pPr>
      <w:r>
        <w:rPr>
          <w:rFonts w:eastAsia="Times New Roman"/>
          <w:color w:val="000000"/>
          <w:sz w:val="20"/>
          <w:szCs w:val="20"/>
        </w:rPr>
        <w:t>From time to time, we have made and will make forward-looking statements, including those that discuss, among other things, strategies, goals, outlook or other non-historical matters; projections, revenues, income, returns, expenses, capital measures, capi</w:t>
      </w:r>
      <w:r>
        <w:rPr>
          <w:rFonts w:eastAsia="Times New Roman"/>
          <w:color w:val="000000"/>
          <w:sz w:val="20"/>
          <w:szCs w:val="20"/>
        </w:rPr>
        <w:t>tal allocation plans, accruals for claims in litigation and for other claims against us; earnings per share, efficiency ratio, operating efficiency ratio, or other financial measures for us; future financial and operating results; our plans, objectives, ex</w:t>
      </w:r>
      <w:r>
        <w:rPr>
          <w:rFonts w:eastAsia="Times New Roman"/>
          <w:color w:val="000000"/>
          <w:sz w:val="20"/>
          <w:szCs w:val="20"/>
        </w:rPr>
        <w:t>pectations and intentions; and the assumptions that underlie these matters.</w:t>
      </w:r>
    </w:p>
    <w:p w:rsidR="00000000" w:rsidRDefault="00E0782F">
      <w:pPr>
        <w:jc w:val="both"/>
        <w:divId w:val="1514615212"/>
        <w:rPr>
          <w:rFonts w:eastAsia="Times New Roman"/>
        </w:rPr>
      </w:pPr>
      <w:r>
        <w:rPr>
          <w:rFonts w:eastAsia="Times New Roman"/>
          <w:color w:val="000000"/>
          <w:sz w:val="20"/>
          <w:szCs w:val="20"/>
        </w:rPr>
        <w:t>To the extent that any such information is forward-looking, it is intended to fit within the safe harbor for forward-looking information provided by the Private Securities Litigati</w:t>
      </w:r>
      <w:r>
        <w:rPr>
          <w:rFonts w:eastAsia="Times New Roman"/>
          <w:color w:val="000000"/>
          <w:sz w:val="20"/>
          <w:szCs w:val="20"/>
        </w:rPr>
        <w:t>on Reform Act of 1995.</w:t>
      </w:r>
    </w:p>
    <w:p w:rsidR="00000000" w:rsidRDefault="00E0782F">
      <w:pPr>
        <w:jc w:val="both"/>
        <w:divId w:val="623270971"/>
        <w:rPr>
          <w:rFonts w:eastAsia="Times New Roman"/>
        </w:rPr>
      </w:pPr>
      <w:r>
        <w:rPr>
          <w:rFonts w:eastAsia="Times New Roman"/>
          <w:color w:val="000000"/>
          <w:sz w:val="20"/>
          <w:szCs w:val="20"/>
        </w:rPr>
        <w:t>Forward-looking statements often use words such as “will,” “anticipate,” “target,” “expect,” “estimate,” “intend,” “plan,” “goal,” “believe,” “forecast,” “outlook” or other words of similar meaning. Any forward-looking statements mad</w:t>
      </w:r>
      <w:r>
        <w:rPr>
          <w:rFonts w:eastAsia="Times New Roman"/>
          <w:color w:val="000000"/>
          <w:sz w:val="20"/>
          <w:szCs w:val="20"/>
        </w:rPr>
        <w:t>e by us or on our behalf speak only as of the date they are made or as of the date indicated, and we do not undertake any obligation to update forward-looking statements as a result of new information, future events or otherwise. For additional information</w:t>
      </w:r>
      <w:r>
        <w:rPr>
          <w:rFonts w:eastAsia="Times New Roman"/>
          <w:color w:val="000000"/>
          <w:sz w:val="20"/>
          <w:szCs w:val="20"/>
        </w:rPr>
        <w:t xml:space="preserve"> on factors that could materially influence forward-looking statements included in this Report, see the risk factors set forth under “Part I—Item 1A. Risk Factors” in this report. You should carefully consider the factors discussed above, and in our Risk F</w:t>
      </w:r>
      <w:r>
        <w:rPr>
          <w:rFonts w:eastAsia="Times New Roman"/>
          <w:color w:val="000000"/>
          <w:sz w:val="20"/>
          <w:szCs w:val="20"/>
        </w:rPr>
        <w:t>actors or other disclosure, in evaluating these forward-looking statements.</w:t>
      </w:r>
    </w:p>
    <w:p w:rsidR="00000000" w:rsidRDefault="00E0782F">
      <w:pPr>
        <w:jc w:val="both"/>
        <w:divId w:val="1786607969"/>
        <w:rPr>
          <w:rFonts w:eastAsia="Times New Roman"/>
        </w:rPr>
      </w:pPr>
      <w:r>
        <w:rPr>
          <w:rFonts w:eastAsia="Times New Roman"/>
          <w:color w:val="000000"/>
          <w:sz w:val="20"/>
          <w:szCs w:val="20"/>
        </w:rPr>
        <w:t>Numerous factors could cause our actual results to differ materially from those described in such forward-looking statements, including, among other things:</w:t>
      </w:r>
    </w:p>
    <w:p w:rsidR="00000000" w:rsidRDefault="00E0782F">
      <w:pPr>
        <w:ind w:hanging="360"/>
        <w:jc w:val="both"/>
        <w:divId w:val="680548227"/>
        <w:rPr>
          <w:rFonts w:eastAsia="Times New Roman"/>
        </w:rPr>
      </w:pPr>
      <w:r>
        <w:rPr>
          <w:rFonts w:eastAsia="Times New Roman"/>
          <w:color w:val="000000"/>
          <w:sz w:val="20"/>
          <w:szCs w:val="20"/>
        </w:rPr>
        <w:t>•the impact of the COVI</w:t>
      </w:r>
      <w:r>
        <w:rPr>
          <w:rFonts w:eastAsia="Times New Roman"/>
          <w:color w:val="000000"/>
          <w:sz w:val="20"/>
          <w:szCs w:val="20"/>
        </w:rPr>
        <w:t xml:space="preserve">D-19 pandemic and related public health measures on our business, financial condition and results of operations, including the increased estimation and forecast uncertainty as a result of the pandemic on our estimates of lifetime expected credit losses in </w:t>
      </w:r>
      <w:r>
        <w:rPr>
          <w:rFonts w:eastAsia="Times New Roman"/>
          <w:color w:val="000000"/>
          <w:sz w:val="20"/>
          <w:szCs w:val="20"/>
        </w:rPr>
        <w:t>our loan portfolios required in computing our allowance for credit losses;</w:t>
      </w:r>
    </w:p>
    <w:p w:rsidR="00000000" w:rsidRDefault="00E0782F">
      <w:pPr>
        <w:ind w:hanging="360"/>
        <w:jc w:val="both"/>
        <w:divId w:val="1808235746"/>
        <w:rPr>
          <w:rFonts w:eastAsia="Times New Roman"/>
        </w:rPr>
      </w:pPr>
      <w:r>
        <w:rPr>
          <w:rFonts w:eastAsia="Times New Roman"/>
          <w:color w:val="000000"/>
          <w:sz w:val="20"/>
          <w:szCs w:val="20"/>
        </w:rPr>
        <w:t>•general economic and business conditions in our local markets, including conditions affecting employment levels, interest rates, tariffs, collateral values, consumer income, credit</w:t>
      </w:r>
      <w:r>
        <w:rPr>
          <w:rFonts w:eastAsia="Times New Roman"/>
          <w:color w:val="000000"/>
          <w:sz w:val="20"/>
          <w:szCs w:val="20"/>
        </w:rPr>
        <w:t>worthiness and confidence, spending and savings that may affect consumer bankruptcies, defaults, charge-offs and deposit activity;</w:t>
      </w:r>
    </w:p>
    <w:p w:rsidR="00000000" w:rsidRDefault="00E0782F">
      <w:pPr>
        <w:ind w:hanging="360"/>
        <w:jc w:val="both"/>
        <w:divId w:val="117455774"/>
        <w:rPr>
          <w:rFonts w:eastAsia="Times New Roman"/>
        </w:rPr>
      </w:pPr>
      <w:r>
        <w:rPr>
          <w:rFonts w:eastAsia="Times New Roman"/>
          <w:color w:val="000000"/>
          <w:sz w:val="20"/>
          <w:szCs w:val="20"/>
        </w:rPr>
        <w:t>•an increase or decrease in credit losses, or increased delinquencies, including increases due to a worsening of general econ</w:t>
      </w:r>
      <w:r>
        <w:rPr>
          <w:rFonts w:eastAsia="Times New Roman"/>
          <w:color w:val="000000"/>
          <w:sz w:val="20"/>
          <w:szCs w:val="20"/>
        </w:rPr>
        <w:t>omic conditions in the credit environment, and the impact of inaccurate estimates or inadequate reserves;</w:t>
      </w:r>
    </w:p>
    <w:p w:rsidR="00000000" w:rsidRDefault="00E0782F">
      <w:pPr>
        <w:ind w:hanging="360"/>
        <w:jc w:val="both"/>
        <w:divId w:val="928387621"/>
        <w:rPr>
          <w:rFonts w:eastAsia="Times New Roman"/>
        </w:rPr>
      </w:pPr>
      <w:r>
        <w:rPr>
          <w:rFonts w:eastAsia="Times New Roman"/>
          <w:color w:val="000000"/>
          <w:sz w:val="20"/>
          <w:szCs w:val="20"/>
        </w:rPr>
        <w:t>•</w:t>
      </w:r>
      <w:r>
        <w:rPr>
          <w:rFonts w:eastAsia="Times New Roman"/>
          <w:color w:val="000000"/>
          <w:sz w:val="20"/>
          <w:szCs w:val="20"/>
        </w:rPr>
        <w:t>compliance with new and existing laws, regulations and regulatory expectations including the implementation of a regulatory reform agenda;</w:t>
      </w:r>
    </w:p>
    <w:p w:rsidR="00000000" w:rsidRDefault="00E0782F">
      <w:pPr>
        <w:ind w:hanging="360"/>
        <w:jc w:val="both"/>
        <w:divId w:val="442653776"/>
        <w:rPr>
          <w:rFonts w:eastAsia="Times New Roman"/>
        </w:rPr>
      </w:pPr>
      <w:r>
        <w:rPr>
          <w:rFonts w:eastAsia="Times New Roman"/>
          <w:color w:val="000000"/>
          <w:sz w:val="20"/>
          <w:szCs w:val="20"/>
        </w:rPr>
        <w:t>•our ability to manage adequate capital or liquidity levels, which could have a negative impact on our financial resu</w:t>
      </w:r>
      <w:r>
        <w:rPr>
          <w:rFonts w:eastAsia="Times New Roman"/>
          <w:color w:val="000000"/>
          <w:sz w:val="20"/>
          <w:szCs w:val="20"/>
        </w:rPr>
        <w:t>lts and our ability to return capital to our stockholders;</w:t>
      </w:r>
    </w:p>
    <w:p w:rsidR="00000000" w:rsidRDefault="00E0782F">
      <w:pPr>
        <w:ind w:hanging="360"/>
        <w:jc w:val="both"/>
        <w:divId w:val="34889314"/>
        <w:rPr>
          <w:rFonts w:eastAsia="Times New Roman"/>
        </w:rPr>
      </w:pPr>
      <w:r>
        <w:rPr>
          <w:rFonts w:eastAsia="Times New Roman"/>
          <w:color w:val="000000"/>
          <w:sz w:val="20"/>
          <w:szCs w:val="20"/>
        </w:rPr>
        <w:t>•the extensive use, reliability, disruption, and accuracy of the models and data we rely on;</w:t>
      </w:r>
    </w:p>
    <w:p w:rsidR="00000000" w:rsidRDefault="00E0782F">
      <w:pPr>
        <w:ind w:hanging="360"/>
        <w:jc w:val="both"/>
        <w:divId w:val="1747417291"/>
        <w:rPr>
          <w:rFonts w:eastAsia="Times New Roman"/>
        </w:rPr>
      </w:pPr>
      <w:r>
        <w:rPr>
          <w:rFonts w:eastAsia="Times New Roman"/>
          <w:color w:val="000000"/>
          <w:sz w:val="20"/>
          <w:szCs w:val="20"/>
        </w:rPr>
        <w:t>•increased costs, reductions in revenue, reputational damage, legal liability and business disruptions t</w:t>
      </w:r>
      <w:r>
        <w:rPr>
          <w:rFonts w:eastAsia="Times New Roman"/>
          <w:color w:val="000000"/>
          <w:sz w:val="20"/>
          <w:szCs w:val="20"/>
        </w:rPr>
        <w:t>hat can result from data protection or privacy incidents or the theft, loss or misuse of information, including as a result of a cyber-attack;</w:t>
      </w:r>
    </w:p>
    <w:p w:rsidR="00000000" w:rsidRDefault="00E0782F">
      <w:pPr>
        <w:ind w:hanging="360"/>
        <w:jc w:val="both"/>
        <w:divId w:val="1046416311"/>
        <w:rPr>
          <w:rFonts w:eastAsia="Times New Roman"/>
        </w:rPr>
      </w:pPr>
      <w:r>
        <w:rPr>
          <w:rFonts w:eastAsia="Times New Roman"/>
          <w:color w:val="000000"/>
          <w:sz w:val="20"/>
          <w:szCs w:val="20"/>
        </w:rPr>
        <w:t>•developments, changes or actions relating to any litigation, governmental investigation or regulatory enforcemen</w:t>
      </w:r>
      <w:r>
        <w:rPr>
          <w:rFonts w:eastAsia="Times New Roman"/>
          <w:color w:val="000000"/>
          <w:sz w:val="20"/>
          <w:szCs w:val="20"/>
        </w:rPr>
        <w:t>t action or matter involving us;</w:t>
      </w:r>
    </w:p>
    <w:p w:rsidR="00000000" w:rsidRDefault="00E0782F">
      <w:pPr>
        <w:ind w:hanging="360"/>
        <w:jc w:val="both"/>
        <w:divId w:val="1817187252"/>
        <w:rPr>
          <w:rFonts w:eastAsia="Times New Roman"/>
        </w:rPr>
      </w:pPr>
      <w:r>
        <w:rPr>
          <w:rFonts w:eastAsia="Times New Roman"/>
          <w:color w:val="000000"/>
          <w:sz w:val="20"/>
          <w:szCs w:val="20"/>
        </w:rPr>
        <w:t>•the amount and rate of deposit growth and changes in deposit costs;</w:t>
      </w:r>
    </w:p>
    <w:p w:rsidR="00000000" w:rsidRDefault="00E0782F">
      <w:pPr>
        <w:ind w:hanging="360"/>
        <w:jc w:val="both"/>
        <w:divId w:val="1914856091"/>
        <w:rPr>
          <w:rFonts w:eastAsia="Times New Roman"/>
        </w:rPr>
      </w:pPr>
      <w:r>
        <w:rPr>
          <w:rFonts w:eastAsia="Times New Roman"/>
          <w:color w:val="000000"/>
          <w:sz w:val="20"/>
          <w:szCs w:val="20"/>
        </w:rPr>
        <w:t>•our ability to execute on our strategic and operational plans;</w:t>
      </w:r>
    </w:p>
    <w:p w:rsidR="00000000" w:rsidRDefault="00E0782F">
      <w:pPr>
        <w:ind w:hanging="360"/>
        <w:jc w:val="both"/>
        <w:divId w:val="2058820717"/>
        <w:rPr>
          <w:rFonts w:eastAsia="Times New Roman"/>
        </w:rPr>
      </w:pPr>
      <w:r>
        <w:rPr>
          <w:rFonts w:eastAsia="Times New Roman"/>
          <w:color w:val="000000"/>
          <w:sz w:val="20"/>
          <w:szCs w:val="20"/>
        </w:rPr>
        <w:t>•our response to competitive pressures;</w:t>
      </w:r>
    </w:p>
    <w:p w:rsidR="00000000" w:rsidRDefault="00E0782F">
      <w:pPr>
        <w:ind w:hanging="360"/>
        <w:jc w:val="both"/>
        <w:divId w:val="245653360"/>
        <w:rPr>
          <w:rFonts w:eastAsia="Times New Roman"/>
        </w:rPr>
      </w:pPr>
      <w:r>
        <w:rPr>
          <w:rFonts w:eastAsia="Times New Roman"/>
          <w:color w:val="000000"/>
          <w:sz w:val="20"/>
          <w:szCs w:val="20"/>
        </w:rPr>
        <w:t xml:space="preserve">•our business, financial condition and results of </w:t>
      </w:r>
      <w:r>
        <w:rPr>
          <w:rFonts w:eastAsia="Times New Roman"/>
          <w:color w:val="000000"/>
          <w:sz w:val="20"/>
          <w:szCs w:val="20"/>
        </w:rPr>
        <w:t>operations may be adversely affected by merchants’ increasing focus on the fees charged by credit card networks and by legislation and regulation impacting such fees;</w:t>
      </w:r>
    </w:p>
    <w:p w:rsidR="00000000" w:rsidRDefault="00E0782F">
      <w:pPr>
        <w:ind w:hanging="360"/>
        <w:jc w:val="both"/>
        <w:divId w:val="1611620891"/>
        <w:rPr>
          <w:rFonts w:eastAsia="Times New Roman"/>
        </w:rPr>
      </w:pPr>
      <w:r>
        <w:rPr>
          <w:rFonts w:eastAsia="Times New Roman"/>
          <w:color w:val="000000"/>
          <w:sz w:val="20"/>
          <w:szCs w:val="20"/>
        </w:rPr>
        <w:t>•our success in integrating acquired businesses and loan portfolios, and our ability to r</w:t>
      </w:r>
      <w:r>
        <w:rPr>
          <w:rFonts w:eastAsia="Times New Roman"/>
          <w:color w:val="000000"/>
          <w:sz w:val="20"/>
          <w:szCs w:val="20"/>
        </w:rPr>
        <w:t>ealize anticipated benefits from announced transactions and strategic partnerships;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4234630"/>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6423463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6423463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7" style="width:0;height:1.5pt" o:hralign="center" o:hrstd="t" o:hr="t" fillcolor="#a0a0a0" stroked="f"/>
        </w:pict>
      </w:r>
    </w:p>
    <w:p w:rsidR="00000000" w:rsidRDefault="00E0782F">
      <w:pPr>
        <w:jc w:val="both"/>
        <w:divId w:val="60465081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ind w:hanging="360"/>
        <w:jc w:val="both"/>
        <w:divId w:val="853492542"/>
        <w:rPr>
          <w:rFonts w:eastAsia="Times New Roman"/>
        </w:rPr>
      </w:pPr>
      <w:r>
        <w:rPr>
          <w:rFonts w:eastAsia="Times New Roman"/>
          <w:color w:val="000000"/>
          <w:sz w:val="20"/>
          <w:szCs w:val="20"/>
        </w:rPr>
        <w:t>•our ability to maintain a compliance, operational, technology and organizational infrastructure suitable for the nature of our business;</w:t>
      </w:r>
    </w:p>
    <w:p w:rsidR="00000000" w:rsidRDefault="00E0782F">
      <w:pPr>
        <w:ind w:hanging="360"/>
        <w:jc w:val="both"/>
        <w:divId w:val="1286156515"/>
        <w:rPr>
          <w:rFonts w:eastAsia="Times New Roman"/>
        </w:rPr>
      </w:pPr>
      <w:r>
        <w:rPr>
          <w:rFonts w:eastAsia="Times New Roman"/>
          <w:color w:val="000000"/>
          <w:sz w:val="20"/>
          <w:szCs w:val="20"/>
        </w:rPr>
        <w:t>•the s</w:t>
      </w:r>
      <w:r>
        <w:rPr>
          <w:rFonts w:eastAsia="Times New Roman"/>
          <w:color w:val="000000"/>
          <w:sz w:val="20"/>
          <w:szCs w:val="20"/>
        </w:rPr>
        <w:t>uccess of our marketing efforts in attracting and retaining customers;</w:t>
      </w:r>
    </w:p>
    <w:p w:rsidR="00000000" w:rsidRDefault="00E0782F">
      <w:pPr>
        <w:ind w:hanging="360"/>
        <w:jc w:val="both"/>
        <w:divId w:val="9140678"/>
        <w:rPr>
          <w:rFonts w:eastAsia="Times New Roman"/>
        </w:rPr>
      </w:pPr>
      <w:r>
        <w:rPr>
          <w:rFonts w:eastAsia="Times New Roman"/>
          <w:color w:val="000000"/>
          <w:sz w:val="20"/>
          <w:szCs w:val="20"/>
        </w:rPr>
        <w:t>•our risk management strategies;</w:t>
      </w:r>
    </w:p>
    <w:p w:rsidR="00000000" w:rsidRDefault="00E0782F">
      <w:pPr>
        <w:ind w:hanging="360"/>
        <w:jc w:val="both"/>
        <w:divId w:val="1017735059"/>
        <w:rPr>
          <w:rFonts w:eastAsia="Times New Roman"/>
        </w:rPr>
      </w:pPr>
      <w:r>
        <w:rPr>
          <w:rFonts w:eastAsia="Times New Roman"/>
          <w:color w:val="000000"/>
          <w:sz w:val="20"/>
          <w:szCs w:val="20"/>
        </w:rPr>
        <w:t>•changes in the reputation of, or expectations regarding, the financial services industry or us with respect to practices, products or financial conditi</w:t>
      </w:r>
      <w:r>
        <w:rPr>
          <w:rFonts w:eastAsia="Times New Roman"/>
          <w:color w:val="000000"/>
          <w:sz w:val="20"/>
          <w:szCs w:val="20"/>
        </w:rPr>
        <w:t>on;</w:t>
      </w:r>
    </w:p>
    <w:p w:rsidR="00000000" w:rsidRDefault="00E0782F">
      <w:pPr>
        <w:ind w:hanging="360"/>
        <w:jc w:val="both"/>
        <w:divId w:val="341128212"/>
        <w:rPr>
          <w:rFonts w:eastAsia="Times New Roman"/>
        </w:rPr>
      </w:pPr>
      <w:r>
        <w:rPr>
          <w:rFonts w:eastAsia="Times New Roman"/>
          <w:color w:val="000000"/>
          <w:sz w:val="20"/>
          <w:szCs w:val="20"/>
        </w:rPr>
        <w:t>•increases or decreases in interest rates and uncertainty with respect to the interest rate environment, including the possibility of a prolonged low-interest rate environment or of negative interest rates</w:t>
      </w:r>
      <w:r>
        <w:rPr>
          <w:rFonts w:eastAsia="Times New Roman"/>
          <w:color w:val="000000"/>
          <w:sz w:val="20"/>
          <w:szCs w:val="20"/>
        </w:rPr>
        <w:t>;</w:t>
      </w:r>
    </w:p>
    <w:p w:rsidR="00000000" w:rsidRDefault="00E0782F">
      <w:pPr>
        <w:ind w:hanging="360"/>
        <w:jc w:val="both"/>
        <w:divId w:val="1748335318"/>
        <w:rPr>
          <w:rFonts w:eastAsia="Times New Roman"/>
        </w:rPr>
      </w:pPr>
      <w:r>
        <w:rPr>
          <w:rFonts w:eastAsia="Times New Roman"/>
          <w:color w:val="000000"/>
          <w:sz w:val="20"/>
          <w:szCs w:val="20"/>
        </w:rPr>
        <w:t>•uncertainty regarding, and transition away f</w:t>
      </w:r>
      <w:r>
        <w:rPr>
          <w:rFonts w:eastAsia="Times New Roman"/>
          <w:color w:val="000000"/>
          <w:sz w:val="20"/>
          <w:szCs w:val="20"/>
        </w:rPr>
        <w:t>rom, the London Interbank Offering Rate;</w:t>
      </w:r>
    </w:p>
    <w:p w:rsidR="00000000" w:rsidRDefault="00E0782F">
      <w:pPr>
        <w:ind w:hanging="360"/>
        <w:jc w:val="both"/>
        <w:divId w:val="68427249"/>
        <w:rPr>
          <w:rFonts w:eastAsia="Times New Roman"/>
        </w:rPr>
      </w:pPr>
      <w:r>
        <w:rPr>
          <w:rFonts w:eastAsia="Times New Roman"/>
          <w:color w:val="000000"/>
          <w:sz w:val="20"/>
          <w:szCs w:val="20"/>
        </w:rPr>
        <w:t>•our ability to attract, retain and motivate skilled employees;</w:t>
      </w:r>
    </w:p>
    <w:p w:rsidR="00000000" w:rsidRDefault="00E0782F">
      <w:pPr>
        <w:ind w:hanging="360"/>
        <w:jc w:val="both"/>
        <w:divId w:val="787352987"/>
        <w:rPr>
          <w:rFonts w:eastAsia="Times New Roman"/>
        </w:rPr>
      </w:pPr>
      <w:r>
        <w:rPr>
          <w:rFonts w:eastAsia="Times New Roman"/>
          <w:color w:val="000000"/>
          <w:sz w:val="20"/>
          <w:szCs w:val="20"/>
        </w:rPr>
        <w:t>•our assumptions or estimates in our financial statements;</w:t>
      </w:r>
    </w:p>
    <w:p w:rsidR="00000000" w:rsidRDefault="00E0782F">
      <w:pPr>
        <w:ind w:hanging="360"/>
        <w:jc w:val="both"/>
        <w:divId w:val="35929614"/>
        <w:rPr>
          <w:rFonts w:eastAsia="Times New Roman"/>
        </w:rPr>
      </w:pPr>
      <w:r>
        <w:rPr>
          <w:rFonts w:eastAsia="Times New Roman"/>
          <w:color w:val="000000"/>
          <w:sz w:val="20"/>
          <w:szCs w:val="20"/>
        </w:rPr>
        <w:t>•</w:t>
      </w:r>
      <w:r>
        <w:rPr>
          <w:rFonts w:eastAsia="Times New Roman"/>
          <w:color w:val="000000"/>
          <w:sz w:val="20"/>
          <w:szCs w:val="20"/>
        </w:rPr>
        <w:t>limitations on our ability to receive dividends from our subsidiaries;</w:t>
      </w:r>
    </w:p>
    <w:p w:rsidR="00000000" w:rsidRDefault="00E0782F">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the soundness of other financial institutions and other third parties; and </w:t>
      </w:r>
    </w:p>
    <w:p w:rsidR="00000000" w:rsidRDefault="00E0782F">
      <w:pPr>
        <w:ind w:hanging="360"/>
        <w:jc w:val="both"/>
        <w:divId w:val="798110727"/>
        <w:rPr>
          <w:rFonts w:eastAsia="Times New Roman"/>
        </w:rPr>
      </w:pPr>
      <w:r>
        <w:rPr>
          <w:rFonts w:eastAsia="Times New Roman"/>
          <w:color w:val="000000"/>
          <w:sz w:val="20"/>
          <w:szCs w:val="20"/>
        </w:rPr>
        <w:t>•</w:t>
      </w:r>
      <w:r>
        <w:rPr>
          <w:rFonts w:eastAsia="Times New Roman"/>
          <w:color w:val="000000"/>
          <w:sz w:val="20"/>
          <w:szCs w:val="20"/>
        </w:rPr>
        <w:t>other risk factors identified from time to time in our public disclosures, including in the reports that we file with the SEC.</w:t>
      </w:r>
    </w:p>
    <w:p w:rsidR="00000000" w:rsidRDefault="00E0782F">
      <w:pPr>
        <w:jc w:val="both"/>
        <w:divId w:val="183712437"/>
        <w:rPr>
          <w:rFonts w:eastAsia="Times New Roman"/>
        </w:rPr>
      </w:pPr>
      <w:r>
        <w:rPr>
          <w:rFonts w:eastAsia="Times New Roman"/>
          <w:color w:val="000000"/>
          <w:sz w:val="20"/>
          <w:szCs w:val="20"/>
        </w:rPr>
        <w:t>We expect that the effects of the COVID-19 pandemic will heighten the risks associated with many of these factors.</w:t>
      </w:r>
    </w:p>
    <w:p w:rsidR="00000000" w:rsidRDefault="00E0782F">
      <w:pPr>
        <w:divId w:val="986208991"/>
        <w:rPr>
          <w:rFonts w:eastAsia="Times New Roman"/>
        </w:rPr>
      </w:pPr>
      <w:r>
        <w:rPr>
          <w:rFonts w:eastAsia="Times New Roman"/>
          <w:b/>
          <w:bCs/>
          <w:color w:val="000000"/>
          <w:sz w:val="20"/>
          <w:szCs w:val="20"/>
        </w:rPr>
        <w:t xml:space="preserve">Item 1A. Risk </w:t>
      </w:r>
      <w:r>
        <w:rPr>
          <w:rFonts w:eastAsia="Times New Roman"/>
          <w:b/>
          <w:bCs/>
          <w:color w:val="000000"/>
          <w:sz w:val="20"/>
          <w:szCs w:val="20"/>
        </w:rPr>
        <w:t xml:space="preserve">Factors </w:t>
      </w:r>
    </w:p>
    <w:p w:rsidR="00000000" w:rsidRDefault="00E0782F">
      <w:pPr>
        <w:jc w:val="both"/>
        <w:divId w:val="756095630"/>
        <w:rPr>
          <w:rFonts w:eastAsia="Times New Roman"/>
        </w:rPr>
      </w:pPr>
      <w:r>
        <w:rPr>
          <w:rFonts w:eastAsia="Times New Roman"/>
          <w:color w:val="000000"/>
          <w:sz w:val="20"/>
          <w:szCs w:val="20"/>
        </w:rPr>
        <w:t>This section highlights significant factors, events, and uncertainties that make an investment in our securities risky. The events and consequences discussed in these risk factors could, in circumstances we may not be able to accurately predict, r</w:t>
      </w:r>
      <w:r>
        <w:rPr>
          <w:rFonts w:eastAsia="Times New Roman"/>
          <w:color w:val="000000"/>
          <w:sz w:val="20"/>
          <w:szCs w:val="20"/>
        </w:rPr>
        <w:t>ecognize, or control, have a material adverse effect on our business, growth, reputation, prospects, financial condition, operating results, cash flows, liquidity, and stock price. These risk factors do not identify all risks that we face; our operations c</w:t>
      </w:r>
      <w:r>
        <w:rPr>
          <w:rFonts w:eastAsia="Times New Roman"/>
          <w:color w:val="000000"/>
          <w:sz w:val="20"/>
          <w:szCs w:val="20"/>
        </w:rPr>
        <w:t>ould also be affected by factors, events, or uncertainties that are not presently known to us or that we currently do not consider to present significant risks to our operations. In addition, the global economic and political climate may amplify many of th</w:t>
      </w:r>
      <w:r>
        <w:rPr>
          <w:rFonts w:eastAsia="Times New Roman"/>
          <w:color w:val="000000"/>
          <w:sz w:val="20"/>
          <w:szCs w:val="20"/>
        </w:rPr>
        <w:t>ese risks.</w:t>
      </w:r>
    </w:p>
    <w:p w:rsidR="00000000" w:rsidRDefault="00E0782F">
      <w:pPr>
        <w:divId w:val="1165825514"/>
        <w:rPr>
          <w:rFonts w:eastAsia="Times New Roman"/>
        </w:rPr>
      </w:pPr>
      <w:r>
        <w:rPr>
          <w:rFonts w:eastAsia="Times New Roman"/>
          <w:b/>
          <w:bCs/>
          <w:color w:val="000000"/>
          <w:sz w:val="20"/>
          <w:szCs w:val="20"/>
        </w:rPr>
        <w:t>Summary of Risk Factors</w:t>
      </w:r>
    </w:p>
    <w:p w:rsidR="00000000" w:rsidRDefault="00E0782F">
      <w:pPr>
        <w:jc w:val="both"/>
        <w:divId w:val="766920717"/>
        <w:rPr>
          <w:rFonts w:eastAsia="Times New Roman"/>
        </w:rPr>
      </w:pPr>
      <w:r>
        <w:rPr>
          <w:rFonts w:eastAsia="Times New Roman"/>
          <w:color w:val="000000"/>
          <w:sz w:val="20"/>
          <w:szCs w:val="20"/>
        </w:rPr>
        <w:t>Below is a summary of the principal factors that make an investment in our securities risky. This summary does not address all of the risks that we face. Additional discussion of the risks summarized in this risk factor s</w:t>
      </w:r>
      <w:r>
        <w:rPr>
          <w:rFonts w:eastAsia="Times New Roman"/>
          <w:color w:val="000000"/>
          <w:sz w:val="20"/>
          <w:szCs w:val="20"/>
        </w:rPr>
        <w:t>ummary, and other risks that we face, can be found below and should be carefully considered, together with other information in this Form 10-K and our other filings with the SEC, before making an investment decision regarding our common stock.</w:t>
      </w:r>
    </w:p>
    <w:p w:rsidR="00000000" w:rsidRDefault="00E0782F">
      <w:pPr>
        <w:ind w:hanging="360"/>
        <w:jc w:val="both"/>
        <w:divId w:val="966932618"/>
        <w:rPr>
          <w:rFonts w:eastAsia="Times New Roman"/>
        </w:rPr>
      </w:pPr>
      <w:r>
        <w:rPr>
          <w:rFonts w:eastAsia="Times New Roman"/>
          <w:b/>
          <w:bCs/>
          <w:i/>
          <w:iCs/>
          <w:color w:val="000000"/>
          <w:sz w:val="20"/>
          <w:szCs w:val="20"/>
        </w:rPr>
        <w:t>•</w:t>
      </w:r>
      <w:r>
        <w:rPr>
          <w:rFonts w:eastAsia="Times New Roman"/>
          <w:color w:val="000000"/>
          <w:sz w:val="20"/>
          <w:szCs w:val="20"/>
        </w:rPr>
        <w:t>The COVID-1</w:t>
      </w:r>
      <w:r>
        <w:rPr>
          <w:rFonts w:eastAsia="Times New Roman"/>
          <w:color w:val="000000"/>
          <w:sz w:val="20"/>
          <w:szCs w:val="20"/>
        </w:rPr>
        <w:t>9 pandemic has adversely impacted our business and financial results, and the extent to which the pandemic and measures taken in response to the pandemic could materially and adversely impact our business, financial condition, liquidity, capital and result</w:t>
      </w:r>
      <w:r>
        <w:rPr>
          <w:rFonts w:eastAsia="Times New Roman"/>
          <w:color w:val="000000"/>
          <w:sz w:val="20"/>
          <w:szCs w:val="20"/>
        </w:rPr>
        <w:t>s of operations will depend on future developments, which are highly uncertain and are difficult to predict.</w:t>
      </w:r>
    </w:p>
    <w:p w:rsidR="00000000" w:rsidRDefault="00E0782F">
      <w:pPr>
        <w:ind w:hanging="360"/>
        <w:jc w:val="both"/>
        <w:divId w:val="277563102"/>
        <w:rPr>
          <w:rFonts w:eastAsia="Times New Roman"/>
        </w:rPr>
      </w:pPr>
      <w:r>
        <w:rPr>
          <w:rFonts w:eastAsia="Times New Roman"/>
          <w:b/>
          <w:bCs/>
          <w:i/>
          <w:iCs/>
          <w:color w:val="000000"/>
          <w:sz w:val="20"/>
          <w:szCs w:val="20"/>
        </w:rPr>
        <w:t>•</w:t>
      </w:r>
      <w:r>
        <w:rPr>
          <w:rFonts w:eastAsia="Times New Roman"/>
          <w:color w:val="000000"/>
          <w:sz w:val="20"/>
          <w:szCs w:val="20"/>
        </w:rPr>
        <w:t>Changes and instability in the macroeconomic environment, consumer confidence and customer behavior may adversely affect our business.</w:t>
      </w:r>
    </w:p>
    <w:p w:rsidR="00000000" w:rsidRDefault="00E0782F">
      <w:pPr>
        <w:ind w:hanging="360"/>
        <w:jc w:val="both"/>
        <w:divId w:val="1640455411"/>
        <w:rPr>
          <w:rFonts w:eastAsia="Times New Roman"/>
        </w:rPr>
      </w:pPr>
      <w:r>
        <w:rPr>
          <w:rFonts w:eastAsia="Times New Roman"/>
          <w:color w:val="000000"/>
          <w:sz w:val="20"/>
          <w:szCs w:val="20"/>
        </w:rPr>
        <w:t xml:space="preserve">•Financial </w:t>
      </w:r>
      <w:r>
        <w:rPr>
          <w:rFonts w:eastAsia="Times New Roman"/>
          <w:color w:val="000000"/>
          <w:sz w:val="20"/>
          <w:szCs w:val="20"/>
        </w:rPr>
        <w:t>market instability and volatility could adversely affect our business.</w:t>
      </w:r>
      <w:r>
        <w:rPr>
          <w:rFonts w:eastAsia="Times New Roman"/>
          <w:b/>
          <w:bCs/>
          <w:i/>
          <w:iCs/>
          <w:color w:val="000000"/>
          <w:sz w:val="20"/>
          <w:szCs w:val="20"/>
        </w:rPr>
        <w:t xml:space="preserve"> </w:t>
      </w:r>
    </w:p>
    <w:p w:rsidR="00000000" w:rsidRDefault="00E0782F">
      <w:pPr>
        <w:ind w:hanging="360"/>
        <w:jc w:val="both"/>
        <w:divId w:val="1882087548"/>
        <w:rPr>
          <w:rFonts w:eastAsia="Times New Roman"/>
        </w:rPr>
      </w:pPr>
      <w:r>
        <w:rPr>
          <w:rFonts w:eastAsia="Times New Roman"/>
          <w:color w:val="000000"/>
          <w:sz w:val="20"/>
          <w:szCs w:val="20"/>
        </w:rPr>
        <w:t>•We may experience increased delinquencies, credit losses, inaccurate estimates and inadequate reserves.</w:t>
      </w:r>
    </w:p>
    <w:p w:rsidR="00000000" w:rsidRDefault="00E0782F">
      <w:pPr>
        <w:ind w:hanging="360"/>
        <w:jc w:val="both"/>
        <w:divId w:val="182204962"/>
        <w:rPr>
          <w:rFonts w:eastAsia="Times New Roman"/>
        </w:rPr>
      </w:pPr>
      <w:r>
        <w:rPr>
          <w:rFonts w:eastAsia="Times New Roman"/>
          <w:color w:val="000000"/>
          <w:sz w:val="20"/>
          <w:szCs w:val="20"/>
        </w:rPr>
        <w:t>•We may not be able to maintain adequate capital or liquidity levels, which cou</w:t>
      </w:r>
      <w:r>
        <w:rPr>
          <w:rFonts w:eastAsia="Times New Roman"/>
          <w:color w:val="000000"/>
          <w:sz w:val="20"/>
          <w:szCs w:val="20"/>
        </w:rPr>
        <w:t>ld have a negative impact on our financial results and our ability to return capital to our stockholders.</w:t>
      </w:r>
    </w:p>
    <w:p w:rsidR="00000000" w:rsidRDefault="00E0782F">
      <w:pPr>
        <w:ind w:hanging="360"/>
        <w:divId w:val="1447770696"/>
        <w:rPr>
          <w:rFonts w:eastAsia="Times New Roman"/>
        </w:rPr>
      </w:pPr>
      <w:r>
        <w:rPr>
          <w:rFonts w:eastAsia="Times New Roman"/>
          <w:b/>
          <w:bCs/>
          <w:i/>
          <w:iCs/>
          <w:color w:val="000000"/>
          <w:sz w:val="20"/>
          <w:szCs w:val="20"/>
        </w:rPr>
        <w:t>•</w:t>
      </w:r>
      <w:r>
        <w:rPr>
          <w:rFonts w:eastAsia="Times New Roman"/>
          <w:color w:val="000000"/>
          <w:sz w:val="20"/>
          <w:szCs w:val="20"/>
        </w:rPr>
        <w:t>We face risks related to our operational, technological and organizational infrastructure.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76384420"/>
          <w:jc w:val="center"/>
        </w:trPr>
        <w:tc>
          <w:tcPr>
            <w:tcW w:w="50" w:type="pct"/>
            <w:vAlign w:val="center"/>
            <w:hideMark/>
          </w:tcPr>
          <w:p w:rsidR="00000000" w:rsidRDefault="00E0782F">
            <w:pPr>
              <w:ind w:hanging="360"/>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87638442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87638442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8" style="width:0;height:1.5pt" o:hralign="center" o:hrstd="t" o:hr="t" fillcolor="#a0a0a0" stroked="f"/>
        </w:pict>
      </w:r>
    </w:p>
    <w:p w:rsidR="00000000" w:rsidRDefault="00E0782F">
      <w:pPr>
        <w:jc w:val="both"/>
        <w:divId w:val="70591322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ind w:hanging="360"/>
        <w:jc w:val="both"/>
        <w:divId w:val="833834858"/>
        <w:rPr>
          <w:rFonts w:eastAsia="Times New Roman"/>
        </w:rPr>
      </w:pPr>
      <w:r>
        <w:rPr>
          <w:rFonts w:eastAsia="Times New Roman"/>
          <w:b/>
          <w:bCs/>
          <w:i/>
          <w:iCs/>
          <w:color w:val="000000"/>
          <w:sz w:val="20"/>
          <w:szCs w:val="20"/>
        </w:rPr>
        <w:t>•</w:t>
      </w:r>
      <w:r>
        <w:rPr>
          <w:rFonts w:eastAsia="Times New Roman"/>
          <w:color w:val="000000"/>
          <w:sz w:val="20"/>
          <w:szCs w:val="20"/>
        </w:rPr>
        <w:t>Theft, loss or misuse of information as a result of a cyber-attack may result in increased costs, reductions in revenue, reputational damage and business disruptions.</w:t>
      </w:r>
    </w:p>
    <w:p w:rsidR="00000000" w:rsidRDefault="00E0782F">
      <w:pPr>
        <w:ind w:hanging="360"/>
        <w:jc w:val="both"/>
        <w:divId w:val="866678785"/>
        <w:rPr>
          <w:rFonts w:eastAsia="Times New Roman"/>
        </w:rPr>
      </w:pPr>
      <w:r>
        <w:rPr>
          <w:rFonts w:eastAsia="Times New Roman"/>
          <w:b/>
          <w:bCs/>
          <w:i/>
          <w:iCs/>
          <w:color w:val="000000"/>
          <w:sz w:val="20"/>
          <w:szCs w:val="20"/>
        </w:rPr>
        <w:t>•</w:t>
      </w:r>
      <w:r>
        <w:rPr>
          <w:rFonts w:eastAsia="Times New Roman"/>
          <w:color w:val="000000"/>
          <w:sz w:val="20"/>
          <w:szCs w:val="20"/>
        </w:rPr>
        <w:t>Potential data protection and privacy incidents, and our required compliance with regula</w:t>
      </w:r>
      <w:r>
        <w:rPr>
          <w:rFonts w:eastAsia="Times New Roman"/>
          <w:color w:val="000000"/>
          <w:sz w:val="20"/>
          <w:szCs w:val="20"/>
        </w:rPr>
        <w:t>tions related to these areas, may increase our costs, reduce our revenue and limit our ability to pursue business opportunities.</w:t>
      </w:r>
    </w:p>
    <w:p w:rsidR="00000000" w:rsidRDefault="00E0782F">
      <w:pPr>
        <w:ind w:hanging="360"/>
        <w:jc w:val="both"/>
        <w:divId w:val="1697926608"/>
        <w:rPr>
          <w:rFonts w:eastAsia="Times New Roman"/>
        </w:rPr>
      </w:pPr>
      <w:r>
        <w:rPr>
          <w:rFonts w:eastAsia="Times New Roman"/>
          <w:color w:val="000000"/>
          <w:sz w:val="20"/>
          <w:szCs w:val="20"/>
        </w:rPr>
        <w:t>•Compliance with new and existing laws, regulations and regulatory expectations is costly and complex.</w:t>
      </w:r>
    </w:p>
    <w:p w:rsidR="00000000" w:rsidRDefault="00E0782F">
      <w:pPr>
        <w:ind w:hanging="360"/>
        <w:divId w:val="1125539989"/>
        <w:rPr>
          <w:rFonts w:eastAsia="Times New Roman"/>
        </w:rPr>
      </w:pPr>
      <w:r>
        <w:rPr>
          <w:rFonts w:eastAsia="Times New Roman"/>
          <w:b/>
          <w:bCs/>
          <w:i/>
          <w:iCs/>
          <w:color w:val="000000"/>
          <w:sz w:val="20"/>
          <w:szCs w:val="20"/>
        </w:rPr>
        <w:t>•</w:t>
      </w:r>
      <w:r>
        <w:rPr>
          <w:rFonts w:eastAsia="Times New Roman"/>
          <w:color w:val="000000"/>
          <w:sz w:val="20"/>
          <w:szCs w:val="20"/>
        </w:rPr>
        <w:t>Our businesses are subject to the risk of increased litigation, government investigations and regulatory enforcement.</w:t>
      </w:r>
    </w:p>
    <w:p w:rsidR="00000000" w:rsidRDefault="00E0782F">
      <w:pPr>
        <w:ind w:hanging="360"/>
        <w:divId w:val="1183011094"/>
        <w:rPr>
          <w:rFonts w:eastAsia="Times New Roman"/>
        </w:rPr>
      </w:pPr>
      <w:r>
        <w:rPr>
          <w:rFonts w:eastAsia="Times New Roman"/>
          <w:b/>
          <w:bCs/>
          <w:i/>
          <w:iCs/>
          <w:color w:val="000000"/>
          <w:sz w:val="20"/>
          <w:szCs w:val="20"/>
        </w:rPr>
        <w:t>•</w:t>
      </w:r>
      <w:r>
        <w:rPr>
          <w:rFonts w:eastAsia="Times New Roman"/>
          <w:color w:val="000000"/>
          <w:sz w:val="20"/>
          <w:szCs w:val="20"/>
        </w:rPr>
        <w:t>We face intense competition in all of our markets.</w:t>
      </w:r>
    </w:p>
    <w:p w:rsidR="00000000" w:rsidRDefault="00E0782F">
      <w:pPr>
        <w:ind w:hanging="360"/>
        <w:divId w:val="1243831024"/>
        <w:rPr>
          <w:rFonts w:eastAsia="Times New Roman"/>
        </w:rPr>
      </w:pPr>
      <w:r>
        <w:rPr>
          <w:rFonts w:eastAsia="Times New Roman"/>
          <w:b/>
          <w:bCs/>
          <w:i/>
          <w:iCs/>
          <w:color w:val="000000"/>
          <w:sz w:val="20"/>
          <w:szCs w:val="20"/>
        </w:rPr>
        <w:t>•</w:t>
      </w:r>
      <w:r>
        <w:rPr>
          <w:rFonts w:eastAsia="Times New Roman"/>
          <w:color w:val="000000"/>
          <w:sz w:val="20"/>
          <w:szCs w:val="20"/>
        </w:rPr>
        <w:t>Our business, financial condition and results of operations may be adversely affected</w:t>
      </w:r>
      <w:r>
        <w:rPr>
          <w:rFonts w:eastAsia="Times New Roman"/>
          <w:color w:val="000000"/>
          <w:sz w:val="20"/>
          <w:szCs w:val="20"/>
        </w:rPr>
        <w:t xml:space="preserve"> by merchants’ increasing focus on the fees charged by credit card networks and by legislation and regulation impacting such fees.</w:t>
      </w:r>
    </w:p>
    <w:p w:rsidR="00000000" w:rsidRDefault="00E0782F">
      <w:pPr>
        <w:ind w:hanging="360"/>
        <w:jc w:val="both"/>
        <w:divId w:val="1118794907"/>
        <w:rPr>
          <w:rFonts w:eastAsia="Times New Roman"/>
        </w:rPr>
      </w:pPr>
      <w:r>
        <w:rPr>
          <w:rFonts w:eastAsia="Times New Roman"/>
          <w:b/>
          <w:bCs/>
          <w:i/>
          <w:iCs/>
          <w:color w:val="000000"/>
          <w:sz w:val="20"/>
          <w:szCs w:val="20"/>
        </w:rPr>
        <w:t>•</w:t>
      </w:r>
      <w:r>
        <w:rPr>
          <w:rFonts w:eastAsia="Times New Roman"/>
          <w:color w:val="000000"/>
          <w:sz w:val="20"/>
          <w:szCs w:val="20"/>
        </w:rPr>
        <w:t>If we are not able to invest successfully in and introduce digital and other technological developments across all our busin</w:t>
      </w:r>
      <w:r>
        <w:rPr>
          <w:rFonts w:eastAsia="Times New Roman"/>
          <w:color w:val="000000"/>
          <w:sz w:val="20"/>
          <w:szCs w:val="20"/>
        </w:rPr>
        <w:t>esses, our financial performance may suffer.</w:t>
      </w:r>
    </w:p>
    <w:p w:rsidR="00000000" w:rsidRDefault="00E0782F">
      <w:pPr>
        <w:ind w:hanging="360"/>
        <w:divId w:val="33509409"/>
        <w:rPr>
          <w:rFonts w:eastAsia="Times New Roman"/>
        </w:rPr>
      </w:pPr>
      <w:r>
        <w:rPr>
          <w:rFonts w:eastAsia="Times New Roman"/>
          <w:b/>
          <w:bCs/>
          <w:i/>
          <w:iCs/>
          <w:color w:val="000000"/>
          <w:sz w:val="20"/>
          <w:szCs w:val="20"/>
        </w:rPr>
        <w:t>•</w:t>
      </w:r>
      <w:r>
        <w:rPr>
          <w:rFonts w:eastAsia="Times New Roman"/>
          <w:color w:val="000000"/>
          <w:sz w:val="20"/>
          <w:szCs w:val="20"/>
        </w:rPr>
        <w:t>We may fail to realize all of the anticipated benefits of our mergers, acquisitions and strategic partnerships.</w:t>
      </w:r>
    </w:p>
    <w:p w:rsidR="00000000" w:rsidRDefault="00E0782F">
      <w:pPr>
        <w:ind w:hanging="360"/>
        <w:divId w:val="524707251"/>
        <w:rPr>
          <w:rFonts w:eastAsia="Times New Roman"/>
        </w:rPr>
      </w:pPr>
      <w:r>
        <w:rPr>
          <w:rFonts w:eastAsia="Times New Roman"/>
          <w:b/>
          <w:bCs/>
          <w:i/>
          <w:iCs/>
          <w:color w:val="000000"/>
          <w:sz w:val="20"/>
          <w:szCs w:val="20"/>
        </w:rPr>
        <w:t>•</w:t>
      </w:r>
      <w:r>
        <w:rPr>
          <w:rFonts w:eastAsia="Times New Roman"/>
          <w:color w:val="000000"/>
          <w:sz w:val="20"/>
          <w:szCs w:val="20"/>
        </w:rPr>
        <w:t>Reputational risk and social factors may impact our results and damage our brand.</w:t>
      </w:r>
    </w:p>
    <w:p w:rsidR="00000000" w:rsidRDefault="00E0782F">
      <w:pPr>
        <w:ind w:hanging="360"/>
        <w:divId w:val="906646910"/>
        <w:rPr>
          <w:rFonts w:eastAsia="Times New Roman"/>
        </w:rPr>
      </w:pPr>
      <w:r>
        <w:rPr>
          <w:rFonts w:eastAsia="Times New Roman"/>
          <w:b/>
          <w:bCs/>
          <w:i/>
          <w:iCs/>
          <w:color w:val="000000"/>
          <w:sz w:val="20"/>
          <w:szCs w:val="20"/>
        </w:rPr>
        <w:t>•</w:t>
      </w:r>
      <w:r>
        <w:rPr>
          <w:rFonts w:eastAsia="Times New Roman"/>
          <w:color w:val="000000"/>
          <w:sz w:val="20"/>
          <w:szCs w:val="20"/>
        </w:rPr>
        <w:t xml:space="preserve">If we are not </w:t>
      </w:r>
      <w:r>
        <w:rPr>
          <w:rFonts w:eastAsia="Times New Roman"/>
          <w:color w:val="000000"/>
          <w:sz w:val="20"/>
          <w:szCs w:val="20"/>
        </w:rPr>
        <w:t>able to protect our intellectual property, our revenue and profitability could be negatively affected.</w:t>
      </w:r>
    </w:p>
    <w:p w:rsidR="00000000" w:rsidRDefault="00E0782F">
      <w:pPr>
        <w:ind w:hanging="360"/>
        <w:jc w:val="both"/>
        <w:divId w:val="1841895496"/>
        <w:rPr>
          <w:rFonts w:eastAsia="Times New Roman"/>
        </w:rPr>
      </w:pPr>
      <w:r>
        <w:rPr>
          <w:rFonts w:eastAsia="Times New Roman"/>
          <w:b/>
          <w:bCs/>
          <w:i/>
          <w:iCs/>
          <w:color w:val="000000"/>
          <w:sz w:val="20"/>
          <w:szCs w:val="20"/>
        </w:rPr>
        <w:t>•</w:t>
      </w:r>
      <w:r>
        <w:rPr>
          <w:rFonts w:eastAsia="Times New Roman"/>
          <w:color w:val="000000"/>
          <w:sz w:val="20"/>
          <w:szCs w:val="20"/>
        </w:rPr>
        <w:t>Our risk management strategies may not be fully effective in mitigating our risk exposures in all market environments or against all types of risk.</w:t>
      </w:r>
    </w:p>
    <w:p w:rsidR="00000000" w:rsidRDefault="00E0782F">
      <w:pPr>
        <w:ind w:hanging="360"/>
        <w:jc w:val="both"/>
        <w:divId w:val="60253280"/>
        <w:rPr>
          <w:rFonts w:eastAsia="Times New Roman"/>
        </w:rPr>
      </w:pPr>
      <w:r>
        <w:rPr>
          <w:rFonts w:eastAsia="Times New Roman"/>
          <w:b/>
          <w:bCs/>
          <w:color w:val="000000"/>
          <w:sz w:val="20"/>
          <w:szCs w:val="20"/>
        </w:rPr>
        <w:t>•</w:t>
      </w:r>
      <w:r>
        <w:rPr>
          <w:rFonts w:eastAsia="Times New Roman"/>
          <w:color w:val="000000"/>
          <w:sz w:val="20"/>
          <w:szCs w:val="20"/>
        </w:rPr>
        <w:t>Flu</w:t>
      </w:r>
      <w:r>
        <w:rPr>
          <w:rFonts w:eastAsia="Times New Roman"/>
          <w:color w:val="000000"/>
          <w:sz w:val="20"/>
          <w:szCs w:val="20"/>
        </w:rPr>
        <w:t>ctuations in market interest rates or volatility in the capital markets could adversely affect our income and expense, the value of assets and obligations, our regulatory capital, cost of capital or liquidity.</w:t>
      </w:r>
    </w:p>
    <w:p w:rsidR="00000000" w:rsidRDefault="00E0782F">
      <w:pPr>
        <w:ind w:hanging="360"/>
        <w:jc w:val="both"/>
        <w:divId w:val="1312826663"/>
        <w:rPr>
          <w:rFonts w:eastAsia="Times New Roman"/>
        </w:rPr>
      </w:pPr>
      <w:r>
        <w:rPr>
          <w:rFonts w:eastAsia="Times New Roman"/>
          <w:b/>
          <w:bCs/>
          <w:i/>
          <w:iCs/>
          <w:color w:val="000000"/>
          <w:sz w:val="20"/>
          <w:szCs w:val="20"/>
        </w:rPr>
        <w:t>•</w:t>
      </w:r>
      <w:r>
        <w:rPr>
          <w:rFonts w:eastAsia="Times New Roman"/>
          <w:color w:val="000000"/>
          <w:sz w:val="20"/>
          <w:szCs w:val="20"/>
        </w:rPr>
        <w:t>Uncertainty regarding, and transition away fr</w:t>
      </w:r>
      <w:r>
        <w:rPr>
          <w:rFonts w:eastAsia="Times New Roman"/>
          <w:color w:val="000000"/>
          <w:sz w:val="20"/>
          <w:szCs w:val="20"/>
        </w:rPr>
        <w:t>om, LIBOR may adversely affect our business.</w:t>
      </w:r>
    </w:p>
    <w:p w:rsidR="00000000" w:rsidRDefault="00E0782F">
      <w:pPr>
        <w:ind w:hanging="360"/>
        <w:divId w:val="1827013671"/>
        <w:rPr>
          <w:rFonts w:eastAsia="Times New Roman"/>
        </w:rPr>
      </w:pPr>
      <w:r>
        <w:rPr>
          <w:rFonts w:eastAsia="Times New Roman"/>
          <w:b/>
          <w:bCs/>
          <w:i/>
          <w:iCs/>
          <w:color w:val="000000"/>
          <w:sz w:val="20"/>
          <w:szCs w:val="20"/>
        </w:rPr>
        <w:t>•</w:t>
      </w:r>
      <w:r>
        <w:rPr>
          <w:rFonts w:eastAsia="Times New Roman"/>
          <w:color w:val="000000"/>
          <w:sz w:val="20"/>
          <w:szCs w:val="20"/>
        </w:rPr>
        <w:t>Our business could be negatively affected if we are unable to attract, retain and motivate skilled employees.</w:t>
      </w:r>
    </w:p>
    <w:p w:rsidR="00000000" w:rsidRDefault="00E0782F">
      <w:pPr>
        <w:ind w:hanging="360"/>
        <w:divId w:val="1437024132"/>
        <w:rPr>
          <w:rFonts w:eastAsia="Times New Roman"/>
        </w:rPr>
      </w:pPr>
      <w:r>
        <w:rPr>
          <w:rFonts w:eastAsia="Times New Roman"/>
          <w:b/>
          <w:bCs/>
          <w:i/>
          <w:iCs/>
          <w:color w:val="000000"/>
          <w:sz w:val="20"/>
          <w:szCs w:val="20"/>
        </w:rPr>
        <w:t>•</w:t>
      </w:r>
      <w:r>
        <w:rPr>
          <w:rFonts w:eastAsia="Times New Roman"/>
          <w:color w:val="000000"/>
          <w:sz w:val="20"/>
          <w:szCs w:val="20"/>
        </w:rPr>
        <w:t>We face risks from unpredictable catastrophic events.</w:t>
      </w:r>
    </w:p>
    <w:p w:rsidR="00000000" w:rsidRDefault="00E0782F">
      <w:pPr>
        <w:ind w:hanging="360"/>
        <w:divId w:val="967517681"/>
        <w:rPr>
          <w:rFonts w:eastAsia="Times New Roman"/>
        </w:rPr>
      </w:pPr>
      <w:r>
        <w:rPr>
          <w:rFonts w:eastAsia="Times New Roman"/>
          <w:b/>
          <w:bCs/>
          <w:i/>
          <w:iCs/>
          <w:color w:val="000000"/>
          <w:sz w:val="20"/>
          <w:szCs w:val="20"/>
        </w:rPr>
        <w:t>•</w:t>
      </w:r>
      <w:r>
        <w:rPr>
          <w:rFonts w:eastAsia="Times New Roman"/>
          <w:color w:val="000000"/>
          <w:sz w:val="20"/>
          <w:szCs w:val="20"/>
        </w:rPr>
        <w:t xml:space="preserve">We face risks from the use of or changes to </w:t>
      </w:r>
      <w:r>
        <w:rPr>
          <w:rFonts w:eastAsia="Times New Roman"/>
          <w:color w:val="000000"/>
          <w:sz w:val="20"/>
          <w:szCs w:val="20"/>
        </w:rPr>
        <w:t>assumptions or estimates in our financial statements.</w:t>
      </w:r>
    </w:p>
    <w:p w:rsidR="00000000" w:rsidRDefault="00E0782F">
      <w:pPr>
        <w:ind w:hanging="360"/>
        <w:jc w:val="both"/>
        <w:divId w:val="464347643"/>
        <w:rPr>
          <w:rFonts w:eastAsia="Times New Roman"/>
        </w:rPr>
      </w:pPr>
      <w:r>
        <w:rPr>
          <w:rFonts w:eastAsia="Times New Roman"/>
          <w:b/>
          <w:bCs/>
          <w:i/>
          <w:iCs/>
          <w:color w:val="000000"/>
          <w:sz w:val="20"/>
          <w:szCs w:val="20"/>
        </w:rPr>
        <w:t>•</w:t>
      </w:r>
      <w:r>
        <w:rPr>
          <w:rFonts w:eastAsia="Times New Roman"/>
          <w:color w:val="000000"/>
          <w:sz w:val="20"/>
          <w:szCs w:val="20"/>
        </w:rPr>
        <w:t>Limitations on our ability to receive dividends from our subsidiaries could affect our liquidity and ability to pay dividends and repurchase common stock.</w:t>
      </w:r>
    </w:p>
    <w:p w:rsidR="00000000" w:rsidRDefault="00E0782F">
      <w:pPr>
        <w:ind w:hanging="360"/>
        <w:divId w:val="1830097287"/>
        <w:rPr>
          <w:rFonts w:eastAsia="Times New Roman"/>
        </w:rPr>
      </w:pPr>
      <w:r>
        <w:rPr>
          <w:rFonts w:eastAsia="Times New Roman"/>
          <w:b/>
          <w:bCs/>
          <w:i/>
          <w:iCs/>
          <w:color w:val="000000"/>
          <w:sz w:val="20"/>
          <w:szCs w:val="20"/>
        </w:rPr>
        <w:t>•</w:t>
      </w:r>
      <w:r>
        <w:rPr>
          <w:rFonts w:eastAsia="Times New Roman"/>
          <w:color w:val="000000"/>
          <w:sz w:val="20"/>
          <w:szCs w:val="20"/>
        </w:rPr>
        <w:t>The soundness of other financial institutions</w:t>
      </w:r>
      <w:r>
        <w:rPr>
          <w:rFonts w:eastAsia="Times New Roman"/>
          <w:color w:val="000000"/>
          <w:sz w:val="20"/>
          <w:szCs w:val="20"/>
        </w:rPr>
        <w:t xml:space="preserve"> and other third parties could adversely affect us.</w:t>
      </w:r>
    </w:p>
    <w:p w:rsidR="00000000" w:rsidRDefault="00E0782F">
      <w:pPr>
        <w:jc w:val="both"/>
        <w:divId w:val="1879127588"/>
        <w:rPr>
          <w:rFonts w:eastAsia="Times New Roman"/>
        </w:rPr>
      </w:pPr>
      <w:r>
        <w:rPr>
          <w:rFonts w:eastAsia="Times New Roman"/>
          <w:b/>
          <w:bCs/>
          <w:color w:val="000000"/>
          <w:sz w:val="20"/>
          <w:szCs w:val="20"/>
        </w:rPr>
        <w:t>General Economic and Market Risks</w:t>
      </w:r>
    </w:p>
    <w:p w:rsidR="00000000" w:rsidRDefault="00E0782F">
      <w:pPr>
        <w:jc w:val="both"/>
        <w:divId w:val="157893350"/>
        <w:rPr>
          <w:rFonts w:eastAsia="Times New Roman"/>
        </w:rPr>
      </w:pPr>
      <w:r>
        <w:rPr>
          <w:rFonts w:eastAsia="Times New Roman"/>
          <w:b/>
          <w:bCs/>
          <w:i/>
          <w:iCs/>
          <w:color w:val="000000"/>
          <w:sz w:val="20"/>
          <w:szCs w:val="20"/>
        </w:rPr>
        <w:t>The COVID-19 pandemic has adversely impacted our business and financial results, and the extent to which the pandemic and measures taken in response to the pandemic could</w:t>
      </w:r>
      <w:r>
        <w:rPr>
          <w:rFonts w:eastAsia="Times New Roman"/>
          <w:b/>
          <w:bCs/>
          <w:i/>
          <w:iCs/>
          <w:color w:val="000000"/>
          <w:sz w:val="20"/>
          <w:szCs w:val="20"/>
        </w:rPr>
        <w:t xml:space="preserve"> materially and adversely impact our business, financial condition, liquidity, capital and results of operations will depend on future developments, which are highly uncertain and are difficult to predict. </w:t>
      </w:r>
    </w:p>
    <w:p w:rsidR="00000000" w:rsidRDefault="00E0782F">
      <w:pPr>
        <w:jc w:val="both"/>
        <w:divId w:val="244147461"/>
        <w:rPr>
          <w:rFonts w:eastAsia="Times New Roman"/>
        </w:rPr>
      </w:pPr>
      <w:r>
        <w:rPr>
          <w:rFonts w:eastAsia="Times New Roman"/>
          <w:color w:val="000000"/>
          <w:sz w:val="20"/>
          <w:szCs w:val="20"/>
        </w:rPr>
        <w:t>Global health concerns relating to the COVID-19 p</w:t>
      </w:r>
      <w:r>
        <w:rPr>
          <w:rFonts w:eastAsia="Times New Roman"/>
          <w:color w:val="000000"/>
          <w:sz w:val="20"/>
          <w:szCs w:val="20"/>
        </w:rPr>
        <w:t>andemic and related government actions taken to reduce the spread of the virus have impacted the macroeconomic environment, significantly increased economic uncertainty and reduced economic activity. The pandemic has also caused governmental authorities to</w:t>
      </w:r>
      <w:r>
        <w:rPr>
          <w:rFonts w:eastAsia="Times New Roman"/>
          <w:color w:val="000000"/>
          <w:sz w:val="20"/>
          <w:szCs w:val="20"/>
        </w:rPr>
        <w:t xml:space="preserve"> implement numerous measures to try to contain the virus, including travel bans and restrictions, quarantines, shelter-in-place orders, and business limitations and shutdowns. These measures have negatively impacted and may further negatively impact consum</w:t>
      </w:r>
      <w:r>
        <w:rPr>
          <w:rFonts w:eastAsia="Times New Roman"/>
          <w:color w:val="000000"/>
          <w:sz w:val="20"/>
          <w:szCs w:val="20"/>
        </w:rPr>
        <w:t>er and business payment and spending patterns.</w:t>
      </w:r>
    </w:p>
    <w:p w:rsidR="00000000" w:rsidRDefault="00E0782F">
      <w:pPr>
        <w:jc w:val="both"/>
        <w:divId w:val="503978092"/>
        <w:rPr>
          <w:rFonts w:eastAsia="Times New Roman"/>
        </w:rPr>
      </w:pPr>
      <w:r>
        <w:rPr>
          <w:rFonts w:eastAsia="Times New Roman"/>
          <w:color w:val="000000"/>
          <w:sz w:val="20"/>
          <w:szCs w:val="20"/>
        </w:rPr>
        <w:t>The COVID-19 pandemic has adversely impacted, and may continue to adversely impact, our business, operations, financial condition, capital and results of operations. The extent of these impacts depends on futu</w:t>
      </w:r>
      <w:r>
        <w:rPr>
          <w:rFonts w:eastAsia="Times New Roman"/>
          <w:color w:val="000000"/>
          <w:sz w:val="20"/>
          <w:szCs w:val="20"/>
        </w:rPr>
        <w:t xml:space="preserve">re developments, which are highly uncertain and difficult to predict, including, but not limited to, the duration and magnitude of the pandemic, the actions taken to contain the virus or treat its impact, the effectiveness of economic stimulus measures in </w:t>
      </w:r>
      <w:r>
        <w:rPr>
          <w:rFonts w:eastAsia="Times New Roman"/>
          <w:color w:val="000000"/>
          <w:sz w:val="20"/>
          <w:szCs w:val="20"/>
        </w:rPr>
        <w:t xml:space="preserve">the United States, and how quickly and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976194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976194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976194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49" style="width:0;height:1.5pt" o:hralign="center" o:hrstd="t" o:hr="t" fillcolor="#a0a0a0" stroked="f"/>
        </w:pict>
      </w:r>
    </w:p>
    <w:p w:rsidR="00000000" w:rsidRDefault="00E0782F">
      <w:pPr>
        <w:jc w:val="both"/>
        <w:divId w:val="19951183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970135354"/>
        <w:rPr>
          <w:rFonts w:eastAsia="Times New Roman"/>
        </w:rPr>
      </w:pPr>
      <w:r>
        <w:rPr>
          <w:rFonts w:eastAsia="Times New Roman"/>
          <w:color w:val="000000"/>
          <w:sz w:val="20"/>
          <w:szCs w:val="20"/>
        </w:rPr>
        <w:t>to what extent economic and operating conditions and consumer and business spending can return to their pre-pandemic levels. As of December 31, 2020, several vaccines have been authorized for limited distribution. The plan for larger community-based distri</w:t>
      </w:r>
      <w:r>
        <w:rPr>
          <w:rFonts w:eastAsia="Times New Roman"/>
          <w:color w:val="000000"/>
          <w:sz w:val="20"/>
          <w:szCs w:val="20"/>
        </w:rPr>
        <w:t>bution is being developed and may begin during the second quarter of 2021. However, the timing and extent of any such widespread distribution of vaccines remains uncertain. As a result of this uncertainty, our purchase volume, loan growth and the overall d</w:t>
      </w:r>
      <w:r>
        <w:rPr>
          <w:rFonts w:eastAsia="Times New Roman"/>
          <w:color w:val="000000"/>
          <w:sz w:val="20"/>
          <w:szCs w:val="20"/>
        </w:rPr>
        <w:t>emand for our products and services may be significantly impacted, which could adversely affect our revenue and other results of operations. In addition, we could experience higher credit losses in our loan portfolios and increases in our allowance for cre</w:t>
      </w:r>
      <w:r>
        <w:rPr>
          <w:rFonts w:eastAsia="Times New Roman"/>
          <w:color w:val="000000"/>
          <w:sz w:val="20"/>
          <w:szCs w:val="20"/>
        </w:rPr>
        <w:t>dit losses beyond current levels. For example, as a result of the significant uncertainty due to the COVID-19 pandemic, we realized a substantial build in our allowance for credit losses for the first two quarters of 2020. We could also experience impairme</w:t>
      </w:r>
      <w:r>
        <w:rPr>
          <w:rFonts w:eastAsia="Times New Roman"/>
          <w:color w:val="000000"/>
          <w:sz w:val="20"/>
          <w:szCs w:val="20"/>
        </w:rPr>
        <w:t>nts of other financial assets and other negative impacts on our financial position, including possible constraints on liquidity and capital, as well as higher costs of capital. Even after the COVID-19 pandemic has subsided, we may continue to experience ad</w:t>
      </w:r>
      <w:r>
        <w:rPr>
          <w:rFonts w:eastAsia="Times New Roman"/>
          <w:color w:val="000000"/>
          <w:sz w:val="20"/>
          <w:szCs w:val="20"/>
        </w:rPr>
        <w:t>verse impacts to our business and results of operations, which could be material, as a result of the macroeconomic impact and any recession that has occurred or may occur in the future.</w:t>
      </w:r>
    </w:p>
    <w:p w:rsidR="00000000" w:rsidRDefault="00E0782F">
      <w:pPr>
        <w:jc w:val="both"/>
        <w:divId w:val="424345817"/>
        <w:rPr>
          <w:rFonts w:eastAsia="Times New Roman"/>
        </w:rPr>
      </w:pPr>
      <w:r>
        <w:rPr>
          <w:rFonts w:eastAsia="Times New Roman"/>
          <w:color w:val="000000"/>
          <w:sz w:val="20"/>
          <w:szCs w:val="20"/>
        </w:rPr>
        <w:t xml:space="preserve">The spread of COVID-19 has caused us to modify our business practices </w:t>
      </w:r>
      <w:r>
        <w:rPr>
          <w:rFonts w:eastAsia="Times New Roman"/>
          <w:color w:val="000000"/>
          <w:sz w:val="20"/>
          <w:szCs w:val="20"/>
        </w:rPr>
        <w:t>and operations, including providing a range of forbearance options to our customers in certain circumstances, which could impact our credit metrics, financial condition, capital and results of operations. We may need to further modify our practices and ope</w:t>
      </w:r>
      <w:r>
        <w:rPr>
          <w:rFonts w:eastAsia="Times New Roman"/>
          <w:color w:val="000000"/>
          <w:sz w:val="20"/>
          <w:szCs w:val="20"/>
        </w:rPr>
        <w:t>rations as this event unfolds. We have also implemented work-from-home policies for a vast majority of our employees, and social distancing plans for our employees who are working from Capital One facilities. Nearly all of our Cafés and bank branches acros</w:t>
      </w:r>
      <w:r>
        <w:rPr>
          <w:rFonts w:eastAsia="Times New Roman"/>
          <w:color w:val="000000"/>
          <w:sz w:val="20"/>
          <w:szCs w:val="20"/>
        </w:rPr>
        <w:t>s our network are open with increased safety precautions. We will continue to monitor local conditions to ensure the safety of our associates and customers while providing critical banking services. These measures could impair our ability to perform critic</w:t>
      </w:r>
      <w:r>
        <w:rPr>
          <w:rFonts w:eastAsia="Times New Roman"/>
          <w:color w:val="000000"/>
          <w:sz w:val="20"/>
          <w:szCs w:val="20"/>
        </w:rPr>
        <w:t>al functions and may adversely impact our results of operations. In addition, these measures and other changes in consumer behavior as a result of the COVID-19 pandemic may require changes to retail distribution strategies and adversely impact our investme</w:t>
      </w:r>
      <w:r>
        <w:rPr>
          <w:rFonts w:eastAsia="Times New Roman"/>
          <w:color w:val="000000"/>
          <w:sz w:val="20"/>
          <w:szCs w:val="20"/>
        </w:rPr>
        <w:t>nts in our bank premises and equipment and other retail distribution assets, leading to increased costs and exposure to additional risks. We may take further actions as required by government authorities or that we otherwise determine are in the best inter</w:t>
      </w:r>
      <w:r>
        <w:rPr>
          <w:rFonts w:eastAsia="Times New Roman"/>
          <w:color w:val="000000"/>
          <w:sz w:val="20"/>
          <w:szCs w:val="20"/>
        </w:rPr>
        <w:t>ests of our customers, employees and business partners.</w:t>
      </w:r>
    </w:p>
    <w:p w:rsidR="00000000" w:rsidRDefault="00E0782F">
      <w:pPr>
        <w:jc w:val="both"/>
        <w:divId w:val="2123566848"/>
        <w:rPr>
          <w:rFonts w:eastAsia="Times New Roman"/>
        </w:rPr>
      </w:pPr>
      <w:r>
        <w:rPr>
          <w:rFonts w:eastAsia="Times New Roman"/>
          <w:color w:val="000000"/>
          <w:sz w:val="20"/>
          <w:szCs w:val="20"/>
        </w:rPr>
        <w:t>Federal, state, local and foreign governmental authorities have enacted, and may enact in the future, legislation, regulations and protocols in response to the COVID-19 pandemic, including governmental programs intended to provide economic relief to busine</w:t>
      </w:r>
      <w:r>
        <w:rPr>
          <w:rFonts w:eastAsia="Times New Roman"/>
          <w:color w:val="000000"/>
          <w:sz w:val="20"/>
          <w:szCs w:val="20"/>
        </w:rPr>
        <w:t>sses and individuals. We have participated in certain of these programs, including participating as an eligible lender in the Small Business Administration’s Paycheck Protection Program. Our participation in and execution of any such programs may cause ope</w:t>
      </w:r>
      <w:r>
        <w:rPr>
          <w:rFonts w:eastAsia="Times New Roman"/>
          <w:color w:val="000000"/>
          <w:sz w:val="20"/>
          <w:szCs w:val="20"/>
        </w:rPr>
        <w:t>rational, compliance, reputational and credit risks, which could result in litigation, governmental action or other forms of loss. The extent of these impacts, which may be substantial, will depend on the degree of our participation in these programs. Ther</w:t>
      </w:r>
      <w:r>
        <w:rPr>
          <w:rFonts w:eastAsia="Times New Roman"/>
          <w:color w:val="000000"/>
          <w:sz w:val="20"/>
          <w:szCs w:val="20"/>
        </w:rPr>
        <w:t>e remains significant uncertainty regarding the measures that authorities will enact in the future and the ultimate impact of the legislation, regulations and protocols that have been and will be enacted. Moreover, we expect that the effects of the COVID-1</w:t>
      </w:r>
      <w:r>
        <w:rPr>
          <w:rFonts w:eastAsia="Times New Roman"/>
          <w:color w:val="000000"/>
          <w:sz w:val="20"/>
          <w:szCs w:val="20"/>
        </w:rPr>
        <w:t>9 pandemic will heighten many of the other known risks described herein. See Part I—Item 1.—Business—Overview—Coronavirus Disease 2019 (COVID-19) Pandemic.</w:t>
      </w:r>
    </w:p>
    <w:p w:rsidR="00000000" w:rsidRDefault="00E0782F">
      <w:pPr>
        <w:jc w:val="both"/>
        <w:divId w:val="2103645425"/>
        <w:rPr>
          <w:rFonts w:eastAsia="Times New Roman"/>
        </w:rPr>
      </w:pPr>
      <w:r>
        <w:rPr>
          <w:rFonts w:eastAsia="Times New Roman"/>
          <w:b/>
          <w:bCs/>
          <w:i/>
          <w:iCs/>
          <w:color w:val="000000"/>
          <w:sz w:val="20"/>
          <w:szCs w:val="20"/>
        </w:rPr>
        <w:t xml:space="preserve">Changes and instability in the macroeconomic environment, consumer confidence and customer behavior </w:t>
      </w:r>
      <w:r>
        <w:rPr>
          <w:rFonts w:eastAsia="Times New Roman"/>
          <w:b/>
          <w:bCs/>
          <w:i/>
          <w:iCs/>
          <w:color w:val="000000"/>
          <w:sz w:val="20"/>
          <w:szCs w:val="20"/>
        </w:rPr>
        <w:t>may adversely affect our business.</w:t>
      </w:r>
    </w:p>
    <w:p w:rsidR="00000000" w:rsidRDefault="00E0782F">
      <w:pPr>
        <w:jc w:val="both"/>
        <w:divId w:val="1805846617"/>
        <w:rPr>
          <w:rFonts w:eastAsia="Times New Roman"/>
        </w:rPr>
      </w:pPr>
      <w:r>
        <w:rPr>
          <w:rFonts w:eastAsia="Times New Roman"/>
          <w:color w:val="000000"/>
          <w:sz w:val="20"/>
          <w:szCs w:val="20"/>
        </w:rPr>
        <w:t>We offer a broad array of financial products and services to consumers, small businesses and commercial clients. A prolonged period of economic volatility, slow growth, or a significant deterioration in economic condition</w:t>
      </w:r>
      <w:r>
        <w:rPr>
          <w:rFonts w:eastAsia="Times New Roman"/>
          <w:color w:val="000000"/>
          <w:sz w:val="20"/>
          <w:szCs w:val="20"/>
        </w:rPr>
        <w:t>s, in the U.S., Canada or the U.K., could have a material adverse effect on our financial condition and results of operations as customers default on their loans, maintain lower deposit levels or, in the case of credit card accounts, carry lower balances a</w:t>
      </w:r>
      <w:r>
        <w:rPr>
          <w:rFonts w:eastAsia="Times New Roman"/>
          <w:color w:val="000000"/>
          <w:sz w:val="20"/>
          <w:szCs w:val="20"/>
        </w:rPr>
        <w:t>nd reduce credit card purchase activity.</w:t>
      </w:r>
    </w:p>
    <w:p w:rsidR="00000000" w:rsidRDefault="00E0782F">
      <w:pPr>
        <w:jc w:val="both"/>
        <w:divId w:val="934635427"/>
        <w:rPr>
          <w:rFonts w:eastAsia="Times New Roman"/>
        </w:rPr>
      </w:pPr>
      <w:r>
        <w:rPr>
          <w:rFonts w:eastAsia="Times New Roman"/>
          <w:color w:val="000000"/>
          <w:sz w:val="20"/>
          <w:szCs w:val="20"/>
        </w:rPr>
        <w:t>Some of the risks we face in connection with adverse changes and instability in the macroeconomic environment, including changes in consumer confidence levels and behavior, include the following:</w:t>
      </w:r>
    </w:p>
    <w:p w:rsidR="00000000" w:rsidRDefault="00E0782F">
      <w:pPr>
        <w:ind w:hanging="360"/>
        <w:jc w:val="both"/>
        <w:divId w:val="221647841"/>
        <w:rPr>
          <w:rFonts w:eastAsia="Times New Roman"/>
        </w:rPr>
      </w:pPr>
      <w:r>
        <w:rPr>
          <w:rFonts w:eastAsia="Times New Roman"/>
          <w:color w:val="000000"/>
          <w:sz w:val="20"/>
          <w:szCs w:val="20"/>
        </w:rPr>
        <w:t>•Changes in payment</w:t>
      </w:r>
      <w:r>
        <w:rPr>
          <w:rFonts w:eastAsia="Times New Roman"/>
          <w:color w:val="000000"/>
          <w:sz w:val="20"/>
          <w:szCs w:val="20"/>
        </w:rPr>
        <w:t xml:space="preserve"> patterns, increases in delinquencies and default rates, decreased consumer spending, lower demand for credit and shifts in consumer payment behavior towards avoiding late fees, finance charges and other fees;</w:t>
      </w:r>
    </w:p>
    <w:p w:rsidR="00000000" w:rsidRDefault="00E0782F">
      <w:pPr>
        <w:ind w:hanging="360"/>
        <w:jc w:val="both"/>
        <w:divId w:val="964893699"/>
        <w:rPr>
          <w:rFonts w:eastAsia="Times New Roman"/>
        </w:rPr>
      </w:pPr>
      <w:r>
        <w:rPr>
          <w:rFonts w:eastAsia="Times New Roman"/>
          <w:color w:val="000000"/>
          <w:sz w:val="20"/>
          <w:szCs w:val="20"/>
        </w:rPr>
        <w:t>•Increases in our charge-off rate caused by ba</w:t>
      </w:r>
      <w:r>
        <w:rPr>
          <w:rFonts w:eastAsia="Times New Roman"/>
          <w:color w:val="000000"/>
          <w:sz w:val="20"/>
          <w:szCs w:val="20"/>
        </w:rPr>
        <w:t>nkruptcies and reduced ability to recover debt that we have previously charged-off;</w:t>
      </w:r>
    </w:p>
    <w:p w:rsidR="00000000" w:rsidRDefault="00E0782F">
      <w:pPr>
        <w:ind w:hanging="360"/>
        <w:jc w:val="both"/>
        <w:divId w:val="494224835"/>
        <w:rPr>
          <w:rFonts w:eastAsia="Times New Roman"/>
        </w:rPr>
      </w:pPr>
      <w:r>
        <w:rPr>
          <w:rFonts w:eastAsia="Times New Roman"/>
          <w:color w:val="000000"/>
          <w:sz w:val="20"/>
          <w:szCs w:val="20"/>
        </w:rPr>
        <w:t>•Decreased reliability of the process and models we use to estimate our allowance for loan and lease losses, particularly if unexpected variations in key inputs and assumpt</w:t>
      </w:r>
      <w:r>
        <w:rPr>
          <w:rFonts w:eastAsia="Times New Roman"/>
          <w:color w:val="000000"/>
          <w:sz w:val="20"/>
          <w:szCs w:val="20"/>
        </w:rPr>
        <w:t xml:space="preserve">ions cause actual losses to diverge from the projections of our models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01105271"/>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60110527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60110527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0" style="width:0;height:1.5pt" o:hralign="center" o:hrstd="t" o:hr="t" fillcolor="#a0a0a0" stroked="f"/>
        </w:pict>
      </w:r>
    </w:p>
    <w:p w:rsidR="00000000" w:rsidRDefault="00E0782F">
      <w:pPr>
        <w:jc w:val="both"/>
        <w:divId w:val="1056908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297564960"/>
        <w:rPr>
          <w:rFonts w:eastAsia="Times New Roman"/>
        </w:rPr>
      </w:pPr>
      <w:r>
        <w:rPr>
          <w:rFonts w:eastAsia="Times New Roman"/>
          <w:color w:val="000000"/>
          <w:sz w:val="20"/>
          <w:szCs w:val="20"/>
        </w:rPr>
        <w:t>and our estimates become increasingly subject to management’s judgment. See “</w:t>
      </w:r>
      <w:r>
        <w:rPr>
          <w:rFonts w:eastAsia="Times New Roman"/>
          <w:i/>
          <w:iCs/>
          <w:color w:val="000000"/>
          <w:sz w:val="20"/>
          <w:szCs w:val="20"/>
        </w:rPr>
        <w:t>We face risks resulting from the extensive use of models and data.</w:t>
      </w:r>
      <w:r>
        <w:rPr>
          <w:rFonts w:eastAsia="Times New Roman"/>
          <w:color w:val="000000"/>
          <w:sz w:val="20"/>
          <w:szCs w:val="20"/>
        </w:rPr>
        <w:t>”</w:t>
      </w:r>
    </w:p>
    <w:p w:rsidR="00000000" w:rsidRDefault="00E0782F">
      <w:pPr>
        <w:jc w:val="both"/>
        <w:divId w:val="1779564606"/>
        <w:rPr>
          <w:rFonts w:eastAsia="Times New Roman"/>
        </w:rPr>
      </w:pPr>
      <w:r>
        <w:rPr>
          <w:rFonts w:eastAsia="Times New Roman"/>
          <w:color w:val="000000"/>
          <w:sz w:val="20"/>
          <w:szCs w:val="20"/>
        </w:rPr>
        <w:t xml:space="preserve">The U.K. and the European Union agreed to a free trade deal at the end of 2020 relating to the U.K.’s exit from the European Union (“Brexit”). While this deal provides greater near-term stability, the on-going impact of Brexit and its full effects on the </w:t>
      </w:r>
      <w:r>
        <w:rPr>
          <w:rFonts w:eastAsia="Times New Roman"/>
          <w:color w:val="000000"/>
          <w:sz w:val="20"/>
          <w:szCs w:val="20"/>
        </w:rPr>
        <w:t xml:space="preserve">U.K. economy and our business related thereto remain uncertain. We continue to consider and monitor the potential impacts, and other factors, including the COVID-19 pandemic, that could also impact U.K. economic performance. </w:t>
      </w:r>
    </w:p>
    <w:p w:rsidR="00000000" w:rsidRDefault="00E0782F">
      <w:pPr>
        <w:jc w:val="both"/>
        <w:divId w:val="1183279614"/>
        <w:rPr>
          <w:rFonts w:eastAsia="Times New Roman"/>
        </w:rPr>
      </w:pPr>
      <w:r>
        <w:rPr>
          <w:rFonts w:eastAsia="Times New Roman"/>
          <w:b/>
          <w:bCs/>
          <w:i/>
          <w:iCs/>
          <w:color w:val="000000"/>
          <w:sz w:val="20"/>
          <w:szCs w:val="20"/>
        </w:rPr>
        <w:t>Financial market instability a</w:t>
      </w:r>
      <w:r>
        <w:rPr>
          <w:rFonts w:eastAsia="Times New Roman"/>
          <w:b/>
          <w:bCs/>
          <w:i/>
          <w:iCs/>
          <w:color w:val="000000"/>
          <w:sz w:val="20"/>
          <w:szCs w:val="20"/>
        </w:rPr>
        <w:t xml:space="preserve">nd volatility could adversely affect our business. </w:t>
      </w:r>
    </w:p>
    <w:p w:rsidR="00000000" w:rsidRDefault="00E0782F">
      <w:pPr>
        <w:jc w:val="both"/>
        <w:divId w:val="1343434020"/>
        <w:rPr>
          <w:rFonts w:eastAsia="Times New Roman"/>
        </w:rPr>
      </w:pPr>
      <w:r>
        <w:rPr>
          <w:rFonts w:eastAsia="Times New Roman"/>
          <w:color w:val="000000"/>
          <w:sz w:val="20"/>
          <w:szCs w:val="20"/>
        </w:rPr>
        <w:t>Our ability to borrow from other financial institutions or to engage in funding transactions on favorable terms or at all could be adversely affected by disruptions in the capital markets or other events,</w:t>
      </w:r>
      <w:r>
        <w:rPr>
          <w:rFonts w:eastAsia="Times New Roman"/>
          <w:color w:val="000000"/>
          <w:sz w:val="20"/>
          <w:szCs w:val="20"/>
        </w:rPr>
        <w:t xml:space="preserve"> including actions by rating agencies and deteriorating investor expectations, which could limit our access to funding. In addition, fluctuations in interest rates, credit spreads and other market factors could negatively impact our results of operations. </w:t>
      </w:r>
      <w:r>
        <w:rPr>
          <w:rFonts w:eastAsia="Times New Roman"/>
          <w:color w:val="000000"/>
          <w:sz w:val="20"/>
          <w:szCs w:val="20"/>
        </w:rPr>
        <w:t>Both shorter-term and longer-term interest rates remain below long-term historical averages and the yield curve has been relatively flat compared to past periods. A flat yield curve combined with low interest rates generally leads to lower revenue and redu</w:t>
      </w:r>
      <w:r>
        <w:rPr>
          <w:rFonts w:eastAsia="Times New Roman"/>
          <w:color w:val="000000"/>
          <w:sz w:val="20"/>
          <w:szCs w:val="20"/>
        </w:rPr>
        <w:t>ced margins because it tends to limit our ability to increase the spread between asset yields and funding costs. Sustained periods of time with a flat yield curve coupled with low interest rates, or an inversion of the yield curve, could have a material ad</w:t>
      </w:r>
      <w:r>
        <w:rPr>
          <w:rFonts w:eastAsia="Times New Roman"/>
          <w:color w:val="000000"/>
          <w:sz w:val="20"/>
          <w:szCs w:val="20"/>
        </w:rPr>
        <w:t>verse effect on our net interest margin and earnings.</w:t>
      </w:r>
    </w:p>
    <w:p w:rsidR="00000000" w:rsidRDefault="00E0782F">
      <w:pPr>
        <w:jc w:val="both"/>
        <w:divId w:val="1397817720"/>
        <w:rPr>
          <w:rFonts w:eastAsia="Times New Roman"/>
        </w:rPr>
      </w:pPr>
      <w:r>
        <w:rPr>
          <w:rFonts w:eastAsia="Times New Roman"/>
          <w:color w:val="000000"/>
          <w:sz w:val="20"/>
          <w:szCs w:val="20"/>
        </w:rPr>
        <w:t>In response to the economic consequences of the COVID-19 pandemic, the Federal Reserve lowered its target for the federal funds rate to a range of 0% to 0.25%. Such low rates increase the risk in the U.</w:t>
      </w:r>
      <w:r>
        <w:rPr>
          <w:rFonts w:eastAsia="Times New Roman"/>
          <w:color w:val="000000"/>
          <w:sz w:val="20"/>
          <w:szCs w:val="20"/>
        </w:rPr>
        <w:t>S. of a negative interest rate environment in which interest rates drop below zero, either broadly or for some types of instruments. For example, yields on one-month and three-month Treasuries briefly dropped below zero in March 2020. Such an occurrence wo</w:t>
      </w:r>
      <w:r>
        <w:rPr>
          <w:rFonts w:eastAsia="Times New Roman"/>
          <w:color w:val="000000"/>
          <w:sz w:val="20"/>
          <w:szCs w:val="20"/>
        </w:rPr>
        <w:t>uld likely further reduce the interest we earn on loans and other interest-earning assets, while also likely requiring us to pay to maintain our deposits with the Federal Reserve. Our systems may not be able to handle adequately a negative interest rate en</w:t>
      </w:r>
      <w:r>
        <w:rPr>
          <w:rFonts w:eastAsia="Times New Roman"/>
          <w:color w:val="000000"/>
          <w:sz w:val="20"/>
          <w:szCs w:val="20"/>
        </w:rPr>
        <w:t>vironment and not all variable rate instruments are designed for such a circumstance. We cannot predict the nature or timing of future changes in monetary policies in response to the COVID-19 pandemic or the precise effects that they may have on our activi</w:t>
      </w:r>
      <w:r>
        <w:rPr>
          <w:rFonts w:eastAsia="Times New Roman"/>
          <w:color w:val="000000"/>
          <w:sz w:val="20"/>
          <w:szCs w:val="20"/>
        </w:rPr>
        <w:t>ties and financial results.</w:t>
      </w:r>
    </w:p>
    <w:p w:rsidR="00000000" w:rsidRDefault="00E0782F">
      <w:pPr>
        <w:divId w:val="1946231637"/>
        <w:rPr>
          <w:rFonts w:eastAsia="Times New Roman"/>
        </w:rPr>
      </w:pPr>
      <w:r>
        <w:rPr>
          <w:rFonts w:eastAsia="Times New Roman"/>
          <w:b/>
          <w:bCs/>
          <w:color w:val="000000"/>
          <w:sz w:val="20"/>
          <w:szCs w:val="20"/>
        </w:rPr>
        <w:t>Credit Risk</w:t>
      </w:r>
    </w:p>
    <w:p w:rsidR="00000000" w:rsidRDefault="00E0782F">
      <w:pPr>
        <w:jc w:val="both"/>
        <w:divId w:val="353774024"/>
        <w:rPr>
          <w:rFonts w:eastAsia="Times New Roman"/>
        </w:rPr>
      </w:pPr>
      <w:r>
        <w:rPr>
          <w:rFonts w:eastAsia="Times New Roman"/>
          <w:b/>
          <w:bCs/>
          <w:i/>
          <w:iCs/>
          <w:color w:val="000000"/>
          <w:sz w:val="20"/>
          <w:szCs w:val="20"/>
        </w:rPr>
        <w:t>We may experience increased delinquencies, credit losses, inaccurate estimates and inadequate reserves.</w:t>
      </w:r>
    </w:p>
    <w:p w:rsidR="00000000" w:rsidRDefault="00E0782F">
      <w:pPr>
        <w:jc w:val="both"/>
        <w:divId w:val="1655913009"/>
        <w:rPr>
          <w:rFonts w:eastAsia="Times New Roman"/>
        </w:rPr>
      </w:pPr>
      <w:r>
        <w:rPr>
          <w:rFonts w:eastAsia="Times New Roman"/>
          <w:color w:val="000000"/>
          <w:sz w:val="20"/>
          <w:szCs w:val="20"/>
        </w:rPr>
        <w:t>Like other lenders, we face the risk that our customers will not repay their loans. A customer’s ability and willingness to repay us can be adversely affected by increases in their payment obligations to other lenders, whether as a result of higher debt le</w:t>
      </w:r>
      <w:r>
        <w:rPr>
          <w:rFonts w:eastAsia="Times New Roman"/>
          <w:color w:val="000000"/>
          <w:sz w:val="20"/>
          <w:szCs w:val="20"/>
        </w:rPr>
        <w:t>vels or rising interest rates, by restricted availability of credit generally, or by the revenue and income of the borrower. We may fail to quickly identify and reduce our exposure to customers that are likely to default on their payment obligations, wheth</w:t>
      </w:r>
      <w:r>
        <w:rPr>
          <w:rFonts w:eastAsia="Times New Roman"/>
          <w:color w:val="000000"/>
          <w:sz w:val="20"/>
          <w:szCs w:val="20"/>
        </w:rPr>
        <w:t>er by closing credit lines or restricting authorizations. Our ability to manage credit risk also is affected by legal or regulatory changes (such as restrictions on collections, bankruptcy laws, minimum payment regulations and re-age guidance), competitors</w:t>
      </w:r>
      <w:r>
        <w:rPr>
          <w:rFonts w:eastAsia="Times New Roman"/>
          <w:color w:val="000000"/>
          <w:sz w:val="20"/>
          <w:szCs w:val="20"/>
        </w:rPr>
        <w:t>’ actions and consumer behavior, and depends on the effectiveness of our collections staff, techniques and models.</w:t>
      </w:r>
    </w:p>
    <w:p w:rsidR="00000000" w:rsidRDefault="00E0782F">
      <w:pPr>
        <w:jc w:val="both"/>
        <w:divId w:val="2142460658"/>
        <w:rPr>
          <w:rFonts w:eastAsia="Times New Roman"/>
        </w:rPr>
      </w:pPr>
      <w:r>
        <w:rPr>
          <w:rFonts w:eastAsia="Times New Roman"/>
          <w:color w:val="000000"/>
          <w:sz w:val="20"/>
          <w:szCs w:val="20"/>
        </w:rPr>
        <w:t>Rising losses or leading indicators of rising losses (such as higher delinquencies, higher rates of nonperforming loans, higher bankruptcy ra</w:t>
      </w:r>
      <w:r>
        <w:rPr>
          <w:rFonts w:eastAsia="Times New Roman"/>
          <w:color w:val="000000"/>
          <w:sz w:val="20"/>
          <w:szCs w:val="20"/>
        </w:rPr>
        <w:t>tes, lower collateral values, elevated unemployment rates or changing market terms) may require us to increase our allowance for credit losses, which may degrade our profitability if we are unable to raise revenue or reduce costs to compensate for higher l</w:t>
      </w:r>
      <w:r>
        <w:rPr>
          <w:rFonts w:eastAsia="Times New Roman"/>
          <w:color w:val="000000"/>
          <w:sz w:val="20"/>
          <w:szCs w:val="20"/>
        </w:rPr>
        <w:t>osses. In particular, we face the following risks in this area:</w:t>
      </w:r>
    </w:p>
    <w:p w:rsidR="00000000" w:rsidRDefault="00E0782F">
      <w:pPr>
        <w:ind w:hanging="360"/>
        <w:jc w:val="both"/>
        <w:divId w:val="205683900"/>
        <w:rPr>
          <w:rFonts w:eastAsia="Times New Roman"/>
        </w:rPr>
      </w:pPr>
      <w:r>
        <w:rPr>
          <w:rFonts w:eastAsia="Times New Roman"/>
          <w:color w:val="000000"/>
          <w:sz w:val="20"/>
          <w:szCs w:val="20"/>
        </w:rPr>
        <w:t>•</w:t>
      </w:r>
      <w:r>
        <w:rPr>
          <w:rFonts w:eastAsia="Times New Roman"/>
          <w:i/>
          <w:iCs/>
          <w:color w:val="000000"/>
          <w:sz w:val="20"/>
          <w:szCs w:val="20"/>
        </w:rPr>
        <w:t>Missed Payments:</w:t>
      </w:r>
      <w:r>
        <w:rPr>
          <w:rFonts w:eastAsia="Times New Roman"/>
          <w:color w:val="000000"/>
          <w:sz w:val="20"/>
          <w:szCs w:val="20"/>
        </w:rPr>
        <w:t xml:space="preserve"> Our customers may miss payments. Loan charge-offs (including from bankruptcies) are generally preceded by missed payments or other indications of worsening financial conditio</w:t>
      </w:r>
      <w:r>
        <w:rPr>
          <w:rFonts w:eastAsia="Times New Roman"/>
          <w:color w:val="000000"/>
          <w:sz w:val="20"/>
          <w:szCs w:val="20"/>
        </w:rPr>
        <w:t>n for our customers. Historically, customers are more likely to miss payments during an economic downturn or prolonged periods of slow economic growth. In addition, we face the risk that consumer and commercial customer behavior may change (for example, an</w:t>
      </w:r>
      <w:r>
        <w:rPr>
          <w:rFonts w:eastAsia="Times New Roman"/>
          <w:color w:val="000000"/>
          <w:sz w:val="20"/>
          <w:szCs w:val="20"/>
        </w:rPr>
        <w:t xml:space="preserve"> increase in the unwillingness or inability of customers to repay debt, which may be heightened by increasing interest rates or levels of consumer debt), causing a long-term rise in delinquencies and charge-offs.</w:t>
      </w:r>
    </w:p>
    <w:p w:rsidR="00000000" w:rsidRDefault="00E0782F">
      <w:pPr>
        <w:ind w:hanging="360"/>
        <w:jc w:val="both"/>
        <w:divId w:val="1669019232"/>
        <w:rPr>
          <w:rFonts w:eastAsia="Times New Roman"/>
        </w:rPr>
      </w:pPr>
      <w:r>
        <w:rPr>
          <w:rFonts w:eastAsia="Times New Roman"/>
          <w:color w:val="000000"/>
          <w:sz w:val="20"/>
          <w:szCs w:val="20"/>
        </w:rPr>
        <w:t>•</w:t>
      </w:r>
      <w:r>
        <w:rPr>
          <w:rFonts w:eastAsia="Times New Roman"/>
          <w:i/>
          <w:iCs/>
          <w:color w:val="000000"/>
          <w:sz w:val="20"/>
          <w:szCs w:val="20"/>
        </w:rPr>
        <w:t>Incorrect Estimates of Expected Losses:</w:t>
      </w:r>
      <w:r>
        <w:rPr>
          <w:rFonts w:eastAsia="Times New Roman"/>
          <w:color w:val="000000"/>
          <w:sz w:val="20"/>
          <w:szCs w:val="20"/>
        </w:rPr>
        <w:t xml:space="preserve"> Th</w:t>
      </w:r>
      <w:r>
        <w:rPr>
          <w:rFonts w:eastAsia="Times New Roman"/>
          <w:color w:val="000000"/>
          <w:sz w:val="20"/>
          <w:szCs w:val="20"/>
        </w:rPr>
        <w:t>e credit quality of our portfolio can have a significant impact on our earnings. We allow for and reserve against credit risks based on our assessment of expected credit losses in our loan portfolios. This process, which is critical to our financial condit</w:t>
      </w:r>
      <w:r>
        <w:rPr>
          <w:rFonts w:eastAsia="Times New Roman"/>
          <w:color w:val="000000"/>
          <w:sz w:val="20"/>
          <w:szCs w:val="20"/>
        </w:rPr>
        <w:t>ion and results of operations, requires complex judgments, including forecasts of economic conditions. We may underestimate our expected losses and fail to hold an allowance for credit losses sufficient to account for these losses. Incorrect assumptions co</w:t>
      </w:r>
      <w:r>
        <w:rPr>
          <w:rFonts w:eastAsia="Times New Roman"/>
          <w:color w:val="000000"/>
          <w:sz w:val="20"/>
          <w:szCs w:val="20"/>
        </w:rPr>
        <w:t>uld lead to material underestimations of expected credit losses and an inadequate allowance for credit losses.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25065730"/>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2506573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2506573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1" style="width:0;height:1.5pt" o:hralign="center" o:hrstd="t" o:hr="t" fillcolor="#a0a0a0" stroked="f"/>
        </w:pict>
      </w:r>
    </w:p>
    <w:p w:rsidR="00000000" w:rsidRDefault="00E0782F">
      <w:pPr>
        <w:jc w:val="both"/>
        <w:divId w:val="86148245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ind w:hanging="360"/>
        <w:jc w:val="both"/>
        <w:divId w:val="841894837"/>
        <w:rPr>
          <w:rFonts w:eastAsia="Times New Roman"/>
        </w:rPr>
      </w:pPr>
      <w:r>
        <w:rPr>
          <w:rFonts w:eastAsia="Times New Roman"/>
          <w:color w:val="000000"/>
          <w:sz w:val="20"/>
          <w:szCs w:val="20"/>
        </w:rPr>
        <w:t>•</w:t>
      </w:r>
      <w:r>
        <w:rPr>
          <w:rFonts w:eastAsia="Times New Roman"/>
          <w:i/>
          <w:iCs/>
          <w:color w:val="000000"/>
          <w:sz w:val="20"/>
          <w:szCs w:val="20"/>
        </w:rPr>
        <w:t>Inaccurate Underwriting:</w:t>
      </w:r>
      <w:r>
        <w:rPr>
          <w:rFonts w:eastAsia="Times New Roman"/>
          <w:color w:val="000000"/>
          <w:sz w:val="20"/>
          <w:szCs w:val="20"/>
        </w:rPr>
        <w:t xml:space="preserve"> Our ability to accurately assess the creditworthiness of our customers may diminish, which could result in an increase</w:t>
      </w:r>
      <w:r>
        <w:rPr>
          <w:rFonts w:eastAsia="Times New Roman"/>
          <w:color w:val="000000"/>
          <w:sz w:val="20"/>
          <w:szCs w:val="20"/>
        </w:rPr>
        <w:t xml:space="preserve"> in our credit losses and a deterioration of our returns. See “</w:t>
      </w:r>
      <w:r>
        <w:rPr>
          <w:rFonts w:eastAsia="Times New Roman"/>
          <w:i/>
          <w:iCs/>
          <w:color w:val="000000"/>
          <w:sz w:val="20"/>
          <w:szCs w:val="20"/>
        </w:rPr>
        <w:t>Our risk management strategies may not be fully effective in mitigating our risk exposures in all market environments or against all types of risk</w:t>
      </w:r>
      <w:r>
        <w:rPr>
          <w:rFonts w:eastAsia="Times New Roman"/>
          <w:color w:val="000000"/>
          <w:sz w:val="20"/>
          <w:szCs w:val="20"/>
        </w:rPr>
        <w:t>.”</w:t>
      </w:r>
    </w:p>
    <w:p w:rsidR="00000000" w:rsidRDefault="00E0782F">
      <w:pPr>
        <w:ind w:hanging="360"/>
        <w:jc w:val="both"/>
        <w:divId w:val="1865364789"/>
        <w:rPr>
          <w:rFonts w:eastAsia="Times New Roman"/>
        </w:rPr>
      </w:pPr>
      <w:r>
        <w:rPr>
          <w:rFonts w:eastAsia="Times New Roman"/>
          <w:color w:val="000000"/>
          <w:sz w:val="20"/>
          <w:szCs w:val="20"/>
        </w:rPr>
        <w:t>•</w:t>
      </w:r>
      <w:r>
        <w:rPr>
          <w:rFonts w:eastAsia="Times New Roman"/>
          <w:i/>
          <w:iCs/>
          <w:color w:val="000000"/>
          <w:sz w:val="20"/>
          <w:szCs w:val="20"/>
        </w:rPr>
        <w:t>Business Mix:</w:t>
      </w:r>
      <w:r>
        <w:rPr>
          <w:rFonts w:eastAsia="Times New Roman"/>
          <w:color w:val="000000"/>
          <w:sz w:val="20"/>
          <w:szCs w:val="20"/>
        </w:rPr>
        <w:t xml:space="preserve"> </w:t>
      </w:r>
      <w:r>
        <w:rPr>
          <w:rFonts w:eastAsia="Times New Roman"/>
          <w:color w:val="000000"/>
          <w:sz w:val="20"/>
          <w:szCs w:val="20"/>
        </w:rPr>
        <w:t xml:space="preserve">We engage in a diverse mix of businesses with a broad range of potential credit exposure. Because we originate a relatively greater proportion of consumer loans in our loan portfolio compared to other large bank peers and originate both prime and subprime </w:t>
      </w:r>
      <w:r>
        <w:rPr>
          <w:rFonts w:eastAsia="Times New Roman"/>
          <w:color w:val="000000"/>
          <w:sz w:val="20"/>
          <w:szCs w:val="20"/>
        </w:rPr>
        <w:t>credit card accounts and auto loans, we may experience higher delinquencies and a greater number of accounts charging off compared to other large bank peers, which could result in increased credit losses, operating costs and regulatory scrutiny. Additional</w:t>
      </w:r>
      <w:r>
        <w:rPr>
          <w:rFonts w:eastAsia="Times New Roman"/>
          <w:color w:val="000000"/>
          <w:sz w:val="20"/>
          <w:szCs w:val="20"/>
        </w:rPr>
        <w:t>ly, a change in this business mix over time to include proportionally more consumer loans or subprime credit card accounts or auto loans could adversely affect the credit quality of our portfolio.</w:t>
      </w:r>
    </w:p>
    <w:p w:rsidR="00000000" w:rsidRDefault="00E0782F">
      <w:pPr>
        <w:ind w:hanging="360"/>
        <w:jc w:val="both"/>
        <w:divId w:val="1548494169"/>
        <w:rPr>
          <w:rFonts w:eastAsia="Times New Roman"/>
        </w:rPr>
      </w:pPr>
      <w:r>
        <w:rPr>
          <w:rFonts w:eastAsia="Times New Roman"/>
          <w:color w:val="000000"/>
          <w:sz w:val="20"/>
          <w:szCs w:val="20"/>
        </w:rPr>
        <w:t>•</w:t>
      </w:r>
      <w:r>
        <w:rPr>
          <w:rFonts w:eastAsia="Times New Roman"/>
          <w:i/>
          <w:iCs/>
          <w:color w:val="000000"/>
          <w:sz w:val="20"/>
          <w:szCs w:val="20"/>
        </w:rPr>
        <w:t>Increasing Charge-off Recognition/Allowance for Credit Los</w:t>
      </w:r>
      <w:r>
        <w:rPr>
          <w:rFonts w:eastAsia="Times New Roman"/>
          <w:i/>
          <w:iCs/>
          <w:color w:val="000000"/>
          <w:sz w:val="20"/>
          <w:szCs w:val="20"/>
        </w:rPr>
        <w:t>ses:</w:t>
      </w:r>
      <w:r>
        <w:rPr>
          <w:rFonts w:eastAsia="Times New Roman"/>
          <w:color w:val="000000"/>
          <w:sz w:val="20"/>
          <w:szCs w:val="20"/>
        </w:rPr>
        <w:t xml:space="preserve"> We account for the allowance for credit losses according to accounting and regulatory guidelines and rules, including Financial Accounting Standards Board (“FASB”) standards and the Federal Financial Institutions Examination Council (“FFIEC”) Account </w:t>
      </w:r>
      <w:r>
        <w:rPr>
          <w:rFonts w:eastAsia="Times New Roman"/>
          <w:color w:val="000000"/>
          <w:sz w:val="20"/>
          <w:szCs w:val="20"/>
        </w:rPr>
        <w:t xml:space="preserve">Management Guidance. Effective as of January 1, 2020, we adopted the CECL standard which is based on expected lifetime losses rather than incurred losses. Adoption of the CECL standard has resulted and may continue to result in an increase to our reserves </w:t>
      </w:r>
      <w:r>
        <w:rPr>
          <w:rFonts w:eastAsia="Times New Roman"/>
          <w:color w:val="000000"/>
          <w:sz w:val="20"/>
          <w:szCs w:val="20"/>
        </w:rPr>
        <w:t>for credit losses on financial instruments with a resulting adverse impact on our financial condition. The continued impact of CECL on our future results will depend on the characteristics of our financial instruments, economic conditions, and our economic</w:t>
      </w:r>
      <w:r>
        <w:rPr>
          <w:rFonts w:eastAsia="Times New Roman"/>
          <w:color w:val="000000"/>
          <w:sz w:val="20"/>
          <w:szCs w:val="20"/>
        </w:rPr>
        <w:t xml:space="preserve"> and loss forecasts. The application of the CECL standard requires us to increase reserves faster and to a higher level in an economic downturn, resulting in greater impact to our results and our capital ratios than we would have experienced in similar cir</w:t>
      </w:r>
      <w:r>
        <w:rPr>
          <w:rFonts w:eastAsia="Times New Roman"/>
          <w:color w:val="000000"/>
          <w:sz w:val="20"/>
          <w:szCs w:val="20"/>
        </w:rPr>
        <w:t>cumstances prior to the adoption of CECL. In addition, because credit cards represent a significant portion of our product mix, we could be disproportionately affected by use of the CECL standard, as compared to our large bank peers with a different produc</w:t>
      </w:r>
      <w:r>
        <w:rPr>
          <w:rFonts w:eastAsia="Times New Roman"/>
          <w:color w:val="000000"/>
          <w:sz w:val="20"/>
          <w:szCs w:val="20"/>
        </w:rPr>
        <w:t>t mix. See “MD&amp;A—Accounting Changes and Developments” for additional information.</w:t>
      </w:r>
    </w:p>
    <w:p w:rsidR="00000000" w:rsidRDefault="00E0782F">
      <w:pPr>
        <w:ind w:hanging="360"/>
        <w:jc w:val="both"/>
        <w:divId w:val="1394700359"/>
        <w:rPr>
          <w:rFonts w:eastAsia="Times New Roman"/>
        </w:rPr>
      </w:pPr>
      <w:r>
        <w:rPr>
          <w:rFonts w:eastAsia="Times New Roman"/>
          <w:color w:val="000000"/>
          <w:sz w:val="20"/>
          <w:szCs w:val="20"/>
        </w:rPr>
        <w:t>•</w:t>
      </w:r>
      <w:r>
        <w:rPr>
          <w:rFonts w:eastAsia="Times New Roman"/>
          <w:i/>
          <w:iCs/>
          <w:color w:val="000000"/>
          <w:sz w:val="20"/>
          <w:szCs w:val="20"/>
        </w:rPr>
        <w:t xml:space="preserve">Insufficient Asset Values: </w:t>
      </w:r>
      <w:r>
        <w:rPr>
          <w:rFonts w:eastAsia="Times New Roman"/>
          <w:color w:val="000000"/>
          <w:sz w:val="20"/>
          <w:szCs w:val="20"/>
        </w:rPr>
        <w:t>The collateral we have on secured loans could be insufficient to compensate us for credit losses. When customers default on their secured loans, w</w:t>
      </w:r>
      <w:r>
        <w:rPr>
          <w:rFonts w:eastAsia="Times New Roman"/>
          <w:color w:val="000000"/>
          <w:sz w:val="20"/>
          <w:szCs w:val="20"/>
        </w:rPr>
        <w:t>e attempt to recover collateral where permissible and appropriate. However, the value of the collateral may not be sufficient to compensate us for the amount of the unpaid loan, and we may be unsuccessful in recovering the remaining balance from our custom</w:t>
      </w:r>
      <w:r>
        <w:rPr>
          <w:rFonts w:eastAsia="Times New Roman"/>
          <w:color w:val="000000"/>
          <w:sz w:val="20"/>
          <w:szCs w:val="20"/>
        </w:rPr>
        <w:t>ers. Decreases in real estate and other asset values adversely affect the collateral value for our commercial lending activities, while the auto business is similarly exposed to collateral risks arising from the auction markets that determine used car pric</w:t>
      </w:r>
      <w:r>
        <w:rPr>
          <w:rFonts w:eastAsia="Times New Roman"/>
          <w:color w:val="000000"/>
          <w:sz w:val="20"/>
          <w:szCs w:val="20"/>
        </w:rPr>
        <w:t>es. Borrowers may be less likely to continue making payments on loans if the value of the property used as collateral for the loan is less than what the borrower owes, even if the borrower is still financially able to make the payments. In that circumstanc</w:t>
      </w:r>
      <w:r>
        <w:rPr>
          <w:rFonts w:eastAsia="Times New Roman"/>
          <w:color w:val="000000"/>
          <w:sz w:val="20"/>
          <w:szCs w:val="20"/>
        </w:rPr>
        <w:t>e, the recovery of such property could be insufficient to compensate us for the value of these loans upon a default. In our auto business, business and economic conditions that negatively affect household incomes, housing prices and consumer behavior, as w</w:t>
      </w:r>
      <w:r>
        <w:rPr>
          <w:rFonts w:eastAsia="Times New Roman"/>
          <w:color w:val="000000"/>
          <w:sz w:val="20"/>
          <w:szCs w:val="20"/>
        </w:rPr>
        <w:t>ell as technological advances that make older cars obsolete faster, could decrease (i) the demand for new and used vehicles and (ii) the value of the collateral underlying our portfolio of auto loans, which could cause the number of consumers who become de</w:t>
      </w:r>
      <w:r>
        <w:rPr>
          <w:rFonts w:eastAsia="Times New Roman"/>
          <w:color w:val="000000"/>
          <w:sz w:val="20"/>
          <w:szCs w:val="20"/>
        </w:rPr>
        <w:t>linquent or default on their loans to increase.</w:t>
      </w:r>
    </w:p>
    <w:p w:rsidR="00000000" w:rsidRDefault="00E0782F">
      <w:pPr>
        <w:ind w:hanging="360"/>
        <w:jc w:val="both"/>
        <w:divId w:val="139731924"/>
        <w:rPr>
          <w:rFonts w:eastAsia="Times New Roman"/>
        </w:rPr>
      </w:pPr>
      <w:r>
        <w:rPr>
          <w:rFonts w:eastAsia="Times New Roman"/>
          <w:color w:val="000000"/>
          <w:sz w:val="20"/>
          <w:szCs w:val="20"/>
        </w:rPr>
        <w:t>•</w:t>
      </w:r>
      <w:r>
        <w:rPr>
          <w:rFonts w:eastAsia="Times New Roman"/>
          <w:i/>
          <w:iCs/>
          <w:color w:val="000000"/>
          <w:sz w:val="20"/>
          <w:szCs w:val="20"/>
        </w:rPr>
        <w:t>Geographic and Industry Concentration:</w:t>
      </w:r>
      <w:r>
        <w:rPr>
          <w:rFonts w:eastAsia="Times New Roman"/>
          <w:color w:val="000000"/>
          <w:sz w:val="20"/>
          <w:szCs w:val="20"/>
        </w:rPr>
        <w:t xml:space="preserve"> Although our consumer lending is geographically diversified, approximately 27% of our commercial loan portfolio is concentrated in the tri-state area of New York, New J</w:t>
      </w:r>
      <w:r>
        <w:rPr>
          <w:rFonts w:eastAsia="Times New Roman"/>
          <w:color w:val="000000"/>
          <w:sz w:val="20"/>
          <w:szCs w:val="20"/>
        </w:rPr>
        <w:t xml:space="preserve">ersey and Connecticut. The regional economic conditions in the tri-state area affect the demand for our commercial products and services as well as the ability of our customers to repay their commercial loans and the value of the collateral securing these </w:t>
      </w:r>
      <w:r>
        <w:rPr>
          <w:rFonts w:eastAsia="Times New Roman"/>
          <w:color w:val="000000"/>
          <w:sz w:val="20"/>
          <w:szCs w:val="20"/>
        </w:rPr>
        <w:t>loans. An economic downturn or prolonged period of slow economic growth in, or a catastrophic event that disproportionately affects, the tri-state area could have a material adverse effect on the performance of our commercial loan portfolio and our results</w:t>
      </w:r>
      <w:r>
        <w:rPr>
          <w:rFonts w:eastAsia="Times New Roman"/>
          <w:color w:val="000000"/>
          <w:sz w:val="20"/>
          <w:szCs w:val="20"/>
        </w:rPr>
        <w:t xml:space="preserve"> of operations. In addition, our Commercial Banking strategy includes an industry-specific focus. If any of the industries that we focus on experience changes, we may experience increased credit losses and our results of operations could be adversely impac</w:t>
      </w:r>
      <w:r>
        <w:rPr>
          <w:rFonts w:eastAsia="Times New Roman"/>
          <w:color w:val="000000"/>
          <w:sz w:val="20"/>
          <w:szCs w:val="20"/>
        </w:rPr>
        <w:t>ted. For example, as of December 31, 2020, healthcare and healthcare-related real estate loans represented approximately 19% of our total commercial loan portfolio. If healthcare-related industries or any of the other industries that we focus on experience</w:t>
      </w:r>
      <w:r>
        <w:rPr>
          <w:rFonts w:eastAsia="Times New Roman"/>
          <w:color w:val="000000"/>
          <w:sz w:val="20"/>
          <w:szCs w:val="20"/>
        </w:rPr>
        <w:t xml:space="preserve"> adverse changes, we may experience increased credit losses and our results of operations could be adversely impacted.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27149589"/>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2714958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2714958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2" style="width:0;height:1.5pt" o:hralign="center" o:hrstd="t" o:hr="t" fillcolor="#a0a0a0" stroked="f"/>
        </w:pict>
      </w:r>
    </w:p>
    <w:p w:rsidR="00000000" w:rsidRDefault="00E0782F">
      <w:pPr>
        <w:jc w:val="both"/>
        <w:divId w:val="110149389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2012221963"/>
        <w:rPr>
          <w:rFonts w:eastAsia="Times New Roman"/>
        </w:rPr>
      </w:pPr>
      <w:r>
        <w:rPr>
          <w:rFonts w:eastAsia="Times New Roman"/>
          <w:b/>
          <w:bCs/>
          <w:color w:val="000000"/>
          <w:sz w:val="20"/>
          <w:szCs w:val="20"/>
        </w:rPr>
        <w:t>Capital and Liquidity Risk</w:t>
      </w:r>
    </w:p>
    <w:p w:rsidR="00000000" w:rsidRDefault="00E0782F">
      <w:pPr>
        <w:jc w:val="both"/>
        <w:divId w:val="809977662"/>
        <w:rPr>
          <w:rFonts w:eastAsia="Times New Roman"/>
        </w:rPr>
      </w:pPr>
      <w:r>
        <w:rPr>
          <w:rFonts w:eastAsia="Times New Roman"/>
          <w:b/>
          <w:bCs/>
          <w:i/>
          <w:iCs/>
          <w:color w:val="000000"/>
          <w:sz w:val="20"/>
          <w:szCs w:val="20"/>
        </w:rPr>
        <w:t>We may not be able to maintain adequate capital or liquidity levels, which could have a negative impact on our financ</w:t>
      </w:r>
      <w:r>
        <w:rPr>
          <w:rFonts w:eastAsia="Times New Roman"/>
          <w:b/>
          <w:bCs/>
          <w:i/>
          <w:iCs/>
          <w:color w:val="000000"/>
          <w:sz w:val="20"/>
          <w:szCs w:val="20"/>
        </w:rPr>
        <w:t>ial results and our ability to return capital to our stockholders.</w:t>
      </w:r>
    </w:p>
    <w:p w:rsidR="00000000" w:rsidRDefault="00E0782F">
      <w:pPr>
        <w:jc w:val="both"/>
        <w:divId w:val="661128550"/>
        <w:rPr>
          <w:rFonts w:eastAsia="Times New Roman"/>
        </w:rPr>
      </w:pPr>
      <w:r>
        <w:rPr>
          <w:rFonts w:eastAsia="Times New Roman"/>
          <w:color w:val="000000"/>
          <w:sz w:val="20"/>
          <w:szCs w:val="20"/>
        </w:rPr>
        <w:t>Financial institutions are subject to extensive and complex capital and liquidity requirements. These requirements affect our ability to lend, grow deposit balances, make acquisitions and m</w:t>
      </w:r>
      <w:r>
        <w:rPr>
          <w:rFonts w:eastAsia="Times New Roman"/>
          <w:color w:val="000000"/>
          <w:sz w:val="20"/>
          <w:szCs w:val="20"/>
        </w:rPr>
        <w:t>ake most capital distributions. Failure to maintain adequate capital or liquidity levels, whether due to adverse developments in our business or the economy or to changes in the applicable requirements, could subject us to a variety of remedies available t</w:t>
      </w:r>
      <w:r>
        <w:rPr>
          <w:rFonts w:eastAsia="Times New Roman"/>
          <w:color w:val="000000"/>
          <w:sz w:val="20"/>
          <w:szCs w:val="20"/>
        </w:rPr>
        <w:t xml:space="preserve">o our regulators. These include limitations on the ability to pay dividends, repurchase shares and the issuance of a capital directive to increase capital. Such limitations could have a material adverse effect on our business and results of operations. </w:t>
      </w:r>
    </w:p>
    <w:p w:rsidR="00000000" w:rsidRDefault="00E0782F">
      <w:pPr>
        <w:jc w:val="both"/>
        <w:divId w:val="507255226"/>
        <w:rPr>
          <w:rFonts w:eastAsia="Times New Roman"/>
        </w:rPr>
      </w:pPr>
      <w:r>
        <w:rPr>
          <w:rFonts w:eastAsia="Times New Roman"/>
          <w:color w:val="000000"/>
          <w:sz w:val="20"/>
          <w:szCs w:val="20"/>
        </w:rPr>
        <w:t>We</w:t>
      </w:r>
      <w:r>
        <w:rPr>
          <w:rFonts w:eastAsia="Times New Roman"/>
          <w:color w:val="000000"/>
          <w:sz w:val="20"/>
          <w:szCs w:val="20"/>
        </w:rPr>
        <w:t xml:space="preserve"> consider various factors in the management of capital, including the impact of stress on our capital levels, as determined by both our internal modeling and the Federal Reserve’s modeling of our capital position in supervisory stress tests and CCAR. There</w:t>
      </w:r>
      <w:r>
        <w:rPr>
          <w:rFonts w:eastAsia="Times New Roman"/>
          <w:color w:val="000000"/>
          <w:sz w:val="20"/>
          <w:szCs w:val="20"/>
        </w:rPr>
        <w:t xml:space="preserve"> can be significant differences between our modeling and the Federal Reserve’s estimates for a given scenario and between the capital needs suggested by our internal bank holding company scenarios relative to the supervisory scenarios. Therefore, although </w:t>
      </w:r>
      <w:r>
        <w:rPr>
          <w:rFonts w:eastAsia="Times New Roman"/>
          <w:color w:val="000000"/>
          <w:sz w:val="20"/>
          <w:szCs w:val="20"/>
        </w:rPr>
        <w:t>our estimated capital levels under stress disclosed as part of the CCAR or DFAST processes may suggest that we have substantial capacity to return capital to stockholders and remain well capitalized under stress, the Federal Reserve’s modeling, our interna</w:t>
      </w:r>
      <w:r>
        <w:rPr>
          <w:rFonts w:eastAsia="Times New Roman"/>
          <w:color w:val="000000"/>
          <w:sz w:val="20"/>
          <w:szCs w:val="20"/>
        </w:rPr>
        <w:t>l modeling of another scenario or other factors related to our capital management process may result in a materially lower capacity to return capital to stockholders than that indicated by the projections released in the CCAR or DFAST processes. This in tu</w:t>
      </w:r>
      <w:r>
        <w:rPr>
          <w:rFonts w:eastAsia="Times New Roman"/>
          <w:color w:val="000000"/>
          <w:sz w:val="20"/>
          <w:szCs w:val="20"/>
        </w:rPr>
        <w:t>rn, could lead to restrictions on our ability to pay dividends and engage in share repurchase transactions. See “Part I—Item 1. Business—Supervision and Regulation” for additional information.</w:t>
      </w:r>
    </w:p>
    <w:p w:rsidR="00000000" w:rsidRDefault="00E0782F">
      <w:pPr>
        <w:jc w:val="both"/>
        <w:rPr>
          <w:rFonts w:eastAsia="Times New Roman"/>
        </w:rPr>
      </w:pPr>
      <w:r>
        <w:rPr>
          <w:rFonts w:eastAsia="Times New Roman"/>
          <w:color w:val="000000"/>
          <w:sz w:val="20"/>
          <w:szCs w:val="20"/>
        </w:rPr>
        <w:t>In addition, the current capital and liquidity requirements are</w:t>
      </w:r>
      <w:r>
        <w:rPr>
          <w:rFonts w:eastAsia="Times New Roman"/>
          <w:color w:val="000000"/>
          <w:sz w:val="20"/>
          <w:szCs w:val="20"/>
        </w:rPr>
        <w:t xml:space="preserve"> subject to change. The Federal Banking Agencies finalized the Tailoring Rule in the fourth quarter of 2019. Under the Tailoring Rule, we are a Category III institution, and are no longer subject to the Basel III Advanced Approaches and associated capital </w:t>
      </w:r>
      <w:r>
        <w:rPr>
          <w:rFonts w:eastAsia="Times New Roman"/>
          <w:color w:val="000000"/>
          <w:sz w:val="20"/>
          <w:szCs w:val="20"/>
        </w:rPr>
        <w:t xml:space="preserve">requirements, but we continue to be subject to the countercyclical capital buffer and supplementary leverage ratio. In March 2020, the Federal Reserve issued a final rule to implement the stress capital buffer requirement. This final rule became effective </w:t>
      </w:r>
      <w:r>
        <w:rPr>
          <w:rFonts w:eastAsia="Times New Roman"/>
          <w:color w:val="000000"/>
          <w:sz w:val="20"/>
          <w:szCs w:val="20"/>
        </w:rPr>
        <w:t>in May 2020. Pursuant to the Stress Capital Buffer Rule, the Federal Reserve will use the results of its supervisory stress test to determine the size of a large banking institution’s stress capital buffer requirement, which replaces the previous 2.5% capi</w:t>
      </w:r>
      <w:r>
        <w:rPr>
          <w:rFonts w:eastAsia="Times New Roman"/>
          <w:color w:val="000000"/>
          <w:sz w:val="20"/>
          <w:szCs w:val="20"/>
        </w:rPr>
        <w:t>tal conservation buffer under the Basel III Standardized Approach. Our stress capital buffer requirement is 5.6% for the period from October 1, 2020 through September 30, 2021, at which point a revised stress capital buffer requirement will be applicable t</w:t>
      </w:r>
      <w:r>
        <w:rPr>
          <w:rFonts w:eastAsia="Times New Roman"/>
          <w:color w:val="000000"/>
          <w:sz w:val="20"/>
          <w:szCs w:val="20"/>
        </w:rPr>
        <w:t>o us based on our 2021 stress testing results. In addition, on June 25, 2020 the Federal Reserve introduced measures to ensure that large BHCs maintained a high level of capital resilience. Specifically, the Federal Reserve required certain large BHCs, inc</w:t>
      </w:r>
      <w:r>
        <w:rPr>
          <w:rFonts w:eastAsia="Times New Roman"/>
          <w:color w:val="000000"/>
          <w:sz w:val="20"/>
          <w:szCs w:val="20"/>
        </w:rPr>
        <w:t>luding us, to suspend share repurchases and cap common dividends during the third and fourth quarters of 2020. Consistent with the Federal Reserve’s capital distribution restrictions, we reduced our quarterly dividend on our common stock from $0.40 per sha</w:t>
      </w:r>
      <w:r>
        <w:rPr>
          <w:rFonts w:eastAsia="Times New Roman"/>
          <w:color w:val="000000"/>
          <w:sz w:val="20"/>
          <w:szCs w:val="20"/>
        </w:rPr>
        <w:t>re to $0.10 per share for the third quarter of 2020, which we maintained into the fourth quarter of 2020. The Federal Banking Agencies also finalized rules to implement the NSFR in October 2020. The NSFR is designed to ensure that banking organizations mai</w:t>
      </w:r>
      <w:r>
        <w:rPr>
          <w:rFonts w:eastAsia="Times New Roman"/>
          <w:color w:val="000000"/>
          <w:sz w:val="20"/>
          <w:szCs w:val="20"/>
        </w:rPr>
        <w:t>ntain a stable, long-term funding profile in relation to their asset composition and off-balance sheet activities and its requirements will become effective as of July 1, 2021. On December 18, 2020, the Federal Reserve extended the capital distribution res</w:t>
      </w:r>
      <w:r>
        <w:rPr>
          <w:rFonts w:eastAsia="Times New Roman"/>
          <w:color w:val="000000"/>
          <w:sz w:val="20"/>
          <w:szCs w:val="20"/>
        </w:rPr>
        <w:t>trictions for all participating BHCs to the first quarter of 2021, with certain modifications. In particular, for the first quarter of 2021, participating BHCs may resume share repurchases however the aggregate amount of dividend payments and share repurch</w:t>
      </w:r>
      <w:r>
        <w:rPr>
          <w:rFonts w:eastAsia="Times New Roman"/>
          <w:color w:val="000000"/>
          <w:sz w:val="20"/>
          <w:szCs w:val="20"/>
        </w:rPr>
        <w:t>ases will be limited to an amount based on net income earned in the preceding four calendar quarters. See “Part I—Item 1. Business—Supervision and Regulation” for additional information. Further changes to applicable capital and liquidity requirements coul</w:t>
      </w:r>
      <w:r>
        <w:rPr>
          <w:rFonts w:eastAsia="Times New Roman"/>
          <w:color w:val="000000"/>
          <w:sz w:val="20"/>
          <w:szCs w:val="20"/>
        </w:rPr>
        <w:t>d result in unexpected or new limitations on our ability to pay dividends and engage in share repurchases.</w:t>
      </w:r>
    </w:p>
    <w:p w:rsidR="00000000" w:rsidRDefault="00E0782F">
      <w:pPr>
        <w:divId w:val="8609026"/>
        <w:rPr>
          <w:rFonts w:eastAsia="Times New Roman"/>
        </w:rPr>
      </w:pPr>
      <w:r>
        <w:rPr>
          <w:rFonts w:eastAsia="Times New Roman"/>
          <w:b/>
          <w:bCs/>
          <w:color w:val="000000"/>
          <w:sz w:val="20"/>
          <w:szCs w:val="20"/>
        </w:rPr>
        <w:t>Operational Risk</w:t>
      </w:r>
    </w:p>
    <w:p w:rsidR="00000000" w:rsidRDefault="00E0782F">
      <w:pPr>
        <w:divId w:val="1176457728"/>
        <w:rPr>
          <w:rFonts w:eastAsia="Times New Roman"/>
        </w:rPr>
      </w:pPr>
      <w:r>
        <w:rPr>
          <w:rFonts w:eastAsia="Times New Roman"/>
          <w:b/>
          <w:bCs/>
          <w:i/>
          <w:iCs/>
          <w:color w:val="000000"/>
          <w:sz w:val="20"/>
          <w:szCs w:val="20"/>
        </w:rPr>
        <w:t>We face risks related to our operational, technological and organizational infrastructure.</w:t>
      </w:r>
    </w:p>
    <w:p w:rsidR="00000000" w:rsidRDefault="00E0782F">
      <w:pPr>
        <w:jc w:val="both"/>
        <w:divId w:val="1832789733"/>
        <w:rPr>
          <w:rFonts w:eastAsia="Times New Roman"/>
        </w:rPr>
      </w:pPr>
      <w:r>
        <w:rPr>
          <w:rFonts w:eastAsia="Times New Roman"/>
          <w:color w:val="000000"/>
          <w:sz w:val="20"/>
          <w:szCs w:val="20"/>
        </w:rPr>
        <w:t>Our ability to retain and attract custome</w:t>
      </w:r>
      <w:r>
        <w:rPr>
          <w:rFonts w:eastAsia="Times New Roman"/>
          <w:color w:val="000000"/>
          <w:sz w:val="20"/>
          <w:szCs w:val="20"/>
        </w:rPr>
        <w:t>rs depends on our ability to develop, operate, and adapt our technology and organizational infrastructure in a rapidly changing environment. In addition, we must accurately process, record and monitor an increasingly large number of complex transactions. D</w:t>
      </w:r>
      <w:r>
        <w:rPr>
          <w:rFonts w:eastAsia="Times New Roman"/>
          <w:color w:val="000000"/>
          <w:sz w:val="20"/>
          <w:szCs w:val="20"/>
        </w:rPr>
        <w:t>igital technology, data and software development are deeply embedded into our business model and how we work.</w:t>
      </w:r>
    </w:p>
    <w:p w:rsidR="00000000" w:rsidRDefault="00E0782F">
      <w:pPr>
        <w:jc w:val="both"/>
        <w:divId w:val="662857461"/>
        <w:rPr>
          <w:rFonts w:eastAsia="Times New Roman"/>
        </w:rPr>
      </w:pPr>
      <w:r>
        <w:rPr>
          <w:rFonts w:eastAsia="Times New Roman"/>
          <w:color w:val="000000"/>
          <w:sz w:val="20"/>
          <w:szCs w:val="20"/>
        </w:rPr>
        <w:t>Similar to other large corporations, we are exposed to operational risk that can manifest itself in many ways, such as errors in execution, inadeq</w:t>
      </w:r>
      <w:r>
        <w:rPr>
          <w:rFonts w:eastAsia="Times New Roman"/>
          <w:color w:val="000000"/>
          <w:sz w:val="20"/>
          <w:szCs w:val="20"/>
        </w:rPr>
        <w:t xml:space="preserve">uate processes, inaccurate models, faulty or disabled technological infrastructure, and fraud by employees or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8791787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38791787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38791787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3" style="width:0;height:1.5pt" o:hralign="center" o:hrstd="t" o:hr="t" fillcolor="#a0a0a0" stroked="f"/>
        </w:pict>
      </w:r>
    </w:p>
    <w:p w:rsidR="00000000" w:rsidRDefault="00E0782F">
      <w:pPr>
        <w:jc w:val="both"/>
        <w:divId w:val="156113567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516656237"/>
        <w:rPr>
          <w:rFonts w:eastAsia="Times New Roman"/>
        </w:rPr>
      </w:pPr>
      <w:r>
        <w:rPr>
          <w:rFonts w:eastAsia="Times New Roman"/>
          <w:color w:val="000000"/>
          <w:sz w:val="20"/>
          <w:szCs w:val="20"/>
        </w:rPr>
        <w:t xml:space="preserve">persons outside of our company. In addition, we are heavily dependent on the security, capability and continuous availability of the technology </w:t>
      </w:r>
      <w:r>
        <w:rPr>
          <w:rFonts w:eastAsia="Times New Roman"/>
          <w:color w:val="000000"/>
          <w:sz w:val="20"/>
          <w:szCs w:val="20"/>
        </w:rPr>
        <w:t>systems that we use to manage our internal financial and other systems, monitor risk and compliance with regulatory requirements, provide services to our customers, develop and offer new products and communicate with stakeholders. We also face risk of adve</w:t>
      </w:r>
      <w:r>
        <w:rPr>
          <w:rFonts w:eastAsia="Times New Roman"/>
          <w:color w:val="000000"/>
          <w:sz w:val="20"/>
          <w:szCs w:val="20"/>
        </w:rPr>
        <w:t>rse customer impacts and business disruption arising from the execution of strategic initiatives we may pursue across our operations.</w:t>
      </w:r>
    </w:p>
    <w:p w:rsidR="00000000" w:rsidRDefault="00E0782F">
      <w:pPr>
        <w:jc w:val="both"/>
        <w:divId w:val="985356194"/>
        <w:rPr>
          <w:rFonts w:eastAsia="Times New Roman"/>
        </w:rPr>
      </w:pPr>
      <w:r>
        <w:rPr>
          <w:rFonts w:eastAsia="Times New Roman"/>
          <w:color w:val="000000"/>
          <w:sz w:val="20"/>
          <w:szCs w:val="20"/>
        </w:rPr>
        <w:t xml:space="preserve">If we do not maintain the necessary operational, technological and organizational infrastructure to operate our business, </w:t>
      </w:r>
      <w:r>
        <w:rPr>
          <w:rFonts w:eastAsia="Times New Roman"/>
          <w:color w:val="000000"/>
          <w:sz w:val="20"/>
          <w:szCs w:val="20"/>
        </w:rPr>
        <w:t xml:space="preserve">including to maintain the security of that infrastructure, our business and reputation could be materially adversely affected. We also are subject to disruptions to our operating systems arising from events that are wholly or partially beyond our control, </w:t>
      </w:r>
      <w:r>
        <w:rPr>
          <w:rFonts w:eastAsia="Times New Roman"/>
          <w:color w:val="000000"/>
          <w:sz w:val="20"/>
          <w:szCs w:val="20"/>
        </w:rPr>
        <w:t>which may include computer viruses, electrical or telecommunications outages, design flaws in foundational components or platforms, availability and quality of vulnerability patches from key vendors, cyber-attacks (including Distributed Denial of Service (</w:t>
      </w:r>
      <w:r>
        <w:rPr>
          <w:rFonts w:eastAsia="Times New Roman"/>
          <w:color w:val="000000"/>
          <w:sz w:val="20"/>
          <w:szCs w:val="20"/>
        </w:rPr>
        <w:t>“DDOS”) and other attacks on our infrastructure as discussed below), natural disasters, other damage to property or physical assets, or events arising from local or larger scale politics, including terrorist acts. Any failure to maintain our infrastructure</w:t>
      </w:r>
      <w:r>
        <w:rPr>
          <w:rFonts w:eastAsia="Times New Roman"/>
          <w:color w:val="000000"/>
          <w:sz w:val="20"/>
          <w:szCs w:val="20"/>
        </w:rPr>
        <w:t xml:space="preserve"> or disruption of our operating systems and applications could diminish our ability to operate our businesses, service customer accounts and protect customers’ information, or result in potential liability to customers, reputational damage, regulatory inte</w:t>
      </w:r>
      <w:r>
        <w:rPr>
          <w:rFonts w:eastAsia="Times New Roman"/>
          <w:color w:val="000000"/>
          <w:sz w:val="20"/>
          <w:szCs w:val="20"/>
        </w:rPr>
        <w:t>rvention and customers’ loss of confidence in our businesses, any of which could result in a material adverse effect.</w:t>
      </w:r>
    </w:p>
    <w:p w:rsidR="00000000" w:rsidRDefault="00E0782F">
      <w:pPr>
        <w:jc w:val="both"/>
        <w:divId w:val="1909150973"/>
        <w:rPr>
          <w:rFonts w:eastAsia="Times New Roman"/>
        </w:rPr>
      </w:pPr>
      <w:r>
        <w:rPr>
          <w:rFonts w:eastAsia="Times New Roman"/>
          <w:color w:val="000000"/>
          <w:sz w:val="20"/>
          <w:szCs w:val="20"/>
        </w:rPr>
        <w:t>We also rely on the business infrastructure and systems of third parties with which we do business and to whom we outsource the operation,</w:t>
      </w:r>
      <w:r>
        <w:rPr>
          <w:rFonts w:eastAsia="Times New Roman"/>
          <w:color w:val="000000"/>
          <w:sz w:val="20"/>
          <w:szCs w:val="20"/>
        </w:rPr>
        <w:t xml:space="preserve"> maintenance and development of our information technology and communications systems. We have migrated substantially all, and intend to migrate all, of our core information technology systems and customer-facing applications to third-party cloud infrastru</w:t>
      </w:r>
      <w:r>
        <w:rPr>
          <w:rFonts w:eastAsia="Times New Roman"/>
          <w:color w:val="000000"/>
          <w:sz w:val="20"/>
          <w:szCs w:val="20"/>
        </w:rPr>
        <w:t>cture platforms, principally AWS. If we do not complete the transition or fail to administer these new environments in a well-managed, secure and effective manner, or if AWS platforms become unavailable or do not meet their service level agreements for any</w:t>
      </w:r>
      <w:r>
        <w:rPr>
          <w:rFonts w:eastAsia="Times New Roman"/>
          <w:color w:val="000000"/>
          <w:sz w:val="20"/>
          <w:szCs w:val="20"/>
        </w:rPr>
        <w:t xml:space="preserve"> reason, we may experience unplanned service disruption or unforeseen costs which could result in material harm to our business and results of operations. We must successfully develop and maintain information, financial reporting, disclosure, data-protecti</w:t>
      </w:r>
      <w:r>
        <w:rPr>
          <w:rFonts w:eastAsia="Times New Roman"/>
          <w:color w:val="000000"/>
          <w:sz w:val="20"/>
          <w:szCs w:val="20"/>
        </w:rPr>
        <w:t>on and other controls adapted to our reliance on outside platforms and providers. In addition, AWS, or other service providers, could experience system breakdowns or failures, outages, downtime, cyber-attacks, adverse changes to financial condition, bankru</w:t>
      </w:r>
      <w:r>
        <w:rPr>
          <w:rFonts w:eastAsia="Times New Roman"/>
          <w:color w:val="000000"/>
          <w:sz w:val="20"/>
          <w:szCs w:val="20"/>
        </w:rPr>
        <w:t>ptcy, or other adverse conditions, which could have a material adverse effect on our business and reputation. Thus, the substantial amount of our infrastructure that we outsource to AWS or to other third parties may increase our risk exposure.</w:t>
      </w:r>
    </w:p>
    <w:p w:rsidR="00000000" w:rsidRDefault="00E0782F">
      <w:pPr>
        <w:jc w:val="both"/>
        <w:divId w:val="414515693"/>
        <w:rPr>
          <w:rFonts w:eastAsia="Times New Roman"/>
        </w:rPr>
      </w:pPr>
      <w:r>
        <w:rPr>
          <w:rFonts w:eastAsia="Times New Roman"/>
          <w:color w:val="000000"/>
          <w:sz w:val="20"/>
          <w:szCs w:val="20"/>
        </w:rPr>
        <w:t>Any disrupti</w:t>
      </w:r>
      <w:r>
        <w:rPr>
          <w:rFonts w:eastAsia="Times New Roman"/>
          <w:color w:val="000000"/>
          <w:sz w:val="20"/>
          <w:szCs w:val="20"/>
        </w:rPr>
        <w:t>ons, failures or inaccuracies of our operational and technology systems and models, including those associated with improvements or modifications to such systems and models, could cause us to be unable to market and manage our products and services, manage</w:t>
      </w:r>
      <w:r>
        <w:rPr>
          <w:rFonts w:eastAsia="Times New Roman"/>
          <w:color w:val="000000"/>
          <w:sz w:val="20"/>
          <w:szCs w:val="20"/>
        </w:rPr>
        <w:t xml:space="preserve"> our risk, meet our regulatory obligations or report our financial results in a timely and accurate manner, all of which could have a negative impact on our results of operations. In addition, our ongoing investments in infrastructure, which are necessary </w:t>
      </w:r>
      <w:r>
        <w:rPr>
          <w:rFonts w:eastAsia="Times New Roman"/>
          <w:color w:val="000000"/>
          <w:sz w:val="20"/>
          <w:szCs w:val="20"/>
        </w:rPr>
        <w:t>to maintain a competitive business, integrate acquisitions and establish scalable operations, may increase our expenses. As our business develops, changes or expands, additional expenses can arise as a result of a reevaluation of business strategies, manag</w:t>
      </w:r>
      <w:r>
        <w:rPr>
          <w:rFonts w:eastAsia="Times New Roman"/>
          <w:color w:val="000000"/>
          <w:sz w:val="20"/>
          <w:szCs w:val="20"/>
        </w:rPr>
        <w:t xml:space="preserve">ement of outsourced services, asset purchases or other acquisitions, structural reorganization, compliance with new laws or regulations, or the integration of newly acquired businesses, or the prevention or occurrence of data security incidents. If we are </w:t>
      </w:r>
      <w:r>
        <w:rPr>
          <w:rFonts w:eastAsia="Times New Roman"/>
          <w:color w:val="000000"/>
          <w:sz w:val="20"/>
          <w:szCs w:val="20"/>
        </w:rPr>
        <w:t>unable to successfully manage our expenses, our financial results will be negatively affected. Changes to our business, including as a result of our strategic objectives, also requires robust governance to ensure that our objectives are executed as intende</w:t>
      </w:r>
      <w:r>
        <w:rPr>
          <w:rFonts w:eastAsia="Times New Roman"/>
          <w:color w:val="000000"/>
          <w:sz w:val="20"/>
          <w:szCs w:val="20"/>
        </w:rPr>
        <w:t>d without adversely impacting our customers, associates, operations or financial performance. Ineffective change management oversight and governance over the execution of our strategic objectives could expose us to operational, strategic and reputational r</w:t>
      </w:r>
      <w:r>
        <w:rPr>
          <w:rFonts w:eastAsia="Times New Roman"/>
          <w:color w:val="000000"/>
          <w:sz w:val="20"/>
          <w:szCs w:val="20"/>
        </w:rPr>
        <w:t xml:space="preserve">isk and could negatively impact customers or our financial performance. </w:t>
      </w:r>
    </w:p>
    <w:p w:rsidR="00000000" w:rsidRDefault="00E0782F">
      <w:pPr>
        <w:jc w:val="both"/>
        <w:divId w:val="2047678842"/>
        <w:rPr>
          <w:rFonts w:eastAsia="Times New Roman"/>
        </w:rPr>
      </w:pPr>
      <w:r>
        <w:rPr>
          <w:rFonts w:eastAsia="Times New Roman"/>
          <w:b/>
          <w:bCs/>
          <w:i/>
          <w:iCs/>
          <w:color w:val="000000"/>
          <w:sz w:val="20"/>
          <w:szCs w:val="20"/>
        </w:rPr>
        <w:t>Theft, loss or misuse of information as a result of a cyber-attack may result in increased costs, reductions in revenue, reputational damage and business disruptions.</w:t>
      </w:r>
    </w:p>
    <w:p w:rsidR="00000000" w:rsidRDefault="00E0782F">
      <w:pPr>
        <w:jc w:val="both"/>
        <w:divId w:val="2100641893"/>
        <w:rPr>
          <w:rFonts w:eastAsia="Times New Roman"/>
        </w:rPr>
      </w:pPr>
      <w:r>
        <w:rPr>
          <w:rFonts w:eastAsia="Times New Roman"/>
          <w:color w:val="000000"/>
          <w:sz w:val="20"/>
          <w:szCs w:val="20"/>
        </w:rPr>
        <w:t>Our products and services involve the gathering, authenticating, managing, processing, an</w:t>
      </w:r>
      <w:r>
        <w:rPr>
          <w:rFonts w:eastAsia="Times New Roman"/>
          <w:color w:val="000000"/>
          <w:sz w:val="20"/>
          <w:szCs w:val="20"/>
        </w:rPr>
        <w:t xml:space="preserve">d the storing and transmission of sensitive and confidential information regarding our customers and their accounts, our employees and third parties with which we do business. Our ability to provide such products and services, many of which are web-based, </w:t>
      </w:r>
      <w:r>
        <w:rPr>
          <w:rFonts w:eastAsia="Times New Roman"/>
          <w:color w:val="000000"/>
          <w:sz w:val="20"/>
          <w:szCs w:val="20"/>
        </w:rPr>
        <w:t>depends upon the management and safeguarding of information, software, methodologies and business secrets. To provide these products and services to, as well as communicate with, our customers, we rely on information systems and infrastructure, including s</w:t>
      </w:r>
      <w:r>
        <w:rPr>
          <w:rFonts w:eastAsia="Times New Roman"/>
          <w:color w:val="000000"/>
          <w:sz w:val="20"/>
          <w:szCs w:val="20"/>
        </w:rPr>
        <w:t>oftware and data engineering, and information security personnel, digital technologies, computer and email systems, software, networks and other web-based technologies. We also have arrangements in place with third parties through which we share and receiv</w:t>
      </w:r>
      <w:r>
        <w:rPr>
          <w:rFonts w:eastAsia="Times New Roman"/>
          <w:color w:val="000000"/>
          <w:sz w:val="20"/>
          <w:szCs w:val="20"/>
        </w:rPr>
        <w:t>e information about their customers who are or may become our customers.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163940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9163940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9163940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4" style="width:0;height:1.5pt" o:hralign="center" o:hrstd="t" o:hr="t" fillcolor="#a0a0a0" stroked="f"/>
        </w:pict>
      </w:r>
    </w:p>
    <w:p w:rsidR="00000000" w:rsidRDefault="00E0782F">
      <w:pPr>
        <w:jc w:val="both"/>
        <w:divId w:val="19870962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415006261"/>
        <w:rPr>
          <w:rFonts w:eastAsia="Times New Roman"/>
        </w:rPr>
      </w:pPr>
      <w:r>
        <w:rPr>
          <w:rFonts w:eastAsia="Times New Roman"/>
          <w:color w:val="000000"/>
          <w:sz w:val="20"/>
          <w:szCs w:val="20"/>
        </w:rPr>
        <w:t xml:space="preserve">Technologies, systems, networks and devices of Capital One or our employees, service providers or other third parties with whom we interact may </w:t>
      </w:r>
      <w:r>
        <w:rPr>
          <w:rFonts w:eastAsia="Times New Roman"/>
          <w:color w:val="000000"/>
          <w:sz w:val="20"/>
          <w:szCs w:val="20"/>
        </w:rPr>
        <w:t>continue to be the subject of attempted unauthorized access, mishandling or misuse of information, denial-of-service attacks, computer viruses, website defacement, hacking, malware, ransomware, phishing or other forms of social engineering, and other forms</w:t>
      </w:r>
      <w:r>
        <w:rPr>
          <w:rFonts w:eastAsia="Times New Roman"/>
          <w:color w:val="000000"/>
          <w:sz w:val="20"/>
          <w:szCs w:val="20"/>
        </w:rPr>
        <w:t xml:space="preserve"> of cyber-attacks designed to obtain confidential information, destroy data, disrupt or degrade service, sabotage systems or cause other damage, and other events. These threats, such as the Cybersecurity Incident, may derive from error, fraud or malice on </w:t>
      </w:r>
      <w:r>
        <w:rPr>
          <w:rFonts w:eastAsia="Times New Roman"/>
          <w:color w:val="000000"/>
          <w:sz w:val="20"/>
          <w:szCs w:val="20"/>
        </w:rPr>
        <w:t>the part of our employees, insiders or third parties or may result from accidental technological failure. Any of these parties may also attempt to fraudulently induce employees, customers or other third-party users of our systems to disclose sensitive info</w:t>
      </w:r>
      <w:r>
        <w:rPr>
          <w:rFonts w:eastAsia="Times New Roman"/>
          <w:color w:val="000000"/>
          <w:sz w:val="20"/>
          <w:szCs w:val="20"/>
        </w:rPr>
        <w:t>rmation in order to gain access to our data or that of our customers or third parties with whom we interact, or to unlawfully obtain monetary benefit through misdirected or otherwise improper payment. Further, cyber and information security risks for large</w:t>
      </w:r>
      <w:r>
        <w:rPr>
          <w:rFonts w:eastAsia="Times New Roman"/>
          <w:color w:val="000000"/>
          <w:sz w:val="20"/>
          <w:szCs w:val="20"/>
        </w:rPr>
        <w:t xml:space="preserve"> financial institutions like us continue to increase due to the proliferation of new technologies, the use of the internet to conduct financial transactions, and the increased sophistication and activities of organized crime, perpetrators of fraud, hackers</w:t>
      </w:r>
      <w:r>
        <w:rPr>
          <w:rFonts w:eastAsia="Times New Roman"/>
          <w:color w:val="000000"/>
          <w:sz w:val="20"/>
          <w:szCs w:val="20"/>
        </w:rPr>
        <w:t>, terrorists, activists, formal and informal instrumentalities of foreign governments and other external parties. In addition, our customers access our products and services using computers, smartphones, tablets and other mobile devices that are beyond our</w:t>
      </w:r>
      <w:r>
        <w:rPr>
          <w:rFonts w:eastAsia="Times New Roman"/>
          <w:color w:val="000000"/>
          <w:sz w:val="20"/>
          <w:szCs w:val="20"/>
        </w:rPr>
        <w:t xml:space="preserve"> security control systems.</w:t>
      </w:r>
    </w:p>
    <w:p w:rsidR="00000000" w:rsidRDefault="00E0782F">
      <w:pPr>
        <w:jc w:val="both"/>
        <w:divId w:val="636107427"/>
        <w:rPr>
          <w:rFonts w:eastAsia="Times New Roman"/>
        </w:rPr>
      </w:pPr>
      <w:r>
        <w:rPr>
          <w:rFonts w:eastAsia="Times New Roman"/>
          <w:color w:val="000000"/>
          <w:sz w:val="20"/>
          <w:szCs w:val="20"/>
        </w:rPr>
        <w:t>The methods and techniques employed by perpetrators of fraud and others to attack, disable, degrade or sabotage platforms, systems and applications change frequently, are increasingly sophisticated and often are not fully recogni</w:t>
      </w:r>
      <w:r>
        <w:rPr>
          <w:rFonts w:eastAsia="Times New Roman"/>
          <w:color w:val="000000"/>
          <w:sz w:val="20"/>
          <w:szCs w:val="20"/>
        </w:rPr>
        <w:t>zed or understood until after they have occurred, and some techniques could occur and persist for an extended period of time before being detected. For example, although we immediately fixed the configuration vulnerability that was exploited in the Cyberse</w:t>
      </w:r>
      <w:r>
        <w:rPr>
          <w:rFonts w:eastAsia="Times New Roman"/>
          <w:color w:val="000000"/>
          <w:sz w:val="20"/>
          <w:szCs w:val="20"/>
        </w:rPr>
        <w:t xml:space="preserve">curity Incident once we discovered the unauthorized access, a period of time elapsed between the occurrence of the unauthorized access and the time when we discovered it. In other circumstances, we and our third-party service providers and partners may be </w:t>
      </w:r>
      <w:r>
        <w:rPr>
          <w:rFonts w:eastAsia="Times New Roman"/>
          <w:color w:val="000000"/>
          <w:sz w:val="20"/>
          <w:szCs w:val="20"/>
        </w:rPr>
        <w:t xml:space="preserve">unable to anticipate or identify certain attack methods in order to implement effective preventative measures or mitigate or remediate the damages caused in a timely manner. We may also be unable to hire and develop talent capable of detecting, mitigating </w:t>
      </w:r>
      <w:r>
        <w:rPr>
          <w:rFonts w:eastAsia="Times New Roman"/>
          <w:color w:val="000000"/>
          <w:sz w:val="20"/>
          <w:szCs w:val="20"/>
        </w:rPr>
        <w:t>or remediating these risks. Although we seek to maintain a robust suite of authentication and layered information security controls, including our cyber threat analytics, data encryption and tokenization technologies, anti-malware defenses and vulnerabilit</w:t>
      </w:r>
      <w:r>
        <w:rPr>
          <w:rFonts w:eastAsia="Times New Roman"/>
          <w:color w:val="000000"/>
          <w:sz w:val="20"/>
          <w:szCs w:val="20"/>
        </w:rPr>
        <w:t xml:space="preserve">y management program, any one or combination of these controls could fail to detect, mitigate or remediate these risks in a timely manner. We will likely face an increasing number of attempted cyber-attacks as we expand our mobile and other internet-based </w:t>
      </w:r>
      <w:r>
        <w:rPr>
          <w:rFonts w:eastAsia="Times New Roman"/>
          <w:color w:val="000000"/>
          <w:sz w:val="20"/>
          <w:szCs w:val="20"/>
        </w:rPr>
        <w:t>products and services, as well as our usage of mobile and cloud technologies and as we provide more of these services to a greater number of retail clients.</w:t>
      </w:r>
    </w:p>
    <w:p w:rsidR="00000000" w:rsidRDefault="00E0782F">
      <w:pPr>
        <w:jc w:val="both"/>
        <w:divId w:val="665133694"/>
        <w:rPr>
          <w:rFonts w:eastAsia="Times New Roman"/>
        </w:rPr>
      </w:pPr>
      <w:r>
        <w:rPr>
          <w:rFonts w:eastAsia="Times New Roman"/>
          <w:color w:val="000000"/>
          <w:sz w:val="20"/>
          <w:szCs w:val="20"/>
        </w:rPr>
        <w:t>A disruption or breach, including as a result of a cyber-attack such as the Cybersecurity Incident,</w:t>
      </w:r>
      <w:r>
        <w:rPr>
          <w:rFonts w:eastAsia="Times New Roman"/>
          <w:color w:val="000000"/>
          <w:sz w:val="20"/>
          <w:szCs w:val="20"/>
        </w:rPr>
        <w:t xml:space="preserve"> or media reports of perceived security vulnerabilities at Capital One or at our third-party service providers, could result in significant legal and financial exposure, regulatory intervention, litigation and remediation costs, card reissuance, supervisor</w:t>
      </w:r>
      <w:r>
        <w:rPr>
          <w:rFonts w:eastAsia="Times New Roman"/>
          <w:color w:val="000000"/>
          <w:sz w:val="20"/>
          <w:szCs w:val="20"/>
        </w:rPr>
        <w:t>y liability, damage to our reputation or loss of confidence in the security of our systems, products and services that could adversely affect our business. We and other U.S. financial services providers continue to be targeted with evolving and adaptive cy</w:t>
      </w:r>
      <w:r>
        <w:rPr>
          <w:rFonts w:eastAsia="Times New Roman"/>
          <w:color w:val="000000"/>
          <w:sz w:val="20"/>
          <w:szCs w:val="20"/>
        </w:rPr>
        <w:t>bersecurity threats from sophisticated third parties. We are continuing to assess the impact of the Cybersecurity Incident and there can be no assurance that additional unauthorized access or cyber incidents will not occur or that we will not suffer materi</w:t>
      </w:r>
      <w:r>
        <w:rPr>
          <w:rFonts w:eastAsia="Times New Roman"/>
          <w:color w:val="000000"/>
          <w:sz w:val="20"/>
          <w:szCs w:val="20"/>
        </w:rPr>
        <w:t>al losses in the future. Unauthorized access or cybersecurity incidents could occur more frequently and on a more significant scale. If future attacks like these are successful or if customers are unable to access their accounts online for other reasons, i</w:t>
      </w:r>
      <w:r>
        <w:rPr>
          <w:rFonts w:eastAsia="Times New Roman"/>
          <w:color w:val="000000"/>
          <w:sz w:val="20"/>
          <w:szCs w:val="20"/>
        </w:rPr>
        <w:t>t could adversely impact our ability to service customer accounts or loans, complete financial transactions for our customers or otherwise operate any of our businesses or services. In addition, a breach or attack affecting one of our third-party service p</w:t>
      </w:r>
      <w:r>
        <w:rPr>
          <w:rFonts w:eastAsia="Times New Roman"/>
          <w:color w:val="000000"/>
          <w:sz w:val="20"/>
          <w:szCs w:val="20"/>
        </w:rPr>
        <w:t>roviders or partners could harm our business even if we do not control the service that is attacked.</w:t>
      </w:r>
    </w:p>
    <w:p w:rsidR="00000000" w:rsidRDefault="00E0782F">
      <w:pPr>
        <w:jc w:val="both"/>
        <w:divId w:val="1312978658"/>
        <w:rPr>
          <w:rFonts w:eastAsia="Times New Roman"/>
        </w:rPr>
      </w:pPr>
      <w:r>
        <w:rPr>
          <w:rFonts w:eastAsia="Times New Roman"/>
          <w:color w:val="000000"/>
          <w:sz w:val="20"/>
          <w:szCs w:val="20"/>
        </w:rPr>
        <w:t>In addition, the increasing prevalence and the evolution of cyber-attacks and other efforts to breach or disrupt our systems or those of our partners, reta</w:t>
      </w:r>
      <w:r>
        <w:rPr>
          <w:rFonts w:eastAsia="Times New Roman"/>
          <w:color w:val="000000"/>
          <w:sz w:val="20"/>
          <w:szCs w:val="20"/>
        </w:rPr>
        <w:t>ilers or other market participants has led, and will likely continue to lead, to increased costs to us with respect to preventing, mitigating and remediating these risks, as well as any related attempted fraud. In order to address ongoing and future risks,</w:t>
      </w:r>
      <w:r>
        <w:rPr>
          <w:rFonts w:eastAsia="Times New Roman"/>
          <w:color w:val="000000"/>
          <w:sz w:val="20"/>
          <w:szCs w:val="20"/>
        </w:rPr>
        <w:t xml:space="preserve"> including from the Cybersecurity Incident, we must expend significant resources to support protective security measures, investigate and remediate any vulnerabilities of our information systems and infrastructure and invest in new technology designed to m</w:t>
      </w:r>
      <w:r>
        <w:rPr>
          <w:rFonts w:eastAsia="Times New Roman"/>
          <w:color w:val="000000"/>
          <w:sz w:val="20"/>
          <w:szCs w:val="20"/>
        </w:rPr>
        <w:t>itigate security risks. The Cybersecurity Incident, or successful cyber-attacks at other large financial institutions or other market participants (whether or not we are impacted), could lead to a general loss of customer confidence in financial institutio</w:t>
      </w:r>
      <w:r>
        <w:rPr>
          <w:rFonts w:eastAsia="Times New Roman"/>
          <w:color w:val="000000"/>
          <w:sz w:val="20"/>
          <w:szCs w:val="20"/>
        </w:rPr>
        <w:t>ns that could negatively affect us, including harming the market perception of the effectiveness of our security measures or the financial system in general which could result in reduced use of our financial products. We have insurance against some cyber-r</w:t>
      </w:r>
      <w:r>
        <w:rPr>
          <w:rFonts w:eastAsia="Times New Roman"/>
          <w:color w:val="000000"/>
          <w:sz w:val="20"/>
          <w:szCs w:val="20"/>
        </w:rPr>
        <w:t>isks and attacks, including insurance that is expected to cover certain costs associated with the Cybersecurity Incident; nonetheless, our insurance coverage may not be sufficient to offset the impact of a material loss event, and such insurance may increa</w:t>
      </w:r>
      <w:r>
        <w:rPr>
          <w:rFonts w:eastAsia="Times New Roman"/>
          <w:color w:val="000000"/>
          <w:sz w:val="20"/>
          <w:szCs w:val="20"/>
        </w:rPr>
        <w:t>se in cost or cease to be available on commercial terms in the future.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9990284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99902844"/>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9990284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5" style="width:0;height:1.5pt" o:hralign="center" o:hrstd="t" o:hr="t" fillcolor="#a0a0a0" stroked="f"/>
        </w:pict>
      </w:r>
    </w:p>
    <w:p w:rsidR="00000000" w:rsidRDefault="00E0782F">
      <w:pPr>
        <w:jc w:val="both"/>
        <w:divId w:val="91875797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401871823"/>
        <w:rPr>
          <w:rFonts w:eastAsia="Times New Roman"/>
        </w:rPr>
      </w:pPr>
      <w:r>
        <w:rPr>
          <w:rFonts w:eastAsia="Times New Roman"/>
          <w:b/>
          <w:bCs/>
          <w:i/>
          <w:iCs/>
          <w:color w:val="000000"/>
          <w:sz w:val="20"/>
          <w:szCs w:val="20"/>
        </w:rPr>
        <w:t>Potential data protection and privacy incidents, and our required compliance with regulations related to these areas, may increase our costs, re</w:t>
      </w:r>
      <w:r>
        <w:rPr>
          <w:rFonts w:eastAsia="Times New Roman"/>
          <w:b/>
          <w:bCs/>
          <w:i/>
          <w:iCs/>
          <w:color w:val="000000"/>
          <w:sz w:val="20"/>
          <w:szCs w:val="20"/>
        </w:rPr>
        <w:t>duce our revenue and limit our ability to pursue business opportunities.</w:t>
      </w:r>
    </w:p>
    <w:p w:rsidR="00000000" w:rsidRDefault="00E0782F">
      <w:pPr>
        <w:jc w:val="both"/>
        <w:divId w:val="205024886"/>
        <w:rPr>
          <w:rFonts w:eastAsia="Times New Roman"/>
        </w:rPr>
      </w:pPr>
      <w:r>
        <w:rPr>
          <w:rFonts w:eastAsia="Times New Roman"/>
          <w:color w:val="000000"/>
          <w:sz w:val="20"/>
          <w:szCs w:val="20"/>
        </w:rPr>
        <w:t>A breach, failure or other disruption of our information systems or infrastructure or data management processes, or those of our customers, partners, service providers or other market</w:t>
      </w:r>
      <w:r>
        <w:rPr>
          <w:rFonts w:eastAsia="Times New Roman"/>
          <w:color w:val="000000"/>
          <w:sz w:val="20"/>
          <w:szCs w:val="20"/>
        </w:rPr>
        <w:t xml:space="preserve"> participants, could lead, depending on the nature of the incident, to the unauthorized or unintended access to and release, gathering, monitoring, misuse, loss or destruction of personal or confidential data about our customers, employees or other third p</w:t>
      </w:r>
      <w:r>
        <w:rPr>
          <w:rFonts w:eastAsia="Times New Roman"/>
          <w:color w:val="000000"/>
          <w:sz w:val="20"/>
          <w:szCs w:val="20"/>
        </w:rPr>
        <w:t>arties in our possession. Any party that obtains this personal or confidential data through a breach or disruption may use this information for ransom, to be paid by us or a third-party, as part of a fraudulent activity that is part of a broader criminal a</w:t>
      </w:r>
      <w:r>
        <w:rPr>
          <w:rFonts w:eastAsia="Times New Roman"/>
          <w:color w:val="000000"/>
          <w:sz w:val="20"/>
          <w:szCs w:val="20"/>
        </w:rPr>
        <w:t>ctivity, or for other illicit purposes. Further, such disruption or breach could also result in unauthorized access to our proprietary information, intellectual property, software, methodologies and business secrets and in unauthorized transactions in Capi</w:t>
      </w:r>
      <w:r>
        <w:rPr>
          <w:rFonts w:eastAsia="Times New Roman"/>
          <w:color w:val="000000"/>
          <w:sz w:val="20"/>
          <w:szCs w:val="20"/>
        </w:rPr>
        <w:t>tal One accounts or unauthorized access to personal or confidential information maintained by those entities. There has been a significant proliferation of consumer information available on the internet resulting from breaches of third-party entities, incl</w:t>
      </w:r>
      <w:r>
        <w:rPr>
          <w:rFonts w:eastAsia="Times New Roman"/>
          <w:color w:val="000000"/>
          <w:sz w:val="20"/>
          <w:szCs w:val="20"/>
        </w:rPr>
        <w:t xml:space="preserve">uding personal information, log-in credentials and authentication data. While we were not directly involved in these third-party breach events, the stolen information can create a vulnerability for our customers if their Capital One log-in credentials are </w:t>
      </w:r>
      <w:r>
        <w:rPr>
          <w:rFonts w:eastAsia="Times New Roman"/>
          <w:color w:val="000000"/>
          <w:sz w:val="20"/>
          <w:szCs w:val="20"/>
        </w:rPr>
        <w:t>the same as or similar to the credentials that have been compromised on other sites. This vulnerability could include the risk of unauthorized account access, data loss and fraud. The use of artificial intelligence, “bots” or other automation software, can</w:t>
      </w:r>
      <w:r>
        <w:rPr>
          <w:rFonts w:eastAsia="Times New Roman"/>
          <w:color w:val="000000"/>
          <w:sz w:val="20"/>
          <w:szCs w:val="20"/>
        </w:rPr>
        <w:t xml:space="preserve"> increase the velocity and efficacy of these types of attacks.</w:t>
      </w:r>
    </w:p>
    <w:p w:rsidR="00000000" w:rsidRDefault="00E0782F">
      <w:pPr>
        <w:jc w:val="both"/>
        <w:divId w:val="1017001998"/>
        <w:rPr>
          <w:rFonts w:eastAsia="Times New Roman"/>
        </w:rPr>
      </w:pPr>
      <w:r>
        <w:rPr>
          <w:rFonts w:eastAsia="Times New Roman"/>
          <w:color w:val="000000"/>
          <w:sz w:val="20"/>
          <w:szCs w:val="20"/>
        </w:rPr>
        <w:t>We are continuing to assess the impact of the Cybersecurity Incident. The Cybersecurity Incident, other data security incidents we may experience in the future, or media reports of perceived se</w:t>
      </w:r>
      <w:r>
        <w:rPr>
          <w:rFonts w:eastAsia="Times New Roman"/>
          <w:color w:val="000000"/>
          <w:sz w:val="20"/>
          <w:szCs w:val="20"/>
        </w:rPr>
        <w:t>curity vulnerabilities at Capital One or at third-party service providers, could result in significant legal and financial exposure, regulatory intervention, remediation costs, card reissuance, supervisory liability, damage to our reputation or loss of con</w:t>
      </w:r>
      <w:r>
        <w:rPr>
          <w:rFonts w:eastAsia="Times New Roman"/>
          <w:color w:val="000000"/>
          <w:sz w:val="20"/>
          <w:szCs w:val="20"/>
        </w:rPr>
        <w:t>fidence in the security of our systems, products and services that could adversely affect our business.</w:t>
      </w:r>
    </w:p>
    <w:p w:rsidR="00000000" w:rsidRDefault="00E0782F">
      <w:pPr>
        <w:jc w:val="both"/>
        <w:divId w:val="108360930"/>
        <w:rPr>
          <w:rFonts w:eastAsia="Times New Roman"/>
        </w:rPr>
      </w:pPr>
      <w:r>
        <w:rPr>
          <w:rFonts w:eastAsia="Times New Roman"/>
          <w:color w:val="000000"/>
          <w:sz w:val="20"/>
          <w:szCs w:val="20"/>
        </w:rPr>
        <w:t>We are subject to a variety of continuously evolving and developing laws and regulations in the United States and abroad regarding privacy, data protect</w:t>
      </w:r>
      <w:r>
        <w:rPr>
          <w:rFonts w:eastAsia="Times New Roman"/>
          <w:color w:val="000000"/>
          <w:sz w:val="20"/>
          <w:szCs w:val="20"/>
        </w:rPr>
        <w:t>ion and data security, including those related to the collection, storage, handling, use, disclosure, transfer and security of personal data. Significant uncertainty exists as privacy and data protection laws may be interpreted and applied differently from</w:t>
      </w:r>
      <w:r>
        <w:rPr>
          <w:rFonts w:eastAsia="Times New Roman"/>
          <w:color w:val="000000"/>
          <w:sz w:val="20"/>
          <w:szCs w:val="20"/>
        </w:rPr>
        <w:t xml:space="preserve"> country to country and may create inconsistent or conflicting requirements. For example, in Canada we are subject to the Personal Information Protection and Electronic Documents Act (“PIPEDA”). In addition, the General Data Protection Regulation (“GDPR”) </w:t>
      </w:r>
      <w:r>
        <w:rPr>
          <w:rFonts w:eastAsia="Times New Roman"/>
          <w:color w:val="000000"/>
          <w:sz w:val="20"/>
          <w:szCs w:val="20"/>
        </w:rPr>
        <w:t>applies EU data protection law to all companies processing data of EU residents, regardless of the company’s location. More recently, on January 1, 2020, the CCPA went into effect for companies doing business in California. These laws impose strict require</w:t>
      </w:r>
      <w:r>
        <w:rPr>
          <w:rFonts w:eastAsia="Times New Roman"/>
          <w:color w:val="000000"/>
          <w:sz w:val="20"/>
          <w:szCs w:val="20"/>
        </w:rPr>
        <w:t>ments regarding the collection, storage, handling, use, disclosure, transfer and security of personal data, which may have adverse consequences, including severe monetary penalties. Our efforts to comply with PIPEDA, GDPR, CCPA and other privacy and data p</w:t>
      </w:r>
      <w:r>
        <w:rPr>
          <w:rFonts w:eastAsia="Times New Roman"/>
          <w:color w:val="000000"/>
          <w:sz w:val="20"/>
          <w:szCs w:val="20"/>
        </w:rPr>
        <w:t xml:space="preserve">rotection laws entail substantial expenses, may divert resources from other initiatives and projects, and could limit the services we are able to offer. Furthermore, enforcement actions and investigations by regulatory authorities related to data security </w:t>
      </w:r>
      <w:r>
        <w:rPr>
          <w:rFonts w:eastAsia="Times New Roman"/>
          <w:color w:val="000000"/>
          <w:sz w:val="20"/>
          <w:szCs w:val="20"/>
        </w:rPr>
        <w:t>incidents and privacy violations continue to increase. The enactment of more restrictive laws, rules, regulations, or future enforcement actions or investigations could impact us through increased costs or restrictions on our business, and noncompliance co</w:t>
      </w:r>
      <w:r>
        <w:rPr>
          <w:rFonts w:eastAsia="Times New Roman"/>
          <w:color w:val="000000"/>
          <w:sz w:val="20"/>
          <w:szCs w:val="20"/>
        </w:rPr>
        <w:t>uld result in monetary or other penalties and significant legal liability.</w:t>
      </w:r>
    </w:p>
    <w:p w:rsidR="00000000" w:rsidRDefault="00E0782F">
      <w:pPr>
        <w:divId w:val="968896429"/>
        <w:rPr>
          <w:rFonts w:eastAsia="Times New Roman"/>
        </w:rPr>
      </w:pPr>
      <w:r>
        <w:rPr>
          <w:rFonts w:eastAsia="Times New Roman"/>
          <w:b/>
          <w:bCs/>
          <w:i/>
          <w:iCs/>
          <w:color w:val="000000"/>
          <w:sz w:val="20"/>
          <w:szCs w:val="20"/>
        </w:rPr>
        <w:t>We face risks resulting from the extensive use of models and data.</w:t>
      </w:r>
    </w:p>
    <w:p w:rsidR="00000000" w:rsidRDefault="00E0782F">
      <w:pPr>
        <w:jc w:val="both"/>
        <w:divId w:val="652030163"/>
        <w:rPr>
          <w:rFonts w:eastAsia="Times New Roman"/>
        </w:rPr>
      </w:pPr>
      <w:r>
        <w:rPr>
          <w:rFonts w:eastAsia="Times New Roman"/>
          <w:color w:val="000000"/>
          <w:sz w:val="20"/>
          <w:szCs w:val="20"/>
        </w:rPr>
        <w:t>We rely on quantitative models, and our ability to manage data and aggregate data in an accurate and timely manner, assess and manage our various risk exposures, estimate certain financial values and manage compliance with required regulatory capital requi</w:t>
      </w:r>
      <w:r>
        <w:rPr>
          <w:rFonts w:eastAsia="Times New Roman"/>
          <w:color w:val="000000"/>
          <w:sz w:val="20"/>
          <w:szCs w:val="20"/>
        </w:rPr>
        <w:t>rements. Models may be used in such processes as determining the pricing of various products, grading loans and extending credit, measuring interest rate and other market risks, predicting deposit levels or loan losses, assessing capital adequacy and calcu</w:t>
      </w:r>
      <w:r>
        <w:rPr>
          <w:rFonts w:eastAsia="Times New Roman"/>
          <w:color w:val="000000"/>
          <w:sz w:val="20"/>
          <w:szCs w:val="20"/>
        </w:rPr>
        <w:t>lating economic and regulatory capital levels, estimating the value of financial instruments and balance sheet items, and other operational functions. Our risk reporting and management, including business decisions based on information incorporating models</w:t>
      </w:r>
      <w:r>
        <w:rPr>
          <w:rFonts w:eastAsia="Times New Roman"/>
          <w:color w:val="000000"/>
          <w:sz w:val="20"/>
          <w:szCs w:val="20"/>
        </w:rPr>
        <w:t>, depend on the effectiveness of our models and our policies, programs, processes and practices governing how data is acquired, validated, stored, protected, processed and analyzed. Any issues with the quality or effectiveness of our data aggregation and v</w:t>
      </w:r>
      <w:r>
        <w:rPr>
          <w:rFonts w:eastAsia="Times New Roman"/>
          <w:color w:val="000000"/>
          <w:sz w:val="20"/>
          <w:szCs w:val="20"/>
        </w:rPr>
        <w:t>alidation procedures, as well as the quality and integrity of data inputs, formulas or algorithms, could result in inaccurate forecasts, ineffective risk management practices or inaccurate risk reporting. In addition, models based on historical data sets m</w:t>
      </w:r>
      <w:r>
        <w:rPr>
          <w:rFonts w:eastAsia="Times New Roman"/>
          <w:color w:val="000000"/>
          <w:sz w:val="20"/>
          <w:szCs w:val="20"/>
        </w:rPr>
        <w:t xml:space="preserve">ight not be accurate predictors of future outcomes and their ability to appropriately predict future outcomes may degrade over time. While we continuously update our policies, programs, processes and practices, many of our data management, aggregation and </w:t>
      </w:r>
      <w:r>
        <w:rPr>
          <w:rFonts w:eastAsia="Times New Roman"/>
          <w:color w:val="000000"/>
          <w:sz w:val="20"/>
          <w:szCs w:val="20"/>
        </w:rPr>
        <w:t xml:space="preserve">implementation processes are manual and subject to human error or system failure. Failure to manage data effectively and to aggregate data in an accurate and timely manner may limit our ability to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0387778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0387778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0387778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6" style="width:0;height:1.5pt" o:hralign="center" o:hrstd="t" o:hr="t" fillcolor="#a0a0a0" stroked="f"/>
        </w:pict>
      </w:r>
    </w:p>
    <w:p w:rsidR="00000000" w:rsidRDefault="00E0782F">
      <w:pPr>
        <w:jc w:val="both"/>
        <w:divId w:val="80743537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041595395"/>
        <w:rPr>
          <w:rFonts w:eastAsia="Times New Roman"/>
        </w:rPr>
      </w:pPr>
      <w:r>
        <w:rPr>
          <w:rFonts w:eastAsia="Times New Roman"/>
          <w:color w:val="000000"/>
          <w:sz w:val="20"/>
          <w:szCs w:val="20"/>
        </w:rPr>
        <w:t>manage current and emerging risk, to produce accurate financial, regulatory and operational reporting as well as to manage changing business nee</w:t>
      </w:r>
      <w:r>
        <w:rPr>
          <w:rFonts w:eastAsia="Times New Roman"/>
          <w:color w:val="000000"/>
          <w:sz w:val="20"/>
          <w:szCs w:val="20"/>
        </w:rPr>
        <w:t>ds. If our risk management framework is ineffective, we could suffer unexpected losses which could materially adversely affect our results of operation or financial condition. Also, any information we provide to the public or to our regulators based on poo</w:t>
      </w:r>
      <w:r>
        <w:rPr>
          <w:rFonts w:eastAsia="Times New Roman"/>
          <w:color w:val="000000"/>
          <w:sz w:val="20"/>
          <w:szCs w:val="20"/>
        </w:rPr>
        <w:t>rly designed or implemented models could be inaccurate or misleading. Some of the decisions that our regulators make, including those related to capital distribution to our stockholders, could be affected adversely due to the perception that the quality of</w:t>
      </w:r>
      <w:r>
        <w:rPr>
          <w:rFonts w:eastAsia="Times New Roman"/>
          <w:color w:val="000000"/>
          <w:sz w:val="20"/>
          <w:szCs w:val="20"/>
        </w:rPr>
        <w:t xml:space="preserve"> the models used to generate the relevant information is insufficient.</w:t>
      </w:r>
    </w:p>
    <w:p w:rsidR="00000000" w:rsidRDefault="00E0782F">
      <w:pPr>
        <w:divId w:val="771626446"/>
        <w:rPr>
          <w:rFonts w:eastAsia="Times New Roman"/>
        </w:rPr>
      </w:pPr>
      <w:r>
        <w:rPr>
          <w:rFonts w:eastAsia="Times New Roman"/>
          <w:b/>
          <w:bCs/>
          <w:color w:val="000000"/>
          <w:sz w:val="20"/>
          <w:szCs w:val="20"/>
        </w:rPr>
        <w:t>Legal and Regulatory Risk</w:t>
      </w:r>
    </w:p>
    <w:p w:rsidR="00000000" w:rsidRDefault="00E0782F">
      <w:pPr>
        <w:divId w:val="253635622"/>
        <w:rPr>
          <w:rFonts w:eastAsia="Times New Roman"/>
        </w:rPr>
      </w:pPr>
      <w:r>
        <w:rPr>
          <w:rFonts w:eastAsia="Times New Roman"/>
          <w:b/>
          <w:bCs/>
          <w:i/>
          <w:iCs/>
          <w:color w:val="000000"/>
          <w:sz w:val="20"/>
          <w:szCs w:val="20"/>
        </w:rPr>
        <w:t>Compliance with new and existing laws, regulations and regulatory expectations is costly and complex.</w:t>
      </w:r>
    </w:p>
    <w:p w:rsidR="00000000" w:rsidRDefault="00E0782F">
      <w:pPr>
        <w:jc w:val="both"/>
        <w:divId w:val="1066607218"/>
        <w:rPr>
          <w:rFonts w:eastAsia="Times New Roman"/>
        </w:rPr>
      </w:pPr>
      <w:r>
        <w:rPr>
          <w:rFonts w:eastAsia="Times New Roman"/>
          <w:color w:val="000000"/>
          <w:sz w:val="20"/>
          <w:szCs w:val="20"/>
        </w:rPr>
        <w:t>We are subject to extensive regulatory oversight by the f</w:t>
      </w:r>
      <w:r>
        <w:rPr>
          <w:rFonts w:eastAsia="Times New Roman"/>
          <w:color w:val="000000"/>
          <w:sz w:val="20"/>
          <w:szCs w:val="20"/>
        </w:rPr>
        <w:t xml:space="preserve">ederal banking regulators to ensure that we build systems and processes that are commensurate with the nature of our business and that meet the risk management and prudential standards issued by our regulators. A wide array of banking and consumer lending </w:t>
      </w:r>
      <w:r>
        <w:rPr>
          <w:rFonts w:eastAsia="Times New Roman"/>
          <w:color w:val="000000"/>
          <w:sz w:val="20"/>
          <w:szCs w:val="20"/>
        </w:rPr>
        <w:t>laws apply to almost every aspect of our business. Failure to comply with these laws and regulations could result in financial, structural and operational penalties, including significant fines and criminal sanctions, and/or damage to our reputation with r</w:t>
      </w:r>
      <w:r>
        <w:rPr>
          <w:rFonts w:eastAsia="Times New Roman"/>
          <w:color w:val="000000"/>
          <w:sz w:val="20"/>
          <w:szCs w:val="20"/>
        </w:rPr>
        <w:t>egulators, our customers or the public. Hiring, training and retaining qualified compliance and legal personnel, and establishing and maintaining compliance-related systems, infrastructure and processes, is difficult and these efforts could limit our abili</w:t>
      </w:r>
      <w:r>
        <w:rPr>
          <w:rFonts w:eastAsia="Times New Roman"/>
          <w:color w:val="000000"/>
          <w:sz w:val="20"/>
          <w:szCs w:val="20"/>
        </w:rPr>
        <w:t>ty to invest in other business opportunities. Furthermore, applicable rules and regulations may affect us in an unforeseen manner, or may have a disproportionate impact on us as compared to our competitors. Over the last several years, state and federal re</w:t>
      </w:r>
      <w:r>
        <w:rPr>
          <w:rFonts w:eastAsia="Times New Roman"/>
          <w:color w:val="000000"/>
          <w:sz w:val="20"/>
          <w:szCs w:val="20"/>
        </w:rPr>
        <w:t>gulators have focused on compliance with the Bank Secrecy Act and anti-money laundering (“AML”) laws, data integrity and security, use of service providers, fair lending and other consumer protection issues. For example, in July 2015, Capital One entered i</w:t>
      </w:r>
      <w:r>
        <w:rPr>
          <w:rFonts w:eastAsia="Times New Roman"/>
          <w:color w:val="000000"/>
          <w:sz w:val="20"/>
          <w:szCs w:val="20"/>
        </w:rPr>
        <w:t>nto a consent order with the OCC to address concerns about our AML program and in October 2018, Capital One paid a civil monetary penalty assessed by the OCC relating to our AML program. The OCC lifted the AML consent order in November 2019. In addition, i</w:t>
      </w:r>
      <w:r>
        <w:rPr>
          <w:rFonts w:eastAsia="Times New Roman"/>
          <w:color w:val="000000"/>
          <w:sz w:val="20"/>
          <w:szCs w:val="20"/>
        </w:rPr>
        <w:t>n August 2020 we entered into consent orders with the Federal Reserve and the OCC resulting from regulatory reviews of the Cybersecurity Incident and relating to ongoing enhancements of our cybersecurity and operational risk management processes, and we pa</w:t>
      </w:r>
      <w:r>
        <w:rPr>
          <w:rFonts w:eastAsia="Times New Roman"/>
          <w:color w:val="000000"/>
          <w:sz w:val="20"/>
          <w:szCs w:val="20"/>
        </w:rPr>
        <w:t>id a civil monetary penalty as part of the OCC agreement. In January 2021, we also paid a civil monetary penalty assessed by the Financial Crimes Enforcement Network (“FinCEN”) against CONA in connection with our AML program. Failure to maintain compliance</w:t>
      </w:r>
      <w:r>
        <w:rPr>
          <w:rFonts w:eastAsia="Times New Roman"/>
          <w:color w:val="000000"/>
          <w:sz w:val="20"/>
          <w:szCs w:val="20"/>
        </w:rPr>
        <w:t xml:space="preserve"> with laws and regulations could result in significant additional governmental fines or penalties.</w:t>
      </w:r>
    </w:p>
    <w:p w:rsidR="00000000" w:rsidRDefault="00E0782F">
      <w:pPr>
        <w:jc w:val="both"/>
        <w:divId w:val="271018581"/>
        <w:rPr>
          <w:rFonts w:eastAsia="Times New Roman"/>
        </w:rPr>
      </w:pPr>
      <w:r>
        <w:rPr>
          <w:rFonts w:eastAsia="Times New Roman"/>
          <w:color w:val="000000"/>
          <w:sz w:val="20"/>
          <w:szCs w:val="20"/>
        </w:rPr>
        <w:t>We have a large number of customer accounts in our credit card and auto lending businesses and we have made the strategic choice to originate and service sub</w:t>
      </w:r>
      <w:r>
        <w:rPr>
          <w:rFonts w:eastAsia="Times New Roman"/>
          <w:color w:val="000000"/>
          <w:sz w:val="20"/>
          <w:szCs w:val="20"/>
        </w:rPr>
        <w:t xml:space="preserve">prime credit card and auto loans, which typically have higher delinquencies and charge-offs than prime customers. As a result, we have significant involvement with credit bureau reporting and the collection and recovery of delinquent and charged-off debt, </w:t>
      </w:r>
      <w:r>
        <w:rPr>
          <w:rFonts w:eastAsia="Times New Roman"/>
          <w:color w:val="000000"/>
          <w:sz w:val="20"/>
          <w:szCs w:val="20"/>
        </w:rPr>
        <w:t>primarily through customer communications, the filing of litigation against customers in default, the periodic sale of charged-off debt and vehicle repossession. These activities are subject to enhanced legal and regulatory scrutiny from regulators, courts</w:t>
      </w:r>
      <w:r>
        <w:rPr>
          <w:rFonts w:eastAsia="Times New Roman"/>
          <w:color w:val="000000"/>
          <w:sz w:val="20"/>
          <w:szCs w:val="20"/>
        </w:rPr>
        <w:t xml:space="preserve"> and legislators. Any future changes to our business practices in these areas, including our debt collection practices, whether mandated by regulators, courts, legislators or otherwise, or any legal liabilities resulting from our business practices, includ</w:t>
      </w:r>
      <w:r>
        <w:rPr>
          <w:rFonts w:eastAsia="Times New Roman"/>
          <w:color w:val="000000"/>
          <w:sz w:val="20"/>
          <w:szCs w:val="20"/>
        </w:rPr>
        <w:t>ing our debt collection practices, could have a material adverse impact on our financial condition.</w:t>
      </w:r>
    </w:p>
    <w:p w:rsidR="00000000" w:rsidRDefault="00E0782F">
      <w:pPr>
        <w:jc w:val="both"/>
        <w:divId w:val="1784763785"/>
        <w:rPr>
          <w:rFonts w:eastAsia="Times New Roman"/>
        </w:rPr>
      </w:pPr>
      <w:r>
        <w:rPr>
          <w:rFonts w:eastAsia="Times New Roman"/>
          <w:color w:val="000000"/>
          <w:sz w:val="20"/>
          <w:szCs w:val="20"/>
        </w:rPr>
        <w:t>The legislative and regulatory environment is beyond our control, may change rapidly and unpredictably and may negatively influence our revenue, costs, earn</w:t>
      </w:r>
      <w:r>
        <w:rPr>
          <w:rFonts w:eastAsia="Times New Roman"/>
          <w:color w:val="000000"/>
          <w:sz w:val="20"/>
          <w:szCs w:val="20"/>
        </w:rPr>
        <w:t>ings, growth, liquidity and capital levels. In addition, some rules and regulations may be subject to litigation or other challenges that delay or modify their implementation and impact on us. Adoption of new technologies, such as distributed ledger techno</w:t>
      </w:r>
      <w:r>
        <w:rPr>
          <w:rFonts w:eastAsia="Times New Roman"/>
          <w:color w:val="000000"/>
          <w:sz w:val="20"/>
          <w:szCs w:val="20"/>
        </w:rPr>
        <w:t>logies, artificial intelligence and machine learning technologies, can present unforeseen challenges in applying and relying on existing compliance systems.</w:t>
      </w:r>
    </w:p>
    <w:p w:rsidR="00000000" w:rsidRDefault="00E0782F">
      <w:pPr>
        <w:jc w:val="both"/>
        <w:divId w:val="2015841629"/>
        <w:rPr>
          <w:rFonts w:eastAsia="Times New Roman"/>
        </w:rPr>
      </w:pPr>
      <w:r>
        <w:rPr>
          <w:rFonts w:eastAsia="Times New Roman"/>
          <w:color w:val="000000"/>
          <w:sz w:val="20"/>
          <w:szCs w:val="20"/>
        </w:rPr>
        <w:t>Certain laws and regulations, and any interpretations and applications with respect thereto, are ge</w:t>
      </w:r>
      <w:r>
        <w:rPr>
          <w:rFonts w:eastAsia="Times New Roman"/>
          <w:color w:val="000000"/>
          <w:sz w:val="20"/>
          <w:szCs w:val="20"/>
        </w:rPr>
        <w:t xml:space="preserve">nerally intended to protect consumers, borrowers, depositors, the DIF, the U.S. banking and financial system, and financial markets as a whole, but not stockholders. Our success depends on our ability to maintain compliance with both existing and new laws </w:t>
      </w:r>
      <w:r>
        <w:rPr>
          <w:rFonts w:eastAsia="Times New Roman"/>
          <w:color w:val="000000"/>
          <w:sz w:val="20"/>
          <w:szCs w:val="20"/>
        </w:rPr>
        <w:t>and regulations. For a description of the material laws and regulations to which we are subject, see “Part I—Item 1. Business—Supervision and Regulation.”</w:t>
      </w:r>
    </w:p>
    <w:p w:rsidR="00000000" w:rsidRDefault="00E0782F">
      <w:pPr>
        <w:divId w:val="263810949"/>
        <w:rPr>
          <w:rFonts w:eastAsia="Times New Roman"/>
        </w:rPr>
      </w:pPr>
      <w:r>
        <w:rPr>
          <w:rFonts w:eastAsia="Times New Roman"/>
          <w:b/>
          <w:bCs/>
          <w:i/>
          <w:iCs/>
          <w:color w:val="000000"/>
          <w:sz w:val="20"/>
          <w:szCs w:val="20"/>
        </w:rPr>
        <w:t>Our businesses are subject to the risk of increased litigation, government investigations and regulat</w:t>
      </w:r>
      <w:r>
        <w:rPr>
          <w:rFonts w:eastAsia="Times New Roman"/>
          <w:b/>
          <w:bCs/>
          <w:i/>
          <w:iCs/>
          <w:color w:val="000000"/>
          <w:sz w:val="20"/>
          <w:szCs w:val="20"/>
        </w:rPr>
        <w:t>ory enforcement.</w:t>
      </w:r>
    </w:p>
    <w:p w:rsidR="00000000" w:rsidRDefault="00E0782F">
      <w:pPr>
        <w:jc w:val="both"/>
        <w:divId w:val="1773358770"/>
        <w:rPr>
          <w:rFonts w:eastAsia="Times New Roman"/>
        </w:rPr>
      </w:pPr>
      <w:r>
        <w:rPr>
          <w:rFonts w:eastAsia="Times New Roman"/>
          <w:color w:val="000000"/>
          <w:sz w:val="20"/>
          <w:szCs w:val="20"/>
        </w:rPr>
        <w:t>Our businesses are subject to increased litigation, government investigations and other regulatory enforcement risks as a result of a number of factors and from various sources, including the highly regulated nature of the financial servic</w:t>
      </w:r>
      <w:r>
        <w:rPr>
          <w:rFonts w:eastAsia="Times New Roman"/>
          <w:color w:val="000000"/>
          <w:sz w:val="20"/>
          <w:szCs w:val="20"/>
        </w:rPr>
        <w:t xml:space="preserve">es industry, the focus of state and federal prosecutors on banks and the financial services industry and the structure of the credit card industry.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6359829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6359829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6359829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7" style="width:0;height:1.5pt" o:hralign="center" o:hrstd="t" o:hr="t" fillcolor="#a0a0a0" stroked="f"/>
        </w:pict>
      </w:r>
    </w:p>
    <w:p w:rsidR="00000000" w:rsidRDefault="00E0782F">
      <w:pPr>
        <w:jc w:val="both"/>
        <w:divId w:val="177578839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231691923"/>
        <w:rPr>
          <w:rFonts w:eastAsia="Times New Roman"/>
        </w:rPr>
      </w:pPr>
      <w:r>
        <w:rPr>
          <w:rFonts w:eastAsia="Times New Roman"/>
          <w:color w:val="000000"/>
          <w:sz w:val="20"/>
          <w:szCs w:val="20"/>
        </w:rPr>
        <w:t>Given the inherent uncertainties involved in litigation, government investigations and regulatory enforcement decisions, and the very large or i</w:t>
      </w:r>
      <w:r>
        <w:rPr>
          <w:rFonts w:eastAsia="Times New Roman"/>
          <w:color w:val="000000"/>
          <w:sz w:val="20"/>
          <w:szCs w:val="20"/>
        </w:rPr>
        <w:t>ndeterminate damages sought in some matters asserted against us, there can be significant uncertainty as to the ultimate liability we may incur from these kinds of matters. The finding, or even the assertion, of substantial legal liability against us could</w:t>
      </w:r>
      <w:r>
        <w:rPr>
          <w:rFonts w:eastAsia="Times New Roman"/>
          <w:color w:val="000000"/>
          <w:sz w:val="20"/>
          <w:szCs w:val="20"/>
        </w:rPr>
        <w:t xml:space="preserve"> have a material adverse effect on our business and financial condition and could cause significant reputational harm to us, which could seriously harm our business. The Cybersecurity Incident has resulted in litigation, government investigations and other</w:t>
      </w:r>
      <w:r>
        <w:rPr>
          <w:rFonts w:eastAsia="Times New Roman"/>
          <w:color w:val="000000"/>
          <w:sz w:val="20"/>
          <w:szCs w:val="20"/>
        </w:rPr>
        <w:t xml:space="preserve"> regulatory enforcement inquiries.</w:t>
      </w:r>
    </w:p>
    <w:p w:rsidR="00000000" w:rsidRDefault="00E0782F">
      <w:pPr>
        <w:jc w:val="both"/>
        <w:divId w:val="1087652384"/>
        <w:rPr>
          <w:rFonts w:eastAsia="Times New Roman"/>
        </w:rPr>
      </w:pPr>
      <w:r>
        <w:rPr>
          <w:rFonts w:eastAsia="Times New Roman"/>
          <w:color w:val="000000"/>
          <w:sz w:val="20"/>
          <w:szCs w:val="20"/>
        </w:rPr>
        <w:t>In addition, financial institutions, such as ourselves, face significant regulatory scrutiny, which can lead to public enforcement actions or non-public supervisory actions. We and our subsidiaries are subject to comprehe</w:t>
      </w:r>
      <w:r>
        <w:rPr>
          <w:rFonts w:eastAsia="Times New Roman"/>
          <w:color w:val="000000"/>
          <w:sz w:val="20"/>
          <w:szCs w:val="20"/>
        </w:rPr>
        <w:t>nsive regulation and periodic examination by, among other regulatory bodies, the Federal Reserve, the SEC, OCC, FDIC and CFPB. We have been subject to enforcement actions by many of these and other regulators and may continue to be involved in such actions</w:t>
      </w:r>
      <w:r>
        <w:rPr>
          <w:rFonts w:eastAsia="Times New Roman"/>
          <w:color w:val="000000"/>
          <w:sz w:val="20"/>
          <w:szCs w:val="20"/>
        </w:rPr>
        <w:t>, including governmental inquiries, investigations and enforcement proceedings, including by the OCC, Department of Justice, FinCEN and state Attorneys General.</w:t>
      </w:r>
    </w:p>
    <w:p w:rsidR="00000000" w:rsidRDefault="00E0782F">
      <w:pPr>
        <w:jc w:val="both"/>
        <w:divId w:val="1924100707"/>
        <w:rPr>
          <w:rFonts w:eastAsia="Times New Roman"/>
        </w:rPr>
      </w:pPr>
      <w:r>
        <w:rPr>
          <w:rFonts w:eastAsia="Times New Roman"/>
          <w:color w:val="000000"/>
          <w:sz w:val="20"/>
          <w:szCs w:val="20"/>
        </w:rPr>
        <w:t>We expect that regulators and governmental enforcement bodies will continue taking formal enfor</w:t>
      </w:r>
      <w:r>
        <w:rPr>
          <w:rFonts w:eastAsia="Times New Roman"/>
          <w:color w:val="000000"/>
          <w:sz w:val="20"/>
          <w:szCs w:val="20"/>
        </w:rPr>
        <w:t>cement actions against financial institutions in addition to addressing supervisory concerns through non-public supervisory actions or findings, which could involve restrictions on our activities, or our ability to make acquisitions or otherwise expand our</w:t>
      </w:r>
      <w:r>
        <w:rPr>
          <w:rFonts w:eastAsia="Times New Roman"/>
          <w:color w:val="000000"/>
          <w:sz w:val="20"/>
          <w:szCs w:val="20"/>
        </w:rPr>
        <w:t xml:space="preserve"> business, among other limitations that could adversely affect our business. In addition, a violation of law or regulation by another financial institution is likely to give rise to an investigation by regulators and other governmental agencies of the same</w:t>
      </w:r>
      <w:r>
        <w:rPr>
          <w:rFonts w:eastAsia="Times New Roman"/>
          <w:color w:val="000000"/>
          <w:sz w:val="20"/>
          <w:szCs w:val="20"/>
        </w:rPr>
        <w:t xml:space="preserve"> or similar practices by us. Furthermore, a single event may give rise to numerous and overlapping investigations and proceedings. These and other initiatives from governmental authorities and officials may subject us to further judgments, settlements, fin</w:t>
      </w:r>
      <w:r>
        <w:rPr>
          <w:rFonts w:eastAsia="Times New Roman"/>
          <w:color w:val="000000"/>
          <w:sz w:val="20"/>
          <w:szCs w:val="20"/>
        </w:rPr>
        <w:t>es or penalties, or cause us to restructure our operations and activities or to cease offering certain products or services, all of which could harm our reputation or lead to higher operational costs. Litigation, government investigations and other regulat</w:t>
      </w:r>
      <w:r>
        <w:rPr>
          <w:rFonts w:eastAsia="Times New Roman"/>
          <w:color w:val="000000"/>
          <w:sz w:val="20"/>
          <w:szCs w:val="20"/>
        </w:rPr>
        <w:t>ory actions could involve restrictions on our activities, generally subject us to significant fines, increased expenses, restrictions on our activities and damage to our reputation and our brand, and could adversely affect our business, financial condition</w:t>
      </w:r>
      <w:r>
        <w:rPr>
          <w:rFonts w:eastAsia="Times New Roman"/>
          <w:color w:val="000000"/>
          <w:sz w:val="20"/>
          <w:szCs w:val="20"/>
        </w:rPr>
        <w:t xml:space="preserve"> and results of operations. For additional information regarding legal and regulatory proceedings that we are subject to, see “Note 18—Commitments, Contingencies, Guarantees and Others.”</w:t>
      </w:r>
    </w:p>
    <w:p w:rsidR="00000000" w:rsidRDefault="00E0782F">
      <w:pPr>
        <w:divId w:val="1894122593"/>
        <w:rPr>
          <w:rFonts w:eastAsia="Times New Roman"/>
        </w:rPr>
      </w:pPr>
      <w:r>
        <w:rPr>
          <w:rFonts w:eastAsia="Times New Roman"/>
          <w:b/>
          <w:bCs/>
          <w:color w:val="000000"/>
          <w:sz w:val="20"/>
          <w:szCs w:val="20"/>
        </w:rPr>
        <w:t>Other Business Risks</w:t>
      </w:r>
    </w:p>
    <w:p w:rsidR="00000000" w:rsidRDefault="00E0782F">
      <w:pPr>
        <w:divId w:val="7371723"/>
        <w:rPr>
          <w:rFonts w:eastAsia="Times New Roman"/>
        </w:rPr>
      </w:pPr>
      <w:r>
        <w:rPr>
          <w:rFonts w:eastAsia="Times New Roman"/>
          <w:b/>
          <w:bCs/>
          <w:i/>
          <w:iCs/>
          <w:color w:val="000000"/>
          <w:sz w:val="20"/>
          <w:szCs w:val="20"/>
        </w:rPr>
        <w:t>We face intense competition in all of our markets.</w:t>
      </w:r>
    </w:p>
    <w:p w:rsidR="00000000" w:rsidRDefault="00E0782F">
      <w:pPr>
        <w:jc w:val="both"/>
        <w:divId w:val="1036391530"/>
        <w:rPr>
          <w:rFonts w:eastAsia="Times New Roman"/>
        </w:rPr>
      </w:pPr>
      <w:r>
        <w:rPr>
          <w:rFonts w:eastAsia="Times New Roman"/>
          <w:color w:val="000000"/>
          <w:sz w:val="20"/>
          <w:szCs w:val="20"/>
        </w:rPr>
        <w:t>We operate in a highly competitive environment, whether in making loans, attracting deposits or in the global payments industry, and we expect competitive conditions to continue to intensify with respect t</w:t>
      </w:r>
      <w:r>
        <w:rPr>
          <w:rFonts w:eastAsia="Times New Roman"/>
          <w:color w:val="000000"/>
          <w:sz w:val="20"/>
          <w:szCs w:val="20"/>
        </w:rPr>
        <w:t>o most of our products. We compete on the basis of the rates we pay on deposits and the rates and other terms we charge on the loans we originate or purchase, as well as the quality and range of our customer service, products, innovation and experience. Th</w:t>
      </w:r>
      <w:r>
        <w:rPr>
          <w:rFonts w:eastAsia="Times New Roman"/>
          <w:color w:val="000000"/>
          <w:sz w:val="20"/>
          <w:szCs w:val="20"/>
        </w:rPr>
        <w:t>is increasingly competitive environment is primarily a result of changes in technology, product delivery systems and regulation, as well as the emergence of new or significantly larger financial services providers, all of which may affect our customers’ ex</w:t>
      </w:r>
      <w:r>
        <w:rPr>
          <w:rFonts w:eastAsia="Times New Roman"/>
          <w:color w:val="000000"/>
          <w:sz w:val="20"/>
          <w:szCs w:val="20"/>
        </w:rPr>
        <w:t>pectations and demands. In addition to offering competitive products and services, we invest in and conduct marketing campaigns to attract and inform customers.</w:t>
      </w:r>
    </w:p>
    <w:p w:rsidR="00000000" w:rsidRDefault="00E0782F">
      <w:pPr>
        <w:jc w:val="both"/>
        <w:divId w:val="1123423880"/>
        <w:rPr>
          <w:rFonts w:eastAsia="Times New Roman"/>
        </w:rPr>
      </w:pPr>
      <w:r>
        <w:rPr>
          <w:rFonts w:eastAsia="Times New Roman"/>
          <w:color w:val="000000"/>
          <w:sz w:val="20"/>
          <w:szCs w:val="20"/>
        </w:rPr>
        <w:t>Some of our competitors, including new and emerging competitors in the digital and mobile payments space and other financial technology providers, are not subject to the same regulatory requirements or legislative scrutiny to which we are subject, which al</w:t>
      </w:r>
      <w:r>
        <w:rPr>
          <w:rFonts w:eastAsia="Times New Roman"/>
          <w:color w:val="000000"/>
          <w:sz w:val="20"/>
          <w:szCs w:val="20"/>
        </w:rPr>
        <w:t>so could place us at a competitive disadvantage, in particular in the development of new technology platforms or the ability to rapidly innovate. We compete with many forms of payments offered by both bank and non-bank providers, including a variety of new</w:t>
      </w:r>
      <w:r>
        <w:rPr>
          <w:rFonts w:eastAsia="Times New Roman"/>
          <w:color w:val="000000"/>
          <w:sz w:val="20"/>
          <w:szCs w:val="20"/>
        </w:rPr>
        <w:t xml:space="preserve"> and evolving alternative payment mechanisms, systems and products, such as aggregators and web-based and wireless payment platforms or technologies, digital or “crypto” currencies, prepaid systems and payment services targeting users of social networks, c</w:t>
      </w:r>
      <w:r>
        <w:rPr>
          <w:rFonts w:eastAsia="Times New Roman"/>
          <w:color w:val="000000"/>
          <w:sz w:val="20"/>
          <w:szCs w:val="20"/>
        </w:rPr>
        <w:t>ommunications platforms and online gaming. If we are unable to continue to keep pace with innovation, do not effectively market our products and services or are prohibited from or unwilling to enter emerging areas of competition, our business and results o</w:t>
      </w:r>
      <w:r>
        <w:rPr>
          <w:rFonts w:eastAsia="Times New Roman"/>
          <w:color w:val="000000"/>
          <w:sz w:val="20"/>
          <w:szCs w:val="20"/>
        </w:rPr>
        <w:t>f operations could be adversely affected.</w:t>
      </w:r>
    </w:p>
    <w:p w:rsidR="00000000" w:rsidRDefault="00E0782F">
      <w:pPr>
        <w:jc w:val="both"/>
        <w:divId w:val="1881168343"/>
        <w:rPr>
          <w:rFonts w:eastAsia="Times New Roman"/>
        </w:rPr>
      </w:pPr>
      <w:r>
        <w:rPr>
          <w:rFonts w:eastAsia="Times New Roman"/>
          <w:color w:val="000000"/>
          <w:sz w:val="20"/>
          <w:szCs w:val="20"/>
        </w:rPr>
        <w:t>Some of our competitors are substantially larger than we are, which may give those competitors advantages, including a more diversified product and customer base, the ability to reach more customers and potential c</w:t>
      </w:r>
      <w:r>
        <w:rPr>
          <w:rFonts w:eastAsia="Times New Roman"/>
          <w:color w:val="000000"/>
          <w:sz w:val="20"/>
          <w:szCs w:val="20"/>
        </w:rPr>
        <w:t xml:space="preserve">ustomers, operational efficiencies, broad-based local distribution capabilities, lower-cost funding and larger existing branch networks. Many of our competitors are also focusing on cross-selling their products and developing new products or technologies, </w:t>
      </w:r>
      <w:r>
        <w:rPr>
          <w:rFonts w:eastAsia="Times New Roman"/>
          <w:color w:val="000000"/>
          <w:sz w:val="20"/>
          <w:szCs w:val="20"/>
        </w:rPr>
        <w:t xml:space="preserve">which could affect our ability to maintain or grow existing customer relationships or require us to offer lower interest rates or fees on our lending products or higher interest rates on deposits. Competition for loans could result in origination of fewer </w:t>
      </w:r>
      <w:r>
        <w:rPr>
          <w:rFonts w:eastAsia="Times New Roman"/>
          <w:color w:val="000000"/>
          <w:sz w:val="20"/>
          <w:szCs w:val="20"/>
        </w:rPr>
        <w:t>loans, earning less on our loans or an increase in loans that perform below expectations.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9006483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9006483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9006483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8" style="width:0;height:1.5pt" o:hralign="center" o:hrstd="t" o:hr="t" fillcolor="#a0a0a0" stroked="f"/>
        </w:pict>
      </w:r>
    </w:p>
    <w:p w:rsidR="00000000" w:rsidRDefault="00E0782F">
      <w:pPr>
        <w:jc w:val="both"/>
        <w:divId w:val="115403374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458261090"/>
        <w:rPr>
          <w:rFonts w:eastAsia="Times New Roman"/>
        </w:rPr>
      </w:pPr>
      <w:r>
        <w:rPr>
          <w:rFonts w:eastAsia="Times New Roman"/>
          <w:color w:val="000000"/>
          <w:sz w:val="20"/>
          <w:szCs w:val="20"/>
        </w:rPr>
        <w:t xml:space="preserve">As of December 31, 2020, we operate as one of the largest online direct banks in the United States by deposits. While direct banking provides a </w:t>
      </w:r>
      <w:r>
        <w:rPr>
          <w:rFonts w:eastAsia="Times New Roman"/>
          <w:color w:val="000000"/>
          <w:sz w:val="20"/>
          <w:szCs w:val="20"/>
        </w:rPr>
        <w:t>significant opportunity to attract new customers that value greater and more flexible access to banking services at reduced costs, we face strong and increasing competition in the direct banking market. Aggressive pricing throughout the industry may advers</w:t>
      </w:r>
      <w:r>
        <w:rPr>
          <w:rFonts w:eastAsia="Times New Roman"/>
          <w:color w:val="000000"/>
          <w:sz w:val="20"/>
          <w:szCs w:val="20"/>
        </w:rPr>
        <w:t>ely affect the retention of existing balances and the cost-efficient acquisition of new deposit funds and may affect our growth and profitability. Customers could also close their online accounts or reduce balances or deposits in favor of products and serv</w:t>
      </w:r>
      <w:r>
        <w:rPr>
          <w:rFonts w:eastAsia="Times New Roman"/>
          <w:color w:val="000000"/>
          <w:sz w:val="20"/>
          <w:szCs w:val="20"/>
        </w:rPr>
        <w:t>ices offered by competitors for other reasons. These shifts, which could be rapid, could result from general dissatisfaction with our products or services, including concerns over pricing, online security or our reputation. The potential consequences of th</w:t>
      </w:r>
      <w:r>
        <w:rPr>
          <w:rFonts w:eastAsia="Times New Roman"/>
          <w:color w:val="000000"/>
          <w:sz w:val="20"/>
          <w:szCs w:val="20"/>
        </w:rPr>
        <w:t>is competitive environment are exacerbated by the flexibility of direct banking and the financial and technological sophistication of our online customer base.</w:t>
      </w:r>
    </w:p>
    <w:p w:rsidR="00000000" w:rsidRDefault="00E0782F">
      <w:pPr>
        <w:jc w:val="both"/>
        <w:divId w:val="1486582385"/>
        <w:rPr>
          <w:rFonts w:eastAsia="Times New Roman"/>
        </w:rPr>
      </w:pPr>
      <w:r>
        <w:rPr>
          <w:rFonts w:eastAsia="Times New Roman"/>
          <w:color w:val="000000"/>
          <w:sz w:val="20"/>
          <w:szCs w:val="20"/>
        </w:rPr>
        <w:t>In our credit card business, competition for rewards customers may result in higher rewards expe</w:t>
      </w:r>
      <w:r>
        <w:rPr>
          <w:rFonts w:eastAsia="Times New Roman"/>
          <w:color w:val="000000"/>
          <w:sz w:val="20"/>
          <w:szCs w:val="20"/>
        </w:rPr>
        <w:t>nses, or we may fail to attract new customers or retain existing rewards customers due to increasing competition for these consumers. As of December 31, 2020, we have a number of large partnerships in our credit card loan portfolio. The market for key busi</w:t>
      </w:r>
      <w:r>
        <w:rPr>
          <w:rFonts w:eastAsia="Times New Roman"/>
          <w:color w:val="000000"/>
          <w:sz w:val="20"/>
          <w:szCs w:val="20"/>
        </w:rPr>
        <w:t>ness partners, especially in the credit card business, is very competitive, and we may not be able to grow or maintain these partner relationships. We face the risk that we could lose partner relationships, even after we have invested significant resources</w:t>
      </w:r>
      <w:r>
        <w:rPr>
          <w:rFonts w:eastAsia="Times New Roman"/>
          <w:color w:val="000000"/>
          <w:sz w:val="20"/>
          <w:szCs w:val="20"/>
        </w:rPr>
        <w:t xml:space="preserve"> into acquiring and developing the relationships. The loss of any of our key business partners could have a negative impact on our results of operations, including lower returns, excess operating expense and excess funding capacity.</w:t>
      </w:r>
    </w:p>
    <w:p w:rsidR="00000000" w:rsidRDefault="00E0782F">
      <w:pPr>
        <w:jc w:val="both"/>
        <w:divId w:val="1946958603"/>
        <w:rPr>
          <w:rFonts w:eastAsia="Times New Roman"/>
        </w:rPr>
      </w:pPr>
      <w:r>
        <w:rPr>
          <w:rFonts w:eastAsia="Times New Roman"/>
          <w:color w:val="000000"/>
          <w:sz w:val="20"/>
          <w:szCs w:val="20"/>
        </w:rPr>
        <w:t>We depend on our partne</w:t>
      </w:r>
      <w:r>
        <w:rPr>
          <w:rFonts w:eastAsia="Times New Roman"/>
          <w:color w:val="000000"/>
          <w:sz w:val="20"/>
          <w:szCs w:val="20"/>
        </w:rPr>
        <w:t>rs to effectively promote our cobrand and private label products and integrate the use of our credit cards into their retail operations. The failure by our partners to effectively promote and support our products as well as changes they may make in their b</w:t>
      </w:r>
      <w:r>
        <w:rPr>
          <w:rFonts w:eastAsia="Times New Roman"/>
          <w:color w:val="000000"/>
          <w:sz w:val="20"/>
          <w:szCs w:val="20"/>
        </w:rPr>
        <w:t xml:space="preserve">usiness models could adversely affect card usage and our ability to achieve the growth and profitability objectives of our partnerships. In addition, if our partners do not adhere to the terms of our program agreements and standards, or otherwise diminish </w:t>
      </w:r>
      <w:r>
        <w:rPr>
          <w:rFonts w:eastAsia="Times New Roman"/>
          <w:color w:val="000000"/>
          <w:sz w:val="20"/>
          <w:szCs w:val="20"/>
        </w:rPr>
        <w:t>the value of our brand, we may suffer reputational damage and customers may be less likely to use our products.</w:t>
      </w:r>
    </w:p>
    <w:p w:rsidR="00000000" w:rsidRDefault="00E0782F">
      <w:pPr>
        <w:jc w:val="both"/>
        <w:divId w:val="651183166"/>
        <w:rPr>
          <w:rFonts w:eastAsia="Times New Roman"/>
        </w:rPr>
      </w:pPr>
      <w:r>
        <w:rPr>
          <w:rFonts w:eastAsia="Times New Roman"/>
          <w:color w:val="000000"/>
          <w:sz w:val="20"/>
          <w:szCs w:val="20"/>
        </w:rPr>
        <w:t>Some of our competitors have developed, or may develop, substantially greater financial and other resources than we have, may offer richer value</w:t>
      </w:r>
      <w:r>
        <w:rPr>
          <w:rFonts w:eastAsia="Times New Roman"/>
          <w:color w:val="000000"/>
          <w:sz w:val="20"/>
          <w:szCs w:val="20"/>
        </w:rPr>
        <w:t xml:space="preserve"> propositions or a wider range of programs and services than we offer or may use more effective advertising, marketing or cross-selling strategies to acquire and retain more customers, capture a greater share of spending and borrowings, attain and develop </w:t>
      </w:r>
      <w:r>
        <w:rPr>
          <w:rFonts w:eastAsia="Times New Roman"/>
          <w:color w:val="000000"/>
          <w:sz w:val="20"/>
          <w:szCs w:val="20"/>
        </w:rPr>
        <w:t>more attractive cobrand card programs and maintain greater merchant acceptance than we have. We may not be able to compete effectively against these threats or respond or adapt to changes in consumer spending habits as effectively as our competitors.</w:t>
      </w:r>
    </w:p>
    <w:p w:rsidR="00000000" w:rsidRDefault="00E0782F">
      <w:pPr>
        <w:jc w:val="both"/>
        <w:divId w:val="572541923"/>
        <w:rPr>
          <w:rFonts w:eastAsia="Times New Roman"/>
        </w:rPr>
      </w:pPr>
      <w:r>
        <w:rPr>
          <w:rFonts w:eastAsia="Times New Roman"/>
          <w:color w:val="000000"/>
          <w:sz w:val="20"/>
          <w:szCs w:val="20"/>
        </w:rPr>
        <w:t>In su</w:t>
      </w:r>
      <w:r>
        <w:rPr>
          <w:rFonts w:eastAsia="Times New Roman"/>
          <w:color w:val="000000"/>
          <w:sz w:val="20"/>
          <w:szCs w:val="20"/>
        </w:rPr>
        <w:t>ch a competitive environment, we may lose entire accounts or may lose account balances to competing firms, or we may find it more costly to maintain our existing customer base. Customer attrition from any or all of our lending products, together with any l</w:t>
      </w:r>
      <w:r>
        <w:rPr>
          <w:rFonts w:eastAsia="Times New Roman"/>
          <w:color w:val="000000"/>
          <w:sz w:val="20"/>
          <w:szCs w:val="20"/>
        </w:rPr>
        <w:t>owering of interest rates or fees that we might implement to retain customers, could reduce our revenues and therefore our earnings. Similarly, unexpected customer attrition from our deposit products, in addition to an increase in rates or services that we</w:t>
      </w:r>
      <w:r>
        <w:rPr>
          <w:rFonts w:eastAsia="Times New Roman"/>
          <w:color w:val="000000"/>
          <w:sz w:val="20"/>
          <w:szCs w:val="20"/>
        </w:rPr>
        <w:t xml:space="preserve"> may offer to retain deposits, may increase our expenses and therefore reduce our earnings.</w:t>
      </w:r>
    </w:p>
    <w:p w:rsidR="00000000" w:rsidRDefault="00E0782F">
      <w:pPr>
        <w:divId w:val="1685209701"/>
        <w:rPr>
          <w:rFonts w:eastAsia="Times New Roman"/>
        </w:rPr>
      </w:pPr>
      <w:r>
        <w:rPr>
          <w:rFonts w:eastAsia="Times New Roman"/>
          <w:b/>
          <w:bCs/>
          <w:i/>
          <w:iCs/>
          <w:color w:val="000000"/>
          <w:sz w:val="20"/>
          <w:szCs w:val="20"/>
        </w:rPr>
        <w:t>Our business, financial condition and results of operations may be adversely affected by merchants’ increasing focus on the fees charged by credit card networks and</w:t>
      </w:r>
      <w:r>
        <w:rPr>
          <w:rFonts w:eastAsia="Times New Roman"/>
          <w:b/>
          <w:bCs/>
          <w:i/>
          <w:iCs/>
          <w:color w:val="000000"/>
          <w:sz w:val="20"/>
          <w:szCs w:val="20"/>
        </w:rPr>
        <w:t xml:space="preserve"> by legislation and regulation impacting such fees.</w:t>
      </w:r>
    </w:p>
    <w:p w:rsidR="00000000" w:rsidRDefault="00E0782F">
      <w:pPr>
        <w:jc w:val="both"/>
        <w:divId w:val="784423038"/>
        <w:rPr>
          <w:rFonts w:eastAsia="Times New Roman"/>
        </w:rPr>
      </w:pPr>
      <w:r>
        <w:rPr>
          <w:rFonts w:eastAsia="Times New Roman"/>
          <w:color w:val="000000"/>
          <w:sz w:val="20"/>
          <w:szCs w:val="20"/>
        </w:rPr>
        <w:t>Credit card interchange fees are generally one of the largest components of the costs that merchants pay in connection with the acceptance of credit cards and are a meaningful source of revenue for our cr</w:t>
      </w:r>
      <w:r>
        <w:rPr>
          <w:rFonts w:eastAsia="Times New Roman"/>
          <w:color w:val="000000"/>
          <w:sz w:val="20"/>
          <w:szCs w:val="20"/>
        </w:rPr>
        <w:t xml:space="preserve">edit card businesses. Interchange fees are the subject of significant and intense global legal, legislative and regulatory focus, and the resulting decisions, legislation and regulation may have a material adverse impact on our overall business, financial </w:t>
      </w:r>
      <w:r>
        <w:rPr>
          <w:rFonts w:eastAsia="Times New Roman"/>
          <w:color w:val="000000"/>
          <w:sz w:val="20"/>
          <w:szCs w:val="20"/>
        </w:rPr>
        <w:t>condition and results of operations.</w:t>
      </w:r>
    </w:p>
    <w:p w:rsidR="00000000" w:rsidRDefault="00E0782F">
      <w:pPr>
        <w:jc w:val="both"/>
        <w:divId w:val="229852666"/>
        <w:rPr>
          <w:rFonts w:eastAsia="Times New Roman"/>
        </w:rPr>
      </w:pPr>
      <w:r>
        <w:rPr>
          <w:rFonts w:eastAsia="Times New Roman"/>
          <w:color w:val="000000"/>
          <w:sz w:val="20"/>
          <w:szCs w:val="20"/>
        </w:rPr>
        <w:t>Legislative and regulatory bodies in a number of countries are seeking to reduce credit card interchange fees through legislation, competition-related regulatory proceedings, central bank regulation and or litigation. I</w:t>
      </w:r>
      <w:r>
        <w:rPr>
          <w:rFonts w:eastAsia="Times New Roman"/>
          <w:color w:val="000000"/>
          <w:sz w:val="20"/>
          <w:szCs w:val="20"/>
        </w:rPr>
        <w:t>nterchange reimbursement rates in the United States are set by credit card networks such as MasterCard and Visa. In some jurisdictions, such as Canada and certain countries in the EU, interchange fees and related practices are subject to regulatory activit</w:t>
      </w:r>
      <w:r>
        <w:rPr>
          <w:rFonts w:eastAsia="Times New Roman"/>
          <w:color w:val="000000"/>
          <w:sz w:val="20"/>
          <w:szCs w:val="20"/>
        </w:rPr>
        <w:t>y that has limited the ability of certain networks to establish default rates, including in some cases imposing caps on permissible interchange fees. We have already experienced these impacts in our international card businesses. Legislators and regulators</w:t>
      </w:r>
      <w:r>
        <w:rPr>
          <w:rFonts w:eastAsia="Times New Roman"/>
          <w:color w:val="000000"/>
          <w:sz w:val="20"/>
          <w:szCs w:val="20"/>
        </w:rPr>
        <w:t xml:space="preserve"> around the world are aware of each other’s approaches to the regulation of the payments industry. Consequently, a development in one country, state or region may influence regulatory approaches in another, such as our primary market, the United States.</w:t>
      </w:r>
    </w:p>
    <w:p w:rsidR="00000000" w:rsidRDefault="00E0782F">
      <w:pPr>
        <w:jc w:val="both"/>
        <w:divId w:val="317658570"/>
        <w:rPr>
          <w:rFonts w:eastAsia="Times New Roman"/>
        </w:rPr>
      </w:pPr>
      <w:r>
        <w:rPr>
          <w:rFonts w:eastAsia="Times New Roman"/>
          <w:color w:val="000000"/>
          <w:sz w:val="20"/>
          <w:szCs w:val="20"/>
        </w:rPr>
        <w:t>In</w:t>
      </w:r>
      <w:r>
        <w:rPr>
          <w:rFonts w:eastAsia="Times New Roman"/>
          <w:color w:val="000000"/>
          <w:sz w:val="20"/>
          <w:szCs w:val="20"/>
        </w:rPr>
        <w:t xml:space="preserve"> addition to this regulatory activity, merchants are also seeking avenues to reduce interchange fees. During the past few years, merchants and their trade groups have filed numerous lawsuits against Visa, MasterCard, American Express and their card-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2917726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2917726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2917726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59" style="width:0;height:1.5pt" o:hralign="center" o:hrstd="t" o:hr="t" fillcolor="#a0a0a0" stroked="f"/>
        </w:pict>
      </w:r>
    </w:p>
    <w:p w:rsidR="00000000" w:rsidRDefault="00E0782F">
      <w:pPr>
        <w:jc w:val="both"/>
        <w:divId w:val="125851515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939068896"/>
        <w:rPr>
          <w:rFonts w:eastAsia="Times New Roman"/>
        </w:rPr>
      </w:pPr>
      <w:r>
        <w:rPr>
          <w:rFonts w:eastAsia="Times New Roman"/>
          <w:color w:val="000000"/>
          <w:sz w:val="20"/>
          <w:szCs w:val="20"/>
        </w:rPr>
        <w:t xml:space="preserve">issuing banks, claiming that their practices toward merchants, including interchange and similar fees, violate federal antitrust laws. In 2005, </w:t>
      </w:r>
      <w:r>
        <w:rPr>
          <w:rFonts w:eastAsia="Times New Roman"/>
          <w:color w:val="000000"/>
          <w:sz w:val="20"/>
          <w:szCs w:val="20"/>
        </w:rPr>
        <w:t>a number of entities filed antitrust lawsuits against MasterCard and Visa and several member banks, including our subsidiaries and us, alleging among other things, that the defendants conspired to fix the level of interchange fees. In December 2013, the U.</w:t>
      </w:r>
      <w:r>
        <w:rPr>
          <w:rFonts w:eastAsia="Times New Roman"/>
          <w:color w:val="000000"/>
          <w:sz w:val="20"/>
          <w:szCs w:val="20"/>
        </w:rPr>
        <w:t>S. District Court for the Eastern District of New York granted final approval of the proposed class settlement. The settlement provided, among other things, that merchants would be entitled to join together to negotiate lower interchange fees. The settleme</w:t>
      </w:r>
      <w:r>
        <w:rPr>
          <w:rFonts w:eastAsia="Times New Roman"/>
          <w:color w:val="000000"/>
          <w:sz w:val="20"/>
          <w:szCs w:val="20"/>
        </w:rPr>
        <w:t>nt was appealed to the Second Circuit Court of Appeals, which rejected the settlement in June 2016; a revised settlement was reached in the second half of 2018, and the trial court issued its final approval of the settlement in December 2019. See “Note 18—</w:t>
      </w:r>
      <w:r>
        <w:rPr>
          <w:rFonts w:eastAsia="Times New Roman"/>
          <w:color w:val="000000"/>
          <w:sz w:val="20"/>
          <w:szCs w:val="20"/>
        </w:rPr>
        <w:t>Commitments, Contingencies, Guarantees and Others” for further details.</w:t>
      </w:r>
    </w:p>
    <w:p w:rsidR="00000000" w:rsidRDefault="00E0782F">
      <w:pPr>
        <w:jc w:val="both"/>
        <w:divId w:val="1607076649"/>
        <w:rPr>
          <w:rFonts w:eastAsia="Times New Roman"/>
        </w:rPr>
      </w:pPr>
      <w:r>
        <w:rPr>
          <w:rFonts w:eastAsia="Times New Roman"/>
          <w:color w:val="000000"/>
          <w:sz w:val="20"/>
          <w:szCs w:val="20"/>
        </w:rPr>
        <w:t xml:space="preserve">Some major retailers may have sufficient bargaining power to independently negotiate lower interchange fees with MasterCard and Visa, which could, in turn, result in lower interchange </w:t>
      </w:r>
      <w:r>
        <w:rPr>
          <w:rFonts w:eastAsia="Times New Roman"/>
          <w:color w:val="000000"/>
          <w:sz w:val="20"/>
          <w:szCs w:val="20"/>
        </w:rPr>
        <w:t>fees for us when our cardholders undertake purchase transactions with these retailers. In 2016, some of the largest merchants individually negotiated lower interchange rates with MasterCard and/or Visa. These and other merchants also continue to lobby aggr</w:t>
      </w:r>
      <w:r>
        <w:rPr>
          <w:rFonts w:eastAsia="Times New Roman"/>
          <w:color w:val="000000"/>
          <w:sz w:val="20"/>
          <w:szCs w:val="20"/>
        </w:rPr>
        <w:t>essively for caps and restrictions on interchange fees and their efforts may be successful or they may in the future bring legal proceedings against us or other credit card and debit card issuers and networks.</w:t>
      </w:r>
    </w:p>
    <w:p w:rsidR="00000000" w:rsidRDefault="00E0782F">
      <w:pPr>
        <w:jc w:val="both"/>
        <w:divId w:val="934901792"/>
        <w:rPr>
          <w:rFonts w:eastAsia="Times New Roman"/>
        </w:rPr>
      </w:pPr>
      <w:r>
        <w:rPr>
          <w:rFonts w:eastAsia="Times New Roman"/>
          <w:color w:val="000000"/>
          <w:sz w:val="20"/>
          <w:szCs w:val="20"/>
        </w:rPr>
        <w:t>Beyond pursuing litigation, legislation and re</w:t>
      </w:r>
      <w:r>
        <w:rPr>
          <w:rFonts w:eastAsia="Times New Roman"/>
          <w:color w:val="000000"/>
          <w:sz w:val="20"/>
          <w:szCs w:val="20"/>
        </w:rPr>
        <w:t>gulation, merchants may also promote forms of payment with lower fees, such as ACH-based payments, or seek to impose surcharges at the point of sale for use of credit or debit cards. New payment systems, particularly mobile-based payment technologies, coul</w:t>
      </w:r>
      <w:r>
        <w:rPr>
          <w:rFonts w:eastAsia="Times New Roman"/>
          <w:color w:val="000000"/>
          <w:sz w:val="20"/>
          <w:szCs w:val="20"/>
        </w:rPr>
        <w:t>d also gain widespread adoption and lead to issuer transaction fees or the displacement of credit card accounts as a payment method.</w:t>
      </w:r>
    </w:p>
    <w:p w:rsidR="00000000" w:rsidRDefault="00E0782F">
      <w:pPr>
        <w:jc w:val="both"/>
        <w:divId w:val="147989342"/>
        <w:rPr>
          <w:rFonts w:eastAsia="Times New Roman"/>
        </w:rPr>
      </w:pPr>
      <w:r>
        <w:rPr>
          <w:rFonts w:eastAsia="Times New Roman"/>
          <w:color w:val="000000"/>
          <w:sz w:val="20"/>
          <w:szCs w:val="20"/>
        </w:rPr>
        <w:t>The heightened focus by merchants and legislative and regulatory bodies on the fees charged by credit and debit card networ</w:t>
      </w:r>
      <w:r>
        <w:rPr>
          <w:rFonts w:eastAsia="Times New Roman"/>
          <w:color w:val="000000"/>
          <w:sz w:val="20"/>
          <w:szCs w:val="20"/>
        </w:rPr>
        <w:t>ks, and the ability of certain merchants to successfully negotiate discounts to interchange fees with MasterCard and Visa or develop alternative payment systems, could result in a reduction of interchange fees. Any resulting loss in income to us could have</w:t>
      </w:r>
      <w:r>
        <w:rPr>
          <w:rFonts w:eastAsia="Times New Roman"/>
          <w:color w:val="000000"/>
          <w:sz w:val="20"/>
          <w:szCs w:val="20"/>
        </w:rPr>
        <w:t xml:space="preserve"> a material adverse effect on our business, financial condition and results of operations.</w:t>
      </w:r>
    </w:p>
    <w:p w:rsidR="00000000" w:rsidRDefault="00E0782F">
      <w:pPr>
        <w:jc w:val="both"/>
        <w:divId w:val="1282961279"/>
        <w:rPr>
          <w:rFonts w:eastAsia="Times New Roman"/>
        </w:rPr>
      </w:pPr>
      <w:r>
        <w:rPr>
          <w:rFonts w:eastAsia="Times New Roman"/>
          <w:b/>
          <w:bCs/>
          <w:i/>
          <w:iCs/>
          <w:color w:val="000000"/>
          <w:sz w:val="20"/>
          <w:szCs w:val="20"/>
        </w:rPr>
        <w:t>If we are not able to invest successfully in and introduce digital and other technological developments across all our businesses, our financial performance may suffer.</w:t>
      </w:r>
    </w:p>
    <w:p w:rsidR="00000000" w:rsidRDefault="00E0782F">
      <w:pPr>
        <w:jc w:val="both"/>
        <w:divId w:val="54740177"/>
        <w:rPr>
          <w:rFonts w:eastAsia="Times New Roman"/>
        </w:rPr>
      </w:pPr>
      <w:r>
        <w:rPr>
          <w:rFonts w:eastAsia="Times New Roman"/>
          <w:color w:val="000000"/>
          <w:sz w:val="20"/>
          <w:szCs w:val="20"/>
        </w:rPr>
        <w:t xml:space="preserve">Our industry is subject to rapid and significant technological changes and our ability </w:t>
      </w:r>
      <w:r>
        <w:rPr>
          <w:rFonts w:eastAsia="Times New Roman"/>
          <w:color w:val="000000"/>
          <w:sz w:val="20"/>
          <w:szCs w:val="20"/>
        </w:rPr>
        <w:t>to meet our customers’ needs and expectations is key to our ability to grow revenue and earnings. We expect digital technologies to have a significant impact on banking over time. Consumers expect robust digital experiences from their financial services pr</w:t>
      </w:r>
      <w:r>
        <w:rPr>
          <w:rFonts w:eastAsia="Times New Roman"/>
          <w:color w:val="000000"/>
          <w:sz w:val="20"/>
          <w:szCs w:val="20"/>
        </w:rPr>
        <w:t>oviders. The ability for customers to access their accounts and conduct financial transactions using digital technology, including mobile applications, is an important aspect of the financial services industry and financial institutions are rapidly introdu</w:t>
      </w:r>
      <w:r>
        <w:rPr>
          <w:rFonts w:eastAsia="Times New Roman"/>
          <w:color w:val="000000"/>
          <w:sz w:val="20"/>
          <w:szCs w:val="20"/>
        </w:rPr>
        <w:t>cing new digital and other technology-driven products and services that aim to offer a better customer experience and to reduce costs. We continue to invest in digital technology designed to attract new customers, facilitate the ability of existing custome</w:t>
      </w:r>
      <w:r>
        <w:rPr>
          <w:rFonts w:eastAsia="Times New Roman"/>
          <w:color w:val="000000"/>
          <w:sz w:val="20"/>
          <w:szCs w:val="20"/>
        </w:rPr>
        <w:t>rs to conduct financial transactions and enhance the customer experience related to our products and services.</w:t>
      </w:r>
    </w:p>
    <w:p w:rsidR="00000000" w:rsidRDefault="00E0782F">
      <w:pPr>
        <w:jc w:val="both"/>
        <w:divId w:val="361785720"/>
        <w:rPr>
          <w:rFonts w:eastAsia="Times New Roman"/>
        </w:rPr>
      </w:pPr>
      <w:r>
        <w:rPr>
          <w:rFonts w:eastAsia="Times New Roman"/>
          <w:color w:val="000000"/>
          <w:sz w:val="20"/>
          <w:szCs w:val="20"/>
        </w:rPr>
        <w:t>Our continued success depends, in part, upon our ability to address the needs of our customers by using digital technology to provide products an</w:t>
      </w:r>
      <w:r>
        <w:rPr>
          <w:rFonts w:eastAsia="Times New Roman"/>
          <w:color w:val="000000"/>
          <w:sz w:val="20"/>
          <w:szCs w:val="20"/>
        </w:rPr>
        <w:t xml:space="preserve">d services that meet their expectations. The development and launch of new digital products and services depends in large part on our capacity to invest in and build the technology platforms that can enable them, in a cost effective and timely manner. See </w:t>
      </w:r>
      <w:r>
        <w:rPr>
          <w:rFonts w:eastAsia="Times New Roman"/>
          <w:color w:val="000000"/>
          <w:sz w:val="20"/>
          <w:szCs w:val="20"/>
        </w:rPr>
        <w:t>“</w:t>
      </w:r>
      <w:r>
        <w:rPr>
          <w:rFonts w:eastAsia="Times New Roman"/>
          <w:i/>
          <w:iCs/>
          <w:color w:val="000000"/>
          <w:sz w:val="20"/>
          <w:szCs w:val="20"/>
        </w:rPr>
        <w:t>We face intense competition in all of our markets</w:t>
      </w:r>
      <w:r>
        <w:rPr>
          <w:rFonts w:eastAsia="Times New Roman"/>
          <w:color w:val="000000"/>
          <w:sz w:val="20"/>
          <w:szCs w:val="20"/>
        </w:rPr>
        <w:t>” and “</w:t>
      </w:r>
      <w:r>
        <w:rPr>
          <w:rFonts w:eastAsia="Times New Roman"/>
          <w:i/>
          <w:iCs/>
          <w:color w:val="000000"/>
          <w:sz w:val="20"/>
          <w:szCs w:val="20"/>
        </w:rPr>
        <w:t>We face risks related to our operational, technological and organizational infrastructure.</w:t>
      </w:r>
      <w:r>
        <w:rPr>
          <w:rFonts w:eastAsia="Times New Roman"/>
          <w:color w:val="000000"/>
          <w:sz w:val="20"/>
          <w:szCs w:val="20"/>
        </w:rPr>
        <w:t>”</w:t>
      </w:r>
    </w:p>
    <w:p w:rsidR="00000000" w:rsidRDefault="00E0782F">
      <w:pPr>
        <w:jc w:val="both"/>
        <w:divId w:val="1037008809"/>
        <w:rPr>
          <w:rFonts w:eastAsia="Times New Roman"/>
        </w:rPr>
      </w:pPr>
      <w:r>
        <w:rPr>
          <w:rFonts w:eastAsia="Times New Roman"/>
          <w:color w:val="000000"/>
          <w:sz w:val="20"/>
          <w:szCs w:val="20"/>
        </w:rPr>
        <w:t>Some of our competitors are substantially larger than we are, which may allow those competitors to invest m</w:t>
      </w:r>
      <w:r>
        <w:rPr>
          <w:rFonts w:eastAsia="Times New Roman"/>
          <w:color w:val="000000"/>
          <w:sz w:val="20"/>
          <w:szCs w:val="20"/>
        </w:rPr>
        <w:t>ore money into their technology infrastructure and digital innovation than we do. In addition, we face intense competition from smaller companies which experience lower cost structures and different regulatory requirements and scrutiny than we do, and whic</w:t>
      </w:r>
      <w:r>
        <w:rPr>
          <w:rFonts w:eastAsia="Times New Roman"/>
          <w:color w:val="000000"/>
          <w:sz w:val="20"/>
          <w:szCs w:val="20"/>
        </w:rPr>
        <w:t>h may allow them to innovate more rapidly than we can. See “</w:t>
      </w:r>
      <w:r>
        <w:rPr>
          <w:rFonts w:eastAsia="Times New Roman"/>
          <w:i/>
          <w:iCs/>
          <w:color w:val="000000"/>
          <w:sz w:val="20"/>
          <w:szCs w:val="20"/>
        </w:rPr>
        <w:t>We face intense competition in all of our markets.</w:t>
      </w:r>
      <w:r>
        <w:rPr>
          <w:rFonts w:eastAsia="Times New Roman"/>
          <w:color w:val="000000"/>
          <w:sz w:val="20"/>
          <w:szCs w:val="20"/>
        </w:rPr>
        <w:t>” Further, our success depends on our ability to attract and retain strong digital and technology leaders, engineers and other specialized personn</w:t>
      </w:r>
      <w:r>
        <w:rPr>
          <w:rFonts w:eastAsia="Times New Roman"/>
          <w:color w:val="000000"/>
          <w:sz w:val="20"/>
          <w:szCs w:val="20"/>
        </w:rPr>
        <w:t>el. The competition is intense, and the compensation costs continue to increase for such talent. If we are unable to attract and retain digital and technology talent, our ability to offer digital products and services and build the necessary technology inf</w:t>
      </w:r>
      <w:r>
        <w:rPr>
          <w:rFonts w:eastAsia="Times New Roman"/>
          <w:color w:val="000000"/>
          <w:sz w:val="20"/>
          <w:szCs w:val="20"/>
        </w:rPr>
        <w:t>rastructure could be negatively affected, which could negatively impact our business and financial results. A failure to maintain or enhance our competitive position with respect to digital products and services, whether because we fail to anticipate custo</w:t>
      </w:r>
      <w:r>
        <w:rPr>
          <w:rFonts w:eastAsia="Times New Roman"/>
          <w:color w:val="000000"/>
          <w:sz w:val="20"/>
          <w:szCs w:val="20"/>
        </w:rPr>
        <w:t>mer expectations or because our technological developments fail to perform as desired or are not implemented in a timely or successful manner, could negatively impact our business and financial results.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197953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9197953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9197953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0" style="width:0;height:1.5pt" o:hralign="center" o:hrstd="t" o:hr="t" fillcolor="#a0a0a0" stroked="f"/>
        </w:pict>
      </w:r>
    </w:p>
    <w:p w:rsidR="00000000" w:rsidRDefault="00E0782F">
      <w:pPr>
        <w:jc w:val="both"/>
        <w:divId w:val="124217521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2125728051"/>
        <w:rPr>
          <w:rFonts w:eastAsia="Times New Roman"/>
        </w:rPr>
      </w:pPr>
      <w:r>
        <w:rPr>
          <w:rFonts w:eastAsia="Times New Roman"/>
          <w:b/>
          <w:bCs/>
          <w:i/>
          <w:iCs/>
          <w:color w:val="000000"/>
          <w:sz w:val="20"/>
          <w:szCs w:val="20"/>
        </w:rPr>
        <w:t>We may fail to realize all of the anticipated benefits of our mergers, acquisitions and strategic partnerships.</w:t>
      </w:r>
    </w:p>
    <w:p w:rsidR="00000000" w:rsidRDefault="00E0782F">
      <w:pPr>
        <w:jc w:val="both"/>
        <w:divId w:val="1792166255"/>
        <w:rPr>
          <w:rFonts w:eastAsia="Times New Roman"/>
        </w:rPr>
      </w:pPr>
      <w:r>
        <w:rPr>
          <w:rFonts w:eastAsia="Times New Roman"/>
          <w:color w:val="000000"/>
          <w:sz w:val="20"/>
          <w:szCs w:val="20"/>
        </w:rPr>
        <w:t>We have engaged in merger and ac</w:t>
      </w:r>
      <w:r>
        <w:rPr>
          <w:rFonts w:eastAsia="Times New Roman"/>
          <w:color w:val="000000"/>
          <w:sz w:val="20"/>
          <w:szCs w:val="20"/>
        </w:rPr>
        <w:t>quisition activity and entered into strategic partnerships over the past several years. We continue to evaluate and anticipate engaging in, among other merger and acquisition activity, additional strategic partnerships and selected acquisitions of financia</w:t>
      </w:r>
      <w:r>
        <w:rPr>
          <w:rFonts w:eastAsia="Times New Roman"/>
          <w:color w:val="000000"/>
          <w:sz w:val="20"/>
          <w:szCs w:val="20"/>
        </w:rPr>
        <w:t>l institutions and other acquisition targets, including credit card and other loan portfolios. We may not be able to identify and secure future acquisition targets on terms and conditions that are acceptable to us, or successfully complete within the antic</w:t>
      </w:r>
      <w:r>
        <w:rPr>
          <w:rFonts w:eastAsia="Times New Roman"/>
          <w:color w:val="000000"/>
          <w:sz w:val="20"/>
          <w:szCs w:val="20"/>
        </w:rPr>
        <w:t>ipated time frame and achieve the anticipated benefits of proposed mergers, acquisitions and strategic partnerships, which could impair our growth.</w:t>
      </w:r>
    </w:p>
    <w:p w:rsidR="00000000" w:rsidRDefault="00E0782F">
      <w:pPr>
        <w:jc w:val="both"/>
        <w:divId w:val="941228491"/>
        <w:rPr>
          <w:rFonts w:eastAsia="Times New Roman"/>
        </w:rPr>
      </w:pPr>
      <w:r>
        <w:rPr>
          <w:rFonts w:eastAsia="Times New Roman"/>
          <w:color w:val="000000"/>
          <w:sz w:val="20"/>
          <w:szCs w:val="20"/>
        </w:rPr>
        <w:t>Any merger, acquisition or strategic partnership we undertake entails certain risks, which may materially an</w:t>
      </w:r>
      <w:r>
        <w:rPr>
          <w:rFonts w:eastAsia="Times New Roman"/>
          <w:color w:val="000000"/>
          <w:sz w:val="20"/>
          <w:szCs w:val="20"/>
        </w:rPr>
        <w:t>d adversely affect our results of operations. If we experience greater than anticipated costs to integrate acquired businesses into our existing operations, or are not able to achieve the anticipated benefits of any merger, acquisition or strategic partner</w:t>
      </w:r>
      <w:r>
        <w:rPr>
          <w:rFonts w:eastAsia="Times New Roman"/>
          <w:color w:val="000000"/>
          <w:sz w:val="20"/>
          <w:szCs w:val="20"/>
        </w:rPr>
        <w:t xml:space="preserve">ship, including cost savings and other synergies, our business could be negatively affected. In addition, it is possible that the ongoing integration processes could result in the loss of key employees, errors or delays in systems implementation, exposure </w:t>
      </w:r>
      <w:r>
        <w:rPr>
          <w:rFonts w:eastAsia="Times New Roman"/>
          <w:color w:val="000000"/>
          <w:sz w:val="20"/>
          <w:szCs w:val="20"/>
        </w:rPr>
        <w:t>to cybersecurity risks associated with acquired businesses, exposure to additional regulatory oversight, the disruption of our ongoing businesses or inconsistencies in standards, controls, procedures and policies that adversely affect our ability to mainta</w:t>
      </w:r>
      <w:r>
        <w:rPr>
          <w:rFonts w:eastAsia="Times New Roman"/>
          <w:color w:val="000000"/>
          <w:sz w:val="20"/>
          <w:szCs w:val="20"/>
        </w:rPr>
        <w:t>in relationships with partners, clients, customers, depositors and employees or to achieve the anticipated benefits of any merger, acquisition or strategic partnership. Integration efforts also may divert management attention and resources. These integrati</w:t>
      </w:r>
      <w:r>
        <w:rPr>
          <w:rFonts w:eastAsia="Times New Roman"/>
          <w:color w:val="000000"/>
          <w:sz w:val="20"/>
          <w:szCs w:val="20"/>
        </w:rPr>
        <w:t>on matters may have an adverse effect on us during any transition period.</w:t>
      </w:r>
    </w:p>
    <w:p w:rsidR="00000000" w:rsidRDefault="00E0782F">
      <w:pPr>
        <w:jc w:val="both"/>
        <w:divId w:val="1109659250"/>
        <w:rPr>
          <w:rFonts w:eastAsia="Times New Roman"/>
        </w:rPr>
      </w:pPr>
      <w:r>
        <w:rPr>
          <w:rFonts w:eastAsia="Times New Roman"/>
          <w:color w:val="000000"/>
          <w:sz w:val="20"/>
          <w:szCs w:val="20"/>
        </w:rPr>
        <w:t>In addition, we may face the following risks in connection with any merger, acquisition or strategic partnership:</w:t>
      </w:r>
    </w:p>
    <w:p w:rsidR="00000000" w:rsidRDefault="00E0782F">
      <w:pPr>
        <w:ind w:hanging="360"/>
        <w:jc w:val="both"/>
        <w:divId w:val="940528158"/>
        <w:rPr>
          <w:rFonts w:eastAsia="Times New Roman"/>
        </w:rPr>
      </w:pPr>
      <w:r>
        <w:rPr>
          <w:rFonts w:eastAsia="Times New Roman"/>
          <w:color w:val="000000"/>
          <w:sz w:val="20"/>
          <w:szCs w:val="20"/>
        </w:rPr>
        <w:t>•</w:t>
      </w:r>
      <w:r>
        <w:rPr>
          <w:rFonts w:eastAsia="Times New Roman"/>
          <w:i/>
          <w:iCs/>
          <w:color w:val="000000"/>
          <w:sz w:val="20"/>
          <w:szCs w:val="20"/>
        </w:rPr>
        <w:t>New Businesses and Geographic or Other Markets:</w:t>
      </w:r>
      <w:r>
        <w:rPr>
          <w:rFonts w:eastAsia="Times New Roman"/>
          <w:color w:val="000000"/>
          <w:sz w:val="20"/>
          <w:szCs w:val="20"/>
        </w:rPr>
        <w:t xml:space="preserve"> Our merger, acquisi</w:t>
      </w:r>
      <w:r>
        <w:rPr>
          <w:rFonts w:eastAsia="Times New Roman"/>
          <w:color w:val="000000"/>
          <w:sz w:val="20"/>
          <w:szCs w:val="20"/>
        </w:rPr>
        <w:t xml:space="preserve">tion or strategic partnership activity may involve our entry into new businesses and new geographic areas or other markets which present risks resulting from our relative inexperience in these new businesses or markets. These new businesses or markets may </w:t>
      </w:r>
      <w:r>
        <w:rPr>
          <w:rFonts w:eastAsia="Times New Roman"/>
          <w:color w:val="000000"/>
          <w:sz w:val="20"/>
          <w:szCs w:val="20"/>
        </w:rPr>
        <w:t>change the overall character of our consolidated portfolio of businesses and alter our exposure to economic and other external factors. We face the risk that we will not be successful in these new businesses or in these new markets.</w:t>
      </w:r>
    </w:p>
    <w:p w:rsidR="00000000" w:rsidRDefault="00E0782F">
      <w:pPr>
        <w:ind w:hanging="360"/>
        <w:jc w:val="both"/>
        <w:divId w:val="1539197550"/>
        <w:rPr>
          <w:rFonts w:eastAsia="Times New Roman"/>
        </w:rPr>
      </w:pPr>
      <w:r>
        <w:rPr>
          <w:rFonts w:eastAsia="Times New Roman"/>
          <w:color w:val="000000"/>
          <w:sz w:val="20"/>
          <w:szCs w:val="20"/>
        </w:rPr>
        <w:t>•</w:t>
      </w:r>
      <w:r>
        <w:rPr>
          <w:rFonts w:eastAsia="Times New Roman"/>
          <w:i/>
          <w:iCs/>
          <w:color w:val="000000"/>
          <w:sz w:val="20"/>
          <w:szCs w:val="20"/>
        </w:rPr>
        <w:t>Identification and Ass</w:t>
      </w:r>
      <w:r>
        <w:rPr>
          <w:rFonts w:eastAsia="Times New Roman"/>
          <w:i/>
          <w:iCs/>
          <w:color w:val="000000"/>
          <w:sz w:val="20"/>
          <w:szCs w:val="20"/>
        </w:rPr>
        <w:t>essment of Merger and Acquisition Targets and Deployment of Acquired Assets:</w:t>
      </w:r>
      <w:r>
        <w:rPr>
          <w:rFonts w:eastAsia="Times New Roman"/>
          <w:color w:val="000000"/>
          <w:sz w:val="20"/>
          <w:szCs w:val="20"/>
        </w:rPr>
        <w:t xml:space="preserve"> We may not be able to identify, acquire or partner with suitable targets. Further, our ability to achieve the anticipated benefits of any merger, acquisition or strategic partners</w:t>
      </w:r>
      <w:r>
        <w:rPr>
          <w:rFonts w:eastAsia="Times New Roman"/>
          <w:color w:val="000000"/>
          <w:sz w:val="20"/>
          <w:szCs w:val="20"/>
        </w:rPr>
        <w:t>hip will depend on our ability to assess the asset quality and value of the particular assets or institutions we partner with, merge with or acquire. We may be unable to profitably deploy any assets we acquire.</w:t>
      </w:r>
    </w:p>
    <w:p w:rsidR="00000000" w:rsidRDefault="00E0782F">
      <w:pPr>
        <w:ind w:hanging="360"/>
        <w:jc w:val="both"/>
        <w:divId w:val="2051682341"/>
        <w:rPr>
          <w:rFonts w:eastAsia="Times New Roman"/>
        </w:rPr>
      </w:pPr>
      <w:r>
        <w:rPr>
          <w:rFonts w:eastAsia="Times New Roman"/>
          <w:color w:val="000000"/>
          <w:sz w:val="20"/>
          <w:szCs w:val="20"/>
        </w:rPr>
        <w:t>•</w:t>
      </w:r>
      <w:r>
        <w:rPr>
          <w:rFonts w:eastAsia="Times New Roman"/>
          <w:i/>
          <w:iCs/>
          <w:color w:val="000000"/>
          <w:sz w:val="20"/>
          <w:szCs w:val="20"/>
        </w:rPr>
        <w:t>Accuracy of Assumptions:</w:t>
      </w:r>
      <w:r>
        <w:rPr>
          <w:rFonts w:eastAsia="Times New Roman"/>
          <w:color w:val="000000"/>
          <w:sz w:val="20"/>
          <w:szCs w:val="20"/>
        </w:rPr>
        <w:t xml:space="preserve"> In connection with </w:t>
      </w:r>
      <w:r>
        <w:rPr>
          <w:rFonts w:eastAsia="Times New Roman"/>
          <w:color w:val="000000"/>
          <w:sz w:val="20"/>
          <w:szCs w:val="20"/>
        </w:rPr>
        <w:t>any merger, acquisition or strategic partnership, we may make certain assumptions relating to the proposed merger, acquisition or strategic partnership that may be, or may prove to be, inaccurate, including as a result of the failure to realize the expecte</w:t>
      </w:r>
      <w:r>
        <w:rPr>
          <w:rFonts w:eastAsia="Times New Roman"/>
          <w:color w:val="000000"/>
          <w:sz w:val="20"/>
          <w:szCs w:val="20"/>
        </w:rPr>
        <w:t>d benefits of any merger, acquisition or strategic partnership. The inaccuracy of any assumptions we may make could result in unanticipated consequences that could have a material adverse effect on our results of operations or financial condition.</w:t>
      </w:r>
    </w:p>
    <w:p w:rsidR="00000000" w:rsidRDefault="00E0782F">
      <w:pPr>
        <w:ind w:hanging="360"/>
        <w:jc w:val="both"/>
        <w:divId w:val="279728283"/>
        <w:rPr>
          <w:rFonts w:eastAsia="Times New Roman"/>
        </w:rPr>
      </w:pPr>
      <w:r>
        <w:rPr>
          <w:rFonts w:eastAsia="Times New Roman"/>
          <w:color w:val="000000"/>
          <w:sz w:val="20"/>
          <w:szCs w:val="20"/>
        </w:rPr>
        <w:t>•</w:t>
      </w:r>
      <w:r>
        <w:rPr>
          <w:rFonts w:eastAsia="Times New Roman"/>
          <w:i/>
          <w:iCs/>
          <w:color w:val="000000"/>
          <w:sz w:val="20"/>
          <w:szCs w:val="20"/>
        </w:rPr>
        <w:t>Target-</w:t>
      </w:r>
      <w:r>
        <w:rPr>
          <w:rFonts w:eastAsia="Times New Roman"/>
          <w:i/>
          <w:iCs/>
          <w:color w:val="000000"/>
          <w:sz w:val="20"/>
          <w:szCs w:val="20"/>
        </w:rPr>
        <w:t>specific Risk:</w:t>
      </w:r>
      <w:r>
        <w:rPr>
          <w:rFonts w:eastAsia="Times New Roman"/>
          <w:color w:val="000000"/>
          <w:sz w:val="20"/>
          <w:szCs w:val="20"/>
        </w:rPr>
        <w:t xml:space="preserve"> Assets and companies that we acquire, or companies that we enter into strategic partnerships with, will have their own risks that are specific to a particular asset or company. These risks include, but are not limited to, particular or speci</w:t>
      </w:r>
      <w:r>
        <w:rPr>
          <w:rFonts w:eastAsia="Times New Roman"/>
          <w:color w:val="000000"/>
          <w:sz w:val="20"/>
          <w:szCs w:val="20"/>
        </w:rPr>
        <w:t>fic regulatory, accounting, operational, reputational and industry risks, any of which could have a material adverse effect on our results of operations or financial condition. For example, we may face challenges associated with integrating other companies</w:t>
      </w:r>
      <w:r>
        <w:rPr>
          <w:rFonts w:eastAsia="Times New Roman"/>
          <w:color w:val="000000"/>
          <w:sz w:val="20"/>
          <w:szCs w:val="20"/>
        </w:rPr>
        <w:t xml:space="preserve"> due to differences in corporate culture, compliance systems or standards of conduct. Indemnification rights, if any, may be insufficient to compensate us for any losses or damages resulting from such risks. In addition to regulatory approvals discussed be</w:t>
      </w:r>
      <w:r>
        <w:rPr>
          <w:rFonts w:eastAsia="Times New Roman"/>
          <w:color w:val="000000"/>
          <w:sz w:val="20"/>
          <w:szCs w:val="20"/>
        </w:rPr>
        <w:t>low, certain of our merger, acquisition or partnership activity may require third-party consents in order for us to fully realize the anticipated benefits of any such transaction.</w:t>
      </w:r>
    </w:p>
    <w:p w:rsidR="00000000" w:rsidRDefault="00E0782F">
      <w:pPr>
        <w:ind w:hanging="360"/>
        <w:jc w:val="both"/>
        <w:divId w:val="1827896811"/>
        <w:rPr>
          <w:rFonts w:eastAsia="Times New Roman"/>
        </w:rPr>
      </w:pPr>
      <w:r>
        <w:rPr>
          <w:rFonts w:eastAsia="Times New Roman"/>
          <w:color w:val="000000"/>
          <w:sz w:val="20"/>
          <w:szCs w:val="20"/>
        </w:rPr>
        <w:t>•</w:t>
      </w:r>
      <w:r>
        <w:rPr>
          <w:rFonts w:eastAsia="Times New Roman"/>
          <w:i/>
          <w:iCs/>
          <w:color w:val="000000"/>
          <w:sz w:val="20"/>
          <w:szCs w:val="20"/>
        </w:rPr>
        <w:t>Conditions to Regulatory Approval:</w:t>
      </w:r>
      <w:r>
        <w:rPr>
          <w:rFonts w:eastAsia="Times New Roman"/>
          <w:color w:val="000000"/>
          <w:sz w:val="20"/>
          <w:szCs w:val="20"/>
        </w:rPr>
        <w:t xml:space="preserve"> Certain acquisitions may not be consumma</w:t>
      </w:r>
      <w:r>
        <w:rPr>
          <w:rFonts w:eastAsia="Times New Roman"/>
          <w:color w:val="000000"/>
          <w:sz w:val="20"/>
          <w:szCs w:val="20"/>
        </w:rPr>
        <w:t xml:space="preserve">ted without obtaining approvals from one or more of our regulators. We cannot be certain when or if, or on what terms and conditions, any required regulatory approvals will be granted. Consequently, we might be required to sell portions of acquired assets </w:t>
      </w:r>
      <w:r>
        <w:rPr>
          <w:rFonts w:eastAsia="Times New Roman"/>
          <w:color w:val="000000"/>
          <w:sz w:val="20"/>
          <w:szCs w:val="20"/>
        </w:rPr>
        <w:t>or our own assets as a condition to receiving regulatory approval or we may not obtain regulatory approval for a proposed acquisition on acceptable terms or at all, in which case we would not be able to complete the acquisition despite the time and expense</w:t>
      </w:r>
      <w:r>
        <w:rPr>
          <w:rFonts w:eastAsia="Times New Roman"/>
          <w:color w:val="000000"/>
          <w:sz w:val="20"/>
          <w:szCs w:val="20"/>
        </w:rPr>
        <w:t>s invested in pursuing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41261266"/>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4126126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4126126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1" style="width:0;height:1.5pt" o:hralign="center" o:hrstd="t" o:hr="t" fillcolor="#a0a0a0" stroked="f"/>
        </w:pict>
      </w:r>
    </w:p>
    <w:p w:rsidR="00000000" w:rsidRDefault="00E0782F">
      <w:pPr>
        <w:jc w:val="both"/>
        <w:divId w:val="133460154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1546598373"/>
        <w:rPr>
          <w:rFonts w:eastAsia="Times New Roman"/>
        </w:rPr>
      </w:pPr>
      <w:r>
        <w:rPr>
          <w:rFonts w:eastAsia="Times New Roman"/>
          <w:b/>
          <w:bCs/>
          <w:i/>
          <w:iCs/>
          <w:color w:val="000000"/>
          <w:sz w:val="20"/>
          <w:szCs w:val="20"/>
        </w:rPr>
        <w:t>Reputational risk and social factors may impact our results and damage our brand.</w:t>
      </w:r>
    </w:p>
    <w:p w:rsidR="00000000" w:rsidRDefault="00E0782F">
      <w:pPr>
        <w:jc w:val="both"/>
        <w:divId w:val="1691175917"/>
        <w:rPr>
          <w:rFonts w:eastAsia="Times New Roman"/>
        </w:rPr>
      </w:pPr>
      <w:r>
        <w:rPr>
          <w:rFonts w:eastAsia="Times New Roman"/>
          <w:color w:val="000000"/>
          <w:sz w:val="20"/>
          <w:szCs w:val="20"/>
        </w:rPr>
        <w:t>Our ability to attract and retain customers is highly dependen</w:t>
      </w:r>
      <w:r>
        <w:rPr>
          <w:rFonts w:eastAsia="Times New Roman"/>
          <w:color w:val="000000"/>
          <w:sz w:val="20"/>
          <w:szCs w:val="20"/>
        </w:rPr>
        <w:t>t upon the perceptions of consumer and commercial borrowers and deposit holders and other external perceptions of our products, services, trustworthiness, business practices, workplace culture, compliance practices or our financial health. In addition, our</w:t>
      </w:r>
      <w:r>
        <w:rPr>
          <w:rFonts w:eastAsia="Times New Roman"/>
          <w:color w:val="000000"/>
          <w:sz w:val="20"/>
          <w:szCs w:val="20"/>
        </w:rPr>
        <w:t xml:space="preserve"> brand is very important to us. Maintaining and enhancing our brand depends largely on our ability to continue to provide high-quality products and services. Adverse perceptions regarding our reputation in the consumer, commercial and funding markets could</w:t>
      </w:r>
      <w:r>
        <w:rPr>
          <w:rFonts w:eastAsia="Times New Roman"/>
          <w:color w:val="000000"/>
          <w:sz w:val="20"/>
          <w:szCs w:val="20"/>
        </w:rPr>
        <w:t xml:space="preserve"> lead to difficulties in generating and maintaining accounts as well as in financing them. In particular, negative public perceptions regarding our reputation, including negative perceptions regarding our ability to maintain the security of our technology </w:t>
      </w:r>
      <w:r>
        <w:rPr>
          <w:rFonts w:eastAsia="Times New Roman"/>
          <w:color w:val="000000"/>
          <w:sz w:val="20"/>
          <w:szCs w:val="20"/>
        </w:rPr>
        <w:t>systems and protect customer data, could lead to decreases in the levels of deposits that consumer and commercial customers and potential customers choose to maintain with us or significantly increase the costs of attracting and retaining customers. In add</w:t>
      </w:r>
      <w:r>
        <w:rPr>
          <w:rFonts w:eastAsia="Times New Roman"/>
          <w:color w:val="000000"/>
          <w:sz w:val="20"/>
          <w:szCs w:val="20"/>
        </w:rPr>
        <w:t>ition, negative perceptions regarding certain industries, partners or clients could also prompt us to cease business activities associated with those entities.</w:t>
      </w:r>
    </w:p>
    <w:p w:rsidR="00000000" w:rsidRDefault="00E0782F">
      <w:pPr>
        <w:jc w:val="both"/>
        <w:divId w:val="1400711739"/>
        <w:rPr>
          <w:rFonts w:eastAsia="Times New Roman"/>
        </w:rPr>
      </w:pPr>
      <w:r>
        <w:rPr>
          <w:rFonts w:eastAsia="Times New Roman"/>
          <w:color w:val="000000"/>
          <w:sz w:val="20"/>
          <w:szCs w:val="20"/>
        </w:rPr>
        <w:t>Negative public opinion or damage to our brand could also result from actual or alleged conduct in any number of activities or circumstances, including lending practices, regulatory compliance, security breaches (including the use and protection of custome</w:t>
      </w:r>
      <w:r>
        <w:rPr>
          <w:rFonts w:eastAsia="Times New Roman"/>
          <w:color w:val="000000"/>
          <w:sz w:val="20"/>
          <w:szCs w:val="20"/>
        </w:rPr>
        <w:t>r information, such as resulting from the Cybersecurity Incident), corporate governance and sales and marketing, and from actions taken by regulators or other persons in response to such conduct. Such conduct could fall short of our customers’ and the publ</w:t>
      </w:r>
      <w:r>
        <w:rPr>
          <w:rFonts w:eastAsia="Times New Roman"/>
          <w:color w:val="000000"/>
          <w:sz w:val="20"/>
          <w:szCs w:val="20"/>
        </w:rPr>
        <w:t>ic’s heightened expectations of companies of our size with rigorous data, privacy and compliance practices, and could further harm our reputation. In addition, our cobrand and private label partners or other third parties with whom we have important relati</w:t>
      </w:r>
      <w:r>
        <w:rPr>
          <w:rFonts w:eastAsia="Times New Roman"/>
          <w:color w:val="000000"/>
          <w:sz w:val="20"/>
          <w:szCs w:val="20"/>
        </w:rPr>
        <w:t>onships may take actions over which we have limited control that could negatively impact perceptions about us or the financial services industry. The proliferation of social media may increase the likelihood that negative public opinion from any of the eve</w:t>
      </w:r>
      <w:r>
        <w:rPr>
          <w:rFonts w:eastAsia="Times New Roman"/>
          <w:color w:val="000000"/>
          <w:sz w:val="20"/>
          <w:szCs w:val="20"/>
        </w:rPr>
        <w:t>nts discussed above will impact our reputation and business.</w:t>
      </w:r>
    </w:p>
    <w:p w:rsidR="00000000" w:rsidRDefault="00E0782F">
      <w:pPr>
        <w:jc w:val="both"/>
        <w:divId w:val="616570264"/>
        <w:rPr>
          <w:rFonts w:eastAsia="Times New Roman"/>
        </w:rPr>
      </w:pPr>
      <w:r>
        <w:rPr>
          <w:rFonts w:eastAsia="Times New Roman"/>
          <w:color w:val="000000"/>
          <w:sz w:val="20"/>
          <w:szCs w:val="20"/>
        </w:rPr>
        <w:t>In addition, a variety of social factors may cause changes in borrowing activity, including credit card use, payment patterns and the rate of defaults by account holders and borrowers domesticall</w:t>
      </w:r>
      <w:r>
        <w:rPr>
          <w:rFonts w:eastAsia="Times New Roman"/>
          <w:color w:val="000000"/>
          <w:sz w:val="20"/>
          <w:szCs w:val="20"/>
        </w:rPr>
        <w:t>y and internationally. These social factors include changes in consumer confidence levels, the public’s perception regarding the banking industry and consumer debt, including credit card use, and changing attitudes about the stigma of bankruptcy. If consum</w:t>
      </w:r>
      <w:r>
        <w:rPr>
          <w:rFonts w:eastAsia="Times New Roman"/>
          <w:color w:val="000000"/>
          <w:sz w:val="20"/>
          <w:szCs w:val="20"/>
        </w:rPr>
        <w:t>ers develop or maintain negative attitudes about incurring debt, or if consumption trends decline or if we fail to maintain and enhance our brand, or we incur significant expenses to do so, our business and financial results could be materially and negativ</w:t>
      </w:r>
      <w:r>
        <w:rPr>
          <w:rFonts w:eastAsia="Times New Roman"/>
          <w:color w:val="000000"/>
          <w:sz w:val="20"/>
          <w:szCs w:val="20"/>
        </w:rPr>
        <w:t>ely affected.</w:t>
      </w:r>
    </w:p>
    <w:p w:rsidR="00000000" w:rsidRDefault="00E0782F">
      <w:pPr>
        <w:divId w:val="1533685349"/>
        <w:rPr>
          <w:rFonts w:eastAsia="Times New Roman"/>
        </w:rPr>
      </w:pPr>
      <w:r>
        <w:rPr>
          <w:rFonts w:eastAsia="Times New Roman"/>
          <w:b/>
          <w:bCs/>
          <w:i/>
          <w:iCs/>
          <w:color w:val="000000"/>
          <w:sz w:val="20"/>
          <w:szCs w:val="20"/>
        </w:rPr>
        <w:t>If we are not able to protect our intellectual property, our revenue and profitability could be negatively affected.</w:t>
      </w:r>
    </w:p>
    <w:p w:rsidR="00000000" w:rsidRDefault="00E0782F">
      <w:pPr>
        <w:jc w:val="both"/>
        <w:divId w:val="2041858218"/>
        <w:rPr>
          <w:rFonts w:eastAsia="Times New Roman"/>
        </w:rPr>
      </w:pPr>
      <w:r>
        <w:rPr>
          <w:rFonts w:eastAsia="Times New Roman"/>
          <w:color w:val="000000"/>
          <w:sz w:val="20"/>
          <w:szCs w:val="20"/>
        </w:rPr>
        <w:t>We rely on a variety of measures to protect and enhance our intellectual property, including copyrights, trademarks, trade se</w:t>
      </w:r>
      <w:r>
        <w:rPr>
          <w:rFonts w:eastAsia="Times New Roman"/>
          <w:color w:val="000000"/>
          <w:sz w:val="20"/>
          <w:szCs w:val="20"/>
        </w:rPr>
        <w:t>crets, patents and certain restrictions on disclosure, solicitation and competition. We also undertake other measures to control access to and distribution of our other proprietary information. These measures may not prevent misappropriation of our proprie</w:t>
      </w:r>
      <w:r>
        <w:rPr>
          <w:rFonts w:eastAsia="Times New Roman"/>
          <w:color w:val="000000"/>
          <w:sz w:val="20"/>
          <w:szCs w:val="20"/>
        </w:rPr>
        <w:t>tary information or infringement of our intellectual property rights and a resulting loss of competitive advantage. In addition, our competitors or other third parties may file patent applications for innovations that are used in our industry or allege tha</w:t>
      </w:r>
      <w:r>
        <w:rPr>
          <w:rFonts w:eastAsia="Times New Roman"/>
          <w:color w:val="000000"/>
          <w:sz w:val="20"/>
          <w:szCs w:val="20"/>
        </w:rPr>
        <w:t>t our systems, processes or technologies infringe on their intellectual property rights. If our competitors or other third parties are successful in obtaining such patents or prevail in intellectual property-related litigation against us, we could lose sig</w:t>
      </w:r>
      <w:r>
        <w:rPr>
          <w:rFonts w:eastAsia="Times New Roman"/>
          <w:color w:val="000000"/>
          <w:sz w:val="20"/>
          <w:szCs w:val="20"/>
        </w:rPr>
        <w:t>nificant revenues, incur significant license, royalty or technology development expenses, or pay significant damages.</w:t>
      </w:r>
    </w:p>
    <w:p w:rsidR="00000000" w:rsidRDefault="00E0782F">
      <w:pPr>
        <w:jc w:val="both"/>
        <w:divId w:val="955527390"/>
        <w:rPr>
          <w:rFonts w:eastAsia="Times New Roman"/>
        </w:rPr>
      </w:pPr>
      <w:r>
        <w:rPr>
          <w:rFonts w:eastAsia="Times New Roman"/>
          <w:b/>
          <w:bCs/>
          <w:i/>
          <w:iCs/>
          <w:color w:val="000000"/>
          <w:sz w:val="20"/>
          <w:szCs w:val="20"/>
        </w:rPr>
        <w:t>Our risk management strategies may not be fully effective in mitigating our risk exposures in all market environments or against all types</w:t>
      </w:r>
      <w:r>
        <w:rPr>
          <w:rFonts w:eastAsia="Times New Roman"/>
          <w:b/>
          <w:bCs/>
          <w:i/>
          <w:iCs/>
          <w:color w:val="000000"/>
          <w:sz w:val="20"/>
          <w:szCs w:val="20"/>
        </w:rPr>
        <w:t xml:space="preserve"> of risk.</w:t>
      </w:r>
    </w:p>
    <w:p w:rsidR="00000000" w:rsidRDefault="00E0782F">
      <w:pPr>
        <w:jc w:val="both"/>
        <w:divId w:val="1103962010"/>
        <w:rPr>
          <w:rFonts w:eastAsia="Times New Roman"/>
        </w:rPr>
      </w:pPr>
      <w:r>
        <w:rPr>
          <w:rFonts w:eastAsia="Times New Roman"/>
          <w:color w:val="000000"/>
          <w:sz w:val="20"/>
          <w:szCs w:val="20"/>
        </w:rPr>
        <w:t>Management of market, credit, liquidity, operational and compliance risk requires, among other things, policies and procedures to properly record and verify a large number of transactions and events. See “MD&amp;A—Risk Management” for further details</w:t>
      </w:r>
      <w:r>
        <w:rPr>
          <w:rFonts w:eastAsia="Times New Roman"/>
          <w:color w:val="000000"/>
          <w:sz w:val="20"/>
          <w:szCs w:val="20"/>
        </w:rPr>
        <w:t>. Even though we continue to devote significant resources to developing our risk management framework, our risk management strategies may not be fully effective in identifying and mitigating our risk exposure in all market environments or against all types</w:t>
      </w:r>
      <w:r>
        <w:rPr>
          <w:rFonts w:eastAsia="Times New Roman"/>
          <w:color w:val="000000"/>
          <w:sz w:val="20"/>
          <w:szCs w:val="20"/>
        </w:rPr>
        <w:t xml:space="preserve"> of risk, including risks that are unidentified or unanticipated.</w:t>
      </w:r>
    </w:p>
    <w:p w:rsidR="00000000" w:rsidRDefault="00E0782F">
      <w:pPr>
        <w:jc w:val="both"/>
        <w:divId w:val="1807041293"/>
        <w:rPr>
          <w:rFonts w:eastAsia="Times New Roman"/>
        </w:rPr>
      </w:pPr>
      <w:r>
        <w:rPr>
          <w:rFonts w:eastAsia="Times New Roman"/>
          <w:color w:val="000000"/>
          <w:sz w:val="20"/>
          <w:szCs w:val="20"/>
        </w:rPr>
        <w:t>Some of our methods of managing these risks are based upon our use of observed historical market behavior and management’s judgment. These methods may not accurately predict future exposures</w:t>
      </w:r>
      <w:r>
        <w:rPr>
          <w:rFonts w:eastAsia="Times New Roman"/>
          <w:color w:val="000000"/>
          <w:sz w:val="20"/>
          <w:szCs w:val="20"/>
        </w:rPr>
        <w:t xml:space="preserve">, which could be significantly greater than the historical measures indicate and market conditions, particularly during a period of financial market stress, can involve unprecedented dislocations. Credit risk is inherent in the financial services business </w:t>
      </w:r>
      <w:r>
        <w:rPr>
          <w:rFonts w:eastAsia="Times New Roman"/>
          <w:color w:val="000000"/>
          <w:sz w:val="20"/>
          <w:szCs w:val="20"/>
        </w:rPr>
        <w:t>and results from, among other things, extending credit to customers. Our ability to assess the creditworthiness of our customers may be impaired if the models and approaches we use to select, manage and underwrite our consumer and commercial customers beco</w:t>
      </w:r>
      <w:r>
        <w:rPr>
          <w:rFonts w:eastAsia="Times New Roman"/>
          <w:color w:val="000000"/>
          <w:sz w:val="20"/>
          <w:szCs w:val="20"/>
        </w:rPr>
        <w:t>me less predictive of future charge-offs due, for example, to rapid changes in the economy, including rapid changes in tariff rates and international trade relations.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4667347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84667347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84667347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2" style="width:0;height:1.5pt" o:hralign="center" o:hrstd="t" o:hr="t" fillcolor="#a0a0a0" stroked="f"/>
        </w:pict>
      </w:r>
    </w:p>
    <w:p w:rsidR="00000000" w:rsidRDefault="00E0782F">
      <w:pPr>
        <w:jc w:val="both"/>
        <w:divId w:val="177918207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161967322"/>
        <w:rPr>
          <w:rFonts w:eastAsia="Times New Roman"/>
        </w:rPr>
      </w:pPr>
      <w:r>
        <w:rPr>
          <w:rFonts w:eastAsia="Times New Roman"/>
          <w:color w:val="000000"/>
          <w:sz w:val="20"/>
          <w:szCs w:val="20"/>
        </w:rPr>
        <w:t>While we employ a broad and diversified set of risk monitoring and risk mitigation techniques, those techniques and the judgments that accompany</w:t>
      </w:r>
      <w:r>
        <w:rPr>
          <w:rFonts w:eastAsia="Times New Roman"/>
          <w:color w:val="000000"/>
          <w:sz w:val="20"/>
          <w:szCs w:val="20"/>
        </w:rPr>
        <w:t xml:space="preserve"> their application cannot anticipate every economic and financial outcome or the timing of such outcomes. For example, our ability to implement our risk management strategies may be hindered by adverse changes in the volatility or liquidity conditions in c</w:t>
      </w:r>
      <w:r>
        <w:rPr>
          <w:rFonts w:eastAsia="Times New Roman"/>
          <w:color w:val="000000"/>
          <w:sz w:val="20"/>
          <w:szCs w:val="20"/>
        </w:rPr>
        <w:t>ertain markets and as a result, may limit our ability to distribute such risks (for instance, when we seek to syndicate exposure in bridge financing transactions we have underwritten). We may, therefore, incur losses in the course of our risk management or</w:t>
      </w:r>
      <w:r>
        <w:rPr>
          <w:rFonts w:eastAsia="Times New Roman"/>
          <w:color w:val="000000"/>
          <w:sz w:val="20"/>
          <w:szCs w:val="20"/>
        </w:rPr>
        <w:t xml:space="preserve"> investing activities.</w:t>
      </w:r>
    </w:p>
    <w:p w:rsidR="00000000" w:rsidRDefault="00E0782F">
      <w:pPr>
        <w:jc w:val="both"/>
        <w:divId w:val="1955283467"/>
        <w:rPr>
          <w:rFonts w:eastAsia="Times New Roman"/>
        </w:rPr>
      </w:pPr>
      <w:r>
        <w:rPr>
          <w:rFonts w:eastAsia="Times New Roman"/>
          <w:b/>
          <w:bCs/>
          <w:i/>
          <w:iCs/>
          <w:color w:val="000000"/>
          <w:sz w:val="20"/>
          <w:szCs w:val="20"/>
        </w:rPr>
        <w:t>Fluctuations in market interest rates or volatility in the capital markets could adversely affect our income and expense, the value of assets and obligations, our regulatory capital, cost of capital or liquidity.</w:t>
      </w:r>
    </w:p>
    <w:p w:rsidR="00000000" w:rsidRDefault="00E0782F">
      <w:pPr>
        <w:jc w:val="both"/>
        <w:divId w:val="1179469367"/>
        <w:rPr>
          <w:rFonts w:eastAsia="Times New Roman"/>
        </w:rPr>
      </w:pPr>
      <w:r>
        <w:rPr>
          <w:rFonts w:eastAsia="Times New Roman"/>
          <w:color w:val="000000"/>
          <w:sz w:val="20"/>
          <w:szCs w:val="20"/>
        </w:rPr>
        <w:t>Like other financial</w:t>
      </w:r>
      <w:r>
        <w:rPr>
          <w:rFonts w:eastAsia="Times New Roman"/>
          <w:color w:val="000000"/>
          <w:sz w:val="20"/>
          <w:szCs w:val="20"/>
        </w:rPr>
        <w:t xml:space="preserve"> institutions, our business is sensitive to market interest rate movements and the performance of the capital markets. Disruptions, uncertainty or volatility across the capital markets could negatively impact market liquidity and limit our access to the fu</w:t>
      </w:r>
      <w:r>
        <w:rPr>
          <w:rFonts w:eastAsia="Times New Roman"/>
          <w:color w:val="000000"/>
          <w:sz w:val="20"/>
          <w:szCs w:val="20"/>
        </w:rPr>
        <w:t>nding required to operate and grow our business. In addition, changes in interest rates or in valuations in the debt or equity markets could directly impact us. For example, we borrow money from other institutions and depositors, which we use to make loans</w:t>
      </w:r>
      <w:r>
        <w:rPr>
          <w:rFonts w:eastAsia="Times New Roman"/>
          <w:color w:val="000000"/>
          <w:sz w:val="20"/>
          <w:szCs w:val="20"/>
        </w:rPr>
        <w:t xml:space="preserve"> to customers and invest in debt securities and other interest-earning assets. We earn interest on these loans and assets and pay interest on the money we borrow from institutions and depositors. The interest rates that we pay on the securities we have iss</w:t>
      </w:r>
      <w:r>
        <w:rPr>
          <w:rFonts w:eastAsia="Times New Roman"/>
          <w:color w:val="000000"/>
          <w:sz w:val="20"/>
          <w:szCs w:val="20"/>
        </w:rPr>
        <w:t>ued are also influenced by, among other things, applicable credit ratings from recognized rating agencies. A downgrade to any of these credit ratings could affect our ability to access the capital markets, increase our borrowing costs and have a negative i</w:t>
      </w:r>
      <w:r>
        <w:rPr>
          <w:rFonts w:eastAsia="Times New Roman"/>
          <w:color w:val="000000"/>
          <w:sz w:val="20"/>
          <w:szCs w:val="20"/>
        </w:rPr>
        <w:t>mpact on our results of operations. Increased charge-offs, rising LIBOR or other applicable reference rates and other events may cause our securitization transactions to amortize earlier than scheduled, which could accelerate our need for additional fundin</w:t>
      </w:r>
      <w:r>
        <w:rPr>
          <w:rFonts w:eastAsia="Times New Roman"/>
          <w:color w:val="000000"/>
          <w:sz w:val="20"/>
          <w:szCs w:val="20"/>
        </w:rPr>
        <w:t>g from other sources. Fluctuations in interest rates, including changes in the relationship between short-term rates and long-term rates and in the relationship between our funding basis rate and our lending basis rate, may have negative impacts on our net</w:t>
      </w:r>
      <w:r>
        <w:rPr>
          <w:rFonts w:eastAsia="Times New Roman"/>
          <w:color w:val="000000"/>
          <w:sz w:val="20"/>
          <w:szCs w:val="20"/>
        </w:rPr>
        <w:t xml:space="preserve"> interest income and therefore our earnings.</w:t>
      </w:r>
    </w:p>
    <w:p w:rsidR="00000000" w:rsidRDefault="00E0782F">
      <w:pPr>
        <w:jc w:val="both"/>
        <w:divId w:val="1170564709"/>
        <w:rPr>
          <w:rFonts w:eastAsia="Times New Roman"/>
        </w:rPr>
      </w:pPr>
      <w:r>
        <w:rPr>
          <w:rFonts w:eastAsia="Times New Roman"/>
          <w:color w:val="000000"/>
          <w:sz w:val="20"/>
          <w:szCs w:val="20"/>
        </w:rPr>
        <w:t>In addition, interest rate fluctuations and competitor responses to those changes may affect the rate of customer prepayments for auto and other term loans and may affect the balances customers carry on their cr</w:t>
      </w:r>
      <w:r>
        <w:rPr>
          <w:rFonts w:eastAsia="Times New Roman"/>
          <w:color w:val="000000"/>
          <w:sz w:val="20"/>
          <w:szCs w:val="20"/>
        </w:rPr>
        <w:t>edit cards. For example, increases in interest rates increase debt service requirements for some of our borrowers, which may adversely affect those borrowers’ ability to pay as contractually obligated. This could result in additional delinquencies or charg</w:t>
      </w:r>
      <w:r>
        <w:rPr>
          <w:rFonts w:eastAsia="Times New Roman"/>
          <w:color w:val="000000"/>
          <w:sz w:val="20"/>
          <w:szCs w:val="20"/>
        </w:rPr>
        <w:t>e-offs and negatively impact our results of operations. These changes can reduce the overall yield on our interest-earning asset portfolio. Changes in interest rates and competitor responses to these changes may also impact customer decisions to maintain b</w:t>
      </w:r>
      <w:r>
        <w:rPr>
          <w:rFonts w:eastAsia="Times New Roman"/>
          <w:color w:val="000000"/>
          <w:sz w:val="20"/>
          <w:szCs w:val="20"/>
        </w:rPr>
        <w:t xml:space="preserve">alances in the deposit accounts they have with us. An inability to attract or maintain deposits could materially affect our ability to fund our business and our liquidity position. Many other financial institutions have increased their reliance on deposit </w:t>
      </w:r>
      <w:r>
        <w:rPr>
          <w:rFonts w:eastAsia="Times New Roman"/>
          <w:color w:val="000000"/>
          <w:sz w:val="20"/>
          <w:szCs w:val="20"/>
        </w:rPr>
        <w:t>funding and, as such, we expect continued competition in the deposit markets. We cannot predict how this competition will affect our costs. If we are required to offer higher interest rates to attract or maintain deposits, our funding costs will be adverse</w:t>
      </w:r>
      <w:r>
        <w:rPr>
          <w:rFonts w:eastAsia="Times New Roman"/>
          <w:color w:val="000000"/>
          <w:sz w:val="20"/>
          <w:szCs w:val="20"/>
        </w:rPr>
        <w:t>ly impacted. Changes in valuations in the debt and equity markets could have a negative impact on the assets we hold in our investment portfolio. Such market changes could also have a negative impact on the valuation of assets for which we provide servicin</w:t>
      </w:r>
      <w:r>
        <w:rPr>
          <w:rFonts w:eastAsia="Times New Roman"/>
          <w:color w:val="000000"/>
          <w:sz w:val="20"/>
          <w:szCs w:val="20"/>
        </w:rPr>
        <w:t>g.</w:t>
      </w:r>
    </w:p>
    <w:p w:rsidR="00000000" w:rsidRDefault="00E0782F">
      <w:pPr>
        <w:jc w:val="both"/>
        <w:divId w:val="1743598161"/>
        <w:rPr>
          <w:rFonts w:eastAsia="Times New Roman"/>
        </w:rPr>
      </w:pPr>
      <w:r>
        <w:rPr>
          <w:rFonts w:eastAsia="Times New Roman"/>
          <w:color w:val="000000"/>
          <w:sz w:val="20"/>
          <w:szCs w:val="20"/>
        </w:rPr>
        <w:t>We assess our interest rate risk by estimating the effect on our earnings, economic value and capital under various scenarios that differ based on assumptions about the direction and the magnitude of interest rate changes. We take risk mitigation action</w:t>
      </w:r>
      <w:r>
        <w:rPr>
          <w:rFonts w:eastAsia="Times New Roman"/>
          <w:color w:val="000000"/>
          <w:sz w:val="20"/>
          <w:szCs w:val="20"/>
        </w:rPr>
        <w:t>s based on those assessments. We face the risk that changes in interest rates could materially reduce our net interest income and our earnings, especially if actual conditions turn out to be materially different than those we assumed. See “MD&amp;A—Market Risk</w:t>
      </w:r>
      <w:r>
        <w:rPr>
          <w:rFonts w:eastAsia="Times New Roman"/>
          <w:color w:val="000000"/>
          <w:sz w:val="20"/>
          <w:szCs w:val="20"/>
        </w:rPr>
        <w:t xml:space="preserve"> Profile” for additional information.</w:t>
      </w:r>
    </w:p>
    <w:p w:rsidR="00000000" w:rsidRDefault="00E0782F">
      <w:pPr>
        <w:divId w:val="1430663371"/>
        <w:rPr>
          <w:rFonts w:eastAsia="Times New Roman"/>
        </w:rPr>
      </w:pPr>
      <w:r>
        <w:rPr>
          <w:rFonts w:eastAsia="Times New Roman"/>
          <w:b/>
          <w:bCs/>
          <w:i/>
          <w:iCs/>
          <w:color w:val="000000"/>
          <w:sz w:val="20"/>
          <w:szCs w:val="20"/>
        </w:rPr>
        <w:t>Uncertainty regarding, and transition away from, LIBOR may adversely affect our business.</w:t>
      </w:r>
    </w:p>
    <w:p w:rsidR="00000000" w:rsidRDefault="00E0782F">
      <w:pPr>
        <w:jc w:val="both"/>
        <w:divId w:val="1746759074"/>
        <w:rPr>
          <w:rFonts w:eastAsia="Times New Roman"/>
        </w:rPr>
      </w:pPr>
      <w:r>
        <w:rPr>
          <w:rFonts w:eastAsia="Times New Roman"/>
          <w:color w:val="000000"/>
          <w:sz w:val="20"/>
          <w:szCs w:val="20"/>
        </w:rPr>
        <w:t>The U.K. FCA, which regulates LIBOR, has announced that it will no longer compel banks to contribute data for the calculation of LIBOR after December 31, 2021. It is likely that banks will no longer continue to contribute submissions for the calculation of</w:t>
      </w:r>
      <w:r>
        <w:rPr>
          <w:rFonts w:eastAsia="Times New Roman"/>
          <w:color w:val="000000"/>
          <w:sz w:val="20"/>
          <w:szCs w:val="20"/>
        </w:rPr>
        <w:t xml:space="preserve"> LIBOR after that date, which creates significant uncertainty around the publication of LIBOR beyond 2021 and whether LIBOR will continue to be viewed as a reliable market benchmark. In November 2020, the ICE Benchmark Administration (IBA), the administrat</w:t>
      </w:r>
      <w:r>
        <w:rPr>
          <w:rFonts w:eastAsia="Times New Roman"/>
          <w:color w:val="000000"/>
          <w:sz w:val="20"/>
          <w:szCs w:val="20"/>
        </w:rPr>
        <w:t xml:space="preserve">or of LIBOR, announced that it will consult on its intention to cease publication of the 1-week and 2-month USD LIBOR settings immediately following the LIBOR publication on December 31, 2021, and the remaining USD LIBOR tenors (Overnight, 1, 3, 6, and 12 </w:t>
      </w:r>
      <w:r>
        <w:rPr>
          <w:rFonts w:eastAsia="Times New Roman"/>
          <w:color w:val="000000"/>
          <w:sz w:val="20"/>
          <w:szCs w:val="20"/>
        </w:rPr>
        <w:t>Months) immediately following the LIBOR publication on June 30, 2023. The consultation closed on January 25, 2021 and we will continue to engage with industry experts to better understand the proposed IBA's extension announcement and its impact on the mark</w:t>
      </w:r>
      <w:r>
        <w:rPr>
          <w:rFonts w:eastAsia="Times New Roman"/>
          <w:color w:val="000000"/>
          <w:sz w:val="20"/>
          <w:szCs w:val="20"/>
        </w:rPr>
        <w:t>ets and our transition plans. It remains unclear what rate or rates may develop as accepted alternatives to LIBOR, or what the effect of such changes will be on the markets for LIBOR-based financial instruments. The Secured Overnight Financing Rate (“SOFR”</w:t>
      </w:r>
      <w:r>
        <w:rPr>
          <w:rFonts w:eastAsia="Times New Roman"/>
          <w:color w:val="000000"/>
          <w:sz w:val="20"/>
          <w:szCs w:val="20"/>
        </w:rPr>
        <w:t xml:space="preserve">) has been recommended by the Alternative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9541759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9541759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9541759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3" style="width:0;height:1.5pt" o:hralign="center" o:hrstd="t" o:hr="t" fillcolor="#a0a0a0" stroked="f"/>
        </w:pict>
      </w:r>
    </w:p>
    <w:p w:rsidR="00000000" w:rsidRDefault="00E0782F">
      <w:pPr>
        <w:jc w:val="both"/>
        <w:divId w:val="13094616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576236819"/>
        <w:rPr>
          <w:rFonts w:eastAsia="Times New Roman"/>
        </w:rPr>
      </w:pPr>
      <w:r>
        <w:rPr>
          <w:rFonts w:eastAsia="Times New Roman"/>
          <w:color w:val="000000"/>
          <w:sz w:val="20"/>
          <w:szCs w:val="20"/>
        </w:rPr>
        <w:t>Reference Rates Committee as an alternative for USD LIBOR, but issues and uncertainty remain with respect to its implementation.</w:t>
      </w:r>
    </w:p>
    <w:p w:rsidR="00000000" w:rsidRDefault="00E0782F">
      <w:pPr>
        <w:jc w:val="both"/>
        <w:divId w:val="1222207521"/>
        <w:rPr>
          <w:rFonts w:eastAsia="Times New Roman"/>
        </w:rPr>
      </w:pPr>
      <w:r>
        <w:rPr>
          <w:rFonts w:eastAsia="Times New Roman"/>
          <w:color w:val="000000"/>
          <w:sz w:val="20"/>
          <w:szCs w:val="20"/>
        </w:rPr>
        <w:t>Given LIBOR’s e</w:t>
      </w:r>
      <w:r>
        <w:rPr>
          <w:rFonts w:eastAsia="Times New Roman"/>
          <w:color w:val="000000"/>
          <w:sz w:val="20"/>
          <w:szCs w:val="20"/>
        </w:rPr>
        <w:t>xtensive use across financial markets, the transition away from LIBOR presents several risks and challenges to the financial markets and financial institutions, including Capital One. We have loans, derivative contracts, unsecured debt, securitizations, ve</w:t>
      </w:r>
      <w:r>
        <w:rPr>
          <w:rFonts w:eastAsia="Times New Roman"/>
          <w:color w:val="000000"/>
          <w:sz w:val="20"/>
          <w:szCs w:val="20"/>
        </w:rPr>
        <w:t>ndor agreements and other instruments with attributes that are either directly or indirectly dependent on LIBOR. Uncertainty as to the nature of potential changes, alternative reference rates such as SOFR, or other reforms may adversely affect market liqui</w:t>
      </w:r>
      <w:r>
        <w:rPr>
          <w:rFonts w:eastAsia="Times New Roman"/>
          <w:color w:val="000000"/>
          <w:sz w:val="20"/>
          <w:szCs w:val="20"/>
        </w:rPr>
        <w:t>dity, the pricing of LIBOR-based instruments, and the availability and cost of associated hedging instruments and borrowings. If SOFR or another rate does not achieve wide acceptance as the alternative to LIBOR, there likely will be disruption to the marke</w:t>
      </w:r>
      <w:r>
        <w:rPr>
          <w:rFonts w:eastAsia="Times New Roman"/>
          <w:color w:val="000000"/>
          <w:sz w:val="20"/>
          <w:szCs w:val="20"/>
        </w:rPr>
        <w:t>ts relying on the availability of a broadly accepted reference rate. In addition, uncertainty regarding LIBOR could result in loss of market share in certain products, adverse tax or accounting impacts, compliance, legal or operational costs and risks asso</w:t>
      </w:r>
      <w:r>
        <w:rPr>
          <w:rFonts w:eastAsia="Times New Roman"/>
          <w:color w:val="000000"/>
          <w:sz w:val="20"/>
          <w:szCs w:val="20"/>
        </w:rPr>
        <w:t>ciated with client disclosures, as well as systems disruption, model disruption and other business continuity issues for us.</w:t>
      </w:r>
    </w:p>
    <w:p w:rsidR="00000000" w:rsidRDefault="00E0782F">
      <w:pPr>
        <w:jc w:val="both"/>
        <w:divId w:val="1693215677"/>
        <w:rPr>
          <w:rFonts w:eastAsia="Times New Roman"/>
        </w:rPr>
      </w:pPr>
      <w:r>
        <w:rPr>
          <w:rFonts w:eastAsia="Times New Roman"/>
          <w:color w:val="000000"/>
          <w:sz w:val="20"/>
          <w:szCs w:val="20"/>
        </w:rPr>
        <w:t xml:space="preserve">Even if SOFR or another reference rate becomes a widely acceptable replacement for LIBOR, risks will remain for us with respect to </w:t>
      </w:r>
      <w:r>
        <w:rPr>
          <w:rFonts w:eastAsia="Times New Roman"/>
          <w:color w:val="000000"/>
          <w:sz w:val="20"/>
          <w:szCs w:val="20"/>
        </w:rPr>
        <w:t>outstanding instruments which rely on LIBOR. Those risks arise in connection with transitioning such instruments to a new reference rate, the taking of discretionary actions or the negotiation of fallback provisions and final amendments to existing LIBOR b</w:t>
      </w:r>
      <w:r>
        <w:rPr>
          <w:rFonts w:eastAsia="Times New Roman"/>
          <w:color w:val="000000"/>
          <w:sz w:val="20"/>
          <w:szCs w:val="20"/>
        </w:rPr>
        <w:t>ased agreements. Payments under contracts referencing new reference rates may significantly differ from those referencing LIBOR. For some instruments, the method of transitioning to a new reference rate may be challenging, especially if parties to an instr</w:t>
      </w:r>
      <w:r>
        <w:rPr>
          <w:rFonts w:eastAsia="Times New Roman"/>
          <w:color w:val="000000"/>
          <w:sz w:val="20"/>
          <w:szCs w:val="20"/>
        </w:rPr>
        <w:t>ument cannot agree as to how to effect that transition. If a contract is not transitioned to a new reference rate and LIBOR ceases to exist, the impact on our obligations is likely to vary by contract. In addition, prior to LIBOR cessation, instruments tha</w:t>
      </w:r>
      <w:r>
        <w:rPr>
          <w:rFonts w:eastAsia="Times New Roman"/>
          <w:color w:val="000000"/>
          <w:sz w:val="20"/>
          <w:szCs w:val="20"/>
        </w:rPr>
        <w:t>t continue to refer to LIBOR may be impacted if there is a change in the availability or calculation of LIBOR. The transition from LIBOR to an alternative reference rate may change our market risk profile and require changes to risk and pricing models, val</w:t>
      </w:r>
      <w:r>
        <w:rPr>
          <w:rFonts w:eastAsia="Times New Roman"/>
          <w:color w:val="000000"/>
          <w:sz w:val="20"/>
          <w:szCs w:val="20"/>
        </w:rPr>
        <w:t>uation tools, product design, information technology systems, reporting infrastructure, operational processes and controls, and hedging strategies. In many cases, we may be dependent on third parties to upgrade systems, software and other critical function</w:t>
      </w:r>
      <w:r>
        <w:rPr>
          <w:rFonts w:eastAsia="Times New Roman"/>
          <w:color w:val="000000"/>
          <w:sz w:val="20"/>
          <w:szCs w:val="20"/>
        </w:rPr>
        <w:t>s that could materially disrupt our readiness if they are not done on a timely basis or otherwise fail. Our assessment of the ultimate impact of, and our planning for, the transition from LIBOR remains ongoing. Failure to adequately manage the transition c</w:t>
      </w:r>
      <w:r>
        <w:rPr>
          <w:rFonts w:eastAsia="Times New Roman"/>
          <w:color w:val="000000"/>
          <w:sz w:val="20"/>
          <w:szCs w:val="20"/>
        </w:rPr>
        <w:t>ould have a material adverse effect on our reputation, business, financial condition and results of operations. See “MD&amp;A—Market Risk Profile” for additional information.</w:t>
      </w:r>
    </w:p>
    <w:p w:rsidR="00000000" w:rsidRDefault="00E0782F">
      <w:pPr>
        <w:divId w:val="1253733923"/>
        <w:rPr>
          <w:rFonts w:eastAsia="Times New Roman"/>
        </w:rPr>
      </w:pPr>
      <w:r>
        <w:rPr>
          <w:rFonts w:eastAsia="Times New Roman"/>
          <w:b/>
          <w:bCs/>
          <w:i/>
          <w:iCs/>
          <w:color w:val="000000"/>
          <w:sz w:val="20"/>
          <w:szCs w:val="20"/>
        </w:rPr>
        <w:t>Our business could be negatively affected if we are unable to attract, retain and mot</w:t>
      </w:r>
      <w:r>
        <w:rPr>
          <w:rFonts w:eastAsia="Times New Roman"/>
          <w:b/>
          <w:bCs/>
          <w:i/>
          <w:iCs/>
          <w:color w:val="000000"/>
          <w:sz w:val="20"/>
          <w:szCs w:val="20"/>
        </w:rPr>
        <w:t>ivate skilled employees.</w:t>
      </w:r>
    </w:p>
    <w:p w:rsidR="00000000" w:rsidRDefault="00E0782F">
      <w:pPr>
        <w:jc w:val="both"/>
        <w:divId w:val="1350983251"/>
        <w:rPr>
          <w:rFonts w:eastAsia="Times New Roman"/>
        </w:rPr>
      </w:pPr>
      <w:r>
        <w:rPr>
          <w:rFonts w:eastAsia="Times New Roman"/>
          <w:color w:val="000000"/>
          <w:sz w:val="20"/>
          <w:szCs w:val="20"/>
        </w:rPr>
        <w:t>Our success depends, in large part, on our ability to retain key senior leaders and to attract and retain skilled employees, particularly employees with advanced expertise in credit, risk, digital and technology skills. We depend o</w:t>
      </w:r>
      <w:r>
        <w:rPr>
          <w:rFonts w:eastAsia="Times New Roman"/>
          <w:color w:val="000000"/>
          <w:sz w:val="20"/>
          <w:szCs w:val="20"/>
        </w:rPr>
        <w:t>n our senior leaders and skilled employees to oversee simultaneous, transformative initiatives across the enterprise and execute on our business plans in an efficient and effective manner. Competition for such senior leaders and employees, and the costs as</w:t>
      </w:r>
      <w:r>
        <w:rPr>
          <w:rFonts w:eastAsia="Times New Roman"/>
          <w:color w:val="000000"/>
          <w:sz w:val="20"/>
          <w:szCs w:val="20"/>
        </w:rPr>
        <w:t>sociated with attracting and retaining them, is high. Our ability to attract and retain qualified employees also is affected by perceptions of our culture and management, our profile in the regions where we have offices and the professional opportunities w</w:t>
      </w:r>
      <w:r>
        <w:rPr>
          <w:rFonts w:eastAsia="Times New Roman"/>
          <w:color w:val="000000"/>
          <w:sz w:val="20"/>
          <w:szCs w:val="20"/>
        </w:rPr>
        <w:t xml:space="preserve">e offer. Regulation or regulatory guidance restricting executive compensation, as well as evolving investor expectations, may limit the types of compensation arrangements that we may enter into with our most senior leaders and could have a negative impact </w:t>
      </w:r>
      <w:r>
        <w:rPr>
          <w:rFonts w:eastAsia="Times New Roman"/>
          <w:color w:val="000000"/>
          <w:sz w:val="20"/>
          <w:szCs w:val="20"/>
        </w:rPr>
        <w:t>on our ability to attract, retain and motivate such leaders in support of our long-term strategy. These laws and regulations may not apply in the same manner to all financial institutions, and we therefore may face more restrictions than other institutions</w:t>
      </w:r>
      <w:r>
        <w:rPr>
          <w:rFonts w:eastAsia="Times New Roman"/>
          <w:color w:val="000000"/>
          <w:sz w:val="20"/>
          <w:szCs w:val="20"/>
        </w:rPr>
        <w:t xml:space="preserve"> and companies with which we compete for talent. These laws and regulations may also hinder our ability to compete for talent with other industries. We rely upon our senior leaders not only for business success, but also to lead with integrity. To the exte</w:t>
      </w:r>
      <w:r>
        <w:rPr>
          <w:rFonts w:eastAsia="Times New Roman"/>
          <w:color w:val="000000"/>
          <w:sz w:val="20"/>
          <w:szCs w:val="20"/>
        </w:rPr>
        <w:t xml:space="preserve">nt our senior leaders behave in a manner that does not comport with our values, the consequences to our brand and reputation could be severe and could adversely affect our financial condition and results of operations. If we are unable to attract, develop </w:t>
      </w:r>
      <w:r>
        <w:rPr>
          <w:rFonts w:eastAsia="Times New Roman"/>
          <w:color w:val="000000"/>
          <w:sz w:val="20"/>
          <w:szCs w:val="20"/>
        </w:rPr>
        <w:t>and retain talented senior leadership and employees, or to implement appropriate succession plans for our senior leadership, our business could be negatively affected.</w:t>
      </w:r>
    </w:p>
    <w:p w:rsidR="00000000" w:rsidRDefault="00E0782F">
      <w:pPr>
        <w:divId w:val="827862903"/>
        <w:rPr>
          <w:rFonts w:eastAsia="Times New Roman"/>
        </w:rPr>
      </w:pPr>
      <w:r>
        <w:rPr>
          <w:rFonts w:eastAsia="Times New Roman"/>
          <w:b/>
          <w:bCs/>
          <w:i/>
          <w:iCs/>
          <w:color w:val="000000"/>
          <w:sz w:val="20"/>
          <w:szCs w:val="20"/>
        </w:rPr>
        <w:t>We face risks from unpredictable catastrophic events.</w:t>
      </w:r>
    </w:p>
    <w:p w:rsidR="00000000" w:rsidRDefault="00E0782F">
      <w:pPr>
        <w:jc w:val="both"/>
        <w:divId w:val="85425997"/>
        <w:rPr>
          <w:rFonts w:eastAsia="Times New Roman"/>
        </w:rPr>
      </w:pPr>
      <w:r>
        <w:rPr>
          <w:rFonts w:eastAsia="Times New Roman"/>
          <w:color w:val="000000"/>
          <w:sz w:val="20"/>
          <w:szCs w:val="20"/>
        </w:rPr>
        <w:t>Despite the business contingency plans we have in place, such plans do not fully mitigate all potential business continuity risks to us. Natural disasters and other catastrophic events could harm our bu</w:t>
      </w:r>
      <w:r>
        <w:rPr>
          <w:rFonts w:eastAsia="Times New Roman"/>
          <w:color w:val="000000"/>
          <w:sz w:val="20"/>
          <w:szCs w:val="20"/>
        </w:rPr>
        <w:t>siness and infrastructure, including our information technology systems and third-party platforms. Our ability to conduct business may be adversely affected by a disruption in the infrastructure that supports our business and the communities where we are l</w:t>
      </w:r>
      <w:r>
        <w:rPr>
          <w:rFonts w:eastAsia="Times New Roman"/>
          <w:color w:val="000000"/>
          <w:sz w:val="20"/>
          <w:szCs w:val="20"/>
        </w:rPr>
        <w:t>ocated, which are concentrated in the Northern Virginia and New York metropolitan areas, as well as Richmond, Virginia and Plano, Texas. This may include a disruption involving damage or loss of access to a physical site, cyber incidents, terrorist activit</w:t>
      </w:r>
      <w:r>
        <w:rPr>
          <w:rFonts w:eastAsia="Times New Roman"/>
          <w:color w:val="000000"/>
          <w:sz w:val="20"/>
          <w:szCs w:val="20"/>
        </w:rPr>
        <w:t xml:space="preserve">ies, the occurrence or worsening of disease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1846415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31846415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31846415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39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4" style="width:0;height:1.5pt" o:hralign="center" o:hrstd="t" o:hr="t" fillcolor="#a0a0a0" stroked="f"/>
        </w:pict>
      </w:r>
    </w:p>
    <w:p w:rsidR="00000000" w:rsidRDefault="00E0782F">
      <w:pPr>
        <w:jc w:val="both"/>
        <w:divId w:val="82424832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1084231191"/>
        <w:rPr>
          <w:rFonts w:eastAsia="Times New Roman"/>
        </w:rPr>
      </w:pPr>
      <w:r>
        <w:rPr>
          <w:rFonts w:eastAsia="Times New Roman"/>
          <w:color w:val="000000"/>
          <w:sz w:val="20"/>
          <w:szCs w:val="20"/>
        </w:rPr>
        <w:t>outbreaks or pandemics (including the COVID-19 pandemic), natural disasters, extreme weather events, electrical outage, environmental hazard, te</w:t>
      </w:r>
      <w:r>
        <w:rPr>
          <w:rFonts w:eastAsia="Times New Roman"/>
          <w:color w:val="000000"/>
          <w:sz w:val="20"/>
          <w:szCs w:val="20"/>
        </w:rPr>
        <w:t>chnological infrastructure, communications or other services we use, our employees or third parties with whom we conduct business. Our business, financial condition and results of operations may be impacted by any such disruption and our ability to impleme</w:t>
      </w:r>
      <w:r>
        <w:rPr>
          <w:rFonts w:eastAsia="Times New Roman"/>
          <w:color w:val="000000"/>
          <w:sz w:val="20"/>
          <w:szCs w:val="20"/>
        </w:rPr>
        <w:t xml:space="preserve">nt corresponding response measures, including, for example, our ability to adapt to a remote work environment as a result of the ongoing COVID-19 pandemic and related response measures. In addition, if a natural disaster or other catastrophic event occurs </w:t>
      </w:r>
      <w:r>
        <w:rPr>
          <w:rFonts w:eastAsia="Times New Roman"/>
          <w:color w:val="000000"/>
          <w:sz w:val="20"/>
          <w:szCs w:val="20"/>
        </w:rPr>
        <w:t>in certain regions where our business and customers are concentrated, such as the mid-Atlantic, New York or Texas metropolitan areas, we could be disproportionately impacted as compared to our competitors. The impact of such events and other catastrophes o</w:t>
      </w:r>
      <w:r>
        <w:rPr>
          <w:rFonts w:eastAsia="Times New Roman"/>
          <w:color w:val="000000"/>
          <w:sz w:val="20"/>
          <w:szCs w:val="20"/>
        </w:rPr>
        <w:t>n the overall economy may also adversely affect our financial condition and results of operations.</w:t>
      </w:r>
    </w:p>
    <w:p w:rsidR="00000000" w:rsidRDefault="00E0782F">
      <w:pPr>
        <w:divId w:val="369762518"/>
        <w:rPr>
          <w:rFonts w:eastAsia="Times New Roman"/>
        </w:rPr>
      </w:pPr>
      <w:r>
        <w:rPr>
          <w:rFonts w:eastAsia="Times New Roman"/>
          <w:b/>
          <w:bCs/>
          <w:i/>
          <w:iCs/>
          <w:color w:val="000000"/>
          <w:sz w:val="20"/>
          <w:szCs w:val="20"/>
        </w:rPr>
        <w:t>We face risks from the use of or changes to assumptions or estimates in our financial statements.</w:t>
      </w:r>
    </w:p>
    <w:p w:rsidR="00000000" w:rsidRDefault="00E0782F">
      <w:pPr>
        <w:jc w:val="both"/>
        <w:divId w:val="1273588497"/>
        <w:rPr>
          <w:rFonts w:eastAsia="Times New Roman"/>
        </w:rPr>
      </w:pPr>
      <w:r>
        <w:rPr>
          <w:rFonts w:eastAsia="Times New Roman"/>
          <w:color w:val="000000"/>
          <w:sz w:val="20"/>
          <w:szCs w:val="20"/>
        </w:rPr>
        <w:t>Pursuant to generally accepted accounting principles in the</w:t>
      </w:r>
      <w:r>
        <w:rPr>
          <w:rFonts w:eastAsia="Times New Roman"/>
          <w:color w:val="000000"/>
          <w:sz w:val="20"/>
          <w:szCs w:val="20"/>
        </w:rPr>
        <w:t xml:space="preserve"> U.S. (“U.S. GAAP”), we are required to use certain assumptions and estimates in preparing our financial statements, including determining our allowance for credit losses, the fair value of certain assets and liabilities, and asset impairment, among other </w:t>
      </w:r>
      <w:r>
        <w:rPr>
          <w:rFonts w:eastAsia="Times New Roman"/>
          <w:color w:val="000000"/>
          <w:sz w:val="20"/>
          <w:szCs w:val="20"/>
        </w:rPr>
        <w:t>items. In addition, the FASB, the SEC and other regulatory bodies may change the financial accounting and reporting standards, including those related to assumptions and estimates we use to prepare our financial statements, in ways that we cannot predict a</w:t>
      </w:r>
      <w:r>
        <w:rPr>
          <w:rFonts w:eastAsia="Times New Roman"/>
          <w:color w:val="000000"/>
          <w:sz w:val="20"/>
          <w:szCs w:val="20"/>
        </w:rPr>
        <w:t xml:space="preserve">nd that could impact our financial statements. If actual results differ from the assumptions or estimates underlying our financial statements or if financial accounting and reporting standards are changed, we may experience unexpected material losses. For </w:t>
      </w:r>
      <w:r>
        <w:rPr>
          <w:rFonts w:eastAsia="Times New Roman"/>
          <w:color w:val="000000"/>
          <w:sz w:val="20"/>
          <w:szCs w:val="20"/>
        </w:rPr>
        <w:t>a discussion of our use of estimates in the preparation of our consolidated financial statements, see “MD&amp;A—Critical Accounting Policies and Estimates” and “Note 1—Summary of Significant Accounting Policies.”</w:t>
      </w:r>
    </w:p>
    <w:p w:rsidR="00000000" w:rsidRDefault="00E0782F">
      <w:pPr>
        <w:jc w:val="both"/>
        <w:divId w:val="160120470"/>
        <w:rPr>
          <w:rFonts w:eastAsia="Times New Roman"/>
        </w:rPr>
      </w:pPr>
      <w:r>
        <w:rPr>
          <w:rFonts w:eastAsia="Times New Roman"/>
          <w:b/>
          <w:bCs/>
          <w:i/>
          <w:iCs/>
          <w:color w:val="000000"/>
          <w:sz w:val="20"/>
          <w:szCs w:val="20"/>
        </w:rPr>
        <w:t>Limitations on our ability to receive dividends</w:t>
      </w:r>
      <w:r>
        <w:rPr>
          <w:rFonts w:eastAsia="Times New Roman"/>
          <w:b/>
          <w:bCs/>
          <w:i/>
          <w:iCs/>
          <w:color w:val="000000"/>
          <w:sz w:val="20"/>
          <w:szCs w:val="20"/>
        </w:rPr>
        <w:t xml:space="preserve"> from our subsidiaries could affect our liquidity and ability to pay dividends and repurchase common stock.</w:t>
      </w:r>
    </w:p>
    <w:p w:rsidR="00000000" w:rsidRDefault="00E0782F">
      <w:pPr>
        <w:jc w:val="both"/>
        <w:divId w:val="247272020"/>
        <w:rPr>
          <w:rFonts w:eastAsia="Times New Roman"/>
        </w:rPr>
      </w:pPr>
      <w:r>
        <w:rPr>
          <w:rFonts w:eastAsia="Times New Roman"/>
          <w:color w:val="000000"/>
          <w:sz w:val="20"/>
          <w:szCs w:val="20"/>
        </w:rPr>
        <w:t>We are a separate and distinct legal entity from our subsidiaries, including the Banks. Dividends to us from our direct and indirect subsidiaries, i</w:t>
      </w:r>
      <w:r>
        <w:rPr>
          <w:rFonts w:eastAsia="Times New Roman"/>
          <w:color w:val="000000"/>
          <w:sz w:val="20"/>
          <w:szCs w:val="20"/>
        </w:rPr>
        <w:t>ncluding the Banks, have represented a major source of funds for us to pay dividends on our common and preferred stock, repurchase common stock, make payments on corporate debt securities and meet other obligations. There are various federal law limitation</w:t>
      </w:r>
      <w:r>
        <w:rPr>
          <w:rFonts w:eastAsia="Times New Roman"/>
          <w:color w:val="000000"/>
          <w:sz w:val="20"/>
          <w:szCs w:val="20"/>
        </w:rPr>
        <w:t>s on the extent to which the Banks can finance or otherwise supply funds to us through dividends and loans. These limitations include minimum regulatory capital requirements, federal banking law requirements concerning the payment of dividends out of net p</w:t>
      </w:r>
      <w:r>
        <w:rPr>
          <w:rFonts w:eastAsia="Times New Roman"/>
          <w:color w:val="000000"/>
          <w:sz w:val="20"/>
          <w:szCs w:val="20"/>
        </w:rPr>
        <w:t>rofits or surplus, Sections 23A and 23B of the Federal Reserve Act and Regulation W governing transactions between an insured depository institution and its affiliates, as well as general federal regulatory oversight to prevent unsafe or unsound practices.</w:t>
      </w:r>
      <w:r>
        <w:rPr>
          <w:rFonts w:eastAsia="Times New Roman"/>
          <w:color w:val="000000"/>
          <w:sz w:val="20"/>
          <w:szCs w:val="20"/>
        </w:rPr>
        <w:t xml:space="preserve"> If our subsidiaries’ earnings are not sufficient to make dividend payments to us while maintaining adequate capital levels, our liquidity may be affected and we may not be able to make dividend payments to our common or preferred stockholders, repurchase </w:t>
      </w:r>
      <w:r>
        <w:rPr>
          <w:rFonts w:eastAsia="Times New Roman"/>
          <w:color w:val="000000"/>
          <w:sz w:val="20"/>
          <w:szCs w:val="20"/>
        </w:rPr>
        <w:t>our common stock, make payments on outstanding corporate debt securities or meet other obligations, each and any of which could have a material adverse impact on our results of operations, financial position or perception of financial health. See “Part I—I</w:t>
      </w:r>
      <w:r>
        <w:rPr>
          <w:rFonts w:eastAsia="Times New Roman"/>
          <w:color w:val="000000"/>
          <w:sz w:val="20"/>
          <w:szCs w:val="20"/>
        </w:rPr>
        <w:t>tem 1.Business—Supervision and Regulation” for additional information regarding dividend limitations applicable to us and the Banks.</w:t>
      </w:r>
    </w:p>
    <w:p w:rsidR="00000000" w:rsidRDefault="00E0782F">
      <w:pPr>
        <w:divId w:val="608661269"/>
        <w:rPr>
          <w:rFonts w:eastAsia="Times New Roman"/>
        </w:rPr>
      </w:pPr>
      <w:r>
        <w:rPr>
          <w:rFonts w:eastAsia="Times New Roman"/>
          <w:b/>
          <w:bCs/>
          <w:i/>
          <w:iCs/>
          <w:color w:val="000000"/>
          <w:sz w:val="20"/>
          <w:szCs w:val="20"/>
        </w:rPr>
        <w:t>The soundness of other financial institutions and other third parties could adversely affect us.</w:t>
      </w:r>
    </w:p>
    <w:p w:rsidR="00000000" w:rsidRDefault="00E0782F">
      <w:pPr>
        <w:jc w:val="both"/>
        <w:divId w:val="395473566"/>
        <w:rPr>
          <w:rFonts w:eastAsia="Times New Roman"/>
        </w:rPr>
      </w:pPr>
      <w:r>
        <w:rPr>
          <w:rFonts w:eastAsia="Times New Roman"/>
          <w:color w:val="000000"/>
          <w:sz w:val="20"/>
          <w:szCs w:val="20"/>
        </w:rPr>
        <w:t>Our ability to engage in r</w:t>
      </w:r>
      <w:r>
        <w:rPr>
          <w:rFonts w:eastAsia="Times New Roman"/>
          <w:color w:val="000000"/>
          <w:sz w:val="20"/>
          <w:szCs w:val="20"/>
        </w:rPr>
        <w:t>outine funding and other transactions could be adversely affected by the stability and actions of other financial services institutions. Financial services institutions are interrelated as a result of trading, clearing, servicing, counterparty and other re</w:t>
      </w:r>
      <w:r>
        <w:rPr>
          <w:rFonts w:eastAsia="Times New Roman"/>
          <w:color w:val="000000"/>
          <w:sz w:val="20"/>
          <w:szCs w:val="20"/>
        </w:rPr>
        <w:t>lationships. We have exposure to financial institutions, intermediaries and counterparties that are exposed to risks over which we have little or no control.</w:t>
      </w:r>
    </w:p>
    <w:p w:rsidR="00000000" w:rsidRDefault="00E0782F">
      <w:pPr>
        <w:jc w:val="both"/>
        <w:divId w:val="1109350840"/>
        <w:rPr>
          <w:rFonts w:eastAsia="Times New Roman"/>
        </w:rPr>
      </w:pPr>
      <w:r>
        <w:rPr>
          <w:rFonts w:eastAsia="Times New Roman"/>
          <w:color w:val="000000"/>
          <w:sz w:val="20"/>
          <w:szCs w:val="20"/>
        </w:rPr>
        <w:t>In addition, we routinely execute transactions with counterparties in the financial services industry, including brokers and dealers, commercial banks, investment banks, mutual and hedge funds and other institutional clients, resulting in a significant cre</w:t>
      </w:r>
      <w:r>
        <w:rPr>
          <w:rFonts w:eastAsia="Times New Roman"/>
          <w:color w:val="000000"/>
          <w:sz w:val="20"/>
          <w:szCs w:val="20"/>
        </w:rPr>
        <w:t>dit concentration with respect to the financial services industry overall. As a result, defaults by, or even rumors or questions about, one or more financial services institutions, or the financial services industry generally, have led to market-wide liqui</w:t>
      </w:r>
      <w:r>
        <w:rPr>
          <w:rFonts w:eastAsia="Times New Roman"/>
          <w:color w:val="000000"/>
          <w:sz w:val="20"/>
          <w:szCs w:val="20"/>
        </w:rPr>
        <w:t>dity problems and could lead to losses or defaults by us or by other institutions.</w:t>
      </w:r>
    </w:p>
    <w:p w:rsidR="00000000" w:rsidRDefault="00E0782F">
      <w:pPr>
        <w:jc w:val="both"/>
        <w:divId w:val="133647265"/>
        <w:rPr>
          <w:rFonts w:eastAsia="Times New Roman"/>
        </w:rPr>
      </w:pPr>
      <w:r>
        <w:rPr>
          <w:rFonts w:eastAsia="Times New Roman"/>
          <w:color w:val="000000"/>
          <w:sz w:val="20"/>
          <w:szCs w:val="20"/>
        </w:rPr>
        <w:t>Likewise, adverse developments affecting the overall strength and soundness of our competitors, the financial services industry as a whole and the general economic climate o</w:t>
      </w:r>
      <w:r>
        <w:rPr>
          <w:rFonts w:eastAsia="Times New Roman"/>
          <w:color w:val="000000"/>
          <w:sz w:val="20"/>
          <w:szCs w:val="20"/>
        </w:rPr>
        <w:t>r sovereign debt could have a negative impact on perceptions about the strength and soundness of our business even if we are not subject to the same adverse developments. In addition, adverse developments with respect to third parties with whom we have imp</w:t>
      </w:r>
      <w:r>
        <w:rPr>
          <w:rFonts w:eastAsia="Times New Roman"/>
          <w:color w:val="000000"/>
          <w:sz w:val="20"/>
          <w:szCs w:val="20"/>
        </w:rPr>
        <w:t>ortant relationships also could negatively impact perceptions about us. These perceptions about us could cause our business to be negatively affected and exacerbate the other risks that we face.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8793059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8793059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8793059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5" style="width:0;height:1.5pt" o:hralign="center" o:hrstd="t" o:hr="t" fillcolor="#a0a0a0" stroked="f"/>
        </w:pict>
      </w:r>
    </w:p>
    <w:p w:rsidR="00000000" w:rsidRDefault="00E0782F">
      <w:pPr>
        <w:jc w:val="both"/>
        <w:divId w:val="32154985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505636898"/>
        <w:rPr>
          <w:rFonts w:eastAsia="Times New Roman"/>
        </w:rPr>
      </w:pPr>
      <w:r>
        <w:rPr>
          <w:rFonts w:eastAsia="Times New Roman"/>
          <w:b/>
          <w:bCs/>
          <w:color w:val="000000"/>
          <w:sz w:val="20"/>
          <w:szCs w:val="20"/>
        </w:rPr>
        <w:t xml:space="preserve">Item 1B. Unresolved Staff Comments </w:t>
      </w:r>
    </w:p>
    <w:p w:rsidR="00000000" w:rsidRDefault="00E0782F">
      <w:pPr>
        <w:jc w:val="both"/>
        <w:divId w:val="369036985"/>
        <w:rPr>
          <w:rFonts w:eastAsia="Times New Roman"/>
        </w:rPr>
      </w:pPr>
      <w:r>
        <w:rPr>
          <w:rFonts w:eastAsia="Times New Roman"/>
          <w:color w:val="000000"/>
          <w:sz w:val="20"/>
          <w:szCs w:val="20"/>
        </w:rPr>
        <w:t>None.</w:t>
      </w:r>
    </w:p>
    <w:p w:rsidR="00000000" w:rsidRDefault="00E0782F">
      <w:pPr>
        <w:divId w:val="1235970758"/>
        <w:rPr>
          <w:rFonts w:eastAsia="Times New Roman"/>
        </w:rPr>
      </w:pPr>
      <w:r>
        <w:rPr>
          <w:rFonts w:eastAsia="Times New Roman"/>
          <w:b/>
          <w:bCs/>
          <w:color w:val="000000"/>
          <w:sz w:val="20"/>
          <w:szCs w:val="20"/>
        </w:rPr>
        <w:t xml:space="preserve">Item 2. Properties </w:t>
      </w:r>
    </w:p>
    <w:p w:rsidR="00000000" w:rsidRDefault="00E0782F">
      <w:pPr>
        <w:jc w:val="both"/>
        <w:divId w:val="1739211773"/>
        <w:rPr>
          <w:rFonts w:eastAsia="Times New Roman"/>
        </w:rPr>
      </w:pPr>
      <w:r>
        <w:rPr>
          <w:rFonts w:eastAsia="Times New Roman"/>
          <w:color w:val="000000"/>
          <w:sz w:val="20"/>
          <w:szCs w:val="20"/>
        </w:rPr>
        <w:t>Our corporate and banking real estate portfolio consists of approximately 13.5 mil</w:t>
      </w:r>
      <w:r>
        <w:rPr>
          <w:rFonts w:eastAsia="Times New Roman"/>
          <w:color w:val="000000"/>
          <w:sz w:val="20"/>
          <w:szCs w:val="20"/>
        </w:rPr>
        <w:t>lion square feet of owned or leased office and retail space, which is used to support our business. Of this overall portfolio, approximately 11.3 million square feet of space is dedicated for various corporate office uses and approximately 2.2 million squa</w:t>
      </w:r>
      <w:r>
        <w:rPr>
          <w:rFonts w:eastAsia="Times New Roman"/>
          <w:color w:val="000000"/>
          <w:sz w:val="20"/>
          <w:szCs w:val="20"/>
        </w:rPr>
        <w:t>re feet of space is for bank branches and Cafés.</w:t>
      </w:r>
    </w:p>
    <w:p w:rsidR="00000000" w:rsidRDefault="00E0782F">
      <w:pPr>
        <w:jc w:val="both"/>
        <w:divId w:val="1367221689"/>
        <w:rPr>
          <w:rFonts w:eastAsia="Times New Roman"/>
        </w:rPr>
      </w:pPr>
      <w:r>
        <w:rPr>
          <w:rFonts w:eastAsia="Times New Roman"/>
          <w:color w:val="000000"/>
          <w:sz w:val="20"/>
          <w:szCs w:val="20"/>
        </w:rPr>
        <w:t>Our 11.3 million square feet of corporate office space consists of approximately 5.0 million square feet of leased space and 6.3 million square feet of owned space. Our headquarters is located in McLean, Virginia, and is included in our corporate office sp</w:t>
      </w:r>
      <w:r>
        <w:rPr>
          <w:rFonts w:eastAsia="Times New Roman"/>
          <w:color w:val="000000"/>
          <w:sz w:val="20"/>
          <w:szCs w:val="20"/>
        </w:rPr>
        <w:t>ace. We maintain corporate office space primarily in Virginia, Texas, Illinois, New York and Delaware.</w:t>
      </w:r>
    </w:p>
    <w:p w:rsidR="00000000" w:rsidRDefault="00E0782F">
      <w:pPr>
        <w:jc w:val="both"/>
        <w:divId w:val="1297301787"/>
        <w:rPr>
          <w:rFonts w:eastAsia="Times New Roman"/>
        </w:rPr>
      </w:pPr>
      <w:r>
        <w:rPr>
          <w:rFonts w:eastAsia="Times New Roman"/>
          <w:color w:val="000000"/>
          <w:sz w:val="20"/>
          <w:szCs w:val="20"/>
        </w:rPr>
        <w:t>Our 2.3 million square feet of bank branches and Cafés is located primarily across New York, Louisiana, Texas, Maryland, Virginia, New Jersey and Califor</w:t>
      </w:r>
      <w:r>
        <w:rPr>
          <w:rFonts w:eastAsia="Times New Roman"/>
          <w:color w:val="000000"/>
          <w:sz w:val="20"/>
          <w:szCs w:val="20"/>
        </w:rPr>
        <w:t>nia and consists of approximately 1.4 million square feet of leased space and 0.9 million square feet of owned space. See “Note 7—Premises, Equipment and Leases” for information about our premises.</w:t>
      </w:r>
    </w:p>
    <w:p w:rsidR="00000000" w:rsidRDefault="00E0782F">
      <w:pPr>
        <w:divId w:val="1181893877"/>
        <w:rPr>
          <w:rFonts w:eastAsia="Times New Roman"/>
        </w:rPr>
      </w:pPr>
      <w:r>
        <w:rPr>
          <w:rFonts w:eastAsia="Times New Roman"/>
          <w:b/>
          <w:bCs/>
          <w:color w:val="000000"/>
          <w:sz w:val="20"/>
          <w:szCs w:val="20"/>
        </w:rPr>
        <w:t xml:space="preserve">Item 3. Legal Proceedings </w:t>
      </w:r>
    </w:p>
    <w:p w:rsidR="00000000" w:rsidRDefault="00E0782F">
      <w:pPr>
        <w:jc w:val="both"/>
        <w:divId w:val="357194588"/>
        <w:rPr>
          <w:rFonts w:eastAsia="Times New Roman"/>
        </w:rPr>
      </w:pPr>
      <w:r>
        <w:rPr>
          <w:rFonts w:eastAsia="Times New Roman"/>
          <w:color w:val="000000"/>
          <w:sz w:val="20"/>
          <w:szCs w:val="20"/>
        </w:rPr>
        <w:t>The information required by Ite</w:t>
      </w:r>
      <w:r>
        <w:rPr>
          <w:rFonts w:eastAsia="Times New Roman"/>
          <w:color w:val="000000"/>
          <w:sz w:val="20"/>
          <w:szCs w:val="20"/>
        </w:rPr>
        <w:t>m 103 of Regulation S-K is included in “Note 18—Commitments, Contingencies, Guarantees and Others.”</w:t>
      </w:r>
    </w:p>
    <w:p w:rsidR="00000000" w:rsidRDefault="00E0782F">
      <w:pPr>
        <w:divId w:val="1761634997"/>
        <w:rPr>
          <w:rFonts w:eastAsia="Times New Roman"/>
        </w:rPr>
      </w:pPr>
      <w:r>
        <w:rPr>
          <w:rFonts w:eastAsia="Times New Roman"/>
          <w:b/>
          <w:bCs/>
          <w:color w:val="000000"/>
          <w:sz w:val="20"/>
          <w:szCs w:val="20"/>
        </w:rPr>
        <w:t xml:space="preserve">Item 4. Mine Safety Disclosures </w:t>
      </w:r>
    </w:p>
    <w:p w:rsidR="00000000" w:rsidRDefault="00E0782F">
      <w:pPr>
        <w:divId w:val="1478378107"/>
        <w:rPr>
          <w:rFonts w:eastAsia="Times New Roman"/>
        </w:rPr>
      </w:pPr>
      <w:r>
        <w:rPr>
          <w:rFonts w:eastAsia="Times New Roman"/>
          <w:color w:val="000000"/>
          <w:sz w:val="20"/>
          <w:szCs w:val="20"/>
        </w:rPr>
        <w:t>Not applicable.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22106426"/>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2210642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2210642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6" style="width:0;height:1.5pt" o:hralign="center" o:hrstd="t" o:hr="t" fillcolor="#a0a0a0" stroked="f"/>
        </w:pict>
      </w:r>
    </w:p>
    <w:p w:rsidR="00000000" w:rsidRDefault="00E0782F">
      <w:pPr>
        <w:ind w:hanging="360"/>
        <w:jc w:val="both"/>
        <w:divId w:val="428644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center"/>
        <w:divId w:val="311299940"/>
        <w:rPr>
          <w:rFonts w:eastAsia="Times New Roman"/>
        </w:rPr>
      </w:pPr>
      <w:r>
        <w:rPr>
          <w:rFonts w:eastAsia="Times New Roman"/>
          <w:b/>
          <w:bCs/>
          <w:color w:val="000000"/>
          <w:sz w:val="20"/>
          <w:szCs w:val="20"/>
        </w:rPr>
        <w:t>PART II</w:t>
      </w:r>
      <w:r>
        <w:rPr>
          <w:rFonts w:eastAsia="Times New Roman"/>
          <w:color w:val="000000"/>
          <w:sz w:val="20"/>
          <w:szCs w:val="20"/>
        </w:rPr>
        <w:t xml:space="preserve"> </w:t>
      </w:r>
    </w:p>
    <w:p w:rsidR="00000000" w:rsidRDefault="00E0782F">
      <w:pPr>
        <w:jc w:val="both"/>
        <w:divId w:val="40985188"/>
        <w:rPr>
          <w:rFonts w:eastAsia="Times New Roman"/>
        </w:rPr>
      </w:pPr>
      <w:r>
        <w:rPr>
          <w:rFonts w:eastAsia="Times New Roman"/>
          <w:b/>
          <w:bCs/>
          <w:color w:val="000000"/>
          <w:sz w:val="20"/>
          <w:szCs w:val="20"/>
        </w:rPr>
        <w:t>Item 5. Market for Registrant’</w:t>
      </w:r>
      <w:r>
        <w:rPr>
          <w:rFonts w:eastAsia="Times New Roman"/>
          <w:b/>
          <w:bCs/>
          <w:color w:val="000000"/>
          <w:sz w:val="20"/>
          <w:szCs w:val="20"/>
        </w:rPr>
        <w:t xml:space="preserve">s Common Equity, Related Stockholder Matters and Issuer Purchases of Equity Securities </w:t>
      </w:r>
    </w:p>
    <w:p w:rsidR="00000000" w:rsidRDefault="00E0782F">
      <w:pPr>
        <w:divId w:val="891232519"/>
        <w:rPr>
          <w:rFonts w:eastAsia="Times New Roman"/>
        </w:rPr>
      </w:pPr>
      <w:r>
        <w:rPr>
          <w:rFonts w:eastAsia="Times New Roman"/>
          <w:b/>
          <w:bCs/>
          <w:color w:val="000000"/>
          <w:sz w:val="20"/>
          <w:szCs w:val="20"/>
        </w:rPr>
        <w:t>Market Information</w:t>
      </w:r>
    </w:p>
    <w:p w:rsidR="00000000" w:rsidRDefault="00E0782F">
      <w:pPr>
        <w:jc w:val="both"/>
        <w:divId w:val="708727509"/>
        <w:rPr>
          <w:rFonts w:eastAsia="Times New Roman"/>
        </w:rPr>
      </w:pPr>
      <w:r>
        <w:rPr>
          <w:rFonts w:eastAsia="Times New Roman"/>
          <w:color w:val="000000"/>
          <w:sz w:val="20"/>
          <w:szCs w:val="20"/>
        </w:rPr>
        <w:t>Our common stock is listed on the NYSE and is traded under the symbol “COF.” As of January 31, 2021, there were 9,763 holders of record of our common</w:t>
      </w:r>
      <w:r>
        <w:rPr>
          <w:rFonts w:eastAsia="Times New Roman"/>
          <w:color w:val="000000"/>
          <w:sz w:val="20"/>
          <w:szCs w:val="20"/>
        </w:rPr>
        <w:t xml:space="preserve"> stock. </w:t>
      </w:r>
    </w:p>
    <w:p w:rsidR="00000000" w:rsidRDefault="00E0782F">
      <w:pPr>
        <w:divId w:val="1431320149"/>
        <w:rPr>
          <w:rFonts w:eastAsia="Times New Roman"/>
        </w:rPr>
      </w:pPr>
      <w:r>
        <w:rPr>
          <w:rFonts w:eastAsia="Times New Roman"/>
          <w:b/>
          <w:bCs/>
          <w:color w:val="000000"/>
          <w:sz w:val="20"/>
          <w:szCs w:val="20"/>
        </w:rPr>
        <w:t>Securities Authorized for Issuance Under Equity Compensation Plans</w:t>
      </w:r>
    </w:p>
    <w:p w:rsidR="00000000" w:rsidRDefault="00E0782F">
      <w:pPr>
        <w:jc w:val="both"/>
        <w:divId w:val="65541484"/>
        <w:rPr>
          <w:rFonts w:eastAsia="Times New Roman"/>
        </w:rPr>
      </w:pPr>
      <w:r>
        <w:rPr>
          <w:rFonts w:eastAsia="Times New Roman"/>
          <w:color w:val="000000"/>
          <w:sz w:val="20"/>
          <w:szCs w:val="20"/>
        </w:rPr>
        <w:t xml:space="preserve">Information relating to compensation plans under which our equity securities are authorized for issuance is presented in this Report under “Part III—Item 12. Security Ownership of </w:t>
      </w:r>
      <w:r>
        <w:rPr>
          <w:rFonts w:eastAsia="Times New Roman"/>
          <w:color w:val="000000"/>
          <w:sz w:val="20"/>
          <w:szCs w:val="20"/>
        </w:rPr>
        <w:t>Certain Beneficial Owners and Management and Related Stockholder Matters.”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3602345"/>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360234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360234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7" style="width:0;height:1.5pt" o:hralign="center" o:hrstd="t" o:hr="t" fillcolor="#a0a0a0" stroked="f"/>
        </w:pict>
      </w:r>
    </w:p>
    <w:p w:rsidR="00000000" w:rsidRDefault="00E0782F">
      <w:pPr>
        <w:ind w:hanging="360"/>
        <w:jc w:val="both"/>
        <w:divId w:val="1095832769"/>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2091268859"/>
        <w:rPr>
          <w:rFonts w:eastAsia="Times New Roman"/>
        </w:rPr>
      </w:pPr>
      <w:r>
        <w:rPr>
          <w:rFonts w:eastAsia="Times New Roman"/>
          <w:b/>
          <w:bCs/>
          <w:color w:val="000000"/>
          <w:sz w:val="20"/>
          <w:szCs w:val="20"/>
        </w:rPr>
        <w:t>Common Stock Performance Graph</w:t>
      </w:r>
    </w:p>
    <w:p w:rsidR="00000000" w:rsidRDefault="00E0782F">
      <w:pPr>
        <w:jc w:val="both"/>
        <w:divId w:val="1204246715"/>
        <w:rPr>
          <w:rFonts w:eastAsia="Times New Roman"/>
        </w:rPr>
      </w:pPr>
      <w:r>
        <w:rPr>
          <w:rFonts w:eastAsia="Times New Roman"/>
          <w:color w:val="000000"/>
          <w:sz w:val="20"/>
          <w:szCs w:val="20"/>
        </w:rPr>
        <w:t>The following graph shows the cumulative total stockhol</w:t>
      </w:r>
      <w:r>
        <w:rPr>
          <w:rFonts w:eastAsia="Times New Roman"/>
          <w:color w:val="000000"/>
          <w:sz w:val="20"/>
          <w:szCs w:val="20"/>
        </w:rPr>
        <w:t>der return on our common stock compared to an overall stock market index, the S&amp;P Composite 500 Stock Index (“S&amp;P 500 Index”), and a published industry index, the S&amp;P Financial Composite Index (“S&amp;P Financial Index”), over the five-year period commencing D</w:t>
      </w:r>
      <w:r>
        <w:rPr>
          <w:rFonts w:eastAsia="Times New Roman"/>
          <w:color w:val="000000"/>
          <w:sz w:val="20"/>
          <w:szCs w:val="20"/>
        </w:rPr>
        <w:t>ecember 31, 2015 and ended December 31, 2020. The stock performance graph assumes that $100 was invested in our common stock and each index and that all dividends were reinvested. The stock price performance on the graph below is not necessarily indicative</w:t>
      </w:r>
      <w:r>
        <w:rPr>
          <w:rFonts w:eastAsia="Times New Roman"/>
          <w:color w:val="000000"/>
          <w:sz w:val="20"/>
          <w:szCs w:val="20"/>
        </w:rPr>
        <w:t xml:space="preserve"> of future performance.</w:t>
      </w:r>
    </w:p>
    <w:p w:rsidR="00000000" w:rsidRDefault="00E0782F">
      <w:pPr>
        <w:spacing w:before="180" w:after="60"/>
        <w:jc w:val="both"/>
        <w:divId w:val="294870183"/>
        <w:rPr>
          <w:rFonts w:eastAsia="Times New Roman"/>
        </w:rPr>
      </w:pPr>
      <w:r>
        <w:rPr>
          <w:rFonts w:eastAsia="Times New Roman"/>
          <w:noProof/>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0782F">
      <w:pPr>
        <w:jc w:val="both"/>
        <w:divId w:val="218638525"/>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3417"/>
        <w:gridCol w:w="37"/>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540"/>
        <w:gridCol w:w="36"/>
      </w:tblGrid>
      <w:tr w:rsidR="00000000">
        <w:trPr>
          <w:divId w:val="518587074"/>
          <w:jc w:val="center"/>
        </w:trPr>
        <w:tc>
          <w:tcPr>
            <w:tcW w:w="50" w:type="pct"/>
            <w:vAlign w:val="center"/>
            <w:hideMark/>
          </w:tcPr>
          <w:p w:rsidR="00000000" w:rsidRDefault="00E0782F">
            <w:pPr>
              <w:jc w:val="both"/>
              <w:rPr>
                <w:rFonts w:eastAsia="Times New Roman"/>
              </w:rPr>
            </w:pPr>
          </w:p>
        </w:tc>
        <w:tc>
          <w:tcPr>
            <w:tcW w:w="238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18587074"/>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w:t>
            </w:r>
          </w:p>
        </w:tc>
      </w:tr>
      <w:tr w:rsidR="00000000">
        <w:trPr>
          <w:divId w:val="518587074"/>
          <w:jc w:val="center"/>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r>
      <w:tr w:rsidR="00000000">
        <w:trPr>
          <w:divId w:val="518587074"/>
          <w:jc w:val="center"/>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Capital One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137.96 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136.95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518587074"/>
          <w:jc w:val="center"/>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S&amp;P 500 Index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109.54 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130.81 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122.65 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158.07 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518587074"/>
          <w:jc w:val="center"/>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S&amp;P Financial Index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100.00 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120.14 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144.20 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123.06 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158.95 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152.43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518587074"/>
          <w:jc w:val="center"/>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18587074"/>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18587074"/>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18587074"/>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18587074"/>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69" style="width:0;height:1.5pt" o:hralign="center" o:hrstd="t" o:hr="t" fillcolor="#a0a0a0" stroked="f"/>
        </w:pict>
      </w:r>
    </w:p>
    <w:p w:rsidR="00000000" w:rsidRDefault="00E0782F">
      <w:pPr>
        <w:ind w:hanging="360"/>
        <w:jc w:val="both"/>
        <w:divId w:val="63202980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685596896"/>
        <w:rPr>
          <w:rFonts w:eastAsia="Times New Roman"/>
        </w:rPr>
      </w:pPr>
      <w:r>
        <w:rPr>
          <w:rFonts w:eastAsia="Times New Roman"/>
          <w:b/>
          <w:bCs/>
          <w:color w:val="000000"/>
          <w:sz w:val="20"/>
          <w:szCs w:val="20"/>
        </w:rPr>
        <w:t>Recent Sales of Unregistered Securities</w:t>
      </w:r>
    </w:p>
    <w:p w:rsidR="00000000" w:rsidRDefault="00E0782F">
      <w:pPr>
        <w:jc w:val="both"/>
        <w:divId w:val="1647051190"/>
        <w:rPr>
          <w:rFonts w:eastAsia="Times New Roman"/>
        </w:rPr>
      </w:pPr>
      <w:r>
        <w:rPr>
          <w:rFonts w:eastAsia="Times New Roman"/>
          <w:color w:val="000000"/>
          <w:sz w:val="20"/>
          <w:szCs w:val="20"/>
        </w:rPr>
        <w:t>We did not have any sales of unregistered equi</w:t>
      </w:r>
      <w:r>
        <w:rPr>
          <w:rFonts w:eastAsia="Times New Roman"/>
          <w:color w:val="000000"/>
          <w:sz w:val="20"/>
          <w:szCs w:val="20"/>
        </w:rPr>
        <w:t>ty securities in 2020.</w:t>
      </w:r>
    </w:p>
    <w:p w:rsidR="00000000" w:rsidRDefault="00E0782F">
      <w:pPr>
        <w:divId w:val="441459755"/>
        <w:rPr>
          <w:rFonts w:eastAsia="Times New Roman"/>
        </w:rPr>
      </w:pPr>
      <w:r>
        <w:rPr>
          <w:rFonts w:eastAsia="Times New Roman"/>
          <w:b/>
          <w:bCs/>
          <w:color w:val="000000"/>
          <w:sz w:val="20"/>
          <w:szCs w:val="20"/>
        </w:rPr>
        <w:t>Issuer Purchases of Equity Securities</w:t>
      </w:r>
    </w:p>
    <w:p w:rsidR="00000000" w:rsidRDefault="00E0782F">
      <w:pPr>
        <w:jc w:val="both"/>
        <w:divId w:val="211383949"/>
        <w:rPr>
          <w:rFonts w:eastAsia="Times New Roman"/>
        </w:rPr>
      </w:pPr>
      <w:r>
        <w:rPr>
          <w:rFonts w:eastAsia="Times New Roman"/>
          <w:color w:val="000000"/>
          <w:sz w:val="20"/>
          <w:szCs w:val="20"/>
        </w:rPr>
        <w:t>We suspended our 2019 Stock Repurchase Program in March 2020 and the program subsequently expired at the end of the second quarter of 2020. During the fourth quarter of 2020, we withheld shares of common stock to cover taxes on restricted stock units (“RSU</w:t>
      </w:r>
      <w:r>
        <w:rPr>
          <w:rFonts w:eastAsia="Times New Roman"/>
          <w:color w:val="000000"/>
          <w:sz w:val="20"/>
          <w:szCs w:val="20"/>
        </w:rPr>
        <w:t>s”) whose restrictions lapsed. Commission costs are excluded from the amounts presented below.</w:t>
      </w:r>
    </w:p>
    <w:tbl>
      <w:tblPr>
        <w:tblW w:w="5000" w:type="pct"/>
        <w:tblCellMar>
          <w:top w:w="15" w:type="dxa"/>
          <w:left w:w="15" w:type="dxa"/>
          <w:bottom w:w="15" w:type="dxa"/>
          <w:right w:w="15" w:type="dxa"/>
        </w:tblCellMar>
        <w:tblLook w:val="04A0" w:firstRow="1" w:lastRow="0" w:firstColumn="1" w:lastColumn="0" w:noHBand="0" w:noVBand="1"/>
      </w:tblPr>
      <w:tblGrid>
        <w:gridCol w:w="42"/>
        <w:gridCol w:w="6137"/>
        <w:gridCol w:w="36"/>
        <w:gridCol w:w="36"/>
        <w:gridCol w:w="36"/>
        <w:gridCol w:w="36"/>
        <w:gridCol w:w="63"/>
        <w:gridCol w:w="748"/>
        <w:gridCol w:w="36"/>
        <w:gridCol w:w="36"/>
        <w:gridCol w:w="36"/>
        <w:gridCol w:w="36"/>
        <w:gridCol w:w="111"/>
        <w:gridCol w:w="737"/>
        <w:gridCol w:w="36"/>
        <w:gridCol w:w="36"/>
        <w:gridCol w:w="36"/>
        <w:gridCol w:w="36"/>
        <w:gridCol w:w="36"/>
      </w:tblGrid>
      <w:tr w:rsidR="00000000">
        <w:trPr>
          <w:divId w:val="1060589509"/>
        </w:trPr>
        <w:tc>
          <w:tcPr>
            <w:tcW w:w="50" w:type="pct"/>
            <w:vAlign w:val="center"/>
            <w:hideMark/>
          </w:tcPr>
          <w:p w:rsidR="00000000" w:rsidRDefault="00E0782F">
            <w:pPr>
              <w:jc w:val="both"/>
              <w:rPr>
                <w:rFonts w:eastAsia="Times New Roman"/>
              </w:rPr>
            </w:pPr>
          </w:p>
        </w:tc>
        <w:tc>
          <w:tcPr>
            <w:tcW w:w="378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6058950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Total Number </w:t>
            </w:r>
            <w:r>
              <w:rPr>
                <w:rFonts w:eastAsia="Times New Roman"/>
                <w:b/>
                <w:bCs/>
                <w:color w:val="000000"/>
                <w:sz w:val="16"/>
                <w:szCs w:val="16"/>
              </w:rPr>
              <w:br/>
              <w:t>of Shares</w:t>
            </w:r>
            <w:r>
              <w:rPr>
                <w:rFonts w:eastAsia="Times New Roman"/>
                <w:b/>
                <w:bCs/>
                <w:color w:val="000000"/>
                <w:sz w:val="16"/>
                <w:szCs w:val="16"/>
              </w:rPr>
              <w:br/>
              <w:t>Withheld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w:t>
            </w:r>
            <w:r>
              <w:rPr>
                <w:rFonts w:eastAsia="Times New Roman"/>
                <w:b/>
                <w:bCs/>
                <w:color w:val="000000"/>
                <w:sz w:val="16"/>
                <w:szCs w:val="16"/>
              </w:rPr>
              <w:br/>
              <w:t>per Share</w:t>
            </w:r>
          </w:p>
        </w:tc>
        <w:tc>
          <w:tcPr>
            <w:tcW w:w="0" w:type="auto"/>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60589509"/>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October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60589509"/>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November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39,344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60589509"/>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December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92.68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60589509"/>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39,397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73.11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bl>
    <w:p w:rsidR="00000000" w:rsidRDefault="00E0782F">
      <w:pPr>
        <w:divId w:val="1231963866"/>
        <w:rPr>
          <w:rFonts w:eastAsia="Times New Roman"/>
        </w:rPr>
      </w:pPr>
      <w:r>
        <w:rPr>
          <w:rFonts w:eastAsia="Times New Roman"/>
          <w:b/>
          <w:bCs/>
          <w:color w:val="000000"/>
          <w:sz w:val="20"/>
          <w:szCs w:val="20"/>
        </w:rPr>
        <w:t xml:space="preserve">Item 6. Selected Financial Data </w:t>
      </w:r>
    </w:p>
    <w:p w:rsidR="00000000" w:rsidRDefault="00E0782F">
      <w:pPr>
        <w:jc w:val="both"/>
        <w:divId w:val="1009285475"/>
        <w:rPr>
          <w:rFonts w:eastAsia="Times New Roman"/>
        </w:rPr>
      </w:pPr>
      <w:r>
        <w:rPr>
          <w:rFonts w:eastAsia="Times New Roman"/>
          <w:color w:val="000000"/>
          <w:sz w:val="20"/>
          <w:szCs w:val="20"/>
        </w:rPr>
        <w:t>The following table presents selected consolidated financial data and performance metrics for the five-year period ended December 31, 2020. We also provide selected key metrics we use in evaluating our performance, including certain metrics that are comput</w:t>
      </w:r>
      <w:r>
        <w:rPr>
          <w:rFonts w:eastAsia="Times New Roman"/>
          <w:color w:val="000000"/>
          <w:sz w:val="20"/>
          <w:szCs w:val="20"/>
        </w:rPr>
        <w:t>ed using non-GAAP measures. We consider these metrics to be key financial measures that management uses in assessing our operating performance, capital adequacy and the level of returns generated. We believe these non-GAAP metrics provide useful insight to</w:t>
      </w:r>
      <w:r>
        <w:rPr>
          <w:rFonts w:eastAsia="Times New Roman"/>
          <w:color w:val="000000"/>
          <w:sz w:val="20"/>
          <w:szCs w:val="20"/>
        </w:rPr>
        <w:t xml:space="preserve"> investors and users of our financial information as they provide an alternate measurement of our performance and assist in assessing our capital adequacy and the level of return generated.</w:t>
      </w:r>
    </w:p>
    <w:p w:rsidR="00000000" w:rsidRDefault="00E0782F">
      <w:pPr>
        <w:divId w:val="2005157244"/>
        <w:rPr>
          <w:rFonts w:eastAsia="Times New Roman"/>
        </w:rPr>
      </w:pPr>
      <w:r>
        <w:rPr>
          <w:rFonts w:eastAsia="Times New Roman"/>
          <w:b/>
          <w:bCs/>
          <w:color w:val="000000"/>
          <w:sz w:val="18"/>
          <w:szCs w:val="18"/>
        </w:rPr>
        <w:t>Five-Year Summary of Selected Financial Data</w:t>
      </w:r>
    </w:p>
    <w:tbl>
      <w:tblPr>
        <w:tblW w:w="4992" w:type="pct"/>
        <w:tblCellMar>
          <w:top w:w="15" w:type="dxa"/>
          <w:left w:w="15" w:type="dxa"/>
          <w:bottom w:w="15" w:type="dxa"/>
          <w:right w:w="15" w:type="dxa"/>
        </w:tblCellMar>
        <w:tblLook w:val="04A0" w:firstRow="1" w:lastRow="0" w:firstColumn="1" w:lastColumn="0" w:noHBand="0" w:noVBand="1"/>
      </w:tblPr>
      <w:tblGrid>
        <w:gridCol w:w="39"/>
        <w:gridCol w:w="2220"/>
        <w:gridCol w:w="38"/>
        <w:gridCol w:w="36"/>
        <w:gridCol w:w="36"/>
        <w:gridCol w:w="36"/>
        <w:gridCol w:w="36"/>
        <w:gridCol w:w="36"/>
        <w:gridCol w:w="36"/>
        <w:gridCol w:w="36"/>
        <w:gridCol w:w="36"/>
        <w:gridCol w:w="36"/>
        <w:gridCol w:w="110"/>
        <w:gridCol w:w="540"/>
        <w:gridCol w:w="36"/>
        <w:gridCol w:w="36"/>
        <w:gridCol w:w="36"/>
        <w:gridCol w:w="36"/>
        <w:gridCol w:w="110"/>
        <w:gridCol w:w="540"/>
        <w:gridCol w:w="36"/>
        <w:gridCol w:w="36"/>
        <w:gridCol w:w="36"/>
        <w:gridCol w:w="36"/>
        <w:gridCol w:w="111"/>
        <w:gridCol w:w="628"/>
        <w:gridCol w:w="36"/>
        <w:gridCol w:w="37"/>
        <w:gridCol w:w="119"/>
        <w:gridCol w:w="36"/>
        <w:gridCol w:w="111"/>
        <w:gridCol w:w="628"/>
        <w:gridCol w:w="37"/>
        <w:gridCol w:w="38"/>
        <w:gridCol w:w="119"/>
        <w:gridCol w:w="37"/>
        <w:gridCol w:w="111"/>
        <w:gridCol w:w="628"/>
        <w:gridCol w:w="36"/>
        <w:gridCol w:w="36"/>
        <w:gridCol w:w="36"/>
        <w:gridCol w:w="36"/>
        <w:gridCol w:w="53"/>
        <w:gridCol w:w="302"/>
        <w:gridCol w:w="170"/>
        <w:gridCol w:w="36"/>
        <w:gridCol w:w="36"/>
        <w:gridCol w:w="36"/>
        <w:gridCol w:w="68"/>
        <w:gridCol w:w="393"/>
        <w:gridCol w:w="170"/>
      </w:tblGrid>
      <w:tr w:rsidR="00000000">
        <w:trPr>
          <w:divId w:val="1561789173"/>
        </w:trPr>
        <w:tc>
          <w:tcPr>
            <w:tcW w:w="50" w:type="pct"/>
            <w:vAlign w:val="center"/>
            <w:hideMark/>
          </w:tcPr>
          <w:p w:rsidR="00000000" w:rsidRDefault="00E0782F">
            <w:pPr>
              <w:rPr>
                <w:rFonts w:eastAsia="Times New Roman"/>
              </w:rPr>
            </w:pPr>
          </w:p>
        </w:tc>
        <w:tc>
          <w:tcPr>
            <w:tcW w:w="162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6178917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6178917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c>
          <w:tcPr>
            <w:tcW w:w="0" w:type="auto"/>
            <w:vAlign w:val="center"/>
            <w:hideMark/>
          </w:tcPr>
          <w:p w:rsidR="00000000" w:rsidRDefault="00E0782F">
            <w:pPr>
              <w:rPr>
                <w:rFonts w:eastAsia="Times New Roman"/>
                <w:sz w:val="20"/>
                <w:szCs w:val="20"/>
              </w:rPr>
            </w:pPr>
          </w:p>
        </w:tc>
      </w:tr>
      <w:tr w:rsidR="00000000">
        <w:trPr>
          <w:divId w:val="156178917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Income statement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26,033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28,513 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27,176</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25,222</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22,891</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5,173 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4,301</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2,762</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2,018</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22,913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23,340 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22,875</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22,460</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20,873</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5,201</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4,777</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4,628</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28,523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28,593 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28,076</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27,237</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25,501</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10,264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5,856</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7,551</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6,459</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14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6178917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2,174</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1,670</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1,811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Operating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13,446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12,728</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12,524</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11,747</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15,056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14,902</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14,194</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13,558</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3,203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6,874 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7,318</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5,492</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5,484</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1,293</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3,375</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1,714</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6,025</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2,117</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3,770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(10)</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(135)</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(19)</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rPr>
                <w:rFonts w:eastAsia="Times New Roman"/>
                <w:sz w:val="20"/>
                <w:szCs w:val="20"/>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6,015</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1,982</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3,751</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(40)</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(24)</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(265)</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(265)</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(214)</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6178917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rPr>
                <w:rFonts w:eastAsia="Times New Roman"/>
                <w:sz w:val="20"/>
                <w:szCs w:val="20"/>
              </w:rPr>
            </w:pPr>
          </w:p>
        </w:tc>
      </w:tr>
      <w:tr w:rsidR="00000000">
        <w:trPr>
          <w:divId w:val="156178917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Net income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2,375</w:t>
            </w: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5,192 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gridSpan w:val="2"/>
            <w:tcBorders>
              <w:top w:val="single" w:sz="8" w:space="0" w:color="000000"/>
              <w:bottom w:val="single" w:sz="8" w:space="0" w:color="000000"/>
            </w:tcBorders>
            <w:shd w:val="clear" w:color="auto" w:fill="FFFFFF"/>
            <w:tcMar>
              <w:top w:w="30" w:type="dxa"/>
              <w:left w:w="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5,710</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gridSpan w:val="2"/>
            <w:tcBorders>
              <w:top w:val="single" w:sz="8" w:space="0" w:color="000000"/>
              <w:bottom w:val="single" w:sz="8" w:space="0" w:color="000000"/>
            </w:tcBorders>
            <w:shd w:val="clear" w:color="auto" w:fill="FFFFFF"/>
            <w:tcMar>
              <w:top w:w="30" w:type="dxa"/>
              <w:left w:w="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1,704</w:t>
            </w: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gridSpan w:val="2"/>
            <w:tcBorders>
              <w:top w:val="single" w:sz="8" w:space="0" w:color="000000"/>
              <w:bottom w:val="single" w:sz="8" w:space="0" w:color="000000"/>
            </w:tcBorders>
            <w:shd w:val="clear" w:color="auto" w:fill="FFFFFF"/>
            <w:tcMar>
              <w:top w:w="30" w:type="dxa"/>
              <w:left w:w="0" w:type="dxa"/>
              <w:bottom w:w="30" w:type="dxa"/>
              <w:right w:w="140" w:type="dxa"/>
            </w:tcMar>
            <w:vAlign w:val="bottom"/>
            <w:hideMark/>
          </w:tcPr>
          <w:p w:rsidR="00000000" w:rsidRDefault="00E0782F">
            <w:pPr>
              <w:jc w:val="right"/>
              <w:rPr>
                <w:rFonts w:eastAsia="Times New Roman"/>
              </w:rPr>
            </w:pPr>
            <w:r>
              <w:rPr>
                <w:rFonts w:eastAsia="Times New Roman"/>
                <w:color w:val="000000"/>
                <w:sz w:val="18"/>
                <w:szCs w:val="18"/>
              </w:rPr>
              <w:t>3,513</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0" style="width:0;height:1.5pt" o:hralign="center" o:hrstd="t" o:hr="t" fillcolor="#a0a0a0" stroked="f"/>
        </w:pict>
      </w:r>
    </w:p>
    <w:p w:rsidR="00000000" w:rsidRDefault="00E0782F">
      <w:pPr>
        <w:ind w:hanging="360"/>
        <w:jc w:val="both"/>
        <w:divId w:val="272400277"/>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41"/>
        <w:gridCol w:w="1197"/>
        <w:gridCol w:w="40"/>
        <w:gridCol w:w="36"/>
        <w:gridCol w:w="36"/>
        <w:gridCol w:w="36"/>
        <w:gridCol w:w="36"/>
        <w:gridCol w:w="36"/>
        <w:gridCol w:w="36"/>
        <w:gridCol w:w="36"/>
        <w:gridCol w:w="36"/>
        <w:gridCol w:w="36"/>
        <w:gridCol w:w="110"/>
        <w:gridCol w:w="595"/>
        <w:gridCol w:w="200"/>
        <w:gridCol w:w="36"/>
        <w:gridCol w:w="36"/>
        <w:gridCol w:w="36"/>
        <w:gridCol w:w="110"/>
        <w:gridCol w:w="630"/>
        <w:gridCol w:w="170"/>
        <w:gridCol w:w="37"/>
        <w:gridCol w:w="119"/>
        <w:gridCol w:w="36"/>
        <w:gridCol w:w="110"/>
        <w:gridCol w:w="630"/>
        <w:gridCol w:w="170"/>
        <w:gridCol w:w="36"/>
        <w:gridCol w:w="36"/>
        <w:gridCol w:w="36"/>
        <w:gridCol w:w="110"/>
        <w:gridCol w:w="630"/>
        <w:gridCol w:w="170"/>
        <w:gridCol w:w="36"/>
        <w:gridCol w:w="36"/>
        <w:gridCol w:w="36"/>
        <w:gridCol w:w="110"/>
        <w:gridCol w:w="630"/>
        <w:gridCol w:w="170"/>
        <w:gridCol w:w="36"/>
        <w:gridCol w:w="36"/>
        <w:gridCol w:w="36"/>
        <w:gridCol w:w="61"/>
        <w:gridCol w:w="350"/>
        <w:gridCol w:w="271"/>
        <w:gridCol w:w="36"/>
        <w:gridCol w:w="36"/>
        <w:gridCol w:w="36"/>
        <w:gridCol w:w="68"/>
        <w:gridCol w:w="393"/>
        <w:gridCol w:w="271"/>
      </w:tblGrid>
      <w:tr w:rsidR="00000000">
        <w:trPr>
          <w:divId w:val="293145508"/>
        </w:trPr>
        <w:tc>
          <w:tcPr>
            <w:tcW w:w="50" w:type="pct"/>
            <w:vAlign w:val="center"/>
            <w:hideMark/>
          </w:tcPr>
          <w:p w:rsidR="00000000" w:rsidRDefault="00E0782F">
            <w:pPr>
              <w:ind w:hanging="360"/>
              <w:jc w:val="both"/>
              <w:rPr>
                <w:rFonts w:eastAsia="Times New Roman"/>
              </w:rPr>
            </w:pPr>
          </w:p>
        </w:tc>
        <w:tc>
          <w:tcPr>
            <w:tcW w:w="162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93145508"/>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29314550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per share data and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c>
          <w:tcPr>
            <w:tcW w:w="0" w:type="auto"/>
            <w:vAlign w:val="center"/>
            <w:hideMark/>
          </w:tcPr>
          <w:p w:rsidR="00000000" w:rsidRDefault="00E0782F">
            <w:pPr>
              <w:rPr>
                <w:rFonts w:eastAsia="Times New Roman"/>
                <w:sz w:val="20"/>
                <w:szCs w:val="20"/>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Common share statistics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rPr>
                <w:rFonts w:eastAsia="Times New Roman"/>
                <w:sz w:val="20"/>
                <w:szCs w:val="20"/>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Diluted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rPr>
                <w:rFonts w:eastAsia="Times New Roman"/>
                <w:sz w:val="20"/>
                <w:szCs w:val="20"/>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per diluted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29314550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293145508"/>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293145508"/>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Common shares outstanding (period-end, in millions)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459.0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456.6 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467.7 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485.5 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480.2 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Dividends declared and paid per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Book value per common share (period-end)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131.16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127.05 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divId w:val="1521435680"/>
              <w:rPr>
                <w:rFonts w:eastAsia="Times New Roman"/>
              </w:rPr>
            </w:pPr>
            <w:r>
              <w:rPr>
                <w:rFonts w:eastAsia="Times New Roman"/>
                <w:color w:val="000000"/>
                <w:sz w:val="18"/>
                <w:szCs w:val="18"/>
              </w:rPr>
              <w:t>Tangible book value per common share (period-end</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88.34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83.72 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69.20 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60.28 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57.76 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divId w:val="218563424"/>
              <w:rPr>
                <w:rFonts w:eastAsia="Times New Roman"/>
              </w:rPr>
            </w:pPr>
            <w:r>
              <w:rPr>
                <w:rFonts w:eastAsia="Times New Roman"/>
                <w:color w:val="000000"/>
                <w:sz w:val="18"/>
                <w:szCs w:val="18"/>
              </w:rPr>
              <w:t>Common dividend payout rati</w:t>
            </w:r>
            <w:r>
              <w:rPr>
                <w:rFonts w:eastAsia="Times New Roman"/>
                <w:color w:val="000000"/>
                <w:sz w:val="18"/>
                <w:szCs w:val="18"/>
              </w:rPr>
              <w:t>o</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Stock price per common share (period end)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102.91 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14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market capitalization (period-end)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45,372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46,989 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14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35,353 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48,346 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41,893 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Balance sheet (average balances)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0" w:type="dxa"/>
              <w:left w:w="20" w:type="dxa"/>
              <w:bottom w:w="0" w:type="dxa"/>
              <w:right w:w="14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7"/>
                <w:szCs w:val="17"/>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7"/>
                <w:szCs w:val="17"/>
              </w:rPr>
              <w:t>253,335</w:t>
            </w: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247,450 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242,118 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245,565 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233,272 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378,362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341,510 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332,738 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322,330 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307,796 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411,187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374,924 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363,036 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354,924 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339,974 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263,279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231,609 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221,760 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213,949 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198,304 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290,835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255,065 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247,117 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239,882 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223,714 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46,588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50,965 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53,144 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53,659 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56,878 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Common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52,954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50,960 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45,831 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45,170 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45,162 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58,201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55,690 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50,192 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49,530 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48,753 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Purchase volume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7"/>
                <w:szCs w:val="17"/>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7"/>
                <w:szCs w:val="17"/>
              </w:rPr>
              <w:t>414,312</w:t>
            </w: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424,765 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387,102 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336,440 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307,138 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divId w:val="1887600484"/>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divId w:val="1380085713"/>
              <w:rPr>
                <w:rFonts w:eastAsia="Times New Roman"/>
              </w:rPr>
            </w:pPr>
            <w:r>
              <w:rPr>
                <w:rFonts w:eastAsia="Times New Roman"/>
                <w:color w:val="000000"/>
                <w:sz w:val="18"/>
                <w:szCs w:val="18"/>
              </w:rPr>
              <w:t>Return on average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divId w:val="1464932836"/>
              <w:rPr>
                <w:rFonts w:eastAsia="Times New Roman"/>
              </w:rPr>
            </w:pPr>
            <w:r>
              <w:rPr>
                <w:rFonts w:eastAsia="Times New Roman"/>
                <w:color w:val="000000"/>
                <w:sz w:val="18"/>
                <w:szCs w:val="18"/>
              </w:rPr>
              <w:t>Return on average tangible asset</w:t>
            </w:r>
            <w:r>
              <w:rPr>
                <w:rFonts w:eastAsia="Times New Roman"/>
                <w:color w:val="000000"/>
                <w:sz w:val="18"/>
                <w:szCs w:val="18"/>
              </w:rPr>
              <w:t>s</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divId w:val="1375233527"/>
              <w:rPr>
                <w:rFonts w:eastAsia="Times New Roman"/>
              </w:rPr>
            </w:pPr>
            <w:r>
              <w:rPr>
                <w:rFonts w:eastAsia="Times New Roman"/>
                <w:color w:val="000000"/>
                <w:sz w:val="18"/>
                <w:szCs w:val="18"/>
              </w:rPr>
              <w:t>Return on average common equit</w:t>
            </w:r>
            <w:r>
              <w:rPr>
                <w:rFonts w:eastAsia="Times New Roman"/>
                <w:color w:val="000000"/>
                <w:sz w:val="18"/>
                <w:szCs w:val="18"/>
              </w:rPr>
              <w:t>y</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divId w:val="1275214976"/>
              <w:rPr>
                <w:rFonts w:eastAsia="Times New Roman"/>
              </w:rPr>
            </w:pPr>
            <w:r>
              <w:rPr>
                <w:rFonts w:eastAsia="Times New Roman"/>
                <w:color w:val="000000"/>
                <w:sz w:val="18"/>
                <w:szCs w:val="18"/>
              </w:rPr>
              <w:t>Return on average tangible common equit</w:t>
            </w:r>
            <w:r>
              <w:rPr>
                <w:rFonts w:eastAsia="Times New Roman"/>
                <w:color w:val="000000"/>
                <w:sz w:val="18"/>
                <w:szCs w:val="18"/>
              </w:rPr>
              <w:t>y</w:t>
            </w:r>
            <w:r>
              <w:rPr>
                <w:rFonts w:eastAsia="Times New Roman"/>
                <w:color w:val="000000"/>
                <w:sz w:val="12"/>
                <w:szCs w:val="12"/>
              </w:rPr>
              <w:t>(7</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18.56 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divId w:val="198975540"/>
              <w:rPr>
                <w:rFonts w:eastAsia="Times New Roman"/>
              </w:rPr>
            </w:pPr>
            <w:r>
              <w:rPr>
                <w:rFonts w:eastAsia="Times New Roman"/>
                <w:color w:val="000000"/>
                <w:sz w:val="18"/>
                <w:szCs w:val="18"/>
              </w:rPr>
              <w:t>Equity-to-assets rati</w:t>
            </w:r>
            <w:r>
              <w:rPr>
                <w:rFonts w:eastAsia="Times New Roman"/>
                <w:color w:val="000000"/>
                <w:sz w:val="18"/>
                <w:szCs w:val="18"/>
              </w:rPr>
              <w:t>o</w:t>
            </w:r>
            <w:r>
              <w:rPr>
                <w:rFonts w:eastAsia="Times New Roman"/>
                <w:color w:val="000000"/>
                <w:sz w:val="12"/>
                <w:szCs w:val="12"/>
              </w:rPr>
              <w:t>(8</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14.85 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 as a percentage of 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6.26 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6.15 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5.78 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5.81 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divId w:val="1791510260"/>
              <w:rPr>
                <w:rFonts w:eastAsia="Times New Roman"/>
              </w:rPr>
            </w:pPr>
            <w:r>
              <w:rPr>
                <w:rFonts w:eastAsia="Times New Roman"/>
                <w:color w:val="000000"/>
                <w:sz w:val="18"/>
                <w:szCs w:val="18"/>
              </w:rPr>
              <w:t>Efficiency rati</w:t>
            </w:r>
            <w:r>
              <w:rPr>
                <w:rFonts w:eastAsia="Times New Roman"/>
                <w:color w:val="000000"/>
                <w:sz w:val="18"/>
                <w:szCs w:val="18"/>
              </w:rPr>
              <w:t>o</w:t>
            </w:r>
            <w:r>
              <w:rPr>
                <w:rFonts w:eastAsia="Times New Roman"/>
                <w:color w:val="000000"/>
                <w:sz w:val="12"/>
                <w:szCs w:val="12"/>
              </w:rPr>
              <w:t>(9</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divId w:val="506751523"/>
              <w:rPr>
                <w:rFonts w:eastAsia="Times New Roman"/>
              </w:rPr>
            </w:pPr>
            <w:r>
              <w:rPr>
                <w:rFonts w:eastAsia="Times New Roman"/>
                <w:color w:val="000000"/>
                <w:sz w:val="18"/>
                <w:szCs w:val="18"/>
              </w:rPr>
              <w:t>Operating efficiency rati</w:t>
            </w:r>
            <w:r>
              <w:rPr>
                <w:rFonts w:eastAsia="Times New Roman"/>
                <w:color w:val="000000"/>
                <w:sz w:val="18"/>
                <w:szCs w:val="18"/>
              </w:rPr>
              <w:t>o</w:t>
            </w:r>
            <w:r>
              <w:rPr>
                <w:rFonts w:eastAsia="Times New Roman"/>
                <w:color w:val="000000"/>
                <w:sz w:val="12"/>
                <w:szCs w:val="12"/>
              </w:rPr>
              <w:t>(10</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47.14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45.98 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46.06 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Effective income tax rate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19.5 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61.5 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31.3 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180 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29314550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6,252 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9314550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bl>
    <w:p w:rsidR="00000000" w:rsidRDefault="00E0782F">
      <w:pPr>
        <w:jc w:val="both"/>
        <w:divId w:val="46061742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1698262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61698262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61698262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1" style="width:0;height:1.5pt" o:hralign="center" o:hrstd="t" o:hr="t" fillcolor="#a0a0a0" stroked="f"/>
        </w:pict>
      </w:r>
    </w:p>
    <w:p w:rsidR="00000000" w:rsidRDefault="00E0782F">
      <w:pPr>
        <w:ind w:hanging="360"/>
        <w:jc w:val="both"/>
        <w:divId w:val="1653868526"/>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42"/>
        <w:gridCol w:w="1565"/>
        <w:gridCol w:w="41"/>
        <w:gridCol w:w="36"/>
        <w:gridCol w:w="36"/>
        <w:gridCol w:w="36"/>
        <w:gridCol w:w="110"/>
        <w:gridCol w:w="630"/>
        <w:gridCol w:w="200"/>
        <w:gridCol w:w="36"/>
        <w:gridCol w:w="36"/>
        <w:gridCol w:w="36"/>
        <w:gridCol w:w="110"/>
        <w:gridCol w:w="630"/>
        <w:gridCol w:w="170"/>
        <w:gridCol w:w="36"/>
        <w:gridCol w:w="36"/>
        <w:gridCol w:w="36"/>
        <w:gridCol w:w="110"/>
        <w:gridCol w:w="630"/>
        <w:gridCol w:w="170"/>
        <w:gridCol w:w="36"/>
        <w:gridCol w:w="36"/>
        <w:gridCol w:w="36"/>
        <w:gridCol w:w="110"/>
        <w:gridCol w:w="630"/>
        <w:gridCol w:w="170"/>
        <w:gridCol w:w="36"/>
        <w:gridCol w:w="36"/>
        <w:gridCol w:w="36"/>
        <w:gridCol w:w="110"/>
        <w:gridCol w:w="630"/>
        <w:gridCol w:w="170"/>
        <w:gridCol w:w="36"/>
        <w:gridCol w:w="36"/>
        <w:gridCol w:w="36"/>
        <w:gridCol w:w="56"/>
        <w:gridCol w:w="355"/>
        <w:gridCol w:w="271"/>
        <w:gridCol w:w="36"/>
        <w:gridCol w:w="36"/>
        <w:gridCol w:w="36"/>
        <w:gridCol w:w="49"/>
        <w:gridCol w:w="307"/>
        <w:gridCol w:w="271"/>
      </w:tblGrid>
      <w:tr w:rsidR="00000000">
        <w:trPr>
          <w:divId w:val="1519001327"/>
        </w:trPr>
        <w:tc>
          <w:tcPr>
            <w:tcW w:w="50" w:type="pct"/>
            <w:vAlign w:val="center"/>
            <w:hideMark/>
          </w:tcPr>
          <w:p w:rsidR="00000000" w:rsidRDefault="00E0782F">
            <w:pPr>
              <w:ind w:hanging="360"/>
              <w:jc w:val="both"/>
              <w:rPr>
                <w:rFonts w:eastAsia="Times New Roman"/>
              </w:rPr>
            </w:pPr>
          </w:p>
        </w:tc>
        <w:tc>
          <w:tcPr>
            <w:tcW w:w="15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19001327"/>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r>
      <w:tr w:rsidR="00000000">
        <w:trPr>
          <w:divId w:val="151900132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r>
      <w:tr w:rsidR="00000000">
        <w:trPr>
          <w:divId w:val="151900132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Balance sheet (period-end)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265,809 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245,899 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254,473 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245,586 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388,917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355,202 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341,293 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334,124 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321,807 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421,602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390,365 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372,538 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365,693 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357,033 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274,300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239,209 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226,281 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217,298 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211,266 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305,442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262,697 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249,764 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243,702 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236,768 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40,539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55,697 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58,905 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60,281 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60,460 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Common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55,356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53,157 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47,307 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44,370 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43,154 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60,204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58,011 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51,668 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48,730 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47,514 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quality metrics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15,564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as a percentage of loans held for investment (“allowance coverage ratio”)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2.95 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348 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bps</w:t>
            </w: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day delinquency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Capital ratios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divId w:val="2136675372"/>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divId w:val="1621182477"/>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divId w:val="1011175549"/>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divId w:val="2012483761"/>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divId w:val="1558200082"/>
              <w:rPr>
                <w:rFonts w:eastAsia="Times New Roman"/>
              </w:rPr>
            </w:pPr>
            <w:r>
              <w:rPr>
                <w:rFonts w:eastAsia="Times New Roman"/>
                <w:color w:val="000000"/>
                <w:sz w:val="18"/>
                <w:szCs w:val="18"/>
              </w:rPr>
              <w:t>Tangible common equit</w:t>
            </w:r>
            <w:r>
              <w:rPr>
                <w:rFonts w:eastAsia="Times New Roman"/>
                <w:color w:val="000000"/>
                <w:sz w:val="18"/>
                <w:szCs w:val="18"/>
              </w:rPr>
              <w:t>y</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divId w:val="842007966"/>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(11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190013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190013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Employees (period end, in thousands)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972979511"/>
        <w:rPr>
          <w:rFonts w:eastAsia="Times New Roman"/>
        </w:rPr>
      </w:pPr>
      <w:r>
        <w:rPr>
          <w:rFonts w:eastAsia="Times New Roman"/>
          <w:color w:val="000000"/>
          <w:sz w:val="20"/>
          <w:szCs w:val="20"/>
        </w:rPr>
        <w:t>__________</w:t>
      </w:r>
    </w:p>
    <w:p w:rsidR="00000000" w:rsidRDefault="00E0782F">
      <w:pPr>
        <w:ind w:hanging="360"/>
        <w:jc w:val="both"/>
        <w:divId w:val="146068656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Tangible book value per common share is a non-GAAP measure calculated based on tangible common equity divided by common shares outstanding. See “MD&amp;A—Table F —Reconciliation of Non-GAAP Measures” for additional information on non-GAAP measures.</w:t>
      </w:r>
    </w:p>
    <w:p w:rsidR="00000000" w:rsidRDefault="00E0782F">
      <w:pPr>
        <w:ind w:hanging="360"/>
        <w:jc w:val="both"/>
        <w:divId w:val="344526287"/>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Common dividend payout ratio is calculated based on dividends per common share for the period divided by basic earnings per common share for the period.</w:t>
      </w:r>
    </w:p>
    <w:p w:rsidR="00000000" w:rsidRDefault="00E0782F">
      <w:pPr>
        <w:ind w:hanging="360"/>
        <w:jc w:val="both"/>
        <w:divId w:val="156490114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Total net revenue margin is calculated based on total net revenue for the period divided by average </w:t>
      </w:r>
      <w:r>
        <w:rPr>
          <w:rFonts w:eastAsia="Times New Roman"/>
          <w:color w:val="000000"/>
          <w:sz w:val="16"/>
          <w:szCs w:val="16"/>
        </w:rPr>
        <w:t>interest-earning assets for the period.</w:t>
      </w:r>
    </w:p>
    <w:p w:rsidR="00000000" w:rsidRDefault="00E0782F">
      <w:pPr>
        <w:ind w:hanging="360"/>
        <w:jc w:val="both"/>
        <w:divId w:val="78403312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Return on average assets is calculated based on income from continuing operations, net of tax, for the period divided by average total assets for the period.</w:t>
      </w:r>
    </w:p>
    <w:p w:rsidR="00000000" w:rsidRDefault="00E0782F">
      <w:pPr>
        <w:ind w:hanging="360"/>
        <w:jc w:val="both"/>
        <w:divId w:val="434638790"/>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Return on average tangible assets is a non-GAAP meas</w:t>
      </w:r>
      <w:r>
        <w:rPr>
          <w:rFonts w:eastAsia="Times New Roman"/>
          <w:color w:val="000000"/>
          <w:sz w:val="16"/>
          <w:szCs w:val="16"/>
        </w:rPr>
        <w:t>ure calculated based on income from continuing operations, net of tax, for the period divided by average tangible assets for the period. See “MD&amp;A—Table F—Reconciliation of Non-GAAP Measures” for additional information on non-GAAP measures.</w:t>
      </w:r>
    </w:p>
    <w:p w:rsidR="00000000" w:rsidRDefault="00E0782F">
      <w:pPr>
        <w:ind w:hanging="360"/>
        <w:jc w:val="both"/>
        <w:divId w:val="548340570"/>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Return on av</w:t>
      </w:r>
      <w:r>
        <w:rPr>
          <w:rFonts w:eastAsia="Times New Roman"/>
          <w:color w:val="000000"/>
          <w:sz w:val="16"/>
          <w:szCs w:val="16"/>
        </w:rPr>
        <w:t>erage common equity is calculated based on net income available to common stockholders less income (loss) from discontinued operations, net of tax, for the period, divided by average common equity. Our calculation of return on average common equity may not</w:t>
      </w:r>
      <w:r>
        <w:rPr>
          <w:rFonts w:eastAsia="Times New Roman"/>
          <w:color w:val="000000"/>
          <w:sz w:val="16"/>
          <w:szCs w:val="16"/>
        </w:rPr>
        <w:t xml:space="preserve"> be comparable to similarly-titled measures reported by other companies.</w:t>
      </w:r>
    </w:p>
    <w:p w:rsidR="00000000" w:rsidRDefault="00E0782F">
      <w:pPr>
        <w:ind w:hanging="360"/>
        <w:jc w:val="both"/>
        <w:divId w:val="701243121"/>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Return on average tangible common equity (“TCE”) is a non-GAAP measure calculated based on net income available to common stockholders less income (loss) from discontinued operatio</w:t>
      </w:r>
      <w:r>
        <w:rPr>
          <w:rFonts w:eastAsia="Times New Roman"/>
          <w:color w:val="000000"/>
          <w:sz w:val="16"/>
          <w:szCs w:val="16"/>
        </w:rPr>
        <w:t>ns, net of tax, for the period, divided by average tangible common equity. Our calculation of return on average TCE may not be comparable to similarly-titled measures reported by other companies. See “MD&amp;A—Table F—Reconciliation of Non-GAAP Measures” for a</w:t>
      </w:r>
      <w:r>
        <w:rPr>
          <w:rFonts w:eastAsia="Times New Roman"/>
          <w:color w:val="000000"/>
          <w:sz w:val="16"/>
          <w:szCs w:val="16"/>
        </w:rPr>
        <w:t>dditional information on non-GAAP measures.</w:t>
      </w:r>
    </w:p>
    <w:p w:rsidR="00000000" w:rsidRDefault="00E0782F">
      <w:pPr>
        <w:ind w:hanging="360"/>
        <w:jc w:val="both"/>
        <w:divId w:val="512720551"/>
        <w:rPr>
          <w:rFonts w:eastAsia="Times New Roman"/>
        </w:rPr>
      </w:pPr>
      <w:r>
        <w:rPr>
          <w:rFonts w:eastAsia="Times New Roman"/>
          <w:color w:val="000000"/>
          <w:sz w:val="10"/>
          <w:szCs w:val="10"/>
        </w:rPr>
        <w:t>(8</w:t>
      </w:r>
      <w:r>
        <w:rPr>
          <w:rFonts w:eastAsia="Times New Roman"/>
          <w:color w:val="000000"/>
          <w:sz w:val="10"/>
          <w:szCs w:val="10"/>
        </w:rPr>
        <w:t>)</w:t>
      </w:r>
      <w:r>
        <w:rPr>
          <w:rFonts w:eastAsia="Times New Roman"/>
          <w:color w:val="000000"/>
          <w:sz w:val="16"/>
          <w:szCs w:val="16"/>
        </w:rPr>
        <w:t>Equity-to-assets ratio is calculated based on average stockholders’ equity for the period divided by average total assets for the period.</w:t>
      </w:r>
    </w:p>
    <w:p w:rsidR="00000000" w:rsidRDefault="00E0782F">
      <w:pPr>
        <w:ind w:hanging="360"/>
        <w:jc w:val="both"/>
        <w:divId w:val="87890102"/>
        <w:rPr>
          <w:rFonts w:eastAsia="Times New Roman"/>
        </w:rPr>
      </w:pPr>
      <w:r>
        <w:rPr>
          <w:rFonts w:eastAsia="Times New Roman"/>
          <w:color w:val="000000"/>
          <w:sz w:val="10"/>
          <w:szCs w:val="10"/>
        </w:rPr>
        <w:t>(9</w:t>
      </w:r>
      <w:r>
        <w:rPr>
          <w:rFonts w:eastAsia="Times New Roman"/>
          <w:color w:val="000000"/>
          <w:sz w:val="10"/>
          <w:szCs w:val="10"/>
        </w:rPr>
        <w:t>)</w:t>
      </w:r>
      <w:r>
        <w:rPr>
          <w:rFonts w:eastAsia="Times New Roman"/>
          <w:color w:val="000000"/>
          <w:sz w:val="16"/>
          <w:szCs w:val="16"/>
        </w:rPr>
        <w:t>Efficiency ratio is calculated based on total non-interest expense f</w:t>
      </w:r>
      <w:r>
        <w:rPr>
          <w:rFonts w:eastAsia="Times New Roman"/>
          <w:color w:val="000000"/>
          <w:sz w:val="16"/>
          <w:szCs w:val="16"/>
        </w:rPr>
        <w:t>or the period divided by total net revenue for the period.</w:t>
      </w:r>
    </w:p>
    <w:p w:rsidR="00000000" w:rsidRDefault="00E0782F">
      <w:pPr>
        <w:ind w:hanging="360"/>
        <w:jc w:val="both"/>
        <w:divId w:val="106581292"/>
        <w:rPr>
          <w:rFonts w:eastAsia="Times New Roman"/>
        </w:rPr>
      </w:pPr>
      <w:r>
        <w:rPr>
          <w:rFonts w:eastAsia="Times New Roman"/>
          <w:color w:val="000000"/>
          <w:sz w:val="10"/>
          <w:szCs w:val="10"/>
        </w:rPr>
        <w:t>(10</w:t>
      </w:r>
      <w:r>
        <w:rPr>
          <w:rFonts w:eastAsia="Times New Roman"/>
          <w:color w:val="000000"/>
          <w:sz w:val="10"/>
          <w:szCs w:val="10"/>
        </w:rPr>
        <w:t>)</w:t>
      </w:r>
      <w:r>
        <w:rPr>
          <w:rFonts w:eastAsia="Times New Roman"/>
          <w:color w:val="000000"/>
          <w:sz w:val="16"/>
          <w:szCs w:val="16"/>
        </w:rPr>
        <w:t>Operating efficiency ratio is calculated based on operating expense for the period divided by total net revenue for the period.</w:t>
      </w:r>
    </w:p>
    <w:p w:rsidR="00000000" w:rsidRDefault="00E0782F">
      <w:pPr>
        <w:ind w:hanging="360"/>
        <w:jc w:val="both"/>
        <w:divId w:val="1075470548"/>
        <w:rPr>
          <w:rFonts w:eastAsia="Times New Roman"/>
        </w:rPr>
      </w:pPr>
      <w:r>
        <w:rPr>
          <w:rFonts w:eastAsia="Times New Roman"/>
          <w:color w:val="000000"/>
          <w:sz w:val="10"/>
          <w:szCs w:val="10"/>
        </w:rPr>
        <w:t>(11</w:t>
      </w:r>
      <w:r>
        <w:rPr>
          <w:rFonts w:eastAsia="Times New Roman"/>
          <w:color w:val="000000"/>
          <w:sz w:val="10"/>
          <w:szCs w:val="10"/>
        </w:rPr>
        <w:t>)</w:t>
      </w:r>
      <w:r>
        <w:rPr>
          <w:rFonts w:eastAsia="Times New Roman"/>
          <w:color w:val="000000"/>
          <w:sz w:val="16"/>
          <w:szCs w:val="16"/>
        </w:rPr>
        <w:t>Capital ratios are calculated based on the Basel III Standard</w:t>
      </w:r>
      <w:r>
        <w:rPr>
          <w:rFonts w:eastAsia="Times New Roman"/>
          <w:color w:val="000000"/>
          <w:sz w:val="16"/>
          <w:szCs w:val="16"/>
        </w:rPr>
        <w:t>ized Approach framework, see “MD&amp;A—Capital Management” for additional information.</w:t>
      </w:r>
    </w:p>
    <w:p w:rsidR="00000000" w:rsidRDefault="00E0782F">
      <w:pPr>
        <w:ind w:hanging="360"/>
        <w:jc w:val="both"/>
        <w:divId w:val="1457874085"/>
        <w:rPr>
          <w:rFonts w:eastAsia="Times New Roman"/>
        </w:rPr>
      </w:pPr>
      <w:r>
        <w:rPr>
          <w:rFonts w:eastAsia="Times New Roman"/>
          <w:color w:val="000000"/>
          <w:sz w:val="10"/>
          <w:szCs w:val="10"/>
        </w:rPr>
        <w:t>(12</w:t>
      </w:r>
      <w:r>
        <w:rPr>
          <w:rFonts w:eastAsia="Times New Roman"/>
          <w:color w:val="000000"/>
          <w:sz w:val="10"/>
          <w:szCs w:val="10"/>
        </w:rPr>
        <w:t>)</w:t>
      </w:r>
      <w:r>
        <w:rPr>
          <w:rFonts w:eastAsia="Times New Roman"/>
          <w:color w:val="000000"/>
          <w:sz w:val="16"/>
          <w:szCs w:val="16"/>
        </w:rPr>
        <w:t>Tangible common equity ratio is a non-GAAP measure calculated based on TCE divided by tangible assets. See “MD&amp;A—Table F—Reconciliation of Non-GAAP Measures” for the cal</w:t>
      </w:r>
      <w:r>
        <w:rPr>
          <w:rFonts w:eastAsia="Times New Roman"/>
          <w:color w:val="000000"/>
          <w:sz w:val="16"/>
          <w:szCs w:val="16"/>
        </w:rPr>
        <w:t>culation of this measure and reconciliation to the comparative U.S. GAAP measure.</w:t>
      </w:r>
    </w:p>
    <w:p w:rsidR="00000000" w:rsidRDefault="00E0782F">
      <w:pPr>
        <w:ind w:hanging="360"/>
        <w:jc w:val="both"/>
        <w:divId w:val="619267933"/>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7060443"/>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706044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706044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2" style="width:0;height:1.5pt" o:hralign="center" o:hrstd="t" o:hr="t" fillcolor="#a0a0a0" stroked="f"/>
        </w:pict>
      </w:r>
    </w:p>
    <w:p w:rsidR="00000000" w:rsidRDefault="00E0782F">
      <w:pPr>
        <w:ind w:hanging="360"/>
        <w:jc w:val="both"/>
        <w:divId w:val="38013017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934290694"/>
        <w:rPr>
          <w:rFonts w:eastAsia="Times New Roman"/>
        </w:rPr>
      </w:pPr>
      <w:r>
        <w:rPr>
          <w:rFonts w:eastAsia="Times New Roman"/>
          <w:b/>
          <w:bCs/>
          <w:color w:val="000000"/>
          <w:sz w:val="20"/>
          <w:szCs w:val="20"/>
        </w:rPr>
        <w:t>Item 7. Management’s Discussion and Analysis of Financial Condition and Results of Ope</w:t>
      </w:r>
      <w:r>
        <w:rPr>
          <w:rFonts w:eastAsia="Times New Roman"/>
          <w:b/>
          <w:bCs/>
          <w:color w:val="000000"/>
          <w:sz w:val="20"/>
          <w:szCs w:val="20"/>
        </w:rPr>
        <w:t xml:space="preserve">rations (“MD&amp;A”)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1015767059"/>
          <w:jc w:val="center"/>
        </w:trPr>
        <w:tc>
          <w:tcPr>
            <w:tcW w:w="50" w:type="pct"/>
            <w:vAlign w:val="center"/>
            <w:hideMark/>
          </w:tcPr>
          <w:p w:rsidR="00000000" w:rsidRDefault="00E0782F">
            <w:pPr>
              <w:rPr>
                <w:rFonts w:eastAsia="Times New Roman"/>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15767059"/>
          <w:trHeight w:val="60"/>
          <w:jc w:val="center"/>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jc w:val="both"/>
        <w:divId w:val="1309288739"/>
        <w:rPr>
          <w:rFonts w:eastAsia="Times New Roman"/>
        </w:rPr>
      </w:pPr>
      <w:r>
        <w:rPr>
          <w:rFonts w:eastAsia="Times New Roman"/>
          <w:i/>
          <w:iCs/>
          <w:color w:val="000000"/>
          <w:sz w:val="20"/>
          <w:szCs w:val="20"/>
        </w:rPr>
        <w:t>This discussion contains forward-looking statements that are based upon management’</w:t>
      </w:r>
      <w:r>
        <w:rPr>
          <w:rFonts w:eastAsia="Times New Roman"/>
          <w:i/>
          <w:iCs/>
          <w:color w:val="000000"/>
          <w:sz w:val="20"/>
          <w:szCs w:val="20"/>
        </w:rPr>
        <w:t>s current expectations and are subject to significant uncertainties and changes in circumstances. Please review “Part I—Item 1. Business—Forward-Looking Statements” for more information on the forward-looking statements in this 2020 Annual Report on Form 1</w:t>
      </w:r>
      <w:r>
        <w:rPr>
          <w:rFonts w:eastAsia="Times New Roman"/>
          <w:i/>
          <w:iCs/>
          <w:color w:val="000000"/>
          <w:sz w:val="20"/>
          <w:szCs w:val="20"/>
        </w:rPr>
        <w:t>0-K (“this Report”). All statements that address operating performance, events or developments that we expect or anticipate will occur in the future, including those relating to operating results and the Cybersecurity Incident described in “Part I—Item 1.—</w:t>
      </w:r>
      <w:r>
        <w:rPr>
          <w:rFonts w:eastAsia="Times New Roman"/>
          <w:i/>
          <w:iCs/>
          <w:color w:val="000000"/>
          <w:sz w:val="20"/>
          <w:szCs w:val="20"/>
        </w:rPr>
        <w:t>Business—Overview—Cybersecurity Incident” and “Note 18—Commitments, Contingencies, Guarantees and Others” as well as the potential impacts of the COVID-19 pandemic described in “Part I—Item 1.—Business—Overview—Coronavirus Disease 2019 (COVID-19) Pandemic”</w:t>
      </w:r>
      <w:r>
        <w:rPr>
          <w:rFonts w:eastAsia="Times New Roman"/>
          <w:i/>
          <w:iCs/>
          <w:color w:val="000000"/>
          <w:sz w:val="20"/>
          <w:szCs w:val="20"/>
        </w:rPr>
        <w:t xml:space="preserve"> are forward-looking statements. Our actual results may differ materially from those included in these forward-looking statements due to a variety of factors including, but not limited to, those described in “Part I—Item 1A. Risk Factors” in this Report. U</w:t>
      </w:r>
      <w:r>
        <w:rPr>
          <w:rFonts w:eastAsia="Times New Roman"/>
          <w:i/>
          <w:iCs/>
          <w:color w:val="000000"/>
          <w:sz w:val="20"/>
          <w:szCs w:val="20"/>
        </w:rPr>
        <w:t>nless otherwise specified, references to notes to our consolidated financial statements refer to the notes to our consolidated financial statements as of December 31, 2020 included in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1556"/>
        <w:gridCol w:w="36"/>
        <w:gridCol w:w="69"/>
        <w:gridCol w:w="1556"/>
        <w:gridCol w:w="36"/>
        <w:gridCol w:w="69"/>
        <w:gridCol w:w="1556"/>
        <w:gridCol w:w="36"/>
        <w:gridCol w:w="69"/>
        <w:gridCol w:w="1556"/>
        <w:gridCol w:w="36"/>
        <w:gridCol w:w="69"/>
        <w:gridCol w:w="1557"/>
        <w:gridCol w:w="36"/>
      </w:tblGrid>
      <w:tr w:rsidR="00000000">
        <w:trPr>
          <w:divId w:val="558905010"/>
        </w:trPr>
        <w:tc>
          <w:tcPr>
            <w:tcW w:w="50" w:type="pct"/>
            <w:vAlign w:val="center"/>
            <w:hideMark/>
          </w:tcPr>
          <w:p w:rsidR="00000000" w:rsidRDefault="00E0782F">
            <w:pPr>
              <w:jc w:val="both"/>
              <w:rPr>
                <w:rFonts w:eastAsia="Times New Roman"/>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58905010"/>
          <w:trHeight w:val="60"/>
        </w:trPr>
        <w:tc>
          <w:tcPr>
            <w:tcW w:w="0" w:type="auto"/>
            <w:gridSpan w:val="15"/>
            <w:tcBorders>
              <w:top w:val="single" w:sz="1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jc w:val="both"/>
        <w:divId w:val="1948194674"/>
        <w:rPr>
          <w:rFonts w:eastAsia="Times New Roman"/>
        </w:rPr>
      </w:pPr>
      <w:r>
        <w:rPr>
          <w:rFonts w:eastAsia="Times New Roman"/>
          <w:color w:val="000000"/>
          <w:sz w:val="20"/>
          <w:szCs w:val="20"/>
        </w:rPr>
        <w:t>Management monitors a variety of key indicators to evaluate our business results and financial condition. The following MD&amp;A is intended to provide the reader with an understanding of our results of operations, financial condition and liquidity by focusing</w:t>
      </w:r>
      <w:r>
        <w:rPr>
          <w:rFonts w:eastAsia="Times New Roman"/>
          <w:color w:val="000000"/>
          <w:sz w:val="20"/>
          <w:szCs w:val="20"/>
        </w:rPr>
        <w:t xml:space="preserve"> on changes from year to year in certain key measures used by management to evaluate performance, such as profitability, growth and credit quality metrics. MD&amp;A is provided as a supplement to, and should be read in conjunction with, our audited consolidate</w:t>
      </w:r>
      <w:r>
        <w:rPr>
          <w:rFonts w:eastAsia="Times New Roman"/>
          <w:color w:val="000000"/>
          <w:sz w:val="20"/>
          <w:szCs w:val="20"/>
        </w:rPr>
        <w:t>d financial statements as of and for the year ended December 31, 2020 and accompanying notes. MD&amp;A is organized in the following sections:</w:t>
      </w:r>
    </w:p>
    <w:tbl>
      <w:tblPr>
        <w:tblW w:w="4970" w:type="pct"/>
        <w:tblCellMar>
          <w:top w:w="15" w:type="dxa"/>
          <w:left w:w="15" w:type="dxa"/>
          <w:bottom w:w="15" w:type="dxa"/>
          <w:right w:w="15" w:type="dxa"/>
        </w:tblCellMar>
        <w:tblLook w:val="04A0" w:firstRow="1" w:lastRow="0" w:firstColumn="1" w:lastColumn="0" w:noHBand="0" w:noVBand="1"/>
      </w:tblPr>
      <w:tblGrid>
        <w:gridCol w:w="60"/>
        <w:gridCol w:w="3978"/>
        <w:gridCol w:w="38"/>
        <w:gridCol w:w="36"/>
        <w:gridCol w:w="93"/>
        <w:gridCol w:w="36"/>
        <w:gridCol w:w="60"/>
        <w:gridCol w:w="3918"/>
        <w:gridCol w:w="37"/>
      </w:tblGrid>
      <w:tr w:rsidR="00000000">
        <w:trPr>
          <w:divId w:val="81149739"/>
        </w:trPr>
        <w:tc>
          <w:tcPr>
            <w:tcW w:w="50" w:type="pct"/>
            <w:vAlign w:val="center"/>
            <w:hideMark/>
          </w:tcPr>
          <w:p w:rsidR="00000000" w:rsidRDefault="00E0782F">
            <w:pPr>
              <w:jc w:val="both"/>
              <w:rPr>
                <w:rFonts w:eastAsia="Times New Roman"/>
              </w:rPr>
            </w:pPr>
          </w:p>
        </w:tc>
        <w:tc>
          <w:tcPr>
            <w:tcW w:w="2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7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38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1149739"/>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1497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Executive Summary and Business Outlook</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Capital Management</w:t>
            </w:r>
          </w:p>
        </w:tc>
      </w:tr>
      <w:tr w:rsidR="00000000">
        <w:trPr>
          <w:divId w:val="811497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r>
              <w:rPr>
                <w:rFonts w:eastAsia="Times New Roman"/>
                <w:color w:val="000000"/>
                <w:sz w:val="18"/>
                <w:szCs w:val="18"/>
              </w:rPr>
              <w:t>Consolidated Results of Operations</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Risk Management</w:t>
            </w:r>
          </w:p>
        </w:tc>
      </w:tr>
      <w:tr w:rsidR="00000000">
        <w:trPr>
          <w:divId w:val="811497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Consolidated Balance Sheets Analysis</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Credit Risk Profile</w:t>
            </w:r>
          </w:p>
        </w:tc>
      </w:tr>
      <w:tr w:rsidR="00000000">
        <w:trPr>
          <w:divId w:val="811497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Off-Balance Sheet Arrangements</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Liquidity Risk Profile</w:t>
            </w:r>
          </w:p>
        </w:tc>
      </w:tr>
      <w:tr w:rsidR="00000000">
        <w:trPr>
          <w:divId w:val="811497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r>
              <w:rPr>
                <w:rFonts w:eastAsia="Times New Roman"/>
                <w:color w:val="000000"/>
                <w:sz w:val="18"/>
                <w:szCs w:val="18"/>
              </w:rPr>
              <w:t>Business Segment Financial Performance</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Market Risk Profile</w:t>
            </w:r>
          </w:p>
        </w:tc>
      </w:tr>
      <w:tr w:rsidR="00000000">
        <w:trPr>
          <w:divId w:val="811497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Critical Accounting Policies and Estimates</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Supplemental Tables</w:t>
            </w:r>
          </w:p>
        </w:tc>
      </w:tr>
      <w:tr w:rsidR="00000000">
        <w:trPr>
          <w:divId w:val="811497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Accounting Changes and Developments</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Glossary and Acronyms</w:t>
            </w: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3999"/>
        <w:gridCol w:w="144"/>
        <w:gridCol w:w="144"/>
        <w:gridCol w:w="144"/>
        <w:gridCol w:w="144"/>
        <w:gridCol w:w="144"/>
        <w:gridCol w:w="3939"/>
        <w:gridCol w:w="144"/>
      </w:tblGrid>
      <w:tr w:rsidR="00000000">
        <w:tc>
          <w:tcPr>
            <w:tcW w:w="50" w:type="pct"/>
            <w:vAlign w:val="center"/>
            <w:hideMark/>
          </w:tcPr>
          <w:p w:rsidR="00000000" w:rsidRDefault="00E0782F">
            <w:pPr>
              <w:jc w:val="both"/>
              <w:rPr>
                <w:rFonts w:eastAsia="Times New Roman"/>
              </w:rPr>
            </w:pPr>
          </w:p>
        </w:tc>
        <w:tc>
          <w:tcPr>
            <w:tcW w:w="2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7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38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center"/>
        <w:divId w:val="1053425864"/>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5342586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53425864"/>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5342586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3" style="width:0;height:1.5pt" o:hralign="center" o:hrstd="t" o:hr="t" fillcolor="#a0a0a0" stroked="f"/>
        </w:pict>
      </w:r>
    </w:p>
    <w:p w:rsidR="00000000" w:rsidRDefault="00E0782F">
      <w:pPr>
        <w:ind w:hanging="360"/>
        <w:jc w:val="both"/>
        <w:divId w:val="47861426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83181269"/>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8318126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EXECUTIVE SUMMARY AND BUSINESS OUTLOOK</w:t>
            </w:r>
          </w:p>
        </w:tc>
      </w:tr>
    </w:tbl>
    <w:p w:rsidR="00000000" w:rsidRDefault="00E0782F">
      <w:pPr>
        <w:divId w:val="785806869"/>
        <w:rPr>
          <w:rFonts w:eastAsia="Times New Roman"/>
        </w:rPr>
      </w:pPr>
      <w:r>
        <w:rPr>
          <w:rFonts w:eastAsia="Times New Roman"/>
          <w:b/>
          <w:bCs/>
          <w:color w:val="000000"/>
          <w:sz w:val="20"/>
          <w:szCs w:val="20"/>
        </w:rPr>
        <w:t>Financial Highlights</w:t>
      </w:r>
    </w:p>
    <w:p w:rsidR="00000000" w:rsidRDefault="00E0782F">
      <w:pPr>
        <w:jc w:val="both"/>
        <w:divId w:val="543717859"/>
        <w:rPr>
          <w:rFonts w:eastAsia="Times New Roman"/>
        </w:rPr>
      </w:pPr>
      <w:r>
        <w:rPr>
          <w:rFonts w:eastAsia="Times New Roman"/>
          <w:color w:val="000000"/>
          <w:sz w:val="20"/>
          <w:szCs w:val="20"/>
        </w:rPr>
        <w:t>We reported net income of $2.7 billion ($5.18 per diluted common share) on total net revenue of $28.5 billion for 2020. In comparison, we reported net income of $5.5 billion ($11.05 per diluted common share) on total net revenue of $28</w:t>
      </w:r>
      <w:r>
        <w:rPr>
          <w:rFonts w:eastAsia="Times New Roman"/>
          <w:color w:val="000000"/>
          <w:sz w:val="20"/>
          <w:szCs w:val="20"/>
        </w:rPr>
        <w:t>.6 billion for 2019, and net income of $6.0 billion ($11.82 per diluted common share) on total net revenue of $28.1 billion for 2018.</w:t>
      </w:r>
    </w:p>
    <w:p w:rsidR="00000000" w:rsidRDefault="00E0782F">
      <w:pPr>
        <w:jc w:val="both"/>
        <w:divId w:val="345132907"/>
        <w:rPr>
          <w:rFonts w:eastAsia="Times New Roman"/>
        </w:rPr>
      </w:pPr>
      <w:r>
        <w:rPr>
          <w:rFonts w:eastAsia="Times New Roman"/>
          <w:color w:val="000000"/>
          <w:sz w:val="20"/>
          <w:szCs w:val="20"/>
        </w:rPr>
        <w:t>Our common equity Tier 1 capital ratio as calculated under the Basel III Standardized Approach was 13.7% and 12.2% as of D</w:t>
      </w:r>
      <w:r>
        <w:rPr>
          <w:rFonts w:eastAsia="Times New Roman"/>
          <w:color w:val="000000"/>
          <w:sz w:val="20"/>
          <w:szCs w:val="20"/>
        </w:rPr>
        <w:t>ecember 31, 2020 and 2019, respectively. See “MD&amp;A—Capital Management” for additional information.</w:t>
      </w:r>
    </w:p>
    <w:p w:rsidR="00000000" w:rsidRDefault="00E0782F">
      <w:pPr>
        <w:jc w:val="both"/>
        <w:divId w:val="1705909835"/>
        <w:rPr>
          <w:rFonts w:eastAsia="Times New Roman"/>
        </w:rPr>
      </w:pPr>
      <w:r>
        <w:rPr>
          <w:rFonts w:eastAsia="Times New Roman"/>
          <w:color w:val="000000"/>
          <w:sz w:val="20"/>
          <w:szCs w:val="20"/>
        </w:rPr>
        <w:t>On June 27, 2019, we announced that our Board of Directors authorized the repurchase of up to $2.2 billion of shares of our common stock (“2019 Stock Repurch</w:t>
      </w:r>
      <w:r>
        <w:rPr>
          <w:rFonts w:eastAsia="Times New Roman"/>
          <w:color w:val="000000"/>
          <w:sz w:val="20"/>
          <w:szCs w:val="20"/>
        </w:rPr>
        <w:t>ase Program”) beginning in the third quarter of 2019 through the end of the second quarter of 2020. During the first quarter of 2020, we repurchased approximately $312 million of shares of our common stock under the 2019 Stock Repurchase Program before sus</w:t>
      </w:r>
      <w:r>
        <w:rPr>
          <w:rFonts w:eastAsia="Times New Roman"/>
          <w:color w:val="000000"/>
          <w:sz w:val="20"/>
          <w:szCs w:val="20"/>
        </w:rPr>
        <w:t>pending further repurchases on March 13, 2020 in response to the COVID-19 pandemic through the program's expiration at the end of the second quarter of 2020. On January 25, 2021, our Board of Directors authorized the repurchase of up to $7.5 billion of sha</w:t>
      </w:r>
      <w:r>
        <w:rPr>
          <w:rFonts w:eastAsia="Times New Roman"/>
          <w:color w:val="000000"/>
          <w:sz w:val="20"/>
          <w:szCs w:val="20"/>
        </w:rPr>
        <w:t>res of our common stock. See “MD&amp;A—Capital Management—Dividend Policy and Stock Purchases” for additional information.</w:t>
      </w:r>
    </w:p>
    <w:p w:rsidR="00000000" w:rsidRDefault="00E0782F">
      <w:pPr>
        <w:jc w:val="both"/>
        <w:divId w:val="1104153516"/>
        <w:rPr>
          <w:rFonts w:eastAsia="Times New Roman"/>
        </w:rPr>
      </w:pPr>
      <w:r>
        <w:rPr>
          <w:rFonts w:eastAsia="Times New Roman"/>
          <w:color w:val="000000"/>
          <w:sz w:val="20"/>
          <w:szCs w:val="20"/>
        </w:rPr>
        <w:t>Below are additional highlights of our performance in 2020. These highlights are based on a comparison between the results of 2020 and 20</w:t>
      </w:r>
      <w:r>
        <w:rPr>
          <w:rFonts w:eastAsia="Times New Roman"/>
          <w:color w:val="000000"/>
          <w:sz w:val="20"/>
          <w:szCs w:val="20"/>
        </w:rPr>
        <w:t xml:space="preserve">19, except as otherwise noted. The changes in our financial condition and credit performance are generally based on our financial condition and credit performance as of December 31, 2020 compared to December 31, 2019. We provide a more detailed discussion </w:t>
      </w:r>
      <w:r>
        <w:rPr>
          <w:rFonts w:eastAsia="Times New Roman"/>
          <w:color w:val="000000"/>
          <w:sz w:val="20"/>
          <w:szCs w:val="20"/>
        </w:rPr>
        <w:t>of our financial performance in the sections following this “Executive Summary and Business Outlook.”</w:t>
      </w:r>
    </w:p>
    <w:p w:rsidR="00000000" w:rsidRDefault="00E0782F">
      <w:pPr>
        <w:jc w:val="both"/>
        <w:divId w:val="1162544721"/>
        <w:rPr>
          <w:rFonts w:eastAsia="Times New Roman"/>
        </w:rPr>
      </w:pPr>
      <w:r>
        <w:rPr>
          <w:rFonts w:eastAsia="Times New Roman"/>
          <w:color w:val="000000"/>
          <w:sz w:val="20"/>
          <w:szCs w:val="20"/>
        </w:rPr>
        <w:t>Discussions of our performance in 2018 and comparisons between 2019 and 2018 can be found in “Part II—Item 7. Management’s Discussion and Analysis of Fina</w:t>
      </w:r>
      <w:r>
        <w:rPr>
          <w:rFonts w:eastAsia="Times New Roman"/>
          <w:color w:val="000000"/>
          <w:sz w:val="20"/>
          <w:szCs w:val="20"/>
        </w:rPr>
        <w:t>ncial Condition and Results of Operations (“MD&amp;A”)” of our Annual Report on Form 10-K for the fiscal year ended December 31, 2019.</w:t>
      </w:r>
    </w:p>
    <w:p w:rsidR="00000000" w:rsidRDefault="00E0782F">
      <w:pPr>
        <w:divId w:val="1835098093"/>
        <w:rPr>
          <w:rFonts w:eastAsia="Times New Roman"/>
        </w:rPr>
      </w:pPr>
      <w:r>
        <w:rPr>
          <w:rFonts w:eastAsia="Times New Roman"/>
          <w:b/>
          <w:bCs/>
          <w:i/>
          <w:iCs/>
          <w:color w:val="000000"/>
          <w:sz w:val="20"/>
          <w:szCs w:val="20"/>
        </w:rPr>
        <w:t>Total Company Performance</w:t>
      </w:r>
    </w:p>
    <w:p w:rsidR="00000000" w:rsidRDefault="00E0782F">
      <w:pPr>
        <w:ind w:hanging="360"/>
        <w:jc w:val="both"/>
        <w:divId w:val="1039168341"/>
        <w:rPr>
          <w:rFonts w:eastAsia="Times New Roman"/>
        </w:rPr>
      </w:pPr>
      <w:r>
        <w:rPr>
          <w:rFonts w:eastAsia="Times New Roman"/>
          <w:i/>
          <w:iCs/>
          <w:color w:val="000000"/>
          <w:sz w:val="20"/>
          <w:szCs w:val="20"/>
        </w:rPr>
        <w:t xml:space="preserve">•Earnings: </w:t>
      </w:r>
      <w:r>
        <w:rPr>
          <w:rFonts w:eastAsia="Times New Roman"/>
          <w:color w:val="000000"/>
          <w:sz w:val="20"/>
          <w:szCs w:val="20"/>
        </w:rPr>
        <w:t>Our net income decreased by $2.8 billion to $2.7 billion in 2020 compared to 2019 primar</w:t>
      </w:r>
      <w:r>
        <w:rPr>
          <w:rFonts w:eastAsia="Times New Roman"/>
          <w:color w:val="000000"/>
          <w:sz w:val="20"/>
          <w:szCs w:val="20"/>
        </w:rPr>
        <w:t xml:space="preserve">ily driven by: </w:t>
      </w:r>
    </w:p>
    <w:p w:rsidR="00000000" w:rsidRDefault="00E0782F">
      <w:pPr>
        <w:spacing w:before="180" w:after="180"/>
        <w:ind w:hanging="360"/>
        <w:jc w:val="both"/>
        <w:divId w:val="749549257"/>
        <w:rPr>
          <w:rFonts w:eastAsia="Times New Roman"/>
        </w:rPr>
      </w:pPr>
      <w:r>
        <w:rPr>
          <w:rFonts w:eastAsia="Times New Roman"/>
          <w:color w:val="000000"/>
          <w:sz w:val="20"/>
          <w:szCs w:val="20"/>
        </w:rPr>
        <w:t>◦</w:t>
      </w:r>
      <w:r>
        <w:rPr>
          <w:rFonts w:eastAsia="Times New Roman"/>
          <w:color w:val="000000"/>
          <w:sz w:val="20"/>
          <w:szCs w:val="20"/>
        </w:rPr>
        <w:t xml:space="preserve">higher provision for credit losses driven by allowance builds in the first and second quarters of 2020 due to expectations of economic worsening as a result of the COVID-19 pandemic; </w:t>
      </w:r>
    </w:p>
    <w:p w:rsidR="00000000" w:rsidRDefault="00E0782F">
      <w:pPr>
        <w:spacing w:before="180" w:after="180"/>
        <w:ind w:hanging="360"/>
        <w:jc w:val="both"/>
        <w:divId w:val="1668164893"/>
        <w:rPr>
          <w:rFonts w:eastAsia="Times New Roman"/>
        </w:rPr>
      </w:pPr>
      <w:r>
        <w:rPr>
          <w:rFonts w:eastAsia="Times New Roman"/>
          <w:color w:val="000000"/>
          <w:sz w:val="20"/>
          <w:szCs w:val="20"/>
        </w:rPr>
        <w:t>◦</w:t>
      </w:r>
      <w:r>
        <w:rPr>
          <w:rFonts w:eastAsia="Times New Roman"/>
          <w:color w:val="000000"/>
          <w:sz w:val="20"/>
          <w:szCs w:val="20"/>
        </w:rPr>
        <w:t>lower net interest income due to lower yields on average earning assets</w:t>
      </w:r>
      <w:r>
        <w:rPr>
          <w:rFonts w:eastAsia="Times New Roman"/>
          <w:color w:val="000000"/>
          <w:sz w:val="20"/>
          <w:szCs w:val="20"/>
        </w:rPr>
        <w:t xml:space="preserve"> and lower outstanding balances in Domestic Card, as well as higher interest-bearing deposit balances, partially offset by the lower interest rate paid on interest-bearing liabilities; and</w:t>
      </w:r>
    </w:p>
    <w:p w:rsidR="00000000" w:rsidRDefault="00E0782F">
      <w:pPr>
        <w:spacing w:before="180" w:after="180"/>
        <w:ind w:hanging="360"/>
        <w:jc w:val="both"/>
        <w:divId w:val="1216745020"/>
        <w:rPr>
          <w:rFonts w:eastAsia="Times New Roman"/>
        </w:rPr>
      </w:pPr>
      <w:r>
        <w:rPr>
          <w:rFonts w:eastAsia="Times New Roman"/>
          <w:color w:val="000000"/>
          <w:sz w:val="20"/>
          <w:szCs w:val="20"/>
        </w:rPr>
        <w:t>◦</w:t>
      </w:r>
      <w:r>
        <w:rPr>
          <w:rFonts w:eastAsia="Times New Roman"/>
          <w:color w:val="000000"/>
          <w:sz w:val="20"/>
          <w:szCs w:val="20"/>
        </w:rPr>
        <w:t>higher operating expenses driven by an increase in salaries and as</w:t>
      </w:r>
      <w:r>
        <w:rPr>
          <w:rFonts w:eastAsia="Times New Roman"/>
          <w:color w:val="000000"/>
          <w:sz w:val="20"/>
          <w:szCs w:val="20"/>
        </w:rPr>
        <w:t>sociate benefits due to continued investment in technology and legal reserve builds.</w:t>
      </w:r>
    </w:p>
    <w:p w:rsidR="00000000" w:rsidRDefault="00E0782F">
      <w:pPr>
        <w:ind w:firstLine="90"/>
        <w:jc w:val="both"/>
        <w:divId w:val="670644090"/>
        <w:rPr>
          <w:rFonts w:eastAsia="Times New Roman"/>
        </w:rPr>
      </w:pPr>
      <w:r>
        <w:rPr>
          <w:rFonts w:eastAsia="Times New Roman"/>
          <w:color w:val="000000"/>
          <w:sz w:val="20"/>
          <w:szCs w:val="20"/>
        </w:rPr>
        <w:t>These drivers were partially offset by:</w:t>
      </w:r>
    </w:p>
    <w:p w:rsidR="00000000" w:rsidRDefault="00E0782F">
      <w:pPr>
        <w:spacing w:before="180" w:after="180"/>
        <w:ind w:hanging="360"/>
        <w:jc w:val="both"/>
        <w:divId w:val="1748187213"/>
        <w:rPr>
          <w:rFonts w:eastAsia="Times New Roman"/>
        </w:rPr>
      </w:pPr>
      <w:r>
        <w:rPr>
          <w:rFonts w:eastAsia="Times New Roman"/>
          <w:color w:val="000000"/>
          <w:sz w:val="20"/>
          <w:szCs w:val="20"/>
        </w:rPr>
        <w:t>◦</w:t>
      </w:r>
      <w:r>
        <w:rPr>
          <w:rFonts w:eastAsia="Times New Roman"/>
          <w:color w:val="000000"/>
          <w:sz w:val="20"/>
          <w:szCs w:val="20"/>
        </w:rPr>
        <w:t>lower marketing expense driven by our decision to decrease marketing spend due to the economic environment created by the COVID-19</w:t>
      </w:r>
      <w:r>
        <w:rPr>
          <w:rFonts w:eastAsia="Times New Roman"/>
          <w:color w:val="000000"/>
          <w:sz w:val="20"/>
          <w:szCs w:val="20"/>
        </w:rPr>
        <w:t xml:space="preserve"> pandemic</w:t>
      </w:r>
    </w:p>
    <w:p w:rsidR="00000000" w:rsidRDefault="00E0782F">
      <w:pPr>
        <w:spacing w:before="180" w:after="180"/>
        <w:ind w:hanging="360"/>
        <w:jc w:val="both"/>
        <w:divId w:val="2059894182"/>
        <w:rPr>
          <w:rFonts w:eastAsia="Times New Roman"/>
        </w:rPr>
      </w:pPr>
      <w:r>
        <w:rPr>
          <w:rFonts w:eastAsia="Times New Roman"/>
          <w:color w:val="000000"/>
          <w:sz w:val="20"/>
          <w:szCs w:val="20"/>
        </w:rPr>
        <w:t>◦</w:t>
      </w:r>
      <w:r>
        <w:rPr>
          <w:rFonts w:eastAsia="Times New Roman"/>
          <w:color w:val="000000"/>
          <w:sz w:val="20"/>
          <w:szCs w:val="20"/>
        </w:rPr>
        <w:t>higher non-interest income due to an unrealized valuation gain of $535 million on our equity investment in Snowflake Inc.</w:t>
      </w:r>
    </w:p>
    <w:p w:rsidR="00000000" w:rsidRDefault="00E0782F">
      <w:pPr>
        <w:ind w:hanging="360"/>
        <w:jc w:val="both"/>
        <w:divId w:val="1768580628"/>
        <w:rPr>
          <w:rFonts w:eastAsia="Times New Roman"/>
        </w:rPr>
      </w:pPr>
      <w:r>
        <w:rPr>
          <w:rFonts w:eastAsia="Times New Roman"/>
          <w:i/>
          <w:iCs/>
          <w:color w:val="000000"/>
          <w:sz w:val="20"/>
          <w:szCs w:val="20"/>
        </w:rPr>
        <w:t>•Loans Held for Investment</w:t>
      </w:r>
      <w:r>
        <w:rPr>
          <w:rFonts w:eastAsia="Times New Roman"/>
          <w:color w:val="000000"/>
          <w:sz w:val="20"/>
          <w:szCs w:val="20"/>
        </w:rPr>
        <w:t>:</w:t>
      </w:r>
    </w:p>
    <w:p w:rsidR="00000000" w:rsidRDefault="00E0782F">
      <w:pPr>
        <w:spacing w:before="180" w:after="180"/>
        <w:ind w:hanging="360"/>
        <w:jc w:val="both"/>
        <w:divId w:val="619383387"/>
        <w:rPr>
          <w:rFonts w:eastAsia="Times New Roman"/>
        </w:rPr>
      </w:pPr>
      <w:r>
        <w:rPr>
          <w:rFonts w:eastAsia="Times New Roman"/>
          <w:color w:val="000000"/>
          <w:sz w:val="20"/>
          <w:szCs w:val="20"/>
        </w:rPr>
        <w:t>◦</w:t>
      </w:r>
      <w:r>
        <w:rPr>
          <w:rFonts w:eastAsia="Times New Roman"/>
          <w:color w:val="000000"/>
          <w:sz w:val="20"/>
          <w:szCs w:val="20"/>
        </w:rPr>
        <w:t>Period-end loans held for investment decreased by $14.2 billion to $251.6 billion as of Decemb</w:t>
      </w:r>
      <w:r>
        <w:rPr>
          <w:rFonts w:eastAsia="Times New Roman"/>
          <w:color w:val="000000"/>
          <w:sz w:val="20"/>
          <w:szCs w:val="20"/>
        </w:rPr>
        <w:t>er 31, 2020 from December 31, 2019 primarily due to a decline in purchase volume and higher payment rates in Domestic Card driven by the customer response to the COVID-19 pandemic and our decision to decrease marketing spend due to the economic environment</w:t>
      </w:r>
      <w:r>
        <w:rPr>
          <w:rFonts w:eastAsia="Times New Roman"/>
          <w:color w:val="000000"/>
          <w:sz w:val="20"/>
          <w:szCs w:val="20"/>
        </w:rPr>
        <w:t>, partially offset by growth in our auto and commercial loan portfolios.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24070999"/>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2407099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2407099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4" style="width:0;height:1.5pt" o:hralign="center" o:hrstd="t" o:hr="t" fillcolor="#a0a0a0" stroked="f"/>
        </w:pict>
      </w:r>
    </w:p>
    <w:p w:rsidR="00000000" w:rsidRDefault="00E0782F">
      <w:pPr>
        <w:ind w:hanging="360"/>
        <w:jc w:val="both"/>
        <w:divId w:val="104197755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spacing w:before="180" w:after="180"/>
        <w:ind w:hanging="360"/>
        <w:jc w:val="both"/>
        <w:divId w:val="1691952654"/>
        <w:rPr>
          <w:rFonts w:eastAsia="Times New Roman"/>
        </w:rPr>
      </w:pPr>
      <w:r>
        <w:rPr>
          <w:rFonts w:eastAsia="Times New Roman"/>
          <w:i/>
          <w:iCs/>
          <w:color w:val="000000"/>
          <w:sz w:val="20"/>
          <w:szCs w:val="20"/>
        </w:rPr>
        <w:t>◦</w:t>
      </w:r>
      <w:r>
        <w:rPr>
          <w:rFonts w:eastAsia="Times New Roman"/>
          <w:color w:val="000000"/>
          <w:sz w:val="20"/>
          <w:szCs w:val="20"/>
        </w:rPr>
        <w:t>Average loans held for investment increased by $5.9 billion to $253.3 billion in 2020</w:t>
      </w:r>
      <w:r>
        <w:rPr>
          <w:rFonts w:eastAsia="Times New Roman"/>
          <w:color w:val="000000"/>
          <w:sz w:val="20"/>
          <w:szCs w:val="20"/>
        </w:rPr>
        <w:t xml:space="preserve"> compared to 2019 primarily driven by growth in our auto and commercial loan portfolios and the Walmart portfolio acquired during the fourth quarter of 2019, partially offset by a decline in purchase volume and higher payments in Domestic Card.</w:t>
      </w:r>
    </w:p>
    <w:p w:rsidR="00000000" w:rsidRDefault="00E0782F">
      <w:pPr>
        <w:ind w:hanging="360"/>
        <w:jc w:val="both"/>
        <w:divId w:val="2087336925"/>
        <w:rPr>
          <w:rFonts w:eastAsia="Times New Roman"/>
        </w:rPr>
      </w:pPr>
      <w:r>
        <w:rPr>
          <w:rFonts w:eastAsia="Times New Roman"/>
          <w:i/>
          <w:iCs/>
          <w:color w:val="000000"/>
          <w:sz w:val="20"/>
          <w:szCs w:val="20"/>
        </w:rPr>
        <w:t>•Net Charge</w:t>
      </w:r>
      <w:r>
        <w:rPr>
          <w:rFonts w:eastAsia="Times New Roman"/>
          <w:i/>
          <w:iCs/>
          <w:color w:val="000000"/>
          <w:sz w:val="20"/>
          <w:szCs w:val="20"/>
        </w:rPr>
        <w:t>-Off and Delinquency Metrics:</w:t>
      </w:r>
      <w:r>
        <w:rPr>
          <w:rFonts w:eastAsia="Times New Roman"/>
          <w:color w:val="000000"/>
          <w:sz w:val="20"/>
          <w:szCs w:val="20"/>
        </w:rPr>
        <w:t xml:space="preserve"> Our net charge-off rate decreased by 47 basis points to 2.06% in 2020 compared to 2019, primarily driven by strong credit performance in Domestic Card due to consumer payment behavior and the related impacts from government st</w:t>
      </w:r>
      <w:r>
        <w:rPr>
          <w:rFonts w:eastAsia="Times New Roman"/>
          <w:color w:val="000000"/>
          <w:sz w:val="20"/>
          <w:szCs w:val="20"/>
        </w:rPr>
        <w:t>imulus and the impact of short-term payment extensions offered to affected auto borrowers in response to the COVID-19 pandemic.</w:t>
      </w:r>
    </w:p>
    <w:p w:rsidR="00000000" w:rsidRDefault="00E0782F">
      <w:pPr>
        <w:jc w:val="both"/>
        <w:divId w:val="794328292"/>
        <w:rPr>
          <w:rFonts w:eastAsia="Times New Roman"/>
        </w:rPr>
      </w:pPr>
      <w:r>
        <w:rPr>
          <w:rFonts w:eastAsia="Times New Roman"/>
          <w:color w:val="000000"/>
          <w:sz w:val="20"/>
          <w:szCs w:val="20"/>
        </w:rPr>
        <w:t>Our 30+ day delinquency rate decreased by 113 basis points to 2.61% as of December 31, 2020 from December 31, 2019 driven by str</w:t>
      </w:r>
      <w:r>
        <w:rPr>
          <w:rFonts w:eastAsia="Times New Roman"/>
          <w:color w:val="000000"/>
          <w:sz w:val="20"/>
          <w:szCs w:val="20"/>
        </w:rPr>
        <w:t xml:space="preserve">ong credit performance in Domestic Card due to consumer payment behavior and the related impact from government stimulus, and short-term payment extensions offered to affected auto borrowers in response to the COVID-19 pandemic. </w:t>
      </w:r>
    </w:p>
    <w:p w:rsidR="00000000" w:rsidRDefault="00E0782F">
      <w:pPr>
        <w:ind w:hanging="360"/>
        <w:jc w:val="both"/>
        <w:divId w:val="1880970971"/>
        <w:rPr>
          <w:rFonts w:eastAsia="Times New Roman"/>
        </w:rPr>
      </w:pPr>
      <w:r>
        <w:rPr>
          <w:rFonts w:eastAsia="Times New Roman"/>
          <w:color w:val="000000"/>
          <w:sz w:val="20"/>
          <w:szCs w:val="20"/>
        </w:rPr>
        <w:t>•</w:t>
      </w:r>
      <w:r>
        <w:rPr>
          <w:rFonts w:eastAsia="Times New Roman"/>
          <w:i/>
          <w:iCs/>
          <w:color w:val="000000"/>
          <w:sz w:val="20"/>
          <w:szCs w:val="20"/>
        </w:rPr>
        <w:t>Allowance for Credit Loss</w:t>
      </w:r>
      <w:r>
        <w:rPr>
          <w:rFonts w:eastAsia="Times New Roman"/>
          <w:i/>
          <w:iCs/>
          <w:color w:val="000000"/>
          <w:sz w:val="20"/>
          <w:szCs w:val="20"/>
        </w:rPr>
        <w:t>es:</w:t>
      </w:r>
      <w:r>
        <w:rPr>
          <w:rFonts w:eastAsia="Times New Roman"/>
          <w:color w:val="000000"/>
          <w:sz w:val="20"/>
          <w:szCs w:val="20"/>
        </w:rPr>
        <w:t xml:space="preserve"> Our allowance for credit losses increased by $8.4 billion to $15.6 billion, and our allowance coverage ratio increased by 348 basis points to 6.19% as of December 31, 2020 from December 31, 2019, driven by the allowance builds in the first and second q</w:t>
      </w:r>
      <w:r>
        <w:rPr>
          <w:rFonts w:eastAsia="Times New Roman"/>
          <w:color w:val="000000"/>
          <w:sz w:val="20"/>
          <w:szCs w:val="20"/>
        </w:rPr>
        <w:t>uarters of 2020 from expectations of economic worsening as a result of the COVID-19 pandemic as well as the adoption of the CECL standard in the first quarter of 2020.</w:t>
      </w:r>
    </w:p>
    <w:p w:rsidR="00000000" w:rsidRDefault="00E0782F">
      <w:pPr>
        <w:divId w:val="620109022"/>
        <w:rPr>
          <w:rFonts w:eastAsia="Times New Roman"/>
        </w:rPr>
      </w:pPr>
      <w:r>
        <w:rPr>
          <w:rFonts w:eastAsia="Times New Roman"/>
          <w:b/>
          <w:bCs/>
          <w:color w:val="000000"/>
          <w:sz w:val="20"/>
          <w:szCs w:val="20"/>
        </w:rPr>
        <w:t xml:space="preserve">Business Outlook </w:t>
      </w:r>
    </w:p>
    <w:p w:rsidR="00000000" w:rsidRDefault="00E0782F">
      <w:pPr>
        <w:jc w:val="both"/>
        <w:divId w:val="1965311891"/>
        <w:rPr>
          <w:rFonts w:eastAsia="Times New Roman"/>
        </w:rPr>
      </w:pPr>
      <w:r>
        <w:rPr>
          <w:rFonts w:eastAsia="Times New Roman"/>
          <w:color w:val="000000"/>
          <w:sz w:val="20"/>
          <w:szCs w:val="20"/>
        </w:rPr>
        <w:t xml:space="preserve">We discuss in this Report our expectations as of the time this Report </w:t>
      </w:r>
      <w:r>
        <w:rPr>
          <w:rFonts w:eastAsia="Times New Roman"/>
          <w:color w:val="000000"/>
          <w:sz w:val="20"/>
          <w:szCs w:val="20"/>
        </w:rPr>
        <w:t>was filed regarding our total company performance and the performance of our business segments based on market conditions, the regulatory environment and our business strategies. The statements contained in this Report are based on our current expectations</w:t>
      </w:r>
      <w:r>
        <w:rPr>
          <w:rFonts w:eastAsia="Times New Roman"/>
          <w:color w:val="000000"/>
          <w:sz w:val="20"/>
          <w:szCs w:val="20"/>
        </w:rPr>
        <w:t xml:space="preserve"> regarding our outlook for our financial results and business strategies. Our expectations take into account, and should be read in conjunction with, our expectations regarding economic trends and analysis of our business as discussed in “Part I—Item 1. Bu</w:t>
      </w:r>
      <w:r>
        <w:rPr>
          <w:rFonts w:eastAsia="Times New Roman"/>
          <w:color w:val="000000"/>
          <w:sz w:val="20"/>
          <w:szCs w:val="20"/>
        </w:rPr>
        <w:t>siness” and “Part II—Item 7. MD&amp;A” in this Report. Certain statements are forward-looking statements within the meaning of the Private Securities Litigation Reform Act of 1995. Actual results could differ materially from those in our forward-looking statem</w:t>
      </w:r>
      <w:r>
        <w:rPr>
          <w:rFonts w:eastAsia="Times New Roman"/>
          <w:color w:val="000000"/>
          <w:sz w:val="20"/>
          <w:szCs w:val="20"/>
        </w:rPr>
        <w:t>ents. Except as otherwise disclosed, forward-looking statements do not reflect:</w:t>
      </w:r>
    </w:p>
    <w:p w:rsidR="00000000" w:rsidRDefault="00E0782F">
      <w:pPr>
        <w:ind w:hanging="360"/>
        <w:jc w:val="both"/>
        <w:divId w:val="1557274976"/>
        <w:rPr>
          <w:rFonts w:eastAsia="Times New Roman"/>
        </w:rPr>
      </w:pPr>
      <w:r>
        <w:rPr>
          <w:rFonts w:eastAsia="Times New Roman"/>
          <w:color w:val="000000"/>
          <w:sz w:val="20"/>
          <w:szCs w:val="20"/>
        </w:rPr>
        <w:t>•any change in current dividend or repurchase strategies;</w:t>
      </w:r>
    </w:p>
    <w:p w:rsidR="00000000" w:rsidRDefault="00E0782F">
      <w:pPr>
        <w:ind w:hanging="360"/>
        <w:jc w:val="both"/>
        <w:divId w:val="1656647778"/>
        <w:rPr>
          <w:rFonts w:eastAsia="Times New Roman"/>
        </w:rPr>
      </w:pPr>
      <w:r>
        <w:rPr>
          <w:rFonts w:eastAsia="Times New Roman"/>
          <w:color w:val="000000"/>
          <w:sz w:val="20"/>
          <w:szCs w:val="20"/>
        </w:rPr>
        <w:t>•the effect of any acquisitions, divestitures or similar transactions that have not been previously disclosed;</w:t>
      </w:r>
    </w:p>
    <w:p w:rsidR="00000000" w:rsidRDefault="00E0782F">
      <w:pPr>
        <w:ind w:hanging="360"/>
        <w:jc w:val="both"/>
        <w:divId w:val="2068408364"/>
        <w:rPr>
          <w:rFonts w:eastAsia="Times New Roman"/>
        </w:rPr>
      </w:pPr>
      <w:r>
        <w:rPr>
          <w:rFonts w:eastAsia="Times New Roman"/>
          <w:color w:val="000000"/>
          <w:sz w:val="20"/>
          <w:szCs w:val="20"/>
        </w:rPr>
        <w:t>•any ch</w:t>
      </w:r>
      <w:r>
        <w:rPr>
          <w:rFonts w:eastAsia="Times New Roman"/>
          <w:color w:val="000000"/>
          <w:sz w:val="20"/>
          <w:szCs w:val="20"/>
        </w:rPr>
        <w:t>anges in laws, regulations or regulatory interpretations, in each case after the date as of which such statements are made; or</w:t>
      </w:r>
    </w:p>
    <w:p w:rsidR="00000000" w:rsidRDefault="00E0782F">
      <w:pPr>
        <w:ind w:hanging="360"/>
        <w:jc w:val="both"/>
        <w:divId w:val="206454050"/>
        <w:rPr>
          <w:rFonts w:eastAsia="Times New Roman"/>
        </w:rPr>
      </w:pPr>
      <w:r>
        <w:rPr>
          <w:rFonts w:eastAsia="Times New Roman"/>
          <w:color w:val="000000"/>
          <w:sz w:val="20"/>
          <w:szCs w:val="20"/>
        </w:rPr>
        <w:t>•the potential impact on our business, operations and rep</w:t>
      </w:r>
      <w:r>
        <w:rPr>
          <w:rFonts w:eastAsia="Times New Roman"/>
          <w:color w:val="000000"/>
          <w:sz w:val="20"/>
          <w:szCs w:val="20"/>
        </w:rPr>
        <w:t>utation from, and expenses and uncertainties associated with, the Cybersecurity Incident, other than the incremental costs related to the incident we expect to incur in 2021 which will be separately reported as an adjusting item as it relates to the Compan</w:t>
      </w:r>
      <w:r>
        <w:rPr>
          <w:rFonts w:eastAsia="Times New Roman"/>
          <w:color w:val="000000"/>
          <w:sz w:val="20"/>
          <w:szCs w:val="20"/>
        </w:rPr>
        <w:t>y’s financial results.</w:t>
      </w:r>
    </w:p>
    <w:p w:rsidR="00000000" w:rsidRDefault="00E0782F">
      <w:pPr>
        <w:jc w:val="both"/>
        <w:divId w:val="1234390175"/>
        <w:rPr>
          <w:rFonts w:eastAsia="Times New Roman"/>
        </w:rPr>
      </w:pPr>
      <w:r>
        <w:rPr>
          <w:rFonts w:eastAsia="Times New Roman"/>
          <w:color w:val="000000"/>
          <w:sz w:val="20"/>
          <w:szCs w:val="20"/>
        </w:rPr>
        <w:t>The extent to which the COVID-19 pandemic ultimately impacts our business, results of operations, and financial condition will depend on future developments that are still uncertain and cannot be predicted, including the scope and du</w:t>
      </w:r>
      <w:r>
        <w:rPr>
          <w:rFonts w:eastAsia="Times New Roman"/>
          <w:color w:val="000000"/>
          <w:sz w:val="20"/>
          <w:szCs w:val="20"/>
        </w:rPr>
        <w:t xml:space="preserve">ration of the COVID-19 pandemic and actions taken by governmental authorities and other third parties in response to the COVID-19 pandemic. </w:t>
      </w:r>
    </w:p>
    <w:p w:rsidR="00000000" w:rsidRDefault="00E0782F">
      <w:pPr>
        <w:jc w:val="both"/>
        <w:divId w:val="495461415"/>
        <w:rPr>
          <w:rFonts w:eastAsia="Times New Roman"/>
        </w:rPr>
      </w:pPr>
      <w:r>
        <w:rPr>
          <w:rFonts w:eastAsia="Times New Roman"/>
          <w:color w:val="000000"/>
          <w:sz w:val="20"/>
          <w:szCs w:val="20"/>
        </w:rPr>
        <w:t>See “MD&amp;A—Forward-Looking Statements” in this Report for more information on the forward-looking statements and “Pa</w:t>
      </w:r>
      <w:r>
        <w:rPr>
          <w:rFonts w:eastAsia="Times New Roman"/>
          <w:color w:val="000000"/>
          <w:sz w:val="20"/>
          <w:szCs w:val="20"/>
        </w:rPr>
        <w:t>rt I—Item 1A. Risk Factors” in this Report for factors that could materially influence our results.</w:t>
      </w:r>
    </w:p>
    <w:p w:rsidR="00000000" w:rsidRDefault="00E0782F">
      <w:pPr>
        <w:jc w:val="both"/>
        <w:divId w:val="289869545"/>
        <w:rPr>
          <w:rFonts w:eastAsia="Times New Roman"/>
        </w:rPr>
      </w:pPr>
      <w:r>
        <w:rPr>
          <w:rFonts w:eastAsia="Times New Roman"/>
          <w:b/>
          <w:bCs/>
          <w:i/>
          <w:iCs/>
          <w:color w:val="000000"/>
          <w:sz w:val="20"/>
          <w:szCs w:val="20"/>
        </w:rPr>
        <w:t>Business Segment Expectations</w:t>
      </w:r>
    </w:p>
    <w:p w:rsidR="00000000" w:rsidRDefault="00E0782F">
      <w:pPr>
        <w:divId w:val="44573403"/>
        <w:rPr>
          <w:rFonts w:eastAsia="Times New Roman"/>
        </w:rPr>
      </w:pPr>
      <w:r>
        <w:rPr>
          <w:rFonts w:eastAsia="Times New Roman"/>
          <w:color w:val="000000"/>
          <w:sz w:val="20"/>
          <w:szCs w:val="20"/>
        </w:rPr>
        <w:t>We expect that the Auto 30+ day delinquency rate and net charge-off rate will increase as used car auction prices decrease fro</w:t>
      </w:r>
      <w:r>
        <w:rPr>
          <w:rFonts w:eastAsia="Times New Roman"/>
          <w:color w:val="000000"/>
          <w:sz w:val="20"/>
          <w:szCs w:val="20"/>
        </w:rPr>
        <w:t xml:space="preserve">m elevated levels and the temporary favorable impact of our COVID-19 customer assistance program diminishes.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73152133"/>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87315213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87315213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49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5" style="width:0;height:1.5pt" o:hralign="center" o:hrstd="t" o:hr="t" fillcolor="#a0a0a0" stroked="f"/>
        </w:pict>
      </w:r>
    </w:p>
    <w:p w:rsidR="00000000" w:rsidRDefault="00E0782F">
      <w:pPr>
        <w:ind w:hanging="360"/>
        <w:jc w:val="both"/>
        <w:divId w:val="2103598211"/>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10133859"/>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1013385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CONSOLIDATED RESULTS OF OPERATIONS</w:t>
            </w:r>
          </w:p>
        </w:tc>
      </w:tr>
    </w:tbl>
    <w:p w:rsidR="00000000" w:rsidRDefault="00E0782F">
      <w:pPr>
        <w:jc w:val="both"/>
        <w:divId w:val="1853642300"/>
        <w:rPr>
          <w:rFonts w:eastAsia="Times New Roman"/>
        </w:rPr>
      </w:pPr>
      <w:r>
        <w:rPr>
          <w:rFonts w:eastAsia="Times New Roman"/>
          <w:color w:val="000000"/>
          <w:sz w:val="20"/>
          <w:szCs w:val="20"/>
        </w:rPr>
        <w:t>The section below provides a comparative discussion of our consolidated financial performance for 2020 and 2019. We provide a discussion of our business segment results in the following section, “MD&amp;A—Business Segment Financial Performance.” This section s</w:t>
      </w:r>
      <w:r>
        <w:rPr>
          <w:rFonts w:eastAsia="Times New Roman"/>
          <w:color w:val="000000"/>
          <w:sz w:val="20"/>
          <w:szCs w:val="20"/>
        </w:rPr>
        <w:t>hould be read together with our “MD&amp;A—Executive Summary and Business Outlook,” where we discuss trends and other factors that we expect will affect our future results of operations.</w:t>
      </w:r>
    </w:p>
    <w:p w:rsidR="00000000" w:rsidRDefault="00E0782F">
      <w:pPr>
        <w:divId w:val="1334264503"/>
        <w:rPr>
          <w:rFonts w:eastAsia="Times New Roman"/>
        </w:rPr>
      </w:pPr>
      <w:r>
        <w:rPr>
          <w:rFonts w:eastAsia="Times New Roman"/>
          <w:b/>
          <w:bCs/>
          <w:color w:val="000000"/>
          <w:sz w:val="20"/>
          <w:szCs w:val="20"/>
        </w:rPr>
        <w:t>Net Interest Income</w:t>
      </w:r>
    </w:p>
    <w:p w:rsidR="00000000" w:rsidRDefault="00E0782F">
      <w:pPr>
        <w:jc w:val="both"/>
        <w:divId w:val="48652424"/>
        <w:rPr>
          <w:rFonts w:eastAsia="Times New Roman"/>
        </w:rPr>
      </w:pPr>
      <w:r>
        <w:rPr>
          <w:rFonts w:eastAsia="Times New Roman"/>
          <w:color w:val="000000"/>
          <w:sz w:val="20"/>
          <w:szCs w:val="20"/>
        </w:rPr>
        <w:t xml:space="preserve">Net interest income represents the difference between </w:t>
      </w:r>
      <w:r>
        <w:rPr>
          <w:rFonts w:eastAsia="Times New Roman"/>
          <w:color w:val="000000"/>
          <w:sz w:val="20"/>
          <w:szCs w:val="20"/>
        </w:rPr>
        <w:t xml:space="preserve">interest income, including certain fees, earned on our interest-earning assets and the interest expense incurred on our interest-bearing liabilities. Our interest-earning assets include loans, investment securities and other interest-earning assets, while </w:t>
      </w:r>
      <w:r>
        <w:rPr>
          <w:rFonts w:eastAsia="Times New Roman"/>
          <w:color w:val="000000"/>
          <w:sz w:val="20"/>
          <w:szCs w:val="20"/>
        </w:rPr>
        <w:t>our interest-bearing liabilities include interest-bearing deposits, securitized debt obligations, senior and subordinated notes, other borrowings and other interest-bearing liabilities. Generally, we include in interest income any past due fees on loans th</w:t>
      </w:r>
      <w:r>
        <w:rPr>
          <w:rFonts w:eastAsia="Times New Roman"/>
          <w:color w:val="000000"/>
          <w:sz w:val="20"/>
          <w:szCs w:val="20"/>
        </w:rPr>
        <w:t>at we deem collectible. Our net interest margin, based on our consolidated results, represents the difference between the yield on our interest-earning assets and the cost of our interest-bearing liabilities, including the notional impact of non-interest-b</w:t>
      </w:r>
      <w:r>
        <w:rPr>
          <w:rFonts w:eastAsia="Times New Roman"/>
          <w:color w:val="000000"/>
          <w:sz w:val="20"/>
          <w:szCs w:val="20"/>
        </w:rPr>
        <w:t xml:space="preserve">earing funding. We expect net interest income and our net interest margin to fluctuate based on changes in interest rates and changes in the amount and composition of our interest-earning assets and interest-bearing liabilities.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0715410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0715410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0715410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6" style="width:0;height:1.5pt" o:hralign="center" o:hrstd="t" o:hr="t" fillcolor="#a0a0a0" stroked="f"/>
        </w:pict>
      </w:r>
    </w:p>
    <w:p w:rsidR="00000000" w:rsidRDefault="00E0782F">
      <w:pPr>
        <w:ind w:hanging="360"/>
        <w:jc w:val="both"/>
        <w:divId w:val="96619928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764888496"/>
        <w:rPr>
          <w:rFonts w:eastAsia="Times New Roman"/>
        </w:rPr>
      </w:pPr>
      <w:r>
        <w:rPr>
          <w:rFonts w:eastAsia="Times New Roman"/>
          <w:color w:val="000000"/>
          <w:sz w:val="20"/>
          <w:szCs w:val="20"/>
        </w:rPr>
        <w:t>Table 1 below presents the average outstanding balance, interest income earned, intere</w:t>
      </w:r>
      <w:r>
        <w:rPr>
          <w:rFonts w:eastAsia="Times New Roman"/>
          <w:color w:val="000000"/>
          <w:sz w:val="20"/>
          <w:szCs w:val="20"/>
        </w:rPr>
        <w:t xml:space="preserve">st expense incurred and average yield for 2020, 2019 and 2018 for each major category of our interest-earning assets and interest-bearing liabilities. Nonperforming loans are included in the average loan balances below. </w:t>
      </w:r>
    </w:p>
    <w:p w:rsidR="00000000" w:rsidRDefault="00E0782F">
      <w:pPr>
        <w:divId w:val="356781315"/>
        <w:rPr>
          <w:rFonts w:eastAsia="Times New Roman"/>
        </w:rPr>
      </w:pPr>
      <w:r>
        <w:rPr>
          <w:rFonts w:eastAsia="Times New Roman"/>
          <w:b/>
          <w:bCs/>
          <w:color w:val="000000"/>
          <w:sz w:val="18"/>
          <w:szCs w:val="18"/>
        </w:rPr>
        <w:t>Table 1: Average Balances, Net Inte</w:t>
      </w:r>
      <w:r>
        <w:rPr>
          <w:rFonts w:eastAsia="Times New Roman"/>
          <w:b/>
          <w:bCs/>
          <w:color w:val="000000"/>
          <w:sz w:val="18"/>
          <w:szCs w:val="18"/>
        </w:rPr>
        <w:t>rest Income and Net Interest Margin</w:t>
      </w:r>
    </w:p>
    <w:tbl>
      <w:tblPr>
        <w:tblW w:w="4992" w:type="pct"/>
        <w:tblCellMar>
          <w:top w:w="15" w:type="dxa"/>
          <w:left w:w="15" w:type="dxa"/>
          <w:bottom w:w="15" w:type="dxa"/>
          <w:right w:w="15" w:type="dxa"/>
        </w:tblCellMar>
        <w:tblLook w:val="04A0" w:firstRow="1" w:lastRow="0" w:firstColumn="1" w:lastColumn="0" w:noHBand="0" w:noVBand="1"/>
      </w:tblPr>
      <w:tblGrid>
        <w:gridCol w:w="56"/>
        <w:gridCol w:w="3881"/>
        <w:gridCol w:w="36"/>
        <w:gridCol w:w="36"/>
        <w:gridCol w:w="36"/>
        <w:gridCol w:w="36"/>
        <w:gridCol w:w="38"/>
        <w:gridCol w:w="538"/>
        <w:gridCol w:w="36"/>
        <w:gridCol w:w="36"/>
        <w:gridCol w:w="36"/>
        <w:gridCol w:w="36"/>
        <w:gridCol w:w="38"/>
        <w:gridCol w:w="538"/>
        <w:gridCol w:w="36"/>
        <w:gridCol w:w="36"/>
        <w:gridCol w:w="36"/>
        <w:gridCol w:w="36"/>
        <w:gridCol w:w="38"/>
        <w:gridCol w:w="538"/>
        <w:gridCol w:w="36"/>
        <w:gridCol w:w="36"/>
        <w:gridCol w:w="36"/>
        <w:gridCol w:w="36"/>
        <w:gridCol w:w="38"/>
        <w:gridCol w:w="538"/>
        <w:gridCol w:w="36"/>
        <w:gridCol w:w="36"/>
        <w:gridCol w:w="36"/>
        <w:gridCol w:w="36"/>
        <w:gridCol w:w="38"/>
        <w:gridCol w:w="538"/>
        <w:gridCol w:w="36"/>
        <w:gridCol w:w="36"/>
        <w:gridCol w:w="36"/>
        <w:gridCol w:w="36"/>
        <w:gridCol w:w="38"/>
        <w:gridCol w:w="538"/>
        <w:gridCol w:w="36"/>
      </w:tblGrid>
      <w:tr w:rsidR="00000000">
        <w:trPr>
          <w:divId w:val="583689952"/>
        </w:trPr>
        <w:tc>
          <w:tcPr>
            <w:tcW w:w="50" w:type="pct"/>
            <w:vAlign w:val="center"/>
            <w:hideMark/>
          </w:tcPr>
          <w:p w:rsidR="00000000" w:rsidRDefault="00E0782F">
            <w:pPr>
              <w:rPr>
                <w:rFonts w:eastAsia="Times New Roman"/>
              </w:rPr>
            </w:pPr>
          </w:p>
        </w:tc>
        <w:tc>
          <w:tcPr>
            <w:tcW w:w="23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83689952"/>
          <w:trHeight w:val="60"/>
        </w:trPr>
        <w:tc>
          <w:tcPr>
            <w:tcW w:w="0" w:type="auto"/>
            <w:gridSpan w:val="39"/>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836899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2239"/>
        <w:gridCol w:w="144"/>
        <w:gridCol w:w="144"/>
        <w:gridCol w:w="144"/>
        <w:gridCol w:w="144"/>
        <w:gridCol w:w="144"/>
        <w:gridCol w:w="503"/>
        <w:gridCol w:w="144"/>
        <w:gridCol w:w="144"/>
        <w:gridCol w:w="144"/>
        <w:gridCol w:w="144"/>
        <w:gridCol w:w="144"/>
        <w:gridCol w:w="503"/>
        <w:gridCol w:w="144"/>
        <w:gridCol w:w="144"/>
        <w:gridCol w:w="144"/>
        <w:gridCol w:w="144"/>
        <w:gridCol w:w="144"/>
        <w:gridCol w:w="563"/>
        <w:gridCol w:w="144"/>
        <w:gridCol w:w="144"/>
        <w:gridCol w:w="144"/>
        <w:gridCol w:w="144"/>
        <w:gridCol w:w="144"/>
        <w:gridCol w:w="503"/>
        <w:gridCol w:w="144"/>
        <w:gridCol w:w="144"/>
        <w:gridCol w:w="144"/>
        <w:gridCol w:w="144"/>
        <w:gridCol w:w="144"/>
        <w:gridCol w:w="503"/>
        <w:gridCol w:w="144"/>
        <w:gridCol w:w="144"/>
        <w:gridCol w:w="144"/>
        <w:gridCol w:w="144"/>
        <w:gridCol w:w="144"/>
        <w:gridCol w:w="503"/>
        <w:gridCol w:w="144"/>
        <w:gridCol w:w="144"/>
        <w:gridCol w:w="144"/>
        <w:gridCol w:w="144"/>
        <w:gridCol w:w="144"/>
        <w:gridCol w:w="490"/>
        <w:gridCol w:w="144"/>
        <w:gridCol w:w="144"/>
        <w:gridCol w:w="144"/>
        <w:gridCol w:w="144"/>
        <w:gridCol w:w="144"/>
        <w:gridCol w:w="503"/>
        <w:gridCol w:w="144"/>
        <w:gridCol w:w="144"/>
        <w:gridCol w:w="144"/>
        <w:gridCol w:w="144"/>
        <w:gridCol w:w="144"/>
        <w:gridCol w:w="503"/>
        <w:gridCol w:w="144"/>
      </w:tblGrid>
      <w:tr w:rsidR="00000000">
        <w:tc>
          <w:tcPr>
            <w:tcW w:w="50" w:type="pct"/>
            <w:vAlign w:val="center"/>
            <w:hideMark/>
          </w:tcPr>
          <w:p w:rsidR="00000000" w:rsidRDefault="00E0782F">
            <w:pPr>
              <w:rPr>
                <w:rFonts w:eastAsia="Times New Roman"/>
              </w:rPr>
            </w:pPr>
          </w:p>
        </w:tc>
        <w:tc>
          <w:tcPr>
            <w:tcW w:w="13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51"/>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 Income/</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Yield/</w:t>
            </w:r>
            <w:r>
              <w:rPr>
                <w:rFonts w:eastAsia="Times New Roman"/>
                <w:b/>
                <w:bCs/>
                <w:color w:val="000000"/>
                <w:sz w:val="16"/>
                <w:szCs w:val="16"/>
              </w:rPr>
              <w:br/>
              <w:t>Rate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1365325061"/>
              <w:rPr>
                <w:rFonts w:eastAsia="Times New Roman"/>
              </w:rPr>
            </w:pPr>
            <w:r>
              <w:rPr>
                <w:rFonts w:eastAsia="Times New Roman"/>
                <w:color w:val="000000"/>
                <w:sz w:val="16"/>
                <w:szCs w:val="16"/>
              </w:rPr>
              <w:t>Loans</w:t>
            </w:r>
            <w:r>
              <w:rPr>
                <w:rFonts w:eastAsia="Times New Roman"/>
                <w:color w:val="000000"/>
                <w:sz w:val="16"/>
                <w:szCs w:val="16"/>
              </w:rPr>
              <w:t>:</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110,634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15,575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14.08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114,256 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17,688 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109,820 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16,948 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66,299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5,551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60,708 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5,082 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65,146 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4,904 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262803645"/>
              <w:rPr>
                <w:rFonts w:eastAsia="Times New Roman"/>
              </w:rPr>
            </w:pPr>
            <w:r>
              <w:rPr>
                <w:rFonts w:eastAsia="Times New Roman"/>
                <w:color w:val="000000"/>
                <w:sz w:val="16"/>
                <w:szCs w:val="16"/>
              </w:rPr>
              <w:t>Commercial bankin</w:t>
            </w:r>
            <w:r>
              <w:rPr>
                <w:rFonts w:eastAsia="Times New Roman"/>
                <w:color w:val="000000"/>
                <w:sz w:val="16"/>
                <w:szCs w:val="16"/>
              </w:rPr>
              <w:t>g</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77,968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2,438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3.13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73,572 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68,221 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3,033 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774985302"/>
              <w:rPr>
                <w:rFonts w:eastAsia="Times New Roman"/>
              </w:rPr>
            </w:pPr>
            <w:r>
              <w:rPr>
                <w:rFonts w:eastAsia="Times New Roman"/>
                <w:color w:val="000000"/>
                <w:sz w:val="16"/>
                <w:szCs w:val="16"/>
              </w:rPr>
              <w:t>Othe</w:t>
            </w:r>
            <w:r>
              <w:rPr>
                <w:rFonts w:eastAsia="Times New Roman"/>
                <w:color w:val="000000"/>
                <w:sz w:val="16"/>
                <w:szCs w:val="16"/>
              </w:rPr>
              <w:t>r</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510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(214)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6"/>
                <w:szCs w:val="16"/>
              </w:rPr>
              <w:t>**</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254,901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24,074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9.44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248,552 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25,862 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243,371 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24,728 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87,222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1,877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81,467 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79,224 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Cash equivalents and other 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36,239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82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0.23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11,491 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240 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2.08 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10,143 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237 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2.33 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378,362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26,033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6.88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341,510 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28,513 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332,738 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27,176 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Cash and due from banks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4,839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4,300 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3,877 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(14,382)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(7,176)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(7,404)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4,334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4,289 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38,034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32,001 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29,662 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411,187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374,924 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363,036 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Interest-bearing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263,279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2,165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0.82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231,609 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221,760 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2,598 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15,533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18,020 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19,014 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29,621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2.29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30,821 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31,295 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borrowings and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2,882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3,369 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4,028 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interest-bearing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311,315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3,120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283,819 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276,097 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4,301 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27,556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23,456 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25,357 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14,115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11,959 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11,390 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352,986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319,234 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312,844 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58,201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55,690 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50,192 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411,187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374,924 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363,036 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9"/>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interest income/spread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22,913</w:t>
            </w:r>
            <w:r>
              <w:rPr>
                <w:rFonts w:eastAsia="Times New Roman"/>
                <w:color w:val="000000"/>
                <w:sz w:val="16"/>
                <w:szCs w:val="16"/>
              </w:rPr>
              <w:t> </w:t>
            </w:r>
          </w:p>
        </w:tc>
        <w:tc>
          <w:tcPr>
            <w:tcW w:w="0" w:type="auto"/>
            <w:tcBorders>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5.88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23,340 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22,875 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6.61 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15"/>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Impact of non-interest-bearing funding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0.18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15"/>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interest margin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6.06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r>
    </w:tbl>
    <w:p w:rsidR="00000000" w:rsidRDefault="00E0782F">
      <w:pPr>
        <w:divId w:val="161703049"/>
        <w:rPr>
          <w:rFonts w:eastAsia="Times New Roman"/>
        </w:rPr>
      </w:pPr>
      <w:r>
        <w:rPr>
          <w:rFonts w:eastAsia="Times New Roman"/>
          <w:color w:val="000000"/>
          <w:sz w:val="20"/>
          <w:szCs w:val="20"/>
        </w:rPr>
        <w:t>__________</w:t>
      </w:r>
    </w:p>
    <w:p w:rsidR="00000000" w:rsidRDefault="00E0782F">
      <w:pPr>
        <w:ind w:hanging="360"/>
        <w:jc w:val="both"/>
        <w:divId w:val="3705415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Past due fees included in interes</w:t>
      </w:r>
      <w:r>
        <w:rPr>
          <w:rFonts w:eastAsia="Times New Roman"/>
          <w:color w:val="000000"/>
          <w:sz w:val="16"/>
          <w:szCs w:val="16"/>
        </w:rPr>
        <w:t>t income totaled approximately $1.3 billion for 2020 and $1.7 billion for 2019 and 2018.</w:t>
      </w:r>
    </w:p>
    <w:p w:rsidR="00000000" w:rsidRDefault="00E0782F">
      <w:pPr>
        <w:ind w:hanging="360"/>
        <w:jc w:val="both"/>
        <w:divId w:val="142615134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 present our Commercial Banking interest income and yields on a taxable-equivalent basis, ca</w:t>
      </w:r>
      <w:r>
        <w:rPr>
          <w:rFonts w:eastAsia="Times New Roman"/>
          <w:color w:val="000000"/>
          <w:sz w:val="16"/>
          <w:szCs w:val="16"/>
        </w:rPr>
        <w:t>lculated using the federal statutory rate (21% for all periods presented) and state taxes where applicable, with offsetting reductions to the Other category. Taxable-equivalent adjustments included in the interest income and yield computations for our comm</w:t>
      </w:r>
      <w:r>
        <w:rPr>
          <w:rFonts w:eastAsia="Times New Roman"/>
          <w:color w:val="000000"/>
          <w:sz w:val="16"/>
          <w:szCs w:val="16"/>
        </w:rPr>
        <w:t>ercial loans totaled approximately $81 million for 2020 and $82 million for 2019 and 2018, with corresponding reductions to the Other category.</w:t>
      </w:r>
    </w:p>
    <w:p w:rsidR="00000000" w:rsidRDefault="00E0782F">
      <w:pPr>
        <w:ind w:hanging="360"/>
        <w:jc w:val="both"/>
        <w:divId w:val="176017404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Interest income/expense of Other represents the impact of hedge accounting on our loan portfolios and the off</w:t>
      </w:r>
      <w:r>
        <w:rPr>
          <w:rFonts w:eastAsia="Times New Roman"/>
          <w:color w:val="000000"/>
          <w:sz w:val="16"/>
          <w:szCs w:val="16"/>
        </w:rPr>
        <w:t xml:space="preserve">setting reduction of the taxable-equivalent adjustments of our commercial loans as described above. </w:t>
      </w:r>
    </w:p>
    <w:p w:rsidR="00000000" w:rsidRDefault="00E0782F">
      <w:pPr>
        <w:ind w:hanging="360"/>
        <w:jc w:val="both"/>
        <w:divId w:val="2078937815"/>
        <w:rPr>
          <w:rFonts w:eastAsia="Times New Roman"/>
        </w:rPr>
      </w:pPr>
      <w:r>
        <w:rPr>
          <w:rFonts w:eastAsia="Times New Roman"/>
          <w:color w:val="000000"/>
          <w:sz w:val="16"/>
          <w:szCs w:val="16"/>
        </w:rPr>
        <w:t>**    Not meaningful.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52460606"/>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5246060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5246060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7" style="width:0;height:1.5pt" o:hralign="center" o:hrstd="t" o:hr="t" fillcolor="#a0a0a0" stroked="f"/>
        </w:pict>
      </w:r>
    </w:p>
    <w:p w:rsidR="00000000" w:rsidRDefault="00E0782F">
      <w:pPr>
        <w:ind w:hanging="360"/>
        <w:jc w:val="both"/>
        <w:divId w:val="69215296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638458500"/>
        <w:rPr>
          <w:rFonts w:eastAsia="Times New Roman"/>
        </w:rPr>
      </w:pPr>
      <w:r>
        <w:rPr>
          <w:rFonts w:eastAsia="Times New Roman"/>
          <w:color w:val="000000"/>
          <w:sz w:val="20"/>
          <w:szCs w:val="20"/>
        </w:rPr>
        <w:t>Net interest income decreased by $427 million to $22.9 billion in 2020 compared to 2019 primarily driven by lower yields on average earning assets and lower outstanding balances in Domestic Card, as well as higher interest-bearing deposit balances, partial</w:t>
      </w:r>
      <w:r>
        <w:rPr>
          <w:rFonts w:eastAsia="Times New Roman"/>
          <w:color w:val="000000"/>
          <w:sz w:val="20"/>
          <w:szCs w:val="20"/>
        </w:rPr>
        <w:t>ly offset by the lower interest rate paid on interest-bearing liabilities.</w:t>
      </w:r>
    </w:p>
    <w:p w:rsidR="00000000" w:rsidRDefault="00E0782F">
      <w:pPr>
        <w:jc w:val="both"/>
        <w:divId w:val="1398550998"/>
        <w:rPr>
          <w:rFonts w:eastAsia="Times New Roman"/>
        </w:rPr>
      </w:pPr>
      <w:r>
        <w:rPr>
          <w:rFonts w:eastAsia="Times New Roman"/>
          <w:color w:val="000000"/>
          <w:sz w:val="20"/>
          <w:szCs w:val="20"/>
        </w:rPr>
        <w:t xml:space="preserve">Net interest margin decreased by 77 basis points to 6.06% in 2020 compared to 2019 primarily driven by a shift in our asset mix with cash balances representing a greater proportion </w:t>
      </w:r>
      <w:r>
        <w:rPr>
          <w:rFonts w:eastAsia="Times New Roman"/>
          <w:color w:val="000000"/>
          <w:sz w:val="20"/>
          <w:szCs w:val="20"/>
        </w:rPr>
        <w:t xml:space="preserve">of total average interest-earning assets, and lower interest rates received on interest-earning assets, partially offset by the lower interest rate paid on interest-bearing deposits. </w:t>
      </w:r>
    </w:p>
    <w:p w:rsidR="00000000" w:rsidRDefault="00E0782F">
      <w:pPr>
        <w:jc w:val="both"/>
        <w:divId w:val="1660965092"/>
        <w:rPr>
          <w:rFonts w:eastAsia="Times New Roman"/>
        </w:rPr>
      </w:pPr>
      <w:r>
        <w:rPr>
          <w:rFonts w:eastAsia="Times New Roman"/>
          <w:color w:val="000000"/>
          <w:sz w:val="20"/>
          <w:szCs w:val="20"/>
        </w:rPr>
        <w:t>Table 2 displays the change in our net interest income between periods a</w:t>
      </w:r>
      <w:r>
        <w:rPr>
          <w:rFonts w:eastAsia="Times New Roman"/>
          <w:color w:val="000000"/>
          <w:sz w:val="20"/>
          <w:szCs w:val="20"/>
        </w:rPr>
        <w:t>nd the extent to which the variance is attributable to:</w:t>
      </w:r>
    </w:p>
    <w:p w:rsidR="00000000" w:rsidRDefault="00E0782F">
      <w:pPr>
        <w:ind w:hanging="360"/>
        <w:jc w:val="both"/>
        <w:divId w:val="1822576114"/>
        <w:rPr>
          <w:rFonts w:eastAsia="Times New Roman"/>
        </w:rPr>
      </w:pPr>
      <w:r>
        <w:rPr>
          <w:rFonts w:eastAsia="Times New Roman"/>
          <w:color w:val="000000"/>
          <w:sz w:val="20"/>
          <w:szCs w:val="20"/>
        </w:rPr>
        <w:t>•changes in the volume of our interest-earning assets and interest-bearing liabilities; or</w:t>
      </w:r>
    </w:p>
    <w:p w:rsidR="00000000" w:rsidRDefault="00E0782F">
      <w:pPr>
        <w:ind w:hanging="360"/>
        <w:jc w:val="both"/>
        <w:divId w:val="1413742645"/>
        <w:rPr>
          <w:rFonts w:eastAsia="Times New Roman"/>
        </w:rPr>
      </w:pPr>
      <w:r>
        <w:rPr>
          <w:rFonts w:eastAsia="Times New Roman"/>
          <w:color w:val="000000"/>
          <w:sz w:val="20"/>
          <w:szCs w:val="20"/>
        </w:rPr>
        <w:t>•changes in the interest rates related to these assets and liabilities.</w:t>
      </w:r>
    </w:p>
    <w:p w:rsidR="00000000" w:rsidRDefault="00E0782F">
      <w:pPr>
        <w:divId w:val="174544333"/>
        <w:rPr>
          <w:rFonts w:eastAsia="Times New Roman"/>
        </w:rPr>
      </w:pPr>
      <w:r>
        <w:rPr>
          <w:rFonts w:eastAsia="Times New Roman"/>
          <w:b/>
          <w:bCs/>
          <w:color w:val="000000"/>
          <w:sz w:val="18"/>
          <w:szCs w:val="18"/>
        </w:rPr>
        <w:t xml:space="preserve">Table 2: Rate/Volume Analysis of Net </w:t>
      </w:r>
      <w:r>
        <w:rPr>
          <w:rFonts w:eastAsia="Times New Roman"/>
          <w:b/>
          <w:bCs/>
          <w:color w:val="000000"/>
          <w:sz w:val="18"/>
          <w:szCs w:val="18"/>
        </w:rPr>
        <w:t>Interest Incom</w:t>
      </w:r>
      <w:r>
        <w:rPr>
          <w:rFonts w:eastAsia="Times New Roman"/>
          <w:b/>
          <w:bCs/>
          <w:color w:val="000000"/>
          <w:sz w:val="18"/>
          <w:szCs w:val="18"/>
        </w:rPr>
        <w:t>e</w:t>
      </w: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1"/>
        <w:gridCol w:w="3690"/>
        <w:gridCol w:w="40"/>
        <w:gridCol w:w="36"/>
        <w:gridCol w:w="36"/>
        <w:gridCol w:w="36"/>
        <w:gridCol w:w="110"/>
        <w:gridCol w:w="525"/>
        <w:gridCol w:w="36"/>
        <w:gridCol w:w="36"/>
        <w:gridCol w:w="36"/>
        <w:gridCol w:w="36"/>
        <w:gridCol w:w="111"/>
        <w:gridCol w:w="494"/>
        <w:gridCol w:w="36"/>
        <w:gridCol w:w="36"/>
        <w:gridCol w:w="36"/>
        <w:gridCol w:w="36"/>
        <w:gridCol w:w="110"/>
        <w:gridCol w:w="525"/>
        <w:gridCol w:w="36"/>
        <w:gridCol w:w="36"/>
        <w:gridCol w:w="36"/>
        <w:gridCol w:w="36"/>
        <w:gridCol w:w="111"/>
        <w:gridCol w:w="569"/>
        <w:gridCol w:w="36"/>
        <w:gridCol w:w="36"/>
        <w:gridCol w:w="36"/>
        <w:gridCol w:w="36"/>
        <w:gridCol w:w="111"/>
        <w:gridCol w:w="492"/>
        <w:gridCol w:w="36"/>
        <w:gridCol w:w="36"/>
        <w:gridCol w:w="36"/>
        <w:gridCol w:w="36"/>
        <w:gridCol w:w="110"/>
        <w:gridCol w:w="390"/>
        <w:gridCol w:w="36"/>
      </w:tblGrid>
      <w:tr w:rsidR="00000000">
        <w:trPr>
          <w:divId w:val="769667652"/>
        </w:trPr>
        <w:tc>
          <w:tcPr>
            <w:tcW w:w="50" w:type="pct"/>
            <w:vAlign w:val="center"/>
            <w:hideMark/>
          </w:tcPr>
          <w:p w:rsidR="00000000" w:rsidRDefault="00E0782F">
            <w:pPr>
              <w:rPr>
                <w:rFonts w:eastAsia="Times New Roman"/>
              </w:rPr>
            </w:pPr>
          </w:p>
        </w:tc>
        <w:tc>
          <w:tcPr>
            <w:tcW w:w="237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6966765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769667652"/>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r>
      <w:tr w:rsidR="00000000">
        <w:trPr>
          <w:divId w:val="769667652"/>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Variance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Rate</w:t>
            </w:r>
          </w:p>
        </w:tc>
      </w:tr>
      <w:tr w:rsidR="00000000">
        <w:trPr>
          <w:divId w:val="7696676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69667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696676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(2,113)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(547)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(1,566)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CCEEFF"/>
            <w:tcMar>
              <w:top w:w="30" w:type="dxa"/>
              <w:left w:w="20" w:type="dxa"/>
              <w:bottom w:w="30" w:type="dxa"/>
              <w:right w:w="20" w:type="dxa"/>
            </w:tcMar>
            <w:vAlign w:val="center"/>
            <w:hideMark/>
          </w:tcPr>
          <w:p w:rsidR="00000000" w:rsidRDefault="00E0782F">
            <w:pPr>
              <w:divId w:val="921722230"/>
              <w:rPr>
                <w:rFonts w:eastAsia="Times New Roman"/>
              </w:rPr>
            </w:pPr>
            <w:r>
              <w:rPr>
                <w:rFonts w:eastAsia="Times New Roman"/>
                <w:color w:val="000000"/>
                <w:sz w:val="18"/>
                <w:szCs w:val="18"/>
              </w:rPr>
              <w:t>Commercial bankin</w:t>
            </w:r>
            <w:r>
              <w:rPr>
                <w:rFonts w:eastAsia="Times New Roman"/>
                <w:color w:val="000000"/>
                <w:sz w:val="18"/>
                <w:szCs w:val="18"/>
              </w:rPr>
              <w:t>g</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(868)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FFFFFF"/>
            <w:tcMar>
              <w:top w:w="30" w:type="dxa"/>
              <w:left w:w="20" w:type="dxa"/>
              <w:bottom w:w="30" w:type="dxa"/>
              <w:right w:w="20" w:type="dxa"/>
            </w:tcMar>
            <w:vAlign w:val="center"/>
            <w:hideMark/>
          </w:tcPr>
          <w:p w:rsidR="00000000" w:rsidRDefault="00E0782F">
            <w:pPr>
              <w:divId w:val="351953224"/>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loans, including loans held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(1,788)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(1,846)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Investment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(534)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equivalents and other interest-earning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(2,480)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696676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(1,514)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borrowings and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(2,053)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(2,197)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69667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825972220"/>
        <w:rPr>
          <w:rFonts w:eastAsia="Times New Roman"/>
        </w:rPr>
      </w:pPr>
      <w:r>
        <w:rPr>
          <w:rFonts w:eastAsia="Times New Roman"/>
          <w:color w:val="000000"/>
          <w:sz w:val="20"/>
          <w:szCs w:val="20"/>
        </w:rPr>
        <w:t>__________</w:t>
      </w:r>
    </w:p>
    <w:p w:rsidR="00000000" w:rsidRDefault="00E0782F">
      <w:pPr>
        <w:ind w:hanging="360"/>
        <w:jc w:val="both"/>
        <w:divId w:val="45233571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calculate the change in int</w:t>
      </w:r>
      <w:r>
        <w:rPr>
          <w:rFonts w:eastAsia="Times New Roman"/>
          <w:color w:val="000000"/>
          <w:sz w:val="16"/>
          <w:szCs w:val="16"/>
        </w:rPr>
        <w:t xml:space="preserve">erest income and interest expense separately for each item. The portion of interest income or interest expense attributable to both volume and rate is allocated proportionately when the calculation results in a positive value. When the portion of interest </w:t>
      </w:r>
      <w:r>
        <w:rPr>
          <w:rFonts w:eastAsia="Times New Roman"/>
          <w:color w:val="000000"/>
          <w:sz w:val="16"/>
          <w:szCs w:val="16"/>
        </w:rPr>
        <w:t>income or interest expense attributable to both volume and rate results in a negative value, the total amount is allocated to volume or rate, depending on which amount is positive.</w:t>
      </w:r>
    </w:p>
    <w:p w:rsidR="00000000" w:rsidRDefault="00E0782F">
      <w:pPr>
        <w:ind w:hanging="360"/>
        <w:jc w:val="both"/>
        <w:divId w:val="198203185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Some of our commercial loans generate tax-exempt income. Accordingly, we</w:t>
      </w:r>
      <w:r>
        <w:rPr>
          <w:rFonts w:eastAsia="Times New Roman"/>
          <w:color w:val="000000"/>
          <w:sz w:val="16"/>
          <w:szCs w:val="16"/>
        </w:rPr>
        <w:t xml:space="preserve"> present our Commercial Banking interest income and yields on a taxable-equivalent basis, calculated using the federal statutory rate (21% for all periods presented) and state taxes where applicable, with offsetting reductions to the Other category.</w:t>
      </w:r>
    </w:p>
    <w:p w:rsidR="00000000" w:rsidRDefault="00E0782F">
      <w:pPr>
        <w:ind w:hanging="360"/>
        <w:jc w:val="both"/>
        <w:divId w:val="30389562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Int</w:t>
      </w:r>
      <w:r>
        <w:rPr>
          <w:rFonts w:eastAsia="Times New Roman"/>
          <w:color w:val="000000"/>
          <w:sz w:val="16"/>
          <w:szCs w:val="16"/>
        </w:rPr>
        <w:t>erest income/expense of Other represents the impact of hedge accounting on our loan portfolios and the offsetting reduction of the taxable-equivalent adjustments of our commercial loans as described above.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69345248"/>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6934524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6934524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8" style="width:0;height:1.5pt" o:hralign="center" o:hrstd="t" o:hr="t" fillcolor="#a0a0a0" stroked="f"/>
        </w:pict>
      </w:r>
    </w:p>
    <w:p w:rsidR="00000000" w:rsidRDefault="00E0782F">
      <w:pPr>
        <w:ind w:hanging="360"/>
        <w:jc w:val="both"/>
        <w:divId w:val="2091350368"/>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771899920"/>
        <w:rPr>
          <w:rFonts w:eastAsia="Times New Roman"/>
        </w:rPr>
      </w:pPr>
      <w:r>
        <w:rPr>
          <w:rFonts w:eastAsia="Times New Roman"/>
          <w:b/>
          <w:bCs/>
          <w:color w:val="000000"/>
          <w:sz w:val="20"/>
          <w:szCs w:val="20"/>
        </w:rPr>
        <w:t>Non-Interest Income</w:t>
      </w:r>
    </w:p>
    <w:p w:rsidR="00000000" w:rsidRDefault="00E0782F">
      <w:pPr>
        <w:jc w:val="both"/>
        <w:divId w:val="1499496147"/>
        <w:rPr>
          <w:rFonts w:eastAsia="Times New Roman"/>
        </w:rPr>
      </w:pPr>
      <w:r>
        <w:rPr>
          <w:rFonts w:eastAsia="Times New Roman"/>
          <w:color w:val="000000"/>
          <w:sz w:val="20"/>
          <w:szCs w:val="20"/>
        </w:rPr>
        <w:t>Table 3 displays the components of non-interest income for 2020, 2019 and 2018.</w:t>
      </w:r>
    </w:p>
    <w:p w:rsidR="00000000" w:rsidRDefault="00E0782F">
      <w:pPr>
        <w:divId w:val="366103705"/>
        <w:rPr>
          <w:rFonts w:eastAsia="Times New Roman"/>
        </w:rPr>
      </w:pPr>
      <w:r>
        <w:rPr>
          <w:rFonts w:eastAsia="Times New Roman"/>
          <w:b/>
          <w:bCs/>
          <w:color w:val="000000"/>
          <w:sz w:val="18"/>
          <w:szCs w:val="18"/>
        </w:rPr>
        <w:t>Table 3: Non-Interest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4737"/>
        <w:gridCol w:w="39"/>
        <w:gridCol w:w="36"/>
        <w:gridCol w:w="36"/>
        <w:gridCol w:w="36"/>
        <w:gridCol w:w="36"/>
        <w:gridCol w:w="36"/>
        <w:gridCol w:w="36"/>
        <w:gridCol w:w="36"/>
        <w:gridCol w:w="110"/>
        <w:gridCol w:w="789"/>
        <w:gridCol w:w="36"/>
        <w:gridCol w:w="36"/>
        <w:gridCol w:w="36"/>
        <w:gridCol w:w="36"/>
        <w:gridCol w:w="110"/>
        <w:gridCol w:w="789"/>
        <w:gridCol w:w="36"/>
        <w:gridCol w:w="36"/>
        <w:gridCol w:w="36"/>
        <w:gridCol w:w="36"/>
        <w:gridCol w:w="110"/>
        <w:gridCol w:w="789"/>
        <w:gridCol w:w="36"/>
        <w:gridCol w:w="36"/>
        <w:gridCol w:w="36"/>
        <w:gridCol w:w="36"/>
        <w:gridCol w:w="36"/>
        <w:gridCol w:w="36"/>
        <w:gridCol w:w="36"/>
      </w:tblGrid>
      <w:tr w:rsidR="00000000">
        <w:trPr>
          <w:divId w:val="555552329"/>
        </w:trPr>
        <w:tc>
          <w:tcPr>
            <w:tcW w:w="50" w:type="pct"/>
            <w:vAlign w:val="center"/>
            <w:hideMark/>
          </w:tcPr>
          <w:p w:rsidR="00000000" w:rsidRDefault="00E0782F">
            <w:pPr>
              <w:rPr>
                <w:rFonts w:eastAsia="Times New Roman"/>
              </w:rPr>
            </w:pPr>
          </w:p>
        </w:tc>
        <w:tc>
          <w:tcPr>
            <w:tcW w:w="30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tcMar>
              <w:top w:w="30" w:type="dxa"/>
              <w:left w:w="155"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5555232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Interchange fees, net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Service charges and other customer-related fees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1,330 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Net securities gains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(209)</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FFFFFF"/>
            <w:tcMar>
              <w:top w:w="30" w:type="dxa"/>
              <w:left w:w="20" w:type="dxa"/>
              <w:bottom w:w="30" w:type="dxa"/>
              <w:right w:w="20" w:type="dxa"/>
            </w:tcMar>
            <w:vAlign w:val="bottom"/>
            <w:hideMark/>
          </w:tcPr>
          <w:p w:rsidR="00000000" w:rsidRDefault="00E0782F">
            <w:pPr>
              <w:divId w:val="814687472"/>
              <w:rPr>
                <w:rFonts w:eastAsia="Times New Roman"/>
              </w:rPr>
            </w:pPr>
            <w:r>
              <w:rPr>
                <w:rFonts w:eastAsia="Times New Roman"/>
                <w:color w:val="000000"/>
                <w:sz w:val="18"/>
                <w:szCs w:val="18"/>
              </w:rPr>
              <w:t>Other non-interest income</w:t>
            </w:r>
            <w:r>
              <w:rPr>
                <w:rFonts w:eastAsia="Times New Roman"/>
                <w:color w:val="000000"/>
                <w:sz w:val="18"/>
                <w:szCs w:val="18"/>
              </w:rPr>
              <w:t>:</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CCEE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Mortgage banking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661 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FFFF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Treasury and other investment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2C2C2C"/>
                <w:sz w:val="18"/>
                <w:szCs w:val="18"/>
              </w:rPr>
              <w:t>193 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2C2C2C"/>
                <w:sz w:val="18"/>
                <w:szCs w:val="18"/>
              </w:rPr>
              <w:t>49 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CCEE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292 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 other non-interest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1,325</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2C2C2C"/>
                <w:sz w:val="18"/>
                <w:szCs w:val="18"/>
              </w:rPr>
              <w:t>718 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2C2C2C"/>
                <w:sz w:val="18"/>
                <w:szCs w:val="18"/>
              </w:rPr>
              <w:t>1,002 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5555232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5,201 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527448225"/>
        <w:rPr>
          <w:rFonts w:eastAsia="Times New Roman"/>
        </w:rPr>
      </w:pPr>
      <w:r>
        <w:rPr>
          <w:rFonts w:eastAsia="Times New Roman"/>
          <w:color w:val="000000"/>
          <w:sz w:val="20"/>
          <w:szCs w:val="20"/>
        </w:rPr>
        <w:t>_</w:t>
      </w:r>
      <w:r>
        <w:rPr>
          <w:rFonts w:eastAsia="Times New Roman"/>
          <w:color w:val="000000"/>
          <w:sz w:val="20"/>
          <w:szCs w:val="20"/>
        </w:rPr>
        <w:t>_______</w:t>
      </w:r>
    </w:p>
    <w:p w:rsidR="00000000" w:rsidRDefault="00E0782F">
      <w:pPr>
        <w:ind w:hanging="360"/>
        <w:jc w:val="both"/>
        <w:divId w:val="537789376"/>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Includes</w:t>
      </w:r>
      <w:r>
        <w:rPr>
          <w:rFonts w:eastAsia="Times New Roman"/>
          <w:color w:val="000000"/>
          <w:sz w:val="16"/>
          <w:szCs w:val="16"/>
        </w:rPr>
        <w:t xml:space="preserve"> gains </w:t>
      </w:r>
      <w:r>
        <w:rPr>
          <w:rFonts w:eastAsia="Times New Roman"/>
          <w:color w:val="000000"/>
          <w:sz w:val="16"/>
          <w:szCs w:val="16"/>
          <w:shd w:val="clear" w:color="auto" w:fill="FFFFFF"/>
        </w:rPr>
        <w:t xml:space="preserve">of </w:t>
      </w:r>
      <w:r>
        <w:rPr>
          <w:rFonts w:eastAsia="Times New Roman"/>
          <w:color w:val="000000"/>
          <w:sz w:val="16"/>
          <w:szCs w:val="16"/>
        </w:rPr>
        <w:t>$45 million, $61 million and losses of $15 million</w:t>
      </w:r>
      <w:r>
        <w:rPr>
          <w:rFonts w:eastAsia="Times New Roman"/>
          <w:color w:val="000000"/>
          <w:sz w:val="16"/>
          <w:szCs w:val="16"/>
          <w:shd w:val="clear" w:color="auto" w:fill="FFFFFF"/>
        </w:rPr>
        <w:t xml:space="preserve"> on deferred compensation plan investments in 2020, 2019</w:t>
      </w:r>
      <w:r>
        <w:rPr>
          <w:rFonts w:eastAsia="Times New Roman"/>
          <w:color w:val="000000"/>
          <w:sz w:val="16"/>
          <w:szCs w:val="16"/>
        </w:rPr>
        <w:t xml:space="preserve"> and 2018</w:t>
      </w:r>
      <w:r>
        <w:rPr>
          <w:rFonts w:eastAsia="Times New Roman"/>
          <w:color w:val="000000"/>
          <w:sz w:val="16"/>
          <w:szCs w:val="16"/>
          <w:shd w:val="clear" w:color="auto" w:fill="FFFFFF"/>
        </w:rPr>
        <w:t>,</w:t>
      </w:r>
      <w:r>
        <w:rPr>
          <w:rFonts w:eastAsia="Times New Roman"/>
          <w:color w:val="000000"/>
          <w:sz w:val="20"/>
          <w:szCs w:val="20"/>
        </w:rPr>
        <w:t xml:space="preserve"> </w:t>
      </w:r>
      <w:r>
        <w:rPr>
          <w:rFonts w:eastAsia="Times New Roman"/>
          <w:color w:val="000000"/>
          <w:sz w:val="16"/>
          <w:szCs w:val="16"/>
          <w:shd w:val="clear" w:color="auto" w:fill="FFFFFF"/>
        </w:rPr>
        <w:t>respectively.</w:t>
      </w:r>
    </w:p>
    <w:p w:rsidR="00000000" w:rsidRDefault="00E0782F">
      <w:pPr>
        <w:jc w:val="both"/>
        <w:divId w:val="1531600197"/>
        <w:rPr>
          <w:rFonts w:eastAsia="Times New Roman"/>
        </w:rPr>
      </w:pPr>
      <w:r>
        <w:rPr>
          <w:rFonts w:eastAsia="Times New Roman"/>
          <w:color w:val="000000"/>
          <w:sz w:val="20"/>
          <w:szCs w:val="20"/>
          <w:shd w:val="clear" w:color="auto" w:fill="FFFFFF"/>
        </w:rPr>
        <w:t>Non-interest inco</w:t>
      </w:r>
      <w:r>
        <w:rPr>
          <w:rFonts w:eastAsia="Times New Roman"/>
          <w:color w:val="000000"/>
          <w:sz w:val="20"/>
          <w:szCs w:val="20"/>
        </w:rPr>
        <w:t xml:space="preserve">me increased by $357 million to $5.6 billion in 2020 compared to 2019 primarily driven by a gain of $535 million on our equity investment in Snowflake Inc., partially offset by lower net interchange fees from a decline in purchase volume. </w:t>
      </w:r>
    </w:p>
    <w:p w:rsidR="00000000" w:rsidRDefault="00E0782F">
      <w:pPr>
        <w:divId w:val="993606313"/>
        <w:rPr>
          <w:rFonts w:eastAsia="Times New Roman"/>
        </w:rPr>
      </w:pPr>
      <w:r>
        <w:rPr>
          <w:rFonts w:eastAsia="Times New Roman"/>
          <w:b/>
          <w:bCs/>
          <w:color w:val="000000"/>
          <w:sz w:val="20"/>
          <w:szCs w:val="20"/>
          <w:shd w:val="clear" w:color="auto" w:fill="FFFFFF"/>
        </w:rPr>
        <w:t>Provision for Cr</w:t>
      </w:r>
      <w:r>
        <w:rPr>
          <w:rFonts w:eastAsia="Times New Roman"/>
          <w:b/>
          <w:bCs/>
          <w:color w:val="000000"/>
          <w:sz w:val="20"/>
          <w:szCs w:val="20"/>
          <w:shd w:val="clear" w:color="auto" w:fill="FFFFFF"/>
        </w:rPr>
        <w:t>edit Losses</w:t>
      </w:r>
    </w:p>
    <w:p w:rsidR="00000000" w:rsidRDefault="00E0782F">
      <w:pPr>
        <w:jc w:val="both"/>
        <w:divId w:val="1949462601"/>
        <w:rPr>
          <w:rFonts w:eastAsia="Times New Roman"/>
        </w:rPr>
      </w:pPr>
      <w:r>
        <w:rPr>
          <w:rFonts w:eastAsia="Times New Roman"/>
          <w:color w:val="000000"/>
          <w:sz w:val="20"/>
          <w:szCs w:val="20"/>
          <w:shd w:val="clear" w:color="auto" w:fill="FFFFFF"/>
        </w:rPr>
        <w:t xml:space="preserve">Our provision for credit losses in each period is driven by changes to the allowance for credit losses including the impact of net charge-offs and changes to the reserve for unfunded lending commitments. Beginning in the first quarter of 2020, </w:t>
      </w:r>
      <w:r>
        <w:rPr>
          <w:rFonts w:eastAsia="Times New Roman"/>
          <w:color w:val="000000"/>
          <w:sz w:val="20"/>
          <w:szCs w:val="20"/>
          <w:shd w:val="clear" w:color="auto" w:fill="FFFFFF"/>
        </w:rPr>
        <w:t xml:space="preserve">our allowance for credit losses and reserve for unfunded lending commitments are measured under the CECL standard. We recorded a provision for credit losses of </w:t>
      </w:r>
      <w:r>
        <w:rPr>
          <w:rFonts w:eastAsia="Times New Roman"/>
          <w:color w:val="000000"/>
          <w:sz w:val="20"/>
          <w:szCs w:val="20"/>
        </w:rPr>
        <w:t>$10.3 billion</w:t>
      </w:r>
      <w:r>
        <w:rPr>
          <w:rFonts w:eastAsia="Times New Roman"/>
          <w:color w:val="000000"/>
          <w:sz w:val="20"/>
          <w:szCs w:val="20"/>
          <w:shd w:val="clear" w:color="auto" w:fill="FFFFFF"/>
        </w:rPr>
        <w:t xml:space="preserve">, $6.2 billion and $5.9 billion in </w:t>
      </w:r>
      <w:r>
        <w:rPr>
          <w:rFonts w:eastAsia="Times New Roman"/>
          <w:color w:val="000000"/>
          <w:sz w:val="20"/>
          <w:szCs w:val="20"/>
        </w:rPr>
        <w:t>2020, 2019 and 2018,</w:t>
      </w:r>
      <w:r>
        <w:rPr>
          <w:rFonts w:eastAsia="Times New Roman"/>
          <w:color w:val="000000"/>
          <w:sz w:val="16"/>
          <w:szCs w:val="16"/>
          <w:shd w:val="clear" w:color="auto" w:fill="FFFFFF"/>
        </w:rPr>
        <w:t xml:space="preserve"> </w:t>
      </w:r>
      <w:r>
        <w:rPr>
          <w:rFonts w:eastAsia="Times New Roman"/>
          <w:color w:val="000000"/>
          <w:sz w:val="20"/>
          <w:szCs w:val="20"/>
          <w:shd w:val="clear" w:color="auto" w:fill="FFFFFF"/>
        </w:rPr>
        <w:t>respectively</w:t>
      </w:r>
      <w:r>
        <w:rPr>
          <w:rFonts w:eastAsia="Times New Roman"/>
          <w:color w:val="000000"/>
          <w:sz w:val="16"/>
          <w:szCs w:val="16"/>
          <w:shd w:val="clear" w:color="auto" w:fill="FFFFFF"/>
        </w:rPr>
        <w:t xml:space="preserve">. </w:t>
      </w:r>
      <w:r>
        <w:rPr>
          <w:rFonts w:eastAsia="Times New Roman"/>
          <w:color w:val="000000"/>
          <w:sz w:val="20"/>
          <w:szCs w:val="20"/>
          <w:shd w:val="clear" w:color="auto" w:fill="FFFFFF"/>
        </w:rPr>
        <w:t>The provision</w:t>
      </w:r>
      <w:r>
        <w:rPr>
          <w:rFonts w:eastAsia="Times New Roman"/>
          <w:color w:val="000000"/>
          <w:sz w:val="20"/>
          <w:szCs w:val="20"/>
          <w:shd w:val="clear" w:color="auto" w:fill="FFFFFF"/>
        </w:rPr>
        <w:t xml:space="preserve"> for credit losses as a percentage of net interest income was 44.8%, 26.7% and 25.6% in </w:t>
      </w:r>
      <w:r>
        <w:rPr>
          <w:rFonts w:eastAsia="Times New Roman"/>
          <w:color w:val="000000"/>
          <w:sz w:val="20"/>
          <w:szCs w:val="20"/>
        </w:rPr>
        <w:t>2020</w:t>
      </w:r>
      <w:r>
        <w:rPr>
          <w:rFonts w:eastAsia="Times New Roman"/>
          <w:color w:val="000000"/>
          <w:sz w:val="20"/>
          <w:szCs w:val="20"/>
          <w:shd w:val="clear" w:color="auto" w:fill="FFFFFF"/>
        </w:rPr>
        <w:t xml:space="preserve">, </w:t>
      </w:r>
      <w:r>
        <w:rPr>
          <w:rFonts w:eastAsia="Times New Roman"/>
          <w:color w:val="000000"/>
          <w:sz w:val="20"/>
          <w:szCs w:val="20"/>
        </w:rPr>
        <w:t>2019</w:t>
      </w:r>
      <w:r>
        <w:rPr>
          <w:rFonts w:eastAsia="Times New Roman"/>
          <w:color w:val="000000"/>
          <w:sz w:val="20"/>
          <w:szCs w:val="20"/>
          <w:shd w:val="clear" w:color="auto" w:fill="FFFFFF"/>
        </w:rPr>
        <w:t xml:space="preserve"> and </w:t>
      </w:r>
      <w:r>
        <w:rPr>
          <w:rFonts w:eastAsia="Times New Roman"/>
          <w:color w:val="000000"/>
          <w:sz w:val="20"/>
          <w:szCs w:val="20"/>
        </w:rPr>
        <w:t>2018</w:t>
      </w:r>
      <w:r>
        <w:rPr>
          <w:rFonts w:eastAsia="Times New Roman"/>
          <w:color w:val="000000"/>
          <w:sz w:val="20"/>
          <w:szCs w:val="20"/>
          <w:shd w:val="clear" w:color="auto" w:fill="FFFFFF"/>
        </w:rPr>
        <w:t>, respectively.</w:t>
      </w:r>
    </w:p>
    <w:p w:rsidR="00000000" w:rsidRDefault="00E0782F">
      <w:pPr>
        <w:jc w:val="both"/>
        <w:divId w:val="1103303744"/>
        <w:rPr>
          <w:rFonts w:eastAsia="Times New Roman"/>
        </w:rPr>
      </w:pPr>
      <w:r>
        <w:rPr>
          <w:rFonts w:eastAsia="Times New Roman"/>
          <w:color w:val="000000"/>
          <w:sz w:val="20"/>
          <w:szCs w:val="20"/>
        </w:rPr>
        <w:t>Our provision for credit losses increased by $4.0 billion to $10.3 billion in 2020 compared to 2019 primarily driven by allowance bui</w:t>
      </w:r>
      <w:r>
        <w:rPr>
          <w:rFonts w:eastAsia="Times New Roman"/>
          <w:color w:val="000000"/>
          <w:sz w:val="20"/>
          <w:szCs w:val="20"/>
        </w:rPr>
        <w:t>lds in the first and second quarters of 2020 due to expectations of economic worsening as a result of the COVID-19 pandemic.</w:t>
      </w:r>
    </w:p>
    <w:p w:rsidR="00000000" w:rsidRDefault="00E0782F">
      <w:pPr>
        <w:jc w:val="both"/>
        <w:divId w:val="2029595426"/>
        <w:rPr>
          <w:rFonts w:eastAsia="Times New Roman"/>
        </w:rPr>
      </w:pPr>
      <w:r>
        <w:rPr>
          <w:rFonts w:eastAsia="Times New Roman"/>
          <w:color w:val="000000"/>
          <w:sz w:val="20"/>
          <w:szCs w:val="20"/>
          <w:shd w:val="clear" w:color="auto" w:fill="FFFFFF"/>
        </w:rPr>
        <w:t>We provide additional information on the provision for credit losses and changes in the allowance for credit losses within “MD&amp;A—Cr</w:t>
      </w:r>
      <w:r>
        <w:rPr>
          <w:rFonts w:eastAsia="Times New Roman"/>
          <w:color w:val="000000"/>
          <w:sz w:val="20"/>
          <w:szCs w:val="20"/>
          <w:shd w:val="clear" w:color="auto" w:fill="FFFFFF"/>
        </w:rPr>
        <w:t>edit Risk Profile” and “Note 4—Allowance for Credit Losses and Reserve for Unfunded Lending Commitments.” For information on the allowance methodology for each of our loan categories, see “Note 1—Summary of Significant Accounting Policies.”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0164580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60164580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60164580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79" style="width:0;height:1.5pt" o:hralign="center" o:hrstd="t" o:hr="t" fillcolor="#a0a0a0" stroked="f"/>
        </w:pict>
      </w:r>
    </w:p>
    <w:p w:rsidR="00000000" w:rsidRDefault="00E0782F">
      <w:pPr>
        <w:ind w:hanging="360"/>
        <w:jc w:val="both"/>
        <w:divId w:val="3141758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2054890310"/>
        <w:rPr>
          <w:rFonts w:eastAsia="Times New Roman"/>
        </w:rPr>
      </w:pPr>
      <w:r>
        <w:rPr>
          <w:rFonts w:eastAsia="Times New Roman"/>
          <w:b/>
          <w:bCs/>
          <w:color w:val="000000"/>
          <w:sz w:val="20"/>
          <w:szCs w:val="20"/>
        </w:rPr>
        <w:t>Non-Interest Expense</w:t>
      </w:r>
    </w:p>
    <w:p w:rsidR="00000000" w:rsidRDefault="00E0782F">
      <w:pPr>
        <w:jc w:val="both"/>
        <w:divId w:val="879047460"/>
        <w:rPr>
          <w:rFonts w:eastAsia="Times New Roman"/>
        </w:rPr>
      </w:pPr>
      <w:r>
        <w:rPr>
          <w:rFonts w:eastAsia="Times New Roman"/>
          <w:color w:val="000000"/>
          <w:sz w:val="20"/>
          <w:szCs w:val="20"/>
        </w:rPr>
        <w:t>Table 4 displays the components of non-interest expense for 2020,</w:t>
      </w:r>
      <w:r>
        <w:rPr>
          <w:rFonts w:eastAsia="Times New Roman"/>
          <w:color w:val="000000"/>
          <w:sz w:val="20"/>
          <w:szCs w:val="20"/>
        </w:rPr>
        <w:t xml:space="preserve"> 2019 and 2018. </w:t>
      </w:r>
    </w:p>
    <w:p w:rsidR="00000000" w:rsidRDefault="00E0782F">
      <w:pPr>
        <w:divId w:val="43413631"/>
        <w:rPr>
          <w:rFonts w:eastAsia="Times New Roman"/>
        </w:rPr>
      </w:pPr>
      <w:r>
        <w:rPr>
          <w:rFonts w:eastAsia="Times New Roman"/>
          <w:b/>
          <w:bCs/>
          <w:color w:val="000000"/>
          <w:sz w:val="18"/>
          <w:szCs w:val="18"/>
        </w:rPr>
        <w:t>Table 4: Non-Interest Expense</w:t>
      </w:r>
    </w:p>
    <w:tbl>
      <w:tblPr>
        <w:tblW w:w="5000" w:type="pct"/>
        <w:tblCellMar>
          <w:top w:w="15" w:type="dxa"/>
          <w:left w:w="15" w:type="dxa"/>
          <w:bottom w:w="15" w:type="dxa"/>
          <w:right w:w="15" w:type="dxa"/>
        </w:tblCellMar>
        <w:tblLook w:val="04A0" w:firstRow="1" w:lastRow="0" w:firstColumn="1" w:lastColumn="0" w:noHBand="0" w:noVBand="1"/>
      </w:tblPr>
      <w:tblGrid>
        <w:gridCol w:w="41"/>
        <w:gridCol w:w="4835"/>
        <w:gridCol w:w="40"/>
        <w:gridCol w:w="36"/>
        <w:gridCol w:w="36"/>
        <w:gridCol w:w="36"/>
        <w:gridCol w:w="36"/>
        <w:gridCol w:w="36"/>
        <w:gridCol w:w="36"/>
        <w:gridCol w:w="36"/>
        <w:gridCol w:w="110"/>
        <w:gridCol w:w="827"/>
        <w:gridCol w:w="36"/>
        <w:gridCol w:w="36"/>
        <w:gridCol w:w="36"/>
        <w:gridCol w:w="36"/>
        <w:gridCol w:w="110"/>
        <w:gridCol w:w="828"/>
        <w:gridCol w:w="36"/>
        <w:gridCol w:w="36"/>
        <w:gridCol w:w="36"/>
        <w:gridCol w:w="36"/>
        <w:gridCol w:w="110"/>
        <w:gridCol w:w="829"/>
        <w:gridCol w:w="36"/>
      </w:tblGrid>
      <w:tr w:rsidR="00000000">
        <w:trPr>
          <w:divId w:val="832915853"/>
        </w:trPr>
        <w:tc>
          <w:tcPr>
            <w:tcW w:w="50" w:type="pct"/>
            <w:vAlign w:val="center"/>
            <w:hideMark/>
          </w:tcPr>
          <w:p w:rsidR="00000000" w:rsidRDefault="00E0782F">
            <w:pPr>
              <w:rPr>
                <w:rFonts w:eastAsia="Times New Roman"/>
              </w:rPr>
            </w:pPr>
          </w:p>
        </w:tc>
        <w:tc>
          <w:tcPr>
            <w:tcW w:w="29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3291585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3291585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83291585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1532570498"/>
              <w:rPr>
                <w:rFonts w:eastAsia="Times New Roman"/>
              </w:rPr>
            </w:pPr>
            <w:r>
              <w:rPr>
                <w:rFonts w:eastAsia="Times New Roman"/>
                <w:color w:val="000000"/>
                <w:sz w:val="18"/>
                <w:szCs w:val="18"/>
              </w:rPr>
              <w:t>Salaries and associate benefit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5,727 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Occupancy and equipment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2,098 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2,118 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Marketing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Professional services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Communications and data processing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1,290 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Amortization of intangibles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3291585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Bankcard, regulatory and other fee assessments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Collections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Fraud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CCEEFF"/>
            <w:tcMar>
              <w:top w:w="30" w:type="dxa"/>
              <w:left w:w="20" w:type="dxa"/>
              <w:bottom w:w="30" w:type="dxa"/>
              <w:right w:w="20" w:type="dxa"/>
            </w:tcMar>
            <w:vAlign w:val="center"/>
            <w:hideMark/>
          </w:tcPr>
          <w:p w:rsidR="00000000" w:rsidRDefault="00E0782F">
            <w:pPr>
              <w:divId w:val="673921450"/>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other non-interest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291585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15,056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323193901"/>
        <w:rPr>
          <w:rFonts w:eastAsia="Times New Roman"/>
        </w:rPr>
      </w:pPr>
      <w:r>
        <w:rPr>
          <w:rFonts w:eastAsia="Times New Roman"/>
          <w:color w:val="000000"/>
          <w:sz w:val="20"/>
          <w:szCs w:val="20"/>
        </w:rPr>
        <w:t>_________</w:t>
      </w:r>
    </w:p>
    <w:p w:rsidR="00000000" w:rsidRDefault="00E0782F">
      <w:pPr>
        <w:ind w:hanging="360"/>
        <w:jc w:val="both"/>
        <w:divId w:val="593978343"/>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 xml:space="preserve">Includes expenses of </w:t>
      </w:r>
      <w:r>
        <w:rPr>
          <w:rFonts w:eastAsia="Times New Roman"/>
          <w:color w:val="000000"/>
          <w:sz w:val="16"/>
          <w:szCs w:val="16"/>
        </w:rPr>
        <w:t>$45 million, $61 million and a benefi</w:t>
      </w:r>
      <w:r>
        <w:rPr>
          <w:rFonts w:eastAsia="Times New Roman"/>
          <w:color w:val="000000"/>
          <w:sz w:val="16"/>
          <w:szCs w:val="16"/>
        </w:rPr>
        <w:t xml:space="preserve">t of $15 million related to our deferred compensation plan in </w:t>
      </w:r>
      <w:r>
        <w:rPr>
          <w:rFonts w:eastAsia="Times New Roman"/>
          <w:color w:val="000000"/>
          <w:sz w:val="16"/>
          <w:szCs w:val="16"/>
          <w:shd w:val="clear" w:color="auto" w:fill="FFFFFF"/>
        </w:rPr>
        <w:t>2020, 2019, and 2018</w:t>
      </w:r>
      <w:r>
        <w:rPr>
          <w:rFonts w:eastAsia="Times New Roman"/>
          <w:color w:val="000000"/>
          <w:sz w:val="20"/>
          <w:szCs w:val="20"/>
          <w:shd w:val="clear" w:color="auto" w:fill="FFFFFF"/>
        </w:rPr>
        <w:t xml:space="preserve">, </w:t>
      </w:r>
      <w:r>
        <w:rPr>
          <w:rFonts w:eastAsia="Times New Roman"/>
          <w:color w:val="000000"/>
          <w:sz w:val="16"/>
          <w:szCs w:val="16"/>
          <w:shd w:val="clear" w:color="auto" w:fill="FFFFFF"/>
        </w:rPr>
        <w:t>respectively</w:t>
      </w:r>
      <w:r>
        <w:rPr>
          <w:rFonts w:eastAsia="Times New Roman"/>
          <w:color w:val="000000"/>
          <w:sz w:val="16"/>
          <w:szCs w:val="16"/>
        </w:rPr>
        <w:t>. These amounts have corresponding offsets in other non-interest income.</w:t>
      </w:r>
    </w:p>
    <w:p w:rsidR="00000000" w:rsidRDefault="00E0782F">
      <w:pPr>
        <w:ind w:hanging="360"/>
        <w:jc w:val="both"/>
        <w:divId w:val="109759726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legal reserve builds of $313 million and net Cybersecurity Incident expenses of $27 million in 2020.</w:t>
      </w:r>
    </w:p>
    <w:p w:rsidR="00000000" w:rsidRDefault="00E0782F">
      <w:pPr>
        <w:jc w:val="both"/>
        <w:divId w:val="127943979"/>
        <w:rPr>
          <w:rFonts w:eastAsia="Times New Roman"/>
        </w:rPr>
      </w:pPr>
      <w:r>
        <w:rPr>
          <w:rFonts w:eastAsia="Times New Roman"/>
          <w:color w:val="000000"/>
          <w:sz w:val="20"/>
          <w:szCs w:val="20"/>
        </w:rPr>
        <w:t>Non-interest expense decreased by $427 million to $15.1 billion in 2020 compared to 2019 primarily driven by lower marketing expense, partly offse</w:t>
      </w:r>
      <w:r>
        <w:rPr>
          <w:rFonts w:eastAsia="Times New Roman"/>
          <w:color w:val="000000"/>
          <w:sz w:val="20"/>
          <w:szCs w:val="20"/>
        </w:rPr>
        <w:t>t by increases in salaries and associate benefits due to continued investment in technology.</w:t>
      </w:r>
    </w:p>
    <w:p w:rsidR="00000000" w:rsidRDefault="00E0782F">
      <w:pPr>
        <w:divId w:val="444542250"/>
        <w:rPr>
          <w:rFonts w:eastAsia="Times New Roman"/>
        </w:rPr>
      </w:pPr>
      <w:r>
        <w:rPr>
          <w:rFonts w:eastAsia="Times New Roman"/>
          <w:b/>
          <w:bCs/>
          <w:color w:val="000000"/>
          <w:sz w:val="20"/>
          <w:szCs w:val="20"/>
          <w:shd w:val="clear" w:color="auto" w:fill="FFFFFF"/>
        </w:rPr>
        <w:t>Income Taxes</w:t>
      </w:r>
    </w:p>
    <w:p w:rsidR="00000000" w:rsidRDefault="00E0782F">
      <w:pPr>
        <w:jc w:val="both"/>
        <w:divId w:val="872696775"/>
        <w:rPr>
          <w:rFonts w:eastAsia="Times New Roman"/>
        </w:rPr>
      </w:pPr>
      <w:r>
        <w:rPr>
          <w:rFonts w:eastAsia="Times New Roman"/>
          <w:color w:val="000000"/>
          <w:sz w:val="20"/>
          <w:szCs w:val="20"/>
          <w:shd w:val="clear" w:color="auto" w:fill="FFFFFF"/>
        </w:rPr>
        <w:t>We recorded income t</w:t>
      </w:r>
      <w:r>
        <w:rPr>
          <w:rFonts w:eastAsia="Times New Roman"/>
          <w:color w:val="000000"/>
          <w:sz w:val="20"/>
          <w:szCs w:val="20"/>
        </w:rPr>
        <w:t xml:space="preserve">ax provisions </w:t>
      </w:r>
      <w:r>
        <w:rPr>
          <w:rFonts w:eastAsia="Times New Roman"/>
          <w:color w:val="000000"/>
          <w:sz w:val="20"/>
          <w:szCs w:val="20"/>
          <w:shd w:val="clear" w:color="auto" w:fill="FFFFFF"/>
        </w:rPr>
        <w:t>o</w:t>
      </w:r>
      <w:r>
        <w:rPr>
          <w:rFonts w:eastAsia="Times New Roman"/>
          <w:color w:val="000000"/>
          <w:sz w:val="20"/>
          <w:szCs w:val="20"/>
        </w:rPr>
        <w:t>f $486 million (15.2% ef</w:t>
      </w:r>
      <w:r>
        <w:rPr>
          <w:rFonts w:eastAsia="Times New Roman"/>
          <w:color w:val="000000"/>
          <w:sz w:val="20"/>
          <w:szCs w:val="20"/>
          <w:shd w:val="clear" w:color="auto" w:fill="FFFFFF"/>
        </w:rPr>
        <w:t>fective income tax rate), $1.3 billion (19.5% effective income tax rate) and $1.3 billion (</w:t>
      </w:r>
      <w:r>
        <w:rPr>
          <w:rFonts w:eastAsia="Times New Roman"/>
          <w:color w:val="000000"/>
          <w:sz w:val="20"/>
          <w:szCs w:val="20"/>
          <w:shd w:val="clear" w:color="auto" w:fill="FFFFFF"/>
        </w:rPr>
        <w:t>17.7% effective income tax rate) in 2020, 2019 and 2018, respectively. Our effective tax rate on income from continuing operations varies between periods due, in part, to</w:t>
      </w:r>
      <w:r>
        <w:rPr>
          <w:rFonts w:eastAsia="Times New Roman"/>
          <w:color w:val="000000"/>
          <w:sz w:val="20"/>
          <w:szCs w:val="20"/>
        </w:rPr>
        <w:t xml:space="preserve"> the impact of changes in pre-tax income and changes in tax credits, tax-exempt income</w:t>
      </w:r>
      <w:r>
        <w:rPr>
          <w:rFonts w:eastAsia="Times New Roman"/>
          <w:color w:val="000000"/>
          <w:sz w:val="20"/>
          <w:szCs w:val="20"/>
        </w:rPr>
        <w:t xml:space="preserve"> and non-deductible expenses relative to our pre-tax earnings.</w:t>
      </w:r>
    </w:p>
    <w:p w:rsidR="00000000" w:rsidRDefault="00E0782F">
      <w:pPr>
        <w:jc w:val="both"/>
        <w:divId w:val="524176278"/>
        <w:rPr>
          <w:rFonts w:eastAsia="Times New Roman"/>
        </w:rPr>
      </w:pPr>
      <w:r>
        <w:rPr>
          <w:rFonts w:eastAsia="Times New Roman"/>
          <w:color w:val="000000"/>
          <w:sz w:val="20"/>
          <w:szCs w:val="20"/>
        </w:rPr>
        <w:t>We recorded discrete tax benefits of $22 million i</w:t>
      </w:r>
      <w:r>
        <w:rPr>
          <w:rFonts w:eastAsia="Times New Roman"/>
          <w:color w:val="000000"/>
          <w:sz w:val="20"/>
          <w:szCs w:val="20"/>
          <w:shd w:val="clear" w:color="auto" w:fill="FFFFFF"/>
        </w:rPr>
        <w:t>n 2020, $19 million in 2019 an</w:t>
      </w:r>
      <w:r>
        <w:rPr>
          <w:rFonts w:eastAsia="Times New Roman"/>
          <w:color w:val="000000"/>
          <w:sz w:val="20"/>
          <w:szCs w:val="20"/>
        </w:rPr>
        <w:t>d $318 million in 2018 primarily driven by a benefit of $284 million related to a tax methodology change on rewar</w:t>
      </w:r>
      <w:r>
        <w:rPr>
          <w:rFonts w:eastAsia="Times New Roman"/>
          <w:color w:val="000000"/>
          <w:sz w:val="20"/>
          <w:szCs w:val="20"/>
        </w:rPr>
        <w:t>ds costs.</w:t>
      </w:r>
    </w:p>
    <w:p w:rsidR="00000000" w:rsidRDefault="00E0782F">
      <w:pPr>
        <w:jc w:val="both"/>
        <w:divId w:val="1595935950"/>
        <w:rPr>
          <w:rFonts w:eastAsia="Times New Roman"/>
        </w:rPr>
      </w:pPr>
      <w:r>
        <w:rPr>
          <w:rFonts w:eastAsia="Times New Roman"/>
          <w:color w:val="000000"/>
          <w:sz w:val="20"/>
          <w:szCs w:val="20"/>
        </w:rPr>
        <w:t xml:space="preserve">The decrease in our effective tax rate in 2020 compared to 2019 was primarily due to a decrease in our pre-tax earnings and </w:t>
      </w:r>
      <w:r>
        <w:rPr>
          <w:rFonts w:eastAsia="Times New Roman"/>
          <w:color w:val="000000"/>
          <w:sz w:val="19"/>
          <w:szCs w:val="19"/>
        </w:rPr>
        <w:t>the proportional impact of credits from tax advantaged investments.</w:t>
      </w:r>
    </w:p>
    <w:p w:rsidR="00000000" w:rsidRDefault="00E0782F">
      <w:pPr>
        <w:jc w:val="both"/>
        <w:divId w:val="997608973"/>
        <w:rPr>
          <w:rFonts w:eastAsia="Times New Roman"/>
        </w:rPr>
      </w:pPr>
      <w:r>
        <w:rPr>
          <w:rFonts w:eastAsia="Times New Roman"/>
          <w:color w:val="000000"/>
          <w:sz w:val="20"/>
          <w:szCs w:val="20"/>
        </w:rPr>
        <w:t>We provide additional information on items affecting o</w:t>
      </w:r>
      <w:r>
        <w:rPr>
          <w:rFonts w:eastAsia="Times New Roman"/>
          <w:color w:val="000000"/>
          <w:sz w:val="20"/>
          <w:szCs w:val="20"/>
        </w:rPr>
        <w:t>ur income taxes and effective tax rate in “Note 15—Income Taxes.”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1596014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71596014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71596014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0" style="width:0;height:1.5pt" o:hralign="center" o:hrstd="t" o:hr="t" fillcolor="#a0a0a0" stroked="f"/>
        </w:pict>
      </w:r>
    </w:p>
    <w:p w:rsidR="00000000" w:rsidRDefault="00E0782F">
      <w:pPr>
        <w:ind w:hanging="360"/>
        <w:jc w:val="both"/>
        <w:divId w:val="434521768"/>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91973695"/>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39197369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CONSOLIDATED BALANCE SHEETS ANALYSIS</w:t>
            </w:r>
          </w:p>
        </w:tc>
      </w:tr>
    </w:tbl>
    <w:p w:rsidR="00000000" w:rsidRDefault="00E0782F">
      <w:pPr>
        <w:jc w:val="both"/>
        <w:divId w:val="115107071"/>
        <w:rPr>
          <w:rFonts w:eastAsia="Times New Roman"/>
        </w:rPr>
      </w:pPr>
      <w:r>
        <w:rPr>
          <w:rFonts w:eastAsia="Times New Roman"/>
          <w:color w:val="000000"/>
          <w:sz w:val="20"/>
          <w:szCs w:val="20"/>
        </w:rPr>
        <w:t>Total assets increased by $31.2 billion to $421.6 billion as of December 31, 2020 from December 31, 2019 primarily driven by an increase in our cash balances from deposit growth due to increased consumer savings aided by the impact of government stimulus a</w:t>
      </w:r>
      <w:r>
        <w:rPr>
          <w:rFonts w:eastAsia="Times New Roman"/>
          <w:color w:val="000000"/>
          <w:sz w:val="20"/>
          <w:szCs w:val="20"/>
        </w:rPr>
        <w:t>s well as growth in our investment securities portfolio due to our elevated cash position, partially offset by a decline in loan balances.</w:t>
      </w:r>
    </w:p>
    <w:p w:rsidR="00000000" w:rsidRDefault="00E0782F">
      <w:pPr>
        <w:jc w:val="both"/>
        <w:divId w:val="990214847"/>
        <w:rPr>
          <w:rFonts w:eastAsia="Times New Roman"/>
        </w:rPr>
      </w:pPr>
      <w:r>
        <w:rPr>
          <w:rFonts w:eastAsia="Times New Roman"/>
          <w:color w:val="000000"/>
          <w:sz w:val="20"/>
          <w:szCs w:val="20"/>
        </w:rPr>
        <w:t>Total liabilities increased by $29.0 billion to $361.4 billion as of December 31, 2020 from December 31, 2019 primari</w:t>
      </w:r>
      <w:r>
        <w:rPr>
          <w:rFonts w:eastAsia="Times New Roman"/>
          <w:color w:val="000000"/>
          <w:sz w:val="20"/>
          <w:szCs w:val="20"/>
        </w:rPr>
        <w:t>ly driven by deposit growth from increased consumer savings aided by the impact of government stimulus.</w:t>
      </w:r>
    </w:p>
    <w:p w:rsidR="00000000" w:rsidRDefault="00E0782F">
      <w:pPr>
        <w:jc w:val="both"/>
        <w:divId w:val="291251485"/>
        <w:rPr>
          <w:rFonts w:eastAsia="Times New Roman"/>
        </w:rPr>
      </w:pPr>
      <w:r>
        <w:rPr>
          <w:rFonts w:eastAsia="Times New Roman"/>
          <w:color w:val="000000"/>
          <w:sz w:val="20"/>
          <w:szCs w:val="20"/>
        </w:rPr>
        <w:t>Stockholders’ equity increased by $2.2 billion to $60.2 billion as of December 31, 2020 from December 31, 2019 primarily due to our net income of $2.7 b</w:t>
      </w:r>
      <w:r>
        <w:rPr>
          <w:rFonts w:eastAsia="Times New Roman"/>
          <w:color w:val="000000"/>
          <w:sz w:val="20"/>
          <w:szCs w:val="20"/>
        </w:rPr>
        <w:t xml:space="preserve">illion and changes in accumulated other comprehensive income of $2.3 billion from investment valuation gains, partially offset by the cumulative effect from the adoption of the CECL standard and dividend payments to our stockholders. </w:t>
      </w:r>
    </w:p>
    <w:p w:rsidR="00000000" w:rsidRDefault="00E0782F">
      <w:pPr>
        <w:jc w:val="both"/>
        <w:divId w:val="1752310782"/>
        <w:rPr>
          <w:rFonts w:eastAsia="Times New Roman"/>
        </w:rPr>
      </w:pPr>
      <w:r>
        <w:rPr>
          <w:rFonts w:eastAsia="Times New Roman"/>
          <w:color w:val="000000"/>
          <w:sz w:val="20"/>
          <w:szCs w:val="20"/>
        </w:rPr>
        <w:t>The following is a di</w:t>
      </w:r>
      <w:r>
        <w:rPr>
          <w:rFonts w:eastAsia="Times New Roman"/>
          <w:color w:val="000000"/>
          <w:sz w:val="20"/>
          <w:szCs w:val="20"/>
        </w:rPr>
        <w:t>scussion of material changes in the major components of our assets and liabilities during 2020. Period-end balance sheet amounts may vary from average balance sheet amounts due to liquidity and balance sheet management activities that are intended to suppo</w:t>
      </w:r>
      <w:r>
        <w:rPr>
          <w:rFonts w:eastAsia="Times New Roman"/>
          <w:color w:val="000000"/>
          <w:sz w:val="20"/>
          <w:szCs w:val="20"/>
        </w:rPr>
        <w:t>rt the adequacy of capital while managing our liquidity requirements, our customers and our market risk exposure in accordance with our risk appetite.</w:t>
      </w:r>
    </w:p>
    <w:p w:rsidR="00000000" w:rsidRDefault="00E0782F">
      <w:pPr>
        <w:divId w:val="1647053455"/>
        <w:rPr>
          <w:rFonts w:eastAsia="Times New Roman"/>
        </w:rPr>
      </w:pPr>
      <w:r>
        <w:rPr>
          <w:rFonts w:eastAsia="Times New Roman"/>
          <w:b/>
          <w:bCs/>
          <w:color w:val="000000"/>
          <w:sz w:val="20"/>
          <w:szCs w:val="20"/>
        </w:rPr>
        <w:t xml:space="preserve">Investment Securities </w:t>
      </w:r>
    </w:p>
    <w:p w:rsidR="00000000" w:rsidRDefault="00E0782F">
      <w:pPr>
        <w:jc w:val="both"/>
        <w:divId w:val="421337968"/>
        <w:rPr>
          <w:rFonts w:eastAsia="Times New Roman"/>
        </w:rPr>
      </w:pPr>
      <w:r>
        <w:rPr>
          <w:rFonts w:eastAsia="Times New Roman"/>
          <w:color w:val="000000"/>
          <w:sz w:val="20"/>
          <w:szCs w:val="20"/>
        </w:rPr>
        <w:t>Our investment securities portfolio consists of the following: U.S. government-spo</w:t>
      </w:r>
      <w:r>
        <w:rPr>
          <w:rFonts w:eastAsia="Times New Roman"/>
          <w:color w:val="000000"/>
          <w:sz w:val="20"/>
          <w:szCs w:val="20"/>
        </w:rPr>
        <w:t>nsored enterprise or agency (“Agency”) and non-agency residential mortgage-backed securities (“RMBS”), Agency commercial mortgage-backed securities (“CMBS”), U.S. Treasury securities and other securities. Agency securities include Government National Mortg</w:t>
      </w:r>
      <w:r>
        <w:rPr>
          <w:rFonts w:eastAsia="Times New Roman"/>
          <w:color w:val="000000"/>
          <w:sz w:val="20"/>
          <w:szCs w:val="20"/>
        </w:rPr>
        <w:t>age Association (“Ginnie Mae”) guaranteed securities, Federal National Mortgage Association (“Fannie Mae”) and Federal Home Loan Mortgage Corporation (“Freddie Mac”) issued securities. The carrying value of our investments in Agency and U.S. Treasury secur</w:t>
      </w:r>
      <w:r>
        <w:rPr>
          <w:rFonts w:eastAsia="Times New Roman"/>
          <w:color w:val="000000"/>
          <w:sz w:val="20"/>
          <w:szCs w:val="20"/>
        </w:rPr>
        <w:t>ities represented 96% of our total investment securities portfolio, as of both December 31, 2020 and 2019.</w:t>
      </w:r>
    </w:p>
    <w:p w:rsidR="00000000" w:rsidRDefault="00E0782F">
      <w:pPr>
        <w:jc w:val="both"/>
        <w:divId w:val="350763134"/>
        <w:rPr>
          <w:rFonts w:eastAsia="Times New Roman"/>
        </w:rPr>
      </w:pPr>
      <w:r>
        <w:rPr>
          <w:rFonts w:eastAsia="Times New Roman"/>
          <w:color w:val="000000"/>
          <w:sz w:val="20"/>
          <w:szCs w:val="20"/>
        </w:rPr>
        <w:t xml:space="preserve">The fair value of our available for sale securities portfolio increased by $21.2 billion to $100.4 billion as of December 31, 2020 from December 31, </w:t>
      </w:r>
      <w:r>
        <w:rPr>
          <w:rFonts w:eastAsia="Times New Roman"/>
          <w:color w:val="000000"/>
          <w:sz w:val="20"/>
          <w:szCs w:val="20"/>
        </w:rPr>
        <w:t xml:space="preserve">2019, primarily driven by net purchases. See “Note 2—Investment Securities” for more information. </w:t>
      </w:r>
    </w:p>
    <w:p w:rsidR="00000000" w:rsidRDefault="00E0782F">
      <w:pPr>
        <w:jc w:val="both"/>
        <w:divId w:val="1398701335"/>
        <w:rPr>
          <w:rFonts w:eastAsia="Times New Roman"/>
        </w:rPr>
      </w:pPr>
      <w:r>
        <w:rPr>
          <w:rFonts w:eastAsia="Times New Roman"/>
          <w:color w:val="000000"/>
          <w:sz w:val="20"/>
          <w:szCs w:val="20"/>
        </w:rPr>
        <w:t xml:space="preserve">Table 5 presents the amortized cost and fair value for the major security types in our available for sale securities portfolio as of December 31, 2020, 2019 </w:t>
      </w:r>
      <w:r>
        <w:rPr>
          <w:rFonts w:eastAsia="Times New Roman"/>
          <w:color w:val="000000"/>
          <w:sz w:val="20"/>
          <w:szCs w:val="20"/>
        </w:rPr>
        <w:t xml:space="preserve">and 2018. </w:t>
      </w:r>
    </w:p>
    <w:p w:rsidR="00000000" w:rsidRDefault="00E0782F">
      <w:pPr>
        <w:divId w:val="79986240"/>
        <w:rPr>
          <w:rFonts w:eastAsia="Times New Roman"/>
        </w:rPr>
      </w:pPr>
      <w:r>
        <w:rPr>
          <w:rFonts w:eastAsia="Times New Roman"/>
          <w:b/>
          <w:bCs/>
          <w:color w:val="000000"/>
          <w:sz w:val="18"/>
          <w:szCs w:val="18"/>
        </w:rPr>
        <w:t>Table 5: 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954"/>
        <w:gridCol w:w="37"/>
        <w:gridCol w:w="36"/>
        <w:gridCol w:w="36"/>
        <w:gridCol w:w="36"/>
        <w:gridCol w:w="111"/>
        <w:gridCol w:w="680"/>
        <w:gridCol w:w="36"/>
        <w:gridCol w:w="36"/>
        <w:gridCol w:w="36"/>
        <w:gridCol w:w="36"/>
        <w:gridCol w:w="110"/>
        <w:gridCol w:w="630"/>
        <w:gridCol w:w="36"/>
        <w:gridCol w:w="36"/>
        <w:gridCol w:w="36"/>
        <w:gridCol w:w="36"/>
        <w:gridCol w:w="111"/>
        <w:gridCol w:w="680"/>
        <w:gridCol w:w="36"/>
        <w:gridCol w:w="36"/>
        <w:gridCol w:w="36"/>
        <w:gridCol w:w="36"/>
        <w:gridCol w:w="110"/>
        <w:gridCol w:w="540"/>
        <w:gridCol w:w="36"/>
        <w:gridCol w:w="36"/>
        <w:gridCol w:w="36"/>
        <w:gridCol w:w="36"/>
        <w:gridCol w:w="111"/>
        <w:gridCol w:w="680"/>
        <w:gridCol w:w="36"/>
        <w:gridCol w:w="36"/>
        <w:gridCol w:w="36"/>
        <w:gridCol w:w="36"/>
        <w:gridCol w:w="110"/>
        <w:gridCol w:w="540"/>
        <w:gridCol w:w="36"/>
      </w:tblGrid>
      <w:tr w:rsidR="00000000">
        <w:trPr>
          <w:divId w:val="705526692"/>
        </w:trPr>
        <w:tc>
          <w:tcPr>
            <w:tcW w:w="50" w:type="pct"/>
            <w:vAlign w:val="center"/>
            <w:hideMark/>
          </w:tcPr>
          <w:p w:rsidR="00000000" w:rsidRDefault="00E0782F">
            <w:pPr>
              <w:rPr>
                <w:rFonts w:eastAsia="Times New Roman"/>
              </w:rPr>
            </w:pPr>
          </w:p>
        </w:tc>
        <w:tc>
          <w:tcPr>
            <w:tcW w:w="187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05526692"/>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w:t>
            </w:r>
          </w:p>
        </w:tc>
      </w:tr>
      <w:tr w:rsidR="00000000">
        <w:trPr>
          <w:divId w:val="705526692"/>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2018</w:t>
            </w:r>
          </w:p>
        </w:tc>
      </w:tr>
      <w:tr w:rsidR="00000000">
        <w:trPr>
          <w:divId w:val="705526692"/>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 xml:space="preserve">Cost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70552669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0552669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0552669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0552669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73,248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62,003 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62,839 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32,710 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31,903 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0552669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0552669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74,283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76,703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63,238 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64,338 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34,150 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33,645 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0552669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11,298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11,735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05526692"/>
        </w:trPr>
        <w:tc>
          <w:tcPr>
            <w:tcW w:w="0" w:type="auto"/>
            <w:gridSpan w:val="3"/>
            <w:shd w:val="clear" w:color="auto" w:fill="FFFFFF"/>
            <w:tcMar>
              <w:top w:w="30" w:type="dxa"/>
              <w:left w:w="20" w:type="dxa"/>
              <w:bottom w:w="30" w:type="dxa"/>
              <w:right w:w="20" w:type="dxa"/>
            </w:tcMar>
            <w:vAlign w:val="center"/>
            <w:hideMark/>
          </w:tcPr>
          <w:p w:rsidR="00000000" w:rsidRDefault="00E0782F">
            <w:pPr>
              <w:divId w:val="198663427"/>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0552669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97,569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100,445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79,213 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46,728 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46,150 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05526692"/>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0552669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0552669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0552669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0552669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0552669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0552669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0552669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4092948"/>
        <w:rPr>
          <w:rFonts w:eastAsia="Times New Roman"/>
        </w:rPr>
      </w:pPr>
      <w:r>
        <w:rPr>
          <w:rFonts w:eastAsia="Times New Roman"/>
          <w:color w:val="000000"/>
          <w:sz w:val="20"/>
          <w:szCs w:val="20"/>
        </w:rPr>
        <w:t>__________</w:t>
      </w:r>
    </w:p>
    <w:p w:rsidR="00000000" w:rsidRDefault="00E0782F">
      <w:pPr>
        <w:ind w:hanging="360"/>
        <w:jc w:val="both"/>
        <w:divId w:val="155434993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$1.8 billion, $117 million and $260 million of asset-backed securities as of December 31, 2020, 2019 and 2018, respectively. The remaining amount is primarily comprised of supranational bonds and foreign government bonds.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7579102"/>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6757910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6757910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1" style="width:0;height:1.5pt" o:hralign="center" o:hrstd="t" o:hr="t" fillcolor="#a0a0a0" stroked="f"/>
        </w:pict>
      </w:r>
    </w:p>
    <w:p w:rsidR="00000000" w:rsidRDefault="00E0782F">
      <w:pPr>
        <w:ind w:hanging="360"/>
        <w:jc w:val="both"/>
        <w:divId w:val="77005480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729420023"/>
        <w:rPr>
          <w:rFonts w:eastAsia="Times New Roman"/>
        </w:rPr>
      </w:pPr>
      <w:r>
        <w:rPr>
          <w:rFonts w:eastAsia="Times New Roman"/>
          <w:b/>
          <w:bCs/>
          <w:color w:val="000000"/>
          <w:sz w:val="20"/>
          <w:szCs w:val="20"/>
        </w:rPr>
        <w:t>Loans Held for Investment</w:t>
      </w:r>
    </w:p>
    <w:p w:rsidR="00000000" w:rsidRDefault="00E0782F">
      <w:pPr>
        <w:jc w:val="both"/>
        <w:divId w:val="1788742880"/>
        <w:rPr>
          <w:rFonts w:eastAsia="Times New Roman"/>
        </w:rPr>
      </w:pPr>
      <w:r>
        <w:rPr>
          <w:rFonts w:eastAsia="Times New Roman"/>
          <w:color w:val="000000"/>
          <w:sz w:val="20"/>
          <w:szCs w:val="20"/>
        </w:rPr>
        <w:t>Total loans held for investment consist of both unsecuritized loans and loans held in our consolidated trusts. Table 6 summarizes the carrying value of our loans held for investment by portfolio segment, the allowance for credit losses and net loan balance</w:t>
      </w:r>
      <w:r>
        <w:rPr>
          <w:rFonts w:eastAsia="Times New Roman"/>
          <w:color w:val="000000"/>
          <w:sz w:val="20"/>
          <w:szCs w:val="20"/>
        </w:rPr>
        <w:t xml:space="preserve"> as of December 31, 2020 and 2019.</w:t>
      </w:r>
    </w:p>
    <w:p w:rsidR="00000000" w:rsidRDefault="00E0782F">
      <w:pPr>
        <w:divId w:val="1909338195"/>
        <w:rPr>
          <w:rFonts w:eastAsia="Times New Roman"/>
        </w:rPr>
      </w:pPr>
      <w:r>
        <w:rPr>
          <w:rFonts w:eastAsia="Times New Roman"/>
          <w:b/>
          <w:bCs/>
          <w:color w:val="000000"/>
          <w:sz w:val="18"/>
          <w:szCs w:val="18"/>
        </w:rPr>
        <w:t xml:space="preserve">Table 6: Loans Held for Investment </w:t>
      </w:r>
    </w:p>
    <w:tbl>
      <w:tblPr>
        <w:tblW w:w="4985" w:type="pct"/>
        <w:tblCellMar>
          <w:top w:w="15" w:type="dxa"/>
          <w:left w:w="15" w:type="dxa"/>
          <w:bottom w:w="15" w:type="dxa"/>
          <w:right w:w="15" w:type="dxa"/>
        </w:tblCellMar>
        <w:tblLook w:val="04A0" w:firstRow="1" w:lastRow="0" w:firstColumn="1" w:lastColumn="0" w:noHBand="0" w:noVBand="1"/>
      </w:tblPr>
      <w:tblGrid>
        <w:gridCol w:w="39"/>
        <w:gridCol w:w="2856"/>
        <w:gridCol w:w="38"/>
        <w:gridCol w:w="36"/>
        <w:gridCol w:w="36"/>
        <w:gridCol w:w="36"/>
        <w:gridCol w:w="110"/>
        <w:gridCol w:w="630"/>
        <w:gridCol w:w="36"/>
        <w:gridCol w:w="36"/>
        <w:gridCol w:w="36"/>
        <w:gridCol w:w="36"/>
        <w:gridCol w:w="111"/>
        <w:gridCol w:w="651"/>
        <w:gridCol w:w="36"/>
        <w:gridCol w:w="36"/>
        <w:gridCol w:w="36"/>
        <w:gridCol w:w="36"/>
        <w:gridCol w:w="110"/>
        <w:gridCol w:w="630"/>
        <w:gridCol w:w="36"/>
        <w:gridCol w:w="36"/>
        <w:gridCol w:w="36"/>
        <w:gridCol w:w="36"/>
        <w:gridCol w:w="110"/>
        <w:gridCol w:w="630"/>
        <w:gridCol w:w="36"/>
        <w:gridCol w:w="36"/>
        <w:gridCol w:w="36"/>
        <w:gridCol w:w="36"/>
        <w:gridCol w:w="111"/>
        <w:gridCol w:w="651"/>
        <w:gridCol w:w="36"/>
        <w:gridCol w:w="36"/>
        <w:gridCol w:w="36"/>
        <w:gridCol w:w="36"/>
        <w:gridCol w:w="110"/>
        <w:gridCol w:w="630"/>
        <w:gridCol w:w="36"/>
      </w:tblGrid>
      <w:tr w:rsidR="00000000">
        <w:trPr>
          <w:divId w:val="834342165"/>
        </w:trPr>
        <w:tc>
          <w:tcPr>
            <w:tcW w:w="50" w:type="pct"/>
            <w:vAlign w:val="center"/>
            <w:hideMark/>
          </w:tcPr>
          <w:p w:rsidR="00000000" w:rsidRDefault="00E0782F">
            <w:pPr>
              <w:rPr>
                <w:rFonts w:eastAsia="Times New Roman"/>
              </w:rPr>
            </w:pPr>
          </w:p>
        </w:tc>
        <w:tc>
          <w:tcPr>
            <w:tcW w:w="22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3434216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83434216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Loans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Allowance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Loans</w:t>
            </w:r>
          </w:p>
        </w:tc>
      </w:tr>
      <w:tr w:rsidR="00000000">
        <w:trPr>
          <w:divId w:val="83434216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11,191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95,765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128,236 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5,395 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2C2C2C"/>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122,841 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434216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66,173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63,065 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62,027 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434216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74,122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74,508 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775 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73,733 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3434216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15,564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236,060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265,809 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7,208 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258,601 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1595549286"/>
        <w:rPr>
          <w:rFonts w:eastAsia="Times New Roman"/>
        </w:rPr>
      </w:pPr>
      <w:r>
        <w:rPr>
          <w:rFonts w:eastAsia="Times New Roman"/>
          <w:color w:val="000000"/>
          <w:sz w:val="20"/>
          <w:szCs w:val="20"/>
        </w:rPr>
        <w:t xml:space="preserve">Loans held for investment decreased by </w:t>
      </w:r>
      <w:r>
        <w:rPr>
          <w:rFonts w:eastAsia="Times New Roman"/>
          <w:color w:val="000000"/>
          <w:sz w:val="20"/>
          <w:szCs w:val="20"/>
        </w:rPr>
        <w:t>$14.2 billion to $251.6 billion as of December 31, 2020 from December 31, 2019 primarily due to a decline in purchase volume and higher payment rates in Domestic Card driven by the customer response to the COVID-19 pandemic and our decision to decrease mar</w:t>
      </w:r>
      <w:r>
        <w:rPr>
          <w:rFonts w:eastAsia="Times New Roman"/>
          <w:color w:val="000000"/>
          <w:sz w:val="20"/>
          <w:szCs w:val="20"/>
        </w:rPr>
        <w:t>keting spend due to the economic environment, partially offset by growth in our auto and commercial loan portfolios.</w:t>
      </w:r>
    </w:p>
    <w:p w:rsidR="00000000" w:rsidRDefault="00E0782F">
      <w:pPr>
        <w:jc w:val="both"/>
        <w:divId w:val="898326066"/>
        <w:rPr>
          <w:rFonts w:eastAsia="Times New Roman"/>
        </w:rPr>
      </w:pPr>
      <w:r>
        <w:rPr>
          <w:rFonts w:eastAsia="Times New Roman"/>
          <w:color w:val="000000"/>
          <w:sz w:val="20"/>
          <w:szCs w:val="20"/>
        </w:rPr>
        <w:t>We provide additional information on the composition of our loan portfolio and credit quality below in “MD&amp;A—Credit Risk Profile,” “MD&amp;A—Co</w:t>
      </w:r>
      <w:r>
        <w:rPr>
          <w:rFonts w:eastAsia="Times New Roman"/>
          <w:color w:val="000000"/>
          <w:sz w:val="20"/>
          <w:szCs w:val="20"/>
        </w:rPr>
        <w:t>nsolidated Results of Operations” and “Note 3—Loans.”</w:t>
      </w:r>
    </w:p>
    <w:p w:rsidR="00000000" w:rsidRDefault="00E0782F">
      <w:pPr>
        <w:divId w:val="937104928"/>
        <w:rPr>
          <w:rFonts w:eastAsia="Times New Roman"/>
        </w:rPr>
      </w:pPr>
      <w:r>
        <w:rPr>
          <w:rFonts w:eastAsia="Times New Roman"/>
          <w:b/>
          <w:bCs/>
          <w:color w:val="000000"/>
          <w:sz w:val="20"/>
          <w:szCs w:val="20"/>
        </w:rPr>
        <w:t>Funding Sources</w:t>
      </w:r>
    </w:p>
    <w:p w:rsidR="00000000" w:rsidRDefault="00E0782F">
      <w:pPr>
        <w:jc w:val="both"/>
        <w:divId w:val="1798599092"/>
        <w:rPr>
          <w:rFonts w:eastAsia="Times New Roman"/>
        </w:rPr>
      </w:pPr>
      <w:r>
        <w:rPr>
          <w:rFonts w:eastAsia="Times New Roman"/>
          <w:color w:val="000000"/>
          <w:sz w:val="20"/>
          <w:szCs w:val="20"/>
        </w:rPr>
        <w:t>Our primary source of funding comes from deposits, as they are a stable and relatively low cost source of funding. In addition to deposits, we raise funding through the issuance of senio</w:t>
      </w:r>
      <w:r>
        <w:rPr>
          <w:rFonts w:eastAsia="Times New Roman"/>
          <w:color w:val="000000"/>
          <w:sz w:val="20"/>
          <w:szCs w:val="20"/>
        </w:rPr>
        <w:t xml:space="preserve">r and subordinated notes, securitized debt obligations, federal funds purchased, securities loaned or sold under agreements to repurchase, and Federal Home Loan Banks (“FHLB”) advances secured by certain portions of our loan and securities portfolios. </w:t>
      </w:r>
    </w:p>
    <w:p w:rsidR="00000000" w:rsidRDefault="00E0782F">
      <w:pPr>
        <w:divId w:val="616258734"/>
        <w:rPr>
          <w:rFonts w:eastAsia="Times New Roman"/>
        </w:rPr>
      </w:pPr>
      <w:r>
        <w:rPr>
          <w:rFonts w:eastAsia="Times New Roman"/>
          <w:color w:val="000000"/>
          <w:sz w:val="20"/>
          <w:szCs w:val="20"/>
        </w:rPr>
        <w:t>Tab</w:t>
      </w:r>
      <w:r>
        <w:rPr>
          <w:rFonts w:eastAsia="Times New Roman"/>
          <w:color w:val="000000"/>
          <w:sz w:val="20"/>
          <w:szCs w:val="20"/>
        </w:rPr>
        <w:t>le 7 provides the composition of our primary sources of funding as of December 31, 2020 and 2019.</w:t>
      </w:r>
    </w:p>
    <w:p w:rsidR="00000000" w:rsidRDefault="00E0782F">
      <w:pPr>
        <w:divId w:val="304966047"/>
        <w:rPr>
          <w:rFonts w:eastAsia="Times New Roman"/>
        </w:rPr>
      </w:pPr>
      <w:r>
        <w:rPr>
          <w:rFonts w:eastAsia="Times New Roman"/>
          <w:b/>
          <w:bCs/>
          <w:color w:val="000000"/>
          <w:sz w:val="18"/>
          <w:szCs w:val="18"/>
        </w:rPr>
        <w:t xml:space="preserve">Table 7: Funding Sources Composition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630"/>
        <w:gridCol w:w="36"/>
        <w:gridCol w:w="36"/>
        <w:gridCol w:w="36"/>
        <w:gridCol w:w="36"/>
        <w:gridCol w:w="44"/>
        <w:gridCol w:w="485"/>
        <w:gridCol w:w="200"/>
        <w:gridCol w:w="36"/>
        <w:gridCol w:w="36"/>
        <w:gridCol w:w="36"/>
        <w:gridCol w:w="110"/>
        <w:gridCol w:w="630"/>
        <w:gridCol w:w="36"/>
        <w:gridCol w:w="36"/>
        <w:gridCol w:w="36"/>
        <w:gridCol w:w="36"/>
        <w:gridCol w:w="44"/>
        <w:gridCol w:w="498"/>
        <w:gridCol w:w="170"/>
      </w:tblGrid>
      <w:tr w:rsidR="00000000">
        <w:trPr>
          <w:divId w:val="1328047969"/>
        </w:trPr>
        <w:tc>
          <w:tcPr>
            <w:tcW w:w="50" w:type="pct"/>
            <w:vAlign w:val="center"/>
            <w:hideMark/>
          </w:tcPr>
          <w:p w:rsidR="00000000" w:rsidRDefault="00E0782F">
            <w:pPr>
              <w:rPr>
                <w:rFonts w:eastAsia="Times New Roman"/>
              </w:rPr>
            </w:pPr>
          </w:p>
        </w:tc>
        <w:tc>
          <w:tcPr>
            <w:tcW w:w="293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32804796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32804796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r>
      <w:tr w:rsidR="00000000">
        <w:trPr>
          <w:divId w:val="132804796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32804796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249,815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213,099 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32804796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39,590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32,134 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28047969"/>
        </w:trPr>
        <w:tc>
          <w:tcPr>
            <w:tcW w:w="0" w:type="auto"/>
            <w:gridSpan w:val="3"/>
            <w:shd w:val="clear" w:color="auto" w:fill="FFFFFF"/>
            <w:tcMar>
              <w:top w:w="30" w:type="dxa"/>
              <w:left w:w="20" w:type="dxa"/>
              <w:bottom w:w="30" w:type="dxa"/>
              <w:right w:w="20" w:type="dxa"/>
            </w:tcMar>
            <w:vAlign w:val="center"/>
            <w:hideMark/>
          </w:tcPr>
          <w:p w:rsidR="00000000" w:rsidRDefault="00E0782F">
            <w:pPr>
              <w:divId w:val="665862439"/>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16,037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17,464 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2804796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305,442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262,697 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2804796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17,808 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2804796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debt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28,125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37,889 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2804796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funding sources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345,981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318,394 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583026102"/>
        <w:rPr>
          <w:rFonts w:eastAsia="Times New Roman"/>
        </w:rPr>
      </w:pPr>
      <w:r>
        <w:rPr>
          <w:rFonts w:eastAsia="Times New Roman"/>
          <w:color w:val="000000"/>
          <w:sz w:val="20"/>
          <w:szCs w:val="20"/>
        </w:rPr>
        <w:t>__________</w:t>
      </w:r>
    </w:p>
    <w:p w:rsidR="00000000" w:rsidRDefault="00E0782F">
      <w:pPr>
        <w:ind w:hanging="360"/>
        <w:jc w:val="both"/>
        <w:divId w:val="205268174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brokered deposits of $15.0 billion and $16.7 billion as of December 31, 2020 and 2019, respectively.</w:t>
      </w:r>
    </w:p>
    <w:p w:rsidR="00000000" w:rsidRDefault="00E0782F">
      <w:pPr>
        <w:jc w:val="both"/>
        <w:divId w:val="1539509756"/>
        <w:rPr>
          <w:rFonts w:eastAsia="Times New Roman"/>
        </w:rPr>
      </w:pPr>
      <w:r>
        <w:rPr>
          <w:rFonts w:eastAsia="Times New Roman"/>
          <w:color w:val="000000"/>
          <w:sz w:val="20"/>
          <w:szCs w:val="20"/>
        </w:rPr>
        <w:t>Total deposits increased by $42.7 billion to $305.4 billion as of December 31, 2020 from December 31, 2019 primarily driven by deposit growth from increased consumer savings aided by the impact of government stimulus.</w:t>
      </w:r>
    </w:p>
    <w:p w:rsidR="00000000" w:rsidRDefault="00E0782F">
      <w:pPr>
        <w:jc w:val="both"/>
        <w:divId w:val="2088844099"/>
        <w:rPr>
          <w:rFonts w:eastAsia="Times New Roman"/>
        </w:rPr>
      </w:pPr>
      <w:r>
        <w:rPr>
          <w:rFonts w:eastAsia="Times New Roman"/>
          <w:color w:val="000000"/>
          <w:sz w:val="20"/>
          <w:szCs w:val="20"/>
        </w:rPr>
        <w:t>Securitized debt obligations decrease</w:t>
      </w:r>
      <w:r>
        <w:rPr>
          <w:rFonts w:eastAsia="Times New Roman"/>
          <w:color w:val="000000"/>
          <w:sz w:val="20"/>
          <w:szCs w:val="20"/>
        </w:rPr>
        <w:t>d by $5.4 billion to $12.4 billion as of December 31, 2020 from December 31, 2019 primarily driven by net maturities in our credit card securitization program.</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9718677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9718677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9718677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2" style="width:0;height:1.5pt" o:hralign="center" o:hrstd="t" o:hr="t" fillcolor="#a0a0a0" stroked="f"/>
        </w:pict>
      </w:r>
    </w:p>
    <w:p w:rsidR="00000000" w:rsidRDefault="00E0782F">
      <w:pPr>
        <w:ind w:hanging="360"/>
        <w:jc w:val="both"/>
        <w:divId w:val="6644139"/>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122261939"/>
        <w:rPr>
          <w:rFonts w:eastAsia="Times New Roman"/>
        </w:rPr>
      </w:pPr>
      <w:r>
        <w:rPr>
          <w:rFonts w:eastAsia="Times New Roman"/>
          <w:color w:val="000000"/>
          <w:sz w:val="20"/>
          <w:szCs w:val="20"/>
        </w:rPr>
        <w:t>Other debt decreased by $9.8 billion to $28.1 billion as of December 31, 2020 from Dec</w:t>
      </w:r>
      <w:r>
        <w:rPr>
          <w:rFonts w:eastAsia="Times New Roman"/>
          <w:color w:val="000000"/>
          <w:sz w:val="20"/>
          <w:szCs w:val="20"/>
        </w:rPr>
        <w:t>ember 31, 2019 primarily driven by maturities of our short-term FHLB advances and the repurchase of a portion of our senior unsecured debt.</w:t>
      </w:r>
    </w:p>
    <w:p w:rsidR="00000000" w:rsidRDefault="00E0782F">
      <w:pPr>
        <w:jc w:val="both"/>
        <w:divId w:val="38747531"/>
        <w:rPr>
          <w:rFonts w:eastAsia="Times New Roman"/>
        </w:rPr>
      </w:pPr>
      <w:r>
        <w:rPr>
          <w:rFonts w:eastAsia="Times New Roman"/>
          <w:color w:val="000000"/>
          <w:sz w:val="20"/>
          <w:szCs w:val="20"/>
        </w:rPr>
        <w:t>We provide additional information on our funding sources in “MD&amp;A—Liquidity Risk Profile” and “Note 8—Deposits and B</w:t>
      </w:r>
      <w:r>
        <w:rPr>
          <w:rFonts w:eastAsia="Times New Roman"/>
          <w:color w:val="000000"/>
          <w:sz w:val="20"/>
          <w:szCs w:val="20"/>
        </w:rPr>
        <w:t>orrowings.”</w:t>
      </w:r>
    </w:p>
    <w:p w:rsidR="00000000" w:rsidRDefault="00E0782F">
      <w:pPr>
        <w:jc w:val="both"/>
        <w:divId w:val="704335591"/>
        <w:rPr>
          <w:rFonts w:eastAsia="Times New Roman"/>
        </w:rPr>
      </w:pPr>
      <w:r>
        <w:rPr>
          <w:rFonts w:eastAsia="Times New Roman"/>
          <w:b/>
          <w:bCs/>
          <w:color w:val="000000"/>
          <w:sz w:val="20"/>
          <w:szCs w:val="20"/>
        </w:rPr>
        <w:t>Deferred Tax Assets and Liabilities</w:t>
      </w:r>
    </w:p>
    <w:p w:rsidR="00000000" w:rsidRDefault="00E0782F">
      <w:pPr>
        <w:jc w:val="both"/>
        <w:divId w:val="155268167"/>
        <w:rPr>
          <w:rFonts w:eastAsia="Times New Roman"/>
        </w:rPr>
      </w:pPr>
      <w:r>
        <w:rPr>
          <w:rFonts w:eastAsia="Times New Roman"/>
          <w:color w:val="000000"/>
          <w:sz w:val="20"/>
          <w:szCs w:val="20"/>
        </w:rPr>
        <w:t>Deferred tax assets and liabilities represent decreases or increases in taxes expected to be paid in the future because of future reversals of temporary differences between the financial reporting and tax bas</w:t>
      </w:r>
      <w:r>
        <w:rPr>
          <w:rFonts w:eastAsia="Times New Roman"/>
          <w:color w:val="000000"/>
          <w:sz w:val="20"/>
          <w:szCs w:val="20"/>
        </w:rPr>
        <w:t>es of assets and liabilities, as well as from net operating loss and tax credit carryforwards. Deferred tax assets are recognized subject to management’s judgment that these future deductions are more likely than not to be realized. We evaluate the recover</w:t>
      </w:r>
      <w:r>
        <w:rPr>
          <w:rFonts w:eastAsia="Times New Roman"/>
          <w:color w:val="000000"/>
          <w:sz w:val="20"/>
          <w:szCs w:val="20"/>
        </w:rPr>
        <w:t>ability of these future tax deductions by assessing the adequacy of expected taxable income from all sources, including taxable income in carryback years, reversal of taxable temporary differences, forecasted operating earnings and available tax planning s</w:t>
      </w:r>
      <w:r>
        <w:rPr>
          <w:rFonts w:eastAsia="Times New Roman"/>
          <w:color w:val="000000"/>
          <w:sz w:val="20"/>
          <w:szCs w:val="20"/>
        </w:rPr>
        <w:t>trategies. These sources of income rely heavily on estimates. We use our historical experience and our short and long-range business forecasts to provide insight.</w:t>
      </w:r>
    </w:p>
    <w:p w:rsidR="00000000" w:rsidRDefault="00E0782F">
      <w:pPr>
        <w:jc w:val="both"/>
        <w:divId w:val="649947098"/>
        <w:rPr>
          <w:rFonts w:eastAsia="Times New Roman"/>
        </w:rPr>
      </w:pPr>
      <w:r>
        <w:rPr>
          <w:rFonts w:eastAsia="Times New Roman"/>
          <w:color w:val="000000"/>
          <w:sz w:val="20"/>
          <w:szCs w:val="20"/>
        </w:rPr>
        <w:t>Deferred tax assets, net of deferred tax liabilities and valuation allowances, were approxima</w:t>
      </w:r>
      <w:r>
        <w:rPr>
          <w:rFonts w:eastAsia="Times New Roman"/>
          <w:color w:val="000000"/>
          <w:sz w:val="20"/>
          <w:szCs w:val="20"/>
        </w:rPr>
        <w:t xml:space="preserve">tely $3.3 billion as of December 31, 2020, an increase of $1.6 billion from December 31, 2019. The increase in our net deferred tax assets was primarily driven by the increase in the allowance for credit losses due to expectations of economic worsening as </w:t>
      </w:r>
      <w:r>
        <w:rPr>
          <w:rFonts w:eastAsia="Times New Roman"/>
          <w:color w:val="000000"/>
          <w:sz w:val="20"/>
          <w:szCs w:val="20"/>
        </w:rPr>
        <w:t>a result of the COVID-19 pandemic as well as the adoption of the CECL standard in the first quarter of 2020.</w:t>
      </w:r>
    </w:p>
    <w:p w:rsidR="00000000" w:rsidRDefault="00E0782F">
      <w:pPr>
        <w:jc w:val="both"/>
        <w:divId w:val="784084091"/>
        <w:rPr>
          <w:rFonts w:eastAsia="Times New Roman"/>
        </w:rPr>
      </w:pPr>
      <w:r>
        <w:rPr>
          <w:rFonts w:eastAsia="Times New Roman"/>
          <w:color w:val="000000"/>
          <w:sz w:val="20"/>
          <w:szCs w:val="20"/>
        </w:rPr>
        <w:t xml:space="preserve">We recorded valuation allowances of $296 million and $223 million as of December 31, 2020 and 2019, respectively. If changes in circumstances lead </w:t>
      </w:r>
      <w:r>
        <w:rPr>
          <w:rFonts w:eastAsia="Times New Roman"/>
          <w:color w:val="000000"/>
          <w:sz w:val="20"/>
          <w:szCs w:val="20"/>
        </w:rPr>
        <w:t>us to change our judgment about our ability to realize deferred tax assets in future years, we will adjust our valuation allowances in the period that our change in judgment occurs and record a corresponding increase or charge to income.</w:t>
      </w:r>
    </w:p>
    <w:p w:rsidR="00000000" w:rsidRDefault="00E0782F">
      <w:pPr>
        <w:jc w:val="both"/>
        <w:divId w:val="213542772"/>
        <w:rPr>
          <w:rFonts w:eastAsia="Times New Roman"/>
        </w:rPr>
      </w:pPr>
      <w:r>
        <w:rPr>
          <w:rFonts w:eastAsia="Times New Roman"/>
          <w:color w:val="000000"/>
          <w:sz w:val="20"/>
          <w:szCs w:val="20"/>
        </w:rPr>
        <w:t>We provide additio</w:t>
      </w:r>
      <w:r>
        <w:rPr>
          <w:rFonts w:eastAsia="Times New Roman"/>
          <w:color w:val="000000"/>
          <w:sz w:val="20"/>
          <w:szCs w:val="20"/>
        </w:rPr>
        <w:t>nal information on income taxes in “MD&amp;A—Consolidated Results of Operations” and “Note 15—Income Taxes.”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98562921"/>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9856292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 xml:space="preserve">OFF-BALANCE SHEET ARRANGEMENTS </w:t>
            </w:r>
          </w:p>
        </w:tc>
      </w:tr>
    </w:tbl>
    <w:p w:rsidR="00000000" w:rsidRDefault="00E0782F">
      <w:pPr>
        <w:jc w:val="both"/>
        <w:divId w:val="412892632"/>
        <w:rPr>
          <w:rFonts w:eastAsia="Times New Roman"/>
        </w:rPr>
      </w:pPr>
      <w:r>
        <w:rPr>
          <w:rFonts w:eastAsia="Times New Roman"/>
          <w:color w:val="000000"/>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eastAsia="Times New Roman"/>
          <w:color w:val="000000"/>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eastAsia="Times New Roman"/>
          <w:color w:val="000000"/>
          <w:sz w:val="20"/>
          <w:szCs w:val="20"/>
        </w:rPr>
        <w:t>types of activities in “Note 5—Variable Interest Entities and Securitizations” and “Note 18—Commitments, Contingencies, Guarantees and Others.”</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13722202"/>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1372220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BUSINESS SEGMENT FINANCIAL PERFORMANCE</w:t>
            </w:r>
          </w:p>
        </w:tc>
      </w:tr>
    </w:tbl>
    <w:p w:rsidR="00000000" w:rsidRDefault="00E0782F">
      <w:pPr>
        <w:jc w:val="both"/>
        <w:divId w:val="2092001020"/>
        <w:rPr>
          <w:rFonts w:eastAsia="Times New Roman"/>
        </w:rPr>
      </w:pPr>
      <w:r>
        <w:rPr>
          <w:rFonts w:eastAsia="Times New Roman"/>
          <w:color w:val="000000"/>
          <w:sz w:val="20"/>
          <w:szCs w:val="20"/>
        </w:rPr>
        <w:t>Our principal operations are organized for management reporting purposes into three major business segments, which are defined primarily based on the products and services provided or the types of customer served: Credit Card, Consumer Banking and Commerci</w:t>
      </w:r>
      <w:r>
        <w:rPr>
          <w:rFonts w:eastAsia="Times New Roman"/>
          <w:color w:val="000000"/>
          <w:sz w:val="20"/>
          <w:szCs w:val="20"/>
        </w:rPr>
        <w:t>al Banking. The operations of acquired businesses have been integrated into or managed as a part of our existing business segments. Certain activities are not part of a segment, such as management of our corporate investment portfolio, asset/liability mana</w:t>
      </w:r>
      <w:r>
        <w:rPr>
          <w:rFonts w:eastAsia="Times New Roman"/>
          <w:color w:val="000000"/>
          <w:sz w:val="20"/>
          <w:szCs w:val="20"/>
        </w:rPr>
        <w:t>gement by our centralized Corporate Treasury group and calculation of our residual tax expense or benefit to arrive at the consolidated effective tax rate that is not assessed to our primary business segments, are included in the Other category.</w:t>
      </w:r>
    </w:p>
    <w:p w:rsidR="00000000" w:rsidRDefault="00E0782F">
      <w:pPr>
        <w:jc w:val="both"/>
        <w:divId w:val="2123912963"/>
        <w:rPr>
          <w:rFonts w:eastAsia="Times New Roman"/>
        </w:rPr>
      </w:pPr>
      <w:r>
        <w:rPr>
          <w:rFonts w:eastAsia="Times New Roman"/>
          <w:color w:val="000000"/>
          <w:sz w:val="20"/>
          <w:szCs w:val="20"/>
        </w:rPr>
        <w:t>The result</w:t>
      </w:r>
      <w:r>
        <w:rPr>
          <w:rFonts w:eastAsia="Times New Roman"/>
          <w:color w:val="000000"/>
          <w:sz w:val="20"/>
          <w:szCs w:val="20"/>
        </w:rPr>
        <w:t>s of our individual businesses, which we report on a continuing operations basis, reflect the manner in which management evaluates performance and makes decisions about funding our operations and allocating resources. We may periodically change our busines</w:t>
      </w:r>
      <w:r>
        <w:rPr>
          <w:rFonts w:eastAsia="Times New Roman"/>
          <w:color w:val="000000"/>
          <w:sz w:val="20"/>
          <w:szCs w:val="20"/>
        </w:rPr>
        <w:t>s segments or reclassify business segment results based on modifications to our management reporting methodologies and changes in organizational alignment. Our business segment results are intended to reflect each segment as if it were a stand-alone busine</w:t>
      </w:r>
      <w:r>
        <w:rPr>
          <w:rFonts w:eastAsia="Times New Roman"/>
          <w:color w:val="000000"/>
          <w:sz w:val="20"/>
          <w:szCs w:val="20"/>
        </w:rPr>
        <w:t>ss. We use an internal management and reporting process to derive our business segment results. Our internal management and reporting process employs various allocation methodologies, including funds transfer pricing, to assign certain balance sheet assets</w:t>
      </w:r>
      <w:r>
        <w:rPr>
          <w:rFonts w:eastAsia="Times New Roman"/>
          <w:color w:val="000000"/>
          <w:sz w:val="20"/>
          <w:szCs w:val="20"/>
        </w:rPr>
        <w:t>, deposits and other liabilities and their related revenue and expenses directly or indirectly attributable to each business segment. Total interest income and non-interest income are directly attributable to the segment in which they are reported. The net</w:t>
      </w:r>
      <w:r>
        <w:rPr>
          <w:rFonts w:eastAsia="Times New Roman"/>
          <w:color w:val="000000"/>
          <w:sz w:val="20"/>
          <w:szCs w:val="20"/>
        </w:rPr>
        <w:t xml:space="preserve"> interest income of each segment reflects the results of our funds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1072737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1072737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1072737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3" style="width:0;height:1.5pt" o:hralign="center" o:hrstd="t" o:hr="t" fillcolor="#a0a0a0" stroked="f"/>
        </w:pict>
      </w:r>
    </w:p>
    <w:p w:rsidR="00000000" w:rsidRDefault="00E0782F">
      <w:pPr>
        <w:ind w:hanging="360"/>
        <w:jc w:val="both"/>
        <w:divId w:val="94392640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413355239"/>
        <w:rPr>
          <w:rFonts w:eastAsia="Times New Roman"/>
        </w:rPr>
      </w:pPr>
      <w:r>
        <w:rPr>
          <w:rFonts w:eastAsia="Times New Roman"/>
          <w:color w:val="000000"/>
          <w:sz w:val="20"/>
          <w:szCs w:val="20"/>
        </w:rPr>
        <w:t>transfer pricing process, which is primarily based on a matched funding concept that t</w:t>
      </w:r>
      <w:r>
        <w:rPr>
          <w:rFonts w:eastAsia="Times New Roman"/>
          <w:color w:val="000000"/>
          <w:sz w:val="20"/>
          <w:szCs w:val="20"/>
        </w:rPr>
        <w:t xml:space="preserve">akes into consideration market interest rates. Our funds transfer pricing process provides a funds credit for sources of funds, such as deposits generated by our Consumer Banking and Commercial Banking businesses, and a charge for the use of funds by each </w:t>
      </w:r>
      <w:r>
        <w:rPr>
          <w:rFonts w:eastAsia="Times New Roman"/>
          <w:color w:val="000000"/>
          <w:sz w:val="20"/>
          <w:szCs w:val="20"/>
        </w:rPr>
        <w:t xml:space="preserve">segment. The allocation process is unique to each business segment and acquired business. We regularly assess the assumptions, methodologies and reporting classifications used for segment reporting, which may result in the implementation of refinements or </w:t>
      </w:r>
      <w:r>
        <w:rPr>
          <w:rFonts w:eastAsia="Times New Roman"/>
          <w:color w:val="000000"/>
          <w:sz w:val="20"/>
          <w:szCs w:val="20"/>
        </w:rPr>
        <w:t>changes in future periods.</w:t>
      </w:r>
    </w:p>
    <w:p w:rsidR="00000000" w:rsidRDefault="00E0782F">
      <w:pPr>
        <w:jc w:val="both"/>
        <w:divId w:val="756092413"/>
        <w:rPr>
          <w:rFonts w:eastAsia="Times New Roman"/>
        </w:rPr>
      </w:pPr>
      <w:r>
        <w:rPr>
          <w:rFonts w:eastAsia="Times New Roman"/>
          <w:color w:val="000000"/>
          <w:sz w:val="20"/>
          <w:szCs w:val="20"/>
        </w:rPr>
        <w:t>We refer to the business segment results derived from our internal management accounting and reporting process as our “managed” presentation, which differs in some cases from our reported results prepared based on U.S. GAAP. Ther</w:t>
      </w:r>
      <w:r>
        <w:rPr>
          <w:rFonts w:eastAsia="Times New Roman"/>
          <w:color w:val="000000"/>
          <w:sz w:val="20"/>
          <w:szCs w:val="20"/>
        </w:rPr>
        <w:t>e is no comprehensive authoritative body of guidance for management accounting equivalent to U.S. GAAP; therefore, the managed presentation of our business segment results may not be comparable to similar information provided by other financial services co</w:t>
      </w:r>
      <w:r>
        <w:rPr>
          <w:rFonts w:eastAsia="Times New Roman"/>
          <w:color w:val="000000"/>
          <w:sz w:val="20"/>
          <w:szCs w:val="20"/>
        </w:rPr>
        <w:t>mpanies. In addition, our individual business segment results should not be used as a substitute for comparable results determined in accordance with U.S. GAAP.</w:t>
      </w:r>
    </w:p>
    <w:p w:rsidR="00000000" w:rsidRDefault="00E0782F">
      <w:pPr>
        <w:jc w:val="both"/>
        <w:divId w:val="889460093"/>
        <w:rPr>
          <w:rFonts w:eastAsia="Times New Roman"/>
        </w:rPr>
      </w:pPr>
      <w:r>
        <w:rPr>
          <w:rFonts w:eastAsia="Times New Roman"/>
          <w:color w:val="000000"/>
          <w:sz w:val="20"/>
          <w:szCs w:val="20"/>
        </w:rPr>
        <w:t xml:space="preserve">We summarize our business segment results for the years ended December 31, 2020, 2019 and 2018 </w:t>
      </w:r>
      <w:r>
        <w:rPr>
          <w:rFonts w:eastAsia="Times New Roman"/>
          <w:color w:val="000000"/>
          <w:sz w:val="20"/>
          <w:szCs w:val="20"/>
        </w:rPr>
        <w:t>and provide a comparative discussion of these results for 2020 and 2019, as well as changes in our financial condition and credit performance metrics as of December 31, 2020 compared to December 31, 2019. We provide a reconciliation of our total business s</w:t>
      </w:r>
      <w:r>
        <w:rPr>
          <w:rFonts w:eastAsia="Times New Roman"/>
          <w:color w:val="000000"/>
          <w:sz w:val="20"/>
          <w:szCs w:val="20"/>
        </w:rPr>
        <w:t>egment results to our reported consolidated results in “Note 17—Business Segments and Revenue from Contracts with Customers.”</w:t>
      </w:r>
    </w:p>
    <w:p w:rsidR="00000000" w:rsidRDefault="00E0782F">
      <w:pPr>
        <w:divId w:val="1893542638"/>
        <w:rPr>
          <w:rFonts w:eastAsia="Times New Roman"/>
        </w:rPr>
      </w:pPr>
      <w:r>
        <w:rPr>
          <w:rFonts w:eastAsia="Times New Roman"/>
          <w:b/>
          <w:bCs/>
          <w:i/>
          <w:iCs/>
          <w:color w:val="000000"/>
          <w:sz w:val="20"/>
          <w:szCs w:val="20"/>
        </w:rPr>
        <w:t>Business Segment Financial Performance</w:t>
      </w:r>
    </w:p>
    <w:p w:rsidR="00000000" w:rsidRDefault="00E0782F">
      <w:pPr>
        <w:jc w:val="both"/>
        <w:divId w:val="2107992541"/>
        <w:rPr>
          <w:rFonts w:eastAsia="Times New Roman"/>
        </w:rPr>
      </w:pPr>
      <w:r>
        <w:rPr>
          <w:rFonts w:eastAsia="Times New Roman"/>
          <w:color w:val="000000"/>
          <w:sz w:val="20"/>
          <w:szCs w:val="20"/>
        </w:rPr>
        <w:t xml:space="preserve">Table 8 summarizes our business segment results, which we report based on revenue and income (loss) from continuing operations, for the years ended December 31, 2020, 2019 and 2018. We provide information on the allocation methodologies used to derive our </w:t>
      </w:r>
      <w:r>
        <w:rPr>
          <w:rFonts w:eastAsia="Times New Roman"/>
          <w:color w:val="000000"/>
          <w:sz w:val="20"/>
          <w:szCs w:val="20"/>
        </w:rPr>
        <w:t>business segment results in “Note 17—Business Segments and Revenue from Contracts with Customers.”</w:t>
      </w:r>
    </w:p>
    <w:p w:rsidR="00000000" w:rsidRDefault="00E0782F">
      <w:pPr>
        <w:divId w:val="1584755447"/>
        <w:rPr>
          <w:rFonts w:eastAsia="Times New Roman"/>
        </w:rPr>
      </w:pPr>
      <w:r>
        <w:rPr>
          <w:rFonts w:eastAsia="Times New Roman"/>
          <w:b/>
          <w:bCs/>
          <w:color w:val="000000"/>
          <w:sz w:val="18"/>
          <w:szCs w:val="18"/>
        </w:rPr>
        <w:t xml:space="preserve">Table 8: Business Segment Results </w:t>
      </w:r>
    </w:p>
    <w:tbl>
      <w:tblPr>
        <w:tblW w:w="5000" w:type="pct"/>
        <w:tblCellMar>
          <w:top w:w="15" w:type="dxa"/>
          <w:left w:w="15" w:type="dxa"/>
          <w:bottom w:w="15" w:type="dxa"/>
          <w:right w:w="15" w:type="dxa"/>
        </w:tblCellMar>
        <w:tblLook w:val="04A0" w:firstRow="1" w:lastRow="0" w:firstColumn="1" w:lastColumn="0" w:noHBand="0" w:noVBand="1"/>
      </w:tblPr>
      <w:tblGrid>
        <w:gridCol w:w="51"/>
        <w:gridCol w:w="2850"/>
        <w:gridCol w:w="36"/>
        <w:gridCol w:w="36"/>
        <w:gridCol w:w="36"/>
        <w:gridCol w:w="36"/>
        <w:gridCol w:w="36"/>
        <w:gridCol w:w="445"/>
        <w:gridCol w:w="36"/>
        <w:gridCol w:w="36"/>
        <w:gridCol w:w="36"/>
        <w:gridCol w:w="36"/>
        <w:gridCol w:w="36"/>
        <w:gridCol w:w="455"/>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7"/>
        <w:gridCol w:w="36"/>
        <w:gridCol w:w="36"/>
        <w:gridCol w:w="36"/>
        <w:gridCol w:w="36"/>
        <w:gridCol w:w="36"/>
        <w:gridCol w:w="36"/>
        <w:gridCol w:w="36"/>
        <w:gridCol w:w="36"/>
        <w:gridCol w:w="36"/>
        <w:gridCol w:w="36"/>
        <w:gridCol w:w="36"/>
        <w:gridCol w:w="36"/>
        <w:gridCol w:w="36"/>
      </w:tblGrid>
      <w:tr w:rsidR="00000000">
        <w:trPr>
          <w:divId w:val="925188159"/>
        </w:trPr>
        <w:tc>
          <w:tcPr>
            <w:tcW w:w="50" w:type="pct"/>
            <w:vAlign w:val="center"/>
            <w:hideMark/>
          </w:tcPr>
          <w:p w:rsidR="00000000" w:rsidRDefault="00E0782F">
            <w:pPr>
              <w:rPr>
                <w:rFonts w:eastAsia="Times New Roman"/>
              </w:rPr>
            </w:pPr>
          </w:p>
        </w:tc>
        <w:tc>
          <w:tcPr>
            <w:tcW w:w="182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Height w:val="60"/>
        </w:trPr>
        <w:tc>
          <w:tcPr>
            <w:tcW w:w="0" w:type="auto"/>
            <w:gridSpan w:val="51"/>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2518815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bl>
    <w:tbl>
      <w:tblPr>
        <w:tblW w:w="4963" w:type="pct"/>
        <w:tblCellMar>
          <w:top w:w="15" w:type="dxa"/>
          <w:left w:w="15" w:type="dxa"/>
          <w:bottom w:w="15" w:type="dxa"/>
          <w:right w:w="15" w:type="dxa"/>
        </w:tblCellMar>
        <w:tblLook w:val="04A0" w:firstRow="1" w:lastRow="0" w:firstColumn="1" w:lastColumn="0" w:noHBand="0" w:noVBand="1"/>
      </w:tblPr>
      <w:tblGrid>
        <w:gridCol w:w="144"/>
        <w:gridCol w:w="1304"/>
        <w:gridCol w:w="144"/>
        <w:gridCol w:w="144"/>
        <w:gridCol w:w="144"/>
        <w:gridCol w:w="144"/>
        <w:gridCol w:w="144"/>
        <w:gridCol w:w="479"/>
        <w:gridCol w:w="144"/>
        <w:gridCol w:w="144"/>
        <w:gridCol w:w="144"/>
        <w:gridCol w:w="144"/>
        <w:gridCol w:w="144"/>
        <w:gridCol w:w="357"/>
        <w:gridCol w:w="144"/>
        <w:gridCol w:w="144"/>
        <w:gridCol w:w="144"/>
        <w:gridCol w:w="144"/>
        <w:gridCol w:w="144"/>
        <w:gridCol w:w="466"/>
        <w:gridCol w:w="144"/>
        <w:gridCol w:w="144"/>
        <w:gridCol w:w="144"/>
        <w:gridCol w:w="144"/>
        <w:gridCol w:w="144"/>
        <w:gridCol w:w="394"/>
        <w:gridCol w:w="144"/>
        <w:gridCol w:w="144"/>
        <w:gridCol w:w="144"/>
        <w:gridCol w:w="144"/>
        <w:gridCol w:w="144"/>
        <w:gridCol w:w="479"/>
        <w:gridCol w:w="144"/>
        <w:gridCol w:w="144"/>
        <w:gridCol w:w="144"/>
        <w:gridCol w:w="144"/>
        <w:gridCol w:w="144"/>
        <w:gridCol w:w="346"/>
        <w:gridCol w:w="144"/>
        <w:gridCol w:w="144"/>
        <w:gridCol w:w="144"/>
        <w:gridCol w:w="144"/>
        <w:gridCol w:w="144"/>
        <w:gridCol w:w="479"/>
        <w:gridCol w:w="144"/>
        <w:gridCol w:w="144"/>
        <w:gridCol w:w="144"/>
        <w:gridCol w:w="144"/>
        <w:gridCol w:w="144"/>
        <w:gridCol w:w="346"/>
        <w:gridCol w:w="144"/>
        <w:gridCol w:w="144"/>
        <w:gridCol w:w="144"/>
        <w:gridCol w:w="144"/>
        <w:gridCol w:w="144"/>
        <w:gridCol w:w="502"/>
        <w:gridCol w:w="144"/>
        <w:gridCol w:w="144"/>
        <w:gridCol w:w="144"/>
        <w:gridCol w:w="144"/>
        <w:gridCol w:w="144"/>
        <w:gridCol w:w="357"/>
        <w:gridCol w:w="144"/>
      </w:tblGrid>
      <w:tr w:rsidR="00000000">
        <w:tc>
          <w:tcPr>
            <w:tcW w:w="50" w:type="pct"/>
            <w:vAlign w:val="center"/>
            <w:hideMark/>
          </w:tcPr>
          <w:p w:rsidR="00000000" w:rsidRDefault="00E0782F">
            <w:pPr>
              <w:rPr>
                <w:rFonts w:eastAsia="Times New Roman"/>
              </w:rPr>
            </w:pPr>
          </w:p>
        </w:tc>
        <w:tc>
          <w:tcPr>
            <w:tcW w:w="79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56"/>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Year Ended December 31,</w:t>
            </w:r>
          </w:p>
        </w:tc>
        <w:tc>
          <w:tcPr>
            <w:tcW w:w="0" w:type="auto"/>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divId w:val="1121608246"/>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2018</w:t>
            </w:r>
          </w:p>
        </w:tc>
        <w:tc>
          <w:tcPr>
            <w:tcW w:w="0" w:type="auto"/>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divId w:val="1607888133"/>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Total Net</w:t>
            </w:r>
            <w:r>
              <w:rPr>
                <w:rFonts w:eastAsia="Times New Roman"/>
                <w:b/>
                <w:bCs/>
                <w:color w:val="000000"/>
                <w:sz w:val="14"/>
                <w:szCs w:val="14"/>
              </w:rPr>
              <w:br/>
              <w:t>Revenu</w:t>
            </w:r>
            <w:r>
              <w:rPr>
                <w:rFonts w:eastAsia="Times New Roman"/>
                <w:b/>
                <w:bCs/>
                <w:color w:val="000000"/>
                <w:sz w:val="14"/>
                <w:szCs w:val="14"/>
              </w:rPr>
              <w:t>e</w:t>
            </w:r>
            <w:r>
              <w:rPr>
                <w:rFonts w:eastAsia="Times New Roman"/>
                <w:b/>
                <w:bCs/>
                <w:color w:val="000000"/>
                <w:sz w:val="9"/>
                <w:szCs w:val="9"/>
              </w:rPr>
              <w:t>(1</w:t>
            </w:r>
            <w:r>
              <w:rPr>
                <w:rFonts w:eastAsia="Times New Roman"/>
                <w:b/>
                <w:bCs/>
                <w:color w:val="000000"/>
                <w:sz w:val="9"/>
                <w:szCs w:val="9"/>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Net Income</w:t>
            </w:r>
          </w:p>
          <w:p w:rsidR="00000000" w:rsidRDefault="00E0782F">
            <w:pPr>
              <w:jc w:val="center"/>
              <w:rPr>
                <w:rFonts w:eastAsia="Times New Roman"/>
              </w:rPr>
            </w:pPr>
            <w:r>
              <w:rPr>
                <w:rFonts w:eastAsia="Times New Roman"/>
                <w:b/>
                <w:bCs/>
                <w:color w:val="000000"/>
                <w:sz w:val="14"/>
                <w:szCs w:val="14"/>
              </w:rPr>
              <w:t>(Loss</w:t>
            </w:r>
            <w:r>
              <w:rPr>
                <w:rFonts w:eastAsia="Times New Roman"/>
                <w:b/>
                <w:bCs/>
                <w:color w:val="000000"/>
                <w:sz w:val="14"/>
                <w:szCs w:val="14"/>
              </w:rPr>
              <w:t>)</w:t>
            </w:r>
            <w:r>
              <w:rPr>
                <w:rFonts w:eastAsia="Times New Roman"/>
                <w:b/>
                <w:bCs/>
                <w:color w:val="000000"/>
                <w:sz w:val="9"/>
                <w:szCs w:val="9"/>
              </w:rPr>
              <w:t>(2</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Total Net</w:t>
            </w:r>
            <w:r>
              <w:rPr>
                <w:rFonts w:eastAsia="Times New Roman"/>
                <w:b/>
                <w:bCs/>
                <w:color w:val="000000"/>
                <w:sz w:val="14"/>
                <w:szCs w:val="14"/>
              </w:rPr>
              <w:br/>
              <w:t>Revenu</w:t>
            </w:r>
            <w:r>
              <w:rPr>
                <w:rFonts w:eastAsia="Times New Roman"/>
                <w:b/>
                <w:bCs/>
                <w:color w:val="000000"/>
                <w:sz w:val="14"/>
                <w:szCs w:val="14"/>
              </w:rPr>
              <w:t>e</w:t>
            </w:r>
            <w:r>
              <w:rPr>
                <w:rFonts w:eastAsia="Times New Roman"/>
                <w:b/>
                <w:bCs/>
                <w:color w:val="000000"/>
                <w:sz w:val="9"/>
                <w:szCs w:val="9"/>
              </w:rPr>
              <w:t>(1</w:t>
            </w:r>
            <w:r>
              <w:rPr>
                <w:rFonts w:eastAsia="Times New Roman"/>
                <w:b/>
                <w:bCs/>
                <w:color w:val="000000"/>
                <w:sz w:val="9"/>
                <w:szCs w:val="9"/>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Net Income</w:t>
            </w:r>
          </w:p>
          <w:p w:rsidR="00000000" w:rsidRDefault="00E0782F">
            <w:pPr>
              <w:jc w:val="center"/>
              <w:rPr>
                <w:rFonts w:eastAsia="Times New Roman"/>
              </w:rPr>
            </w:pPr>
            <w:r>
              <w:rPr>
                <w:rFonts w:eastAsia="Times New Roman"/>
                <w:b/>
                <w:bCs/>
                <w:color w:val="000000"/>
                <w:sz w:val="14"/>
                <w:szCs w:val="14"/>
              </w:rPr>
              <w:t>(Loss</w:t>
            </w:r>
            <w:r>
              <w:rPr>
                <w:rFonts w:eastAsia="Times New Roman"/>
                <w:b/>
                <w:bCs/>
                <w:color w:val="000000"/>
                <w:sz w:val="14"/>
                <w:szCs w:val="14"/>
              </w:rPr>
              <w:t>)</w:t>
            </w:r>
            <w:r>
              <w:rPr>
                <w:rFonts w:eastAsia="Times New Roman"/>
                <w:b/>
                <w:bCs/>
                <w:color w:val="000000"/>
                <w:sz w:val="9"/>
                <w:szCs w:val="9"/>
              </w:rPr>
              <w:t>(2</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Total Net</w:t>
            </w:r>
            <w:r>
              <w:rPr>
                <w:rFonts w:eastAsia="Times New Roman"/>
                <w:b/>
                <w:bCs/>
                <w:color w:val="000000"/>
                <w:sz w:val="14"/>
                <w:szCs w:val="14"/>
              </w:rPr>
              <w:br/>
              <w:t>Revenu</w:t>
            </w:r>
            <w:r>
              <w:rPr>
                <w:rFonts w:eastAsia="Times New Roman"/>
                <w:b/>
                <w:bCs/>
                <w:color w:val="000000"/>
                <w:sz w:val="14"/>
                <w:szCs w:val="14"/>
              </w:rPr>
              <w:t>e</w:t>
            </w:r>
            <w:r>
              <w:rPr>
                <w:rFonts w:eastAsia="Times New Roman"/>
                <w:b/>
                <w:bCs/>
                <w:color w:val="000000"/>
                <w:sz w:val="9"/>
                <w:szCs w:val="9"/>
              </w:rPr>
              <w:t>(1</w:t>
            </w:r>
            <w:r>
              <w:rPr>
                <w:rFonts w:eastAsia="Times New Roman"/>
                <w:b/>
                <w:bCs/>
                <w:color w:val="000000"/>
                <w:sz w:val="9"/>
                <w:szCs w:val="9"/>
              </w:rPr>
              <w:t>)</w:t>
            </w:r>
          </w:p>
        </w:tc>
        <w:tc>
          <w:tcPr>
            <w:tcW w:w="0" w:type="auto"/>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r>
              <w:rPr>
                <w:rFonts w:eastAsia="Times New Roman"/>
                <w:b/>
                <w:bCs/>
                <w:color w:val="000000"/>
                <w:sz w:val="14"/>
                <w:szCs w:val="14"/>
              </w:rPr>
              <w:t>Net Incom</w:t>
            </w:r>
            <w:r>
              <w:rPr>
                <w:rFonts w:eastAsia="Times New Roman"/>
                <w:b/>
                <w:bCs/>
                <w:color w:val="000000"/>
                <w:sz w:val="14"/>
                <w:szCs w:val="14"/>
              </w:rPr>
              <w:t>e</w:t>
            </w:r>
            <w:r>
              <w:rPr>
                <w:rFonts w:eastAsia="Times New Roman"/>
                <w:b/>
                <w:bCs/>
                <w:color w:val="000000"/>
                <w:sz w:val="9"/>
                <w:szCs w:val="9"/>
              </w:rPr>
              <w:t>(2</w:t>
            </w:r>
            <w:r>
              <w:rPr>
                <w:rFonts w:eastAsia="Times New Roman"/>
                <w:b/>
                <w:bCs/>
                <w:color w:val="000000"/>
                <w:sz w:val="9"/>
                <w:szCs w:val="9"/>
              </w:rPr>
              <w:t>)</w:t>
            </w:r>
          </w:p>
          <w:p w:rsidR="00000000" w:rsidRDefault="00E0782F">
            <w:pPr>
              <w:jc w:val="center"/>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 of</w:t>
            </w:r>
            <w:r>
              <w:rPr>
                <w:rFonts w:eastAsia="Times New Roman"/>
                <w:b/>
                <w:bCs/>
                <w:color w:val="000000"/>
                <w:sz w:val="14"/>
                <w:szCs w:val="14"/>
              </w:rPr>
              <w:br/>
              <w:t>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 of</w:t>
            </w:r>
            <w:r>
              <w:rPr>
                <w:rFonts w:eastAsia="Times New Roman"/>
                <w:b/>
                <w:bCs/>
                <w:color w:val="000000"/>
                <w:sz w:val="14"/>
                <w:szCs w:val="14"/>
              </w:rPr>
              <w:br/>
              <w:t>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 of</w:t>
            </w:r>
            <w:r>
              <w:rPr>
                <w:rFonts w:eastAsia="Times New Roman"/>
                <w:b/>
                <w:bCs/>
                <w:color w:val="000000"/>
                <w:sz w:val="14"/>
                <w:szCs w:val="14"/>
              </w:rPr>
              <w:br/>
              <w:t>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 of</w:t>
            </w:r>
            <w:r>
              <w:rPr>
                <w:rFonts w:eastAsia="Times New Roman"/>
                <w:b/>
                <w:bCs/>
                <w:color w:val="000000"/>
                <w:sz w:val="14"/>
                <w:szCs w:val="14"/>
              </w:rPr>
              <w:br/>
              <w:t>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 of</w:t>
            </w:r>
            <w:r>
              <w:rPr>
                <w:rFonts w:eastAsia="Times New Roman"/>
                <w:b/>
                <w:bCs/>
                <w:color w:val="000000"/>
                <w:sz w:val="14"/>
                <w:szCs w:val="14"/>
              </w:rPr>
              <w:br/>
              <w:t>Total</w:t>
            </w:r>
          </w:p>
        </w:tc>
        <w:tc>
          <w:tcPr>
            <w:tcW w:w="0" w:type="auto"/>
            <w:tcMar>
              <w:top w:w="0" w:type="dxa"/>
              <w:left w:w="20" w:type="dxa"/>
              <w:bottom w:w="0" w:type="dxa"/>
              <w:right w:w="20" w:type="dxa"/>
            </w:tcMar>
            <w:vAlign w:val="center"/>
            <w:hideMark/>
          </w:tcPr>
          <w:p w:rsidR="00000000" w:rsidRDefault="00E0782F">
            <w:pPr>
              <w:jc w:val="center"/>
              <w:rPr>
                <w:rFonts w:eastAsia="Times New Roman"/>
              </w:rPr>
            </w:pPr>
            <w:r>
              <w:rPr>
                <w:rFonts w:eastAsia="Times New Roman"/>
                <w:b/>
                <w:bCs/>
                <w:color w:val="000000"/>
                <w:sz w:val="14"/>
                <w:szCs w:val="14"/>
              </w:rPr>
              <w:t>Amount% of</w:t>
            </w:r>
            <w:r>
              <w:rPr>
                <w:rFonts w:eastAsia="Times New Roman"/>
                <w:b/>
                <w:bCs/>
                <w:color w:val="000000"/>
                <w:sz w:val="14"/>
                <w:szCs w:val="14"/>
              </w:rPr>
              <w:br/>
              <w:t>Total</w:t>
            </w:r>
          </w:p>
        </w:tc>
      </w:tr>
      <w:tr w:rsidR="00E0782F">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17,599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18,349 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17,687 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r>
              <w:rPr>
                <w:rFonts w:eastAsia="Times New Roman"/>
                <w:color w:val="000000"/>
                <w:sz w:val="16"/>
                <w:szCs w:val="16"/>
              </w:rPr>
              <w:t>$3,191 53 %</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7,704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1,367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7,375 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7,212 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1,800 30 </w:t>
            </w: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1879008362"/>
              <w:rPr>
                <w:rFonts w:eastAsia="Times New Roman"/>
              </w:rPr>
            </w:pPr>
            <w:r>
              <w:rPr>
                <w:rFonts w:eastAsia="Times New Roman"/>
                <w:color w:val="000000"/>
                <w:sz w:val="16"/>
                <w:szCs w:val="16"/>
              </w:rPr>
              <w:t>Commercial Bankin</w:t>
            </w:r>
            <w:r>
              <w:rPr>
                <w:rFonts w:eastAsia="Times New Roman"/>
                <w:color w:val="000000"/>
                <w:sz w:val="16"/>
                <w:szCs w:val="16"/>
              </w:rPr>
              <w:t>g</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2,971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2,814 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2,788 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806 13 </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1662587347"/>
              <w:rPr>
                <w:rFonts w:eastAsia="Times New Roman"/>
              </w:rPr>
            </w:pPr>
            <w:r>
              <w:rPr>
                <w:rFonts w:eastAsia="Times New Roman"/>
                <w:color w:val="000000"/>
                <w:sz w:val="16"/>
                <w:szCs w:val="16"/>
              </w:rPr>
              <w:t>Othe</w:t>
            </w:r>
            <w:r>
              <w:rPr>
                <w:rFonts w:eastAsia="Times New Roman"/>
                <w:color w:val="000000"/>
                <w:sz w:val="16"/>
                <w:szCs w:val="16"/>
              </w:rPr>
              <w:t>r</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228 4 </w:t>
            </w:r>
          </w:p>
        </w:tc>
      </w:tr>
      <w:tr w:rsidR="00E0782F">
        <w:tc>
          <w:tcPr>
            <w:tcW w:w="0" w:type="auto"/>
            <w:gridSpan w:val="3"/>
            <w:shd w:val="clear" w:color="auto" w:fill="CCEEFF"/>
            <w:tcMar>
              <w:top w:w="30" w:type="dxa"/>
              <w:left w:w="20" w:type="dxa"/>
              <w:bottom w:w="30" w:type="dxa"/>
              <w:right w:w="20" w:type="dxa"/>
            </w:tcMar>
            <w:vAlign w:val="center"/>
            <w:hideMark/>
          </w:tcPr>
          <w:p w:rsidR="00000000" w:rsidRDefault="00E0782F">
            <w:pPr>
              <w:divId w:val="1229724357"/>
              <w:rPr>
                <w:rFonts w:eastAsia="Times New Roman"/>
              </w:rPr>
            </w:pPr>
            <w:r>
              <w:rPr>
                <w:rFonts w:eastAsia="Times New Roman"/>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28,523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28,593 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28,076 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r>
              <w:rPr>
                <w:rFonts w:eastAsia="Times New Roman"/>
                <w:color w:val="000000"/>
                <w:sz w:val="16"/>
                <w:szCs w:val="16"/>
              </w:rPr>
              <w:t>$6,025 100 %</w:t>
            </w:r>
          </w:p>
        </w:tc>
      </w:tr>
    </w:tbl>
    <w:p w:rsidR="00000000" w:rsidRDefault="00E0782F">
      <w:pPr>
        <w:divId w:val="936207771"/>
        <w:rPr>
          <w:rFonts w:eastAsia="Times New Roman"/>
        </w:rPr>
      </w:pPr>
      <w:r>
        <w:rPr>
          <w:rFonts w:eastAsia="Times New Roman"/>
          <w:color w:val="000000"/>
          <w:sz w:val="20"/>
          <w:szCs w:val="20"/>
        </w:rPr>
        <w:t>__________</w:t>
      </w:r>
    </w:p>
    <w:p w:rsidR="00000000" w:rsidRDefault="00E0782F">
      <w:pPr>
        <w:ind w:hanging="360"/>
        <w:jc w:val="both"/>
        <w:divId w:val="3862960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Total net revenue consists of net interest income and non-interest income.</w:t>
      </w:r>
    </w:p>
    <w:p w:rsidR="00000000" w:rsidRDefault="00E0782F">
      <w:pPr>
        <w:ind w:hanging="360"/>
        <w:jc w:val="both"/>
        <w:divId w:val="72302100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income (loss) for our business segments and the</w:t>
      </w:r>
      <w:r>
        <w:rPr>
          <w:rFonts w:eastAsia="Times New Roman"/>
          <w:color w:val="000000"/>
          <w:sz w:val="16"/>
          <w:szCs w:val="16"/>
        </w:rPr>
        <w:t xml:space="preserve"> Other category is based on income (loss) from continuing operations, net of tax.</w:t>
      </w:r>
    </w:p>
    <w:p w:rsidR="00000000" w:rsidRDefault="00E0782F">
      <w:pPr>
        <w:ind w:hanging="360"/>
        <w:jc w:val="both"/>
        <w:divId w:val="170008495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w:t>
      </w:r>
      <w:r>
        <w:rPr>
          <w:rFonts w:eastAsia="Times New Roman"/>
          <w:color w:val="000000"/>
          <w:sz w:val="16"/>
          <w:szCs w:val="16"/>
        </w:rPr>
        <w:t>xable-equivalent basis, calculated using the federal statutory tax rate of (21% for all periods presented) and state taxes where applicable, with offsetting reductions to the Other category</w:t>
      </w:r>
      <w:r>
        <w:rPr>
          <w:rFonts w:eastAsia="Times New Roman"/>
          <w:color w:val="000000"/>
          <w:sz w:val="16"/>
          <w:szCs w:val="16"/>
        </w:rPr>
        <w:t>.</w:t>
      </w:r>
      <w:r>
        <w:rPr>
          <w:rFonts w:eastAsia="Times New Roman"/>
          <w:color w:val="000000"/>
          <w:sz w:val="10"/>
          <w:szCs w:val="10"/>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51"/>
        <w:gridCol w:w="2849"/>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2"/>
        <w:gridCol w:w="36"/>
        <w:gridCol w:w="36"/>
        <w:gridCol w:w="36"/>
        <w:gridCol w:w="36"/>
        <w:gridCol w:w="36"/>
        <w:gridCol w:w="434"/>
        <w:gridCol w:w="36"/>
        <w:gridCol w:w="36"/>
        <w:gridCol w:w="36"/>
        <w:gridCol w:w="36"/>
        <w:gridCol w:w="36"/>
        <w:gridCol w:w="435"/>
        <w:gridCol w:w="36"/>
        <w:gridCol w:w="36"/>
        <w:gridCol w:w="36"/>
        <w:gridCol w:w="36"/>
        <w:gridCol w:w="36"/>
        <w:gridCol w:w="36"/>
        <w:gridCol w:w="36"/>
        <w:gridCol w:w="36"/>
        <w:gridCol w:w="36"/>
        <w:gridCol w:w="36"/>
        <w:gridCol w:w="36"/>
        <w:gridCol w:w="36"/>
        <w:gridCol w:w="36"/>
      </w:tblGrid>
      <w:tr w:rsidR="00000000">
        <w:trPr>
          <w:divId w:val="840437366"/>
        </w:trPr>
        <w:tc>
          <w:tcPr>
            <w:tcW w:w="50" w:type="pct"/>
            <w:vAlign w:val="center"/>
            <w:hideMark/>
          </w:tcPr>
          <w:p w:rsidR="00000000" w:rsidRDefault="00E0782F">
            <w:pPr>
              <w:ind w:hanging="360"/>
              <w:jc w:val="both"/>
              <w:rPr>
                <w:rFonts w:eastAsia="Times New Roman"/>
              </w:rPr>
            </w:pPr>
          </w:p>
        </w:tc>
        <w:tc>
          <w:tcPr>
            <w:tcW w:w="183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043736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4" style="width:0;height:1.5pt" o:hralign="center" o:hrstd="t" o:hr="t" fillcolor="#a0a0a0" stroked="f"/>
        </w:pict>
      </w:r>
    </w:p>
    <w:p w:rsidR="00000000" w:rsidRDefault="00E0782F">
      <w:pPr>
        <w:ind w:hanging="360"/>
        <w:jc w:val="both"/>
        <w:divId w:val="154155046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441608783"/>
        <w:rPr>
          <w:rFonts w:eastAsia="Times New Roman"/>
        </w:rPr>
      </w:pPr>
      <w:r>
        <w:rPr>
          <w:rFonts w:eastAsia="Times New Roman"/>
          <w:b/>
          <w:bCs/>
          <w:color w:val="000000"/>
          <w:sz w:val="20"/>
          <w:szCs w:val="20"/>
        </w:rPr>
        <w:t>Credit Card Business</w:t>
      </w:r>
    </w:p>
    <w:p w:rsidR="00000000" w:rsidRDefault="00E0782F">
      <w:pPr>
        <w:jc w:val="both"/>
        <w:divId w:val="1485127827"/>
        <w:rPr>
          <w:rFonts w:eastAsia="Times New Roman"/>
        </w:rPr>
      </w:pPr>
      <w:r>
        <w:rPr>
          <w:rFonts w:eastAsia="Times New Roman"/>
          <w:color w:val="000000"/>
          <w:sz w:val="20"/>
          <w:szCs w:val="20"/>
        </w:rPr>
        <w:t>The primary sources of revenue for our Credit Card business are n</w:t>
      </w:r>
      <w:r>
        <w:rPr>
          <w:rFonts w:eastAsia="Times New Roman"/>
          <w:color w:val="000000"/>
          <w:sz w:val="20"/>
          <w:szCs w:val="20"/>
        </w:rPr>
        <w:t>et interest income, net interchange income and fees collected from customers. Expenses primarily consist of the provision for credit losses, operating costs and marketing expenses.</w:t>
      </w:r>
    </w:p>
    <w:p w:rsidR="00000000" w:rsidRDefault="00E0782F">
      <w:pPr>
        <w:jc w:val="both"/>
        <w:divId w:val="1354725537"/>
        <w:rPr>
          <w:rFonts w:eastAsia="Times New Roman"/>
        </w:rPr>
      </w:pPr>
      <w:r>
        <w:rPr>
          <w:rFonts w:eastAsia="Times New Roman"/>
          <w:color w:val="000000"/>
          <w:sz w:val="20"/>
          <w:szCs w:val="20"/>
        </w:rPr>
        <w:t>Our Credit Card business generated net income from continuing operations of</w:t>
      </w:r>
      <w:r>
        <w:rPr>
          <w:rFonts w:eastAsia="Times New Roman"/>
          <w:color w:val="000000"/>
          <w:sz w:val="20"/>
          <w:szCs w:val="20"/>
        </w:rPr>
        <w:t xml:space="preserve"> $1.4 billion, $3.1 billion and $3.2 billion in 2020, 2019 and 2018, respectively.</w:t>
      </w:r>
    </w:p>
    <w:p w:rsidR="00000000" w:rsidRDefault="00E0782F">
      <w:pPr>
        <w:jc w:val="both"/>
        <w:divId w:val="1865749255"/>
        <w:rPr>
          <w:rFonts w:eastAsia="Times New Roman"/>
        </w:rPr>
      </w:pPr>
      <w:r>
        <w:rPr>
          <w:rFonts w:eastAsia="Times New Roman"/>
          <w:color w:val="000000"/>
          <w:sz w:val="20"/>
          <w:szCs w:val="20"/>
        </w:rPr>
        <w:t>Table 9 summarizes the financial results of our Credit Card business and displays selected key metrics for the periods indicated.</w:t>
      </w:r>
    </w:p>
    <w:p w:rsidR="00000000" w:rsidRDefault="00E0782F">
      <w:pPr>
        <w:divId w:val="284242670"/>
        <w:rPr>
          <w:rFonts w:eastAsia="Times New Roman"/>
        </w:rPr>
      </w:pPr>
      <w:r>
        <w:rPr>
          <w:rFonts w:eastAsia="Times New Roman"/>
          <w:b/>
          <w:bCs/>
          <w:color w:val="000000"/>
          <w:sz w:val="18"/>
          <w:szCs w:val="18"/>
        </w:rPr>
        <w:t>Table 9: Credit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0"/>
        <w:gridCol w:w="3300"/>
        <w:gridCol w:w="39"/>
        <w:gridCol w:w="36"/>
        <w:gridCol w:w="36"/>
        <w:gridCol w:w="36"/>
        <w:gridCol w:w="36"/>
        <w:gridCol w:w="36"/>
        <w:gridCol w:w="36"/>
        <w:gridCol w:w="36"/>
        <w:gridCol w:w="36"/>
        <w:gridCol w:w="36"/>
        <w:gridCol w:w="110"/>
        <w:gridCol w:w="630"/>
        <w:gridCol w:w="200"/>
        <w:gridCol w:w="36"/>
        <w:gridCol w:w="36"/>
        <w:gridCol w:w="36"/>
        <w:gridCol w:w="110"/>
        <w:gridCol w:w="630"/>
        <w:gridCol w:w="170"/>
        <w:gridCol w:w="36"/>
        <w:gridCol w:w="36"/>
        <w:gridCol w:w="36"/>
        <w:gridCol w:w="110"/>
        <w:gridCol w:w="630"/>
        <w:gridCol w:w="271"/>
        <w:gridCol w:w="36"/>
        <w:gridCol w:w="36"/>
        <w:gridCol w:w="36"/>
        <w:gridCol w:w="47"/>
        <w:gridCol w:w="364"/>
        <w:gridCol w:w="271"/>
        <w:gridCol w:w="36"/>
        <w:gridCol w:w="36"/>
        <w:gridCol w:w="36"/>
        <w:gridCol w:w="40"/>
        <w:gridCol w:w="317"/>
        <w:gridCol w:w="271"/>
      </w:tblGrid>
      <w:tr w:rsidR="00000000">
        <w:trPr>
          <w:divId w:val="2044866193"/>
        </w:trPr>
        <w:tc>
          <w:tcPr>
            <w:tcW w:w="50" w:type="pct"/>
            <w:vAlign w:val="center"/>
            <w:hideMark/>
          </w:tcPr>
          <w:p w:rsidR="00000000" w:rsidRDefault="00E0782F">
            <w:pPr>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44866193"/>
        </w:trPr>
        <w:tc>
          <w:tcPr>
            <w:tcW w:w="0" w:type="auto"/>
            <w:gridSpan w:val="3"/>
            <w:tcMar>
              <w:top w:w="30" w:type="dxa"/>
              <w:left w:w="515"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204486619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r>
      <w:tr w:rsidR="00000000">
        <w:trPr>
          <w:divId w:val="204486619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13,776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14,461 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14,167 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3,888 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divId w:val="2118718033"/>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18,349 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17,687 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1,781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959 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divId w:val="1045759756"/>
              <w:rPr>
                <w:rFonts w:eastAsia="Times New Roman"/>
              </w:rPr>
            </w:pPr>
            <w:r>
              <w:rPr>
                <w:rFonts w:eastAsia="Times New Roman"/>
                <w:color w:val="000000"/>
                <w:sz w:val="18"/>
                <w:szCs w:val="18"/>
              </w:rPr>
              <w:t>Average loans held for investmen</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110,082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114,202 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109,820 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divId w:val="1708873273"/>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bps</w:t>
            </w: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divId w:val="2101367932"/>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16.07 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204486619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414,312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424,765 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387,102 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044866193"/>
          <w:trHeight w:val="240"/>
        </w:trPr>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tcMar>
              <w:top w:w="30" w:type="dxa"/>
              <w:left w:w="20" w:type="dxa"/>
              <w:bottom w:w="30" w:type="dxa"/>
              <w:right w:w="20" w:type="dxa"/>
            </w:tcMar>
            <w:vAlign w:val="center"/>
            <w:hideMark/>
          </w:tcPr>
          <w:p w:rsidR="00000000" w:rsidRDefault="00E0782F">
            <w:pPr>
              <w:divId w:val="999311082"/>
              <w:rPr>
                <w:rFonts w:eastAsia="Times New Roman"/>
              </w:rPr>
            </w:pPr>
            <w:r>
              <w:rPr>
                <w:rFonts w:eastAsia="Times New Roman"/>
                <w:color w:val="000000"/>
                <w:sz w:val="18"/>
                <w:szCs w:val="18"/>
              </w:rPr>
              <w:t>Loans held for investmen</w:t>
            </w:r>
            <w:r>
              <w:rPr>
                <w:rFonts w:eastAsia="Times New Roman"/>
                <w:color w:val="000000"/>
                <w:sz w:val="18"/>
                <w:szCs w:val="18"/>
              </w:rPr>
              <w:t>t</w:t>
            </w:r>
            <w:r>
              <w:rPr>
                <w:rFonts w:eastAsia="Times New Roman"/>
                <w:color w:val="000000"/>
                <w:sz w:val="12"/>
                <w:szCs w:val="12"/>
              </w:rPr>
              <w:t>(2)(5</w:t>
            </w:r>
            <w:r>
              <w:rPr>
                <w:rFonts w:eastAsia="Times New Roman"/>
                <w:color w:val="000000"/>
                <w:sz w:val="12"/>
                <w:szCs w:val="12"/>
              </w:rPr>
              <w: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128,236 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3.89 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(145)</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day delinquency rate</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3.91 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(146)</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divId w:val="380205371"/>
              <w:rPr>
                <w:rFonts w:eastAsia="Times New Roman"/>
              </w:rPr>
            </w:pPr>
            <w:r>
              <w:rPr>
                <w:rFonts w:eastAsia="Times New Roman"/>
                <w:color w:val="000000"/>
                <w:sz w:val="18"/>
                <w:szCs w:val="18"/>
              </w:rPr>
              <w:t>Nonperforming loan rat</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0.02 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tcMar>
              <w:top w:w="30" w:type="dxa"/>
              <w:left w:w="20" w:type="dxa"/>
              <w:bottom w:w="30" w:type="dxa"/>
              <w:right w:w="20" w:type="dxa"/>
            </w:tcMar>
            <w:vAlign w:val="center"/>
            <w:hideMark/>
          </w:tcPr>
          <w:p w:rsidR="00000000" w:rsidRDefault="00E0782F">
            <w:pPr>
              <w:divId w:val="170147518"/>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11,191</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5,395 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107 </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4486619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4.21 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625 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divId w:val="2038383802"/>
        <w:rPr>
          <w:rFonts w:eastAsia="Times New Roman"/>
        </w:rPr>
      </w:pPr>
      <w:r>
        <w:rPr>
          <w:rFonts w:eastAsia="Times New Roman"/>
          <w:color w:val="000000"/>
          <w:sz w:val="20"/>
          <w:szCs w:val="20"/>
        </w:rPr>
        <w:t>__________</w:t>
      </w:r>
    </w:p>
    <w:p w:rsidR="00000000" w:rsidRDefault="00E0782F">
      <w:pPr>
        <w:ind w:hanging="360"/>
        <w:jc w:val="both"/>
        <w:divId w:val="51133964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charge-off uncollectible amo</w:t>
      </w:r>
      <w:r>
        <w:rPr>
          <w:rFonts w:eastAsia="Times New Roman"/>
          <w:color w:val="000000"/>
          <w:sz w:val="16"/>
          <w:szCs w:val="16"/>
        </w:rPr>
        <w:t xml:space="preserve">unts. Total net revenue was reduced by $1.1 billion in 2020 for finance charges and fees charged-off as uncollectible and by $1.4 billion and $1.3 billion in 2019 and 2018, respectively, for the estimated uncollectible amount of billed finance charges and </w:t>
      </w:r>
      <w:r>
        <w:rPr>
          <w:rFonts w:eastAsia="Times New Roman"/>
          <w:color w:val="000000"/>
          <w:sz w:val="16"/>
          <w:szCs w:val="16"/>
        </w:rPr>
        <w:t>fees and related losses.</w:t>
      </w:r>
    </w:p>
    <w:p w:rsidR="00000000" w:rsidRDefault="00E0782F">
      <w:pPr>
        <w:ind w:hanging="360"/>
        <w:jc w:val="both"/>
        <w:divId w:val="99923703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Period-end loans held for investment and average loans held for investment include billed finance charges and fees. Concurrent with our adoption of the CECL standard in the first quarter of 2020, we reclassified our finance char</w:t>
      </w:r>
      <w:r>
        <w:rPr>
          <w:rFonts w:eastAsia="Times New Roman"/>
          <w:color w:val="000000"/>
          <w:sz w:val="16"/>
          <w:szCs w:val="16"/>
        </w:rPr>
        <w:t>ge and fee reserve to our allowance for credit losses, with a corresponding increase to credit card loans held for investment.</w:t>
      </w:r>
    </w:p>
    <w:p w:rsidR="00000000" w:rsidRDefault="00E0782F">
      <w:pPr>
        <w:ind w:hanging="360"/>
        <w:jc w:val="both"/>
        <w:divId w:val="91785950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yield is calculated based on interest income for the period divided by average loans during the period and does not in</w:t>
      </w:r>
      <w:r>
        <w:rPr>
          <w:rFonts w:eastAsia="Times New Roman"/>
          <w:color w:val="000000"/>
          <w:sz w:val="16"/>
          <w:szCs w:val="16"/>
        </w:rPr>
        <w:t>clude any allocations, such as funds transfer pricing.</w:t>
      </w:r>
    </w:p>
    <w:p w:rsidR="00000000" w:rsidRDefault="00E0782F">
      <w:pPr>
        <w:ind w:hanging="360"/>
        <w:jc w:val="both"/>
        <w:divId w:val="177983788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Total net revenue margin is calculated based on total net revenue for the period divided by average loans during the period.</w:t>
      </w:r>
    </w:p>
    <w:p w:rsidR="00000000" w:rsidRDefault="00E0782F">
      <w:pPr>
        <w:ind w:hanging="360"/>
        <w:jc w:val="both"/>
        <w:divId w:val="1229000043"/>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 xml:space="preserve">We reclassified $2.1 billion in partnership loans to held for sale as </w:t>
      </w:r>
      <w:r>
        <w:rPr>
          <w:rFonts w:eastAsia="Times New Roman"/>
          <w:color w:val="000000"/>
          <w:sz w:val="16"/>
          <w:szCs w:val="16"/>
        </w:rPr>
        <w:t>of September 30, 2020.</w:t>
      </w:r>
    </w:p>
    <w:p w:rsidR="00000000" w:rsidRDefault="00E0782F">
      <w:pPr>
        <w:ind w:hanging="360"/>
        <w:jc w:val="both"/>
        <w:divId w:val="1486821192"/>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Within our credit card loan portfolio, only certain loans in our international card businesses are classified as nonperforming. See “MD&amp;A—Nonperforming Loans and Other Nonperforming Assets” for additional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05430382"/>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30543038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30543038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59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5" style="width:0;height:1.5pt" o:hralign="center" o:hrstd="t" o:hr="t" fillcolor="#a0a0a0" stroked="f"/>
        </w:pict>
      </w:r>
    </w:p>
    <w:p w:rsidR="00000000" w:rsidRDefault="00E0782F">
      <w:pPr>
        <w:ind w:hanging="360"/>
        <w:jc w:val="both"/>
        <w:divId w:val="156664109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351608826"/>
        <w:rPr>
          <w:rFonts w:eastAsia="Times New Roman"/>
        </w:rPr>
      </w:pPr>
      <w:r>
        <w:rPr>
          <w:rFonts w:eastAsia="Times New Roman"/>
          <w:color w:val="000000"/>
          <w:sz w:val="20"/>
          <w:szCs w:val="20"/>
        </w:rPr>
        <w:t>Key factors affecting the results of our Credit Card business for 2020 compared to 201</w:t>
      </w:r>
      <w:r>
        <w:rPr>
          <w:rFonts w:eastAsia="Times New Roman"/>
          <w:color w:val="000000"/>
          <w:sz w:val="20"/>
          <w:szCs w:val="20"/>
        </w:rPr>
        <w:t>9, and changes in financial condition and credit performance between December 31, 2020 and December 31, 2019 include the following:</w:t>
      </w:r>
    </w:p>
    <w:p w:rsidR="00000000" w:rsidRDefault="00E0782F">
      <w:pPr>
        <w:ind w:hanging="360"/>
        <w:jc w:val="both"/>
        <w:divId w:val="1269699470"/>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decreased by $685 million to $13.8 billion in 2020 primarily driven by lower avera</w:t>
      </w:r>
      <w:r>
        <w:rPr>
          <w:rFonts w:eastAsia="Times New Roman"/>
          <w:color w:val="000000"/>
          <w:sz w:val="20"/>
          <w:szCs w:val="20"/>
        </w:rPr>
        <w:t xml:space="preserve">ge loan balances from customer behavior in response to the COVID-19 pandemic and lower margins, partially offset by an increase in average loan balances from the Walmart portfolio acquired during the fourth quarter of 2019. </w:t>
      </w:r>
    </w:p>
    <w:p w:rsidR="00000000" w:rsidRDefault="00E0782F">
      <w:pPr>
        <w:ind w:hanging="360"/>
        <w:jc w:val="both"/>
        <w:divId w:val="1095128176"/>
        <w:rPr>
          <w:rFonts w:eastAsia="Times New Roman"/>
        </w:rPr>
      </w:pPr>
      <w:r>
        <w:rPr>
          <w:rFonts w:eastAsia="Times New Roman"/>
          <w:color w:val="000000"/>
          <w:sz w:val="20"/>
          <w:szCs w:val="20"/>
        </w:rPr>
        <w:t>•</w:t>
      </w:r>
      <w:r>
        <w:rPr>
          <w:rFonts w:eastAsia="Times New Roman"/>
          <w:i/>
          <w:iCs/>
          <w:color w:val="000000"/>
          <w:sz w:val="20"/>
          <w:szCs w:val="20"/>
        </w:rPr>
        <w:t xml:space="preserve">Non-Interest Income: </w:t>
      </w:r>
      <w:r>
        <w:rPr>
          <w:rFonts w:eastAsia="Times New Roman"/>
          <w:color w:val="000000"/>
          <w:sz w:val="20"/>
          <w:szCs w:val="20"/>
        </w:rPr>
        <w:t>Non-interest income decreased by $65 million to $3.8 billion in 2020 primarily driven by lower net interchange fees from a decline in purchase volume, partially offset by higher revenues from card partnership arrangements.</w:t>
      </w:r>
    </w:p>
    <w:p w:rsidR="00000000" w:rsidRDefault="00E0782F">
      <w:pPr>
        <w:ind w:hanging="360"/>
        <w:jc w:val="both"/>
        <w:divId w:val="1708875323"/>
        <w:rPr>
          <w:rFonts w:eastAsia="Times New Roman"/>
        </w:rPr>
      </w:pPr>
      <w:r>
        <w:rPr>
          <w:rFonts w:eastAsia="Times New Roman"/>
          <w:color w:val="000000"/>
          <w:sz w:val="20"/>
          <w:szCs w:val="20"/>
          <w:shd w:val="clear" w:color="auto" w:fill="FFFFFF"/>
        </w:rPr>
        <w:t>•</w:t>
      </w:r>
      <w:r>
        <w:rPr>
          <w:rFonts w:eastAsia="Times New Roman"/>
          <w:i/>
          <w:iCs/>
          <w:color w:val="000000"/>
          <w:sz w:val="20"/>
          <w:szCs w:val="20"/>
        </w:rPr>
        <w:t>Provision f</w:t>
      </w:r>
      <w:r>
        <w:rPr>
          <w:rFonts w:eastAsia="Times New Roman"/>
          <w:i/>
          <w:iCs/>
          <w:color w:val="000000"/>
          <w:sz w:val="20"/>
          <w:szCs w:val="20"/>
        </w:rPr>
        <w:t>or Credit Losses:</w:t>
      </w:r>
      <w:r>
        <w:rPr>
          <w:rFonts w:eastAsia="Times New Roman"/>
          <w:color w:val="000000"/>
          <w:sz w:val="20"/>
          <w:szCs w:val="20"/>
        </w:rPr>
        <w:t xml:space="preserve"> Provision for credit losses increased by $2.3 billion to $7.3 billion in 2020 driven by allowance builds in the first and second quarters of 2020 due to expectations of economic worsening as a result of the COVID-19 pandemic.</w:t>
      </w:r>
    </w:p>
    <w:p w:rsidR="00000000" w:rsidRDefault="00E0782F">
      <w:pPr>
        <w:ind w:hanging="360"/>
        <w:jc w:val="both"/>
        <w:divId w:val="256518695"/>
        <w:rPr>
          <w:rFonts w:eastAsia="Times New Roman"/>
        </w:rPr>
      </w:pPr>
      <w:r>
        <w:rPr>
          <w:rFonts w:eastAsia="Times New Roman"/>
          <w:color w:val="000000"/>
          <w:sz w:val="20"/>
          <w:szCs w:val="20"/>
        </w:rPr>
        <w:t>•</w:t>
      </w:r>
      <w:r>
        <w:rPr>
          <w:rFonts w:eastAsia="Times New Roman"/>
          <w:i/>
          <w:iCs/>
          <w:color w:val="000000"/>
          <w:sz w:val="20"/>
          <w:szCs w:val="20"/>
        </w:rPr>
        <w:t>Non-Interes</w:t>
      </w:r>
      <w:r>
        <w:rPr>
          <w:rFonts w:eastAsia="Times New Roman"/>
          <w:i/>
          <w:iCs/>
          <w:color w:val="000000"/>
          <w:sz w:val="20"/>
          <w:szCs w:val="20"/>
        </w:rPr>
        <w:t>t Expense:</w:t>
      </w:r>
      <w:r>
        <w:rPr>
          <w:rFonts w:eastAsia="Times New Roman"/>
          <w:color w:val="000000"/>
          <w:sz w:val="20"/>
          <w:szCs w:val="20"/>
        </w:rPr>
        <w:t xml:space="preserve"> Non-interest expense decreased by $780 million to $8.5 billion in 2020 primarily driven by our decision to decrease marketing spend due to the economic environment created by the COVID-19 pandemic</w:t>
      </w:r>
      <w:r>
        <w:rPr>
          <w:rFonts w:eastAsia="Times New Roman"/>
          <w:i/>
          <w:iCs/>
          <w:color w:val="000000"/>
          <w:sz w:val="20"/>
          <w:szCs w:val="20"/>
        </w:rPr>
        <w:t>.</w:t>
      </w:r>
    </w:p>
    <w:p w:rsidR="00000000" w:rsidRDefault="00E0782F">
      <w:pPr>
        <w:ind w:hanging="360"/>
        <w:jc w:val="both"/>
        <w:divId w:val="1051154432"/>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Period-end loans he</w:t>
      </w:r>
      <w:r>
        <w:rPr>
          <w:rFonts w:eastAsia="Times New Roman"/>
          <w:color w:val="000000"/>
          <w:sz w:val="20"/>
          <w:szCs w:val="20"/>
        </w:rPr>
        <w:t>ld for investment decreased by $21.3 billion to $107.0 billion as of December 31, 2020 from December 31, 2019, and average loans held for investment decreased by $4.1 billion to $110.1 billion in 2020 compared to 2019 primarily due to a decline in purchase</w:t>
      </w:r>
      <w:r>
        <w:rPr>
          <w:rFonts w:eastAsia="Times New Roman"/>
          <w:color w:val="000000"/>
          <w:sz w:val="20"/>
          <w:szCs w:val="20"/>
        </w:rPr>
        <w:t xml:space="preserve"> volume and higher payments in response to the COVID-19 pandemic, as well as the transfer of a $2.1 billion partnership loan portfolio to held for sale in the third quarter of 2020. The decline in average balances was partially offset by the impact of the </w:t>
      </w:r>
      <w:r>
        <w:rPr>
          <w:rFonts w:eastAsia="Times New Roman"/>
          <w:color w:val="000000"/>
          <w:sz w:val="20"/>
          <w:szCs w:val="20"/>
        </w:rPr>
        <w:t>Walmart portfolio acquired during the fourth quarter of 2019.</w:t>
      </w:r>
    </w:p>
    <w:p w:rsidR="00000000" w:rsidRDefault="00E0782F">
      <w:pPr>
        <w:ind w:hanging="360"/>
        <w:jc w:val="both"/>
        <w:divId w:val="182519097"/>
        <w:rPr>
          <w:rFonts w:eastAsia="Times New Roman"/>
        </w:rPr>
      </w:pPr>
      <w:r>
        <w:rPr>
          <w:rFonts w:eastAsia="Times New Roman"/>
          <w:color w:val="000000"/>
          <w:sz w:val="20"/>
          <w:szCs w:val="20"/>
        </w:rPr>
        <w:t>•</w:t>
      </w:r>
      <w:r>
        <w:rPr>
          <w:rFonts w:eastAsia="Times New Roman"/>
          <w:i/>
          <w:iCs/>
          <w:color w:val="000000"/>
          <w:sz w:val="20"/>
          <w:szCs w:val="20"/>
        </w:rPr>
        <w:t>Net Charge-Off and Delinquency Metrics:</w:t>
      </w:r>
      <w:r>
        <w:rPr>
          <w:rFonts w:eastAsia="Times New Roman"/>
          <w:color w:val="000000"/>
          <w:sz w:val="20"/>
          <w:szCs w:val="20"/>
        </w:rPr>
        <w:t xml:space="preserve"> The net charge-off rate decreased by 63 basis points to 3.88% in 2020 compared to 2019 primarily driven by strong credit performance in Domestic Card due</w:t>
      </w:r>
      <w:r>
        <w:rPr>
          <w:rFonts w:eastAsia="Times New Roman"/>
          <w:color w:val="000000"/>
          <w:sz w:val="20"/>
          <w:szCs w:val="20"/>
        </w:rPr>
        <w:t xml:space="preserve"> to consumer payment behavior and the impact of the government stimulus.</w:t>
      </w:r>
    </w:p>
    <w:p w:rsidR="00000000" w:rsidRDefault="00E0782F">
      <w:pPr>
        <w:jc w:val="both"/>
        <w:divId w:val="2012104057"/>
        <w:rPr>
          <w:rFonts w:eastAsia="Times New Roman"/>
        </w:rPr>
      </w:pPr>
      <w:r>
        <w:rPr>
          <w:rFonts w:eastAsia="Times New Roman"/>
          <w:color w:val="000000"/>
          <w:sz w:val="20"/>
          <w:szCs w:val="20"/>
        </w:rPr>
        <w:t>The 30+ day delinquency rate decreased by 146 basis points to 2.45% as of December 31, 2020 from December 31, 2019 due to lower delinquency inventories in our domestic credit card loa</w:t>
      </w:r>
      <w:r>
        <w:rPr>
          <w:rFonts w:eastAsia="Times New Roman"/>
          <w:color w:val="000000"/>
          <w:sz w:val="20"/>
          <w:szCs w:val="20"/>
        </w:rPr>
        <w:t xml:space="preserve">n portfolio primarily driven by consumer payment behavior and the impact of government stimulus, partially offset by lower outstanding balances.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3448028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3448028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3448028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6" style="width:0;height:1.5pt" o:hralign="center" o:hrstd="t" o:hr="t" fillcolor="#a0a0a0" stroked="f"/>
        </w:pict>
      </w:r>
    </w:p>
    <w:p w:rsidR="00000000" w:rsidRDefault="00E0782F">
      <w:pPr>
        <w:ind w:hanging="360"/>
        <w:jc w:val="both"/>
        <w:divId w:val="1587180517"/>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800417078"/>
        <w:rPr>
          <w:rFonts w:eastAsia="Times New Roman"/>
        </w:rPr>
      </w:pPr>
      <w:r>
        <w:rPr>
          <w:rFonts w:eastAsia="Times New Roman"/>
          <w:b/>
          <w:bCs/>
          <w:color w:val="000000"/>
          <w:sz w:val="20"/>
          <w:szCs w:val="20"/>
        </w:rPr>
        <w:t>Domestic Card Business</w:t>
      </w:r>
    </w:p>
    <w:p w:rsidR="00000000" w:rsidRDefault="00E0782F">
      <w:pPr>
        <w:jc w:val="both"/>
        <w:divId w:val="1000548600"/>
        <w:rPr>
          <w:rFonts w:eastAsia="Times New Roman"/>
        </w:rPr>
      </w:pPr>
      <w:r>
        <w:rPr>
          <w:rFonts w:eastAsia="Times New Roman"/>
          <w:color w:val="000000"/>
          <w:sz w:val="20"/>
          <w:szCs w:val="20"/>
        </w:rPr>
        <w:t>The Domestic Card business generated net income from continuing</w:t>
      </w:r>
      <w:r>
        <w:rPr>
          <w:rFonts w:eastAsia="Times New Roman"/>
          <w:color w:val="000000"/>
          <w:sz w:val="20"/>
          <w:szCs w:val="20"/>
        </w:rPr>
        <w:t xml:space="preserve"> operations of $1.2 billion in 2020 and $3.0 billion in both 2019 and 2018. In 2020, 2019 and 2018, the Domestic Card business accounted for greater than 90% of total net revenue of our Credit Card business.</w:t>
      </w:r>
    </w:p>
    <w:p w:rsidR="00000000" w:rsidRDefault="00E0782F">
      <w:pPr>
        <w:jc w:val="both"/>
        <w:divId w:val="961308199"/>
        <w:rPr>
          <w:rFonts w:eastAsia="Times New Roman"/>
        </w:rPr>
      </w:pPr>
      <w:r>
        <w:rPr>
          <w:rFonts w:eastAsia="Times New Roman"/>
          <w:color w:val="000000"/>
          <w:sz w:val="20"/>
          <w:szCs w:val="20"/>
        </w:rPr>
        <w:t>Table 9.1 summarizes the financial results for D</w:t>
      </w:r>
      <w:r>
        <w:rPr>
          <w:rFonts w:eastAsia="Times New Roman"/>
          <w:color w:val="000000"/>
          <w:sz w:val="20"/>
          <w:szCs w:val="20"/>
        </w:rPr>
        <w:t>omestic Card business and displays selected key metrics for the periods indicated.</w:t>
      </w:r>
    </w:p>
    <w:p w:rsidR="00000000" w:rsidRDefault="00E0782F">
      <w:pPr>
        <w:divId w:val="421606188"/>
        <w:rPr>
          <w:rFonts w:eastAsia="Times New Roman"/>
        </w:rPr>
      </w:pPr>
      <w:r>
        <w:rPr>
          <w:rFonts w:eastAsia="Times New Roman"/>
          <w:b/>
          <w:bCs/>
          <w:color w:val="000000"/>
          <w:sz w:val="18"/>
          <w:szCs w:val="18"/>
        </w:rPr>
        <w:t>Table 9.1: Domestic Card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3298"/>
        <w:gridCol w:w="40"/>
        <w:gridCol w:w="36"/>
        <w:gridCol w:w="36"/>
        <w:gridCol w:w="36"/>
        <w:gridCol w:w="36"/>
        <w:gridCol w:w="36"/>
        <w:gridCol w:w="36"/>
        <w:gridCol w:w="36"/>
        <w:gridCol w:w="36"/>
        <w:gridCol w:w="36"/>
        <w:gridCol w:w="110"/>
        <w:gridCol w:w="630"/>
        <w:gridCol w:w="200"/>
        <w:gridCol w:w="36"/>
        <w:gridCol w:w="36"/>
        <w:gridCol w:w="36"/>
        <w:gridCol w:w="110"/>
        <w:gridCol w:w="630"/>
        <w:gridCol w:w="170"/>
        <w:gridCol w:w="36"/>
        <w:gridCol w:w="36"/>
        <w:gridCol w:w="36"/>
        <w:gridCol w:w="110"/>
        <w:gridCol w:w="630"/>
        <w:gridCol w:w="271"/>
        <w:gridCol w:w="36"/>
        <w:gridCol w:w="36"/>
        <w:gridCol w:w="36"/>
        <w:gridCol w:w="47"/>
        <w:gridCol w:w="364"/>
        <w:gridCol w:w="271"/>
        <w:gridCol w:w="36"/>
        <w:gridCol w:w="36"/>
        <w:gridCol w:w="36"/>
        <w:gridCol w:w="40"/>
        <w:gridCol w:w="317"/>
        <w:gridCol w:w="271"/>
      </w:tblGrid>
      <w:tr w:rsidR="00000000">
        <w:trPr>
          <w:divId w:val="81220263"/>
        </w:trPr>
        <w:tc>
          <w:tcPr>
            <w:tcW w:w="50" w:type="pct"/>
            <w:vAlign w:val="center"/>
            <w:hideMark/>
          </w:tcPr>
          <w:p w:rsidR="00000000" w:rsidRDefault="00E0782F">
            <w:pPr>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122026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122026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r>
      <w:tr w:rsidR="00000000">
        <w:trPr>
          <w:divId w:val="812202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12,926 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3,239 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divId w:val="1150439095"/>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16,182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16,949 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6,979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4,671 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3,970 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divId w:val="1714379832"/>
              <w:rPr>
                <w:rFonts w:eastAsia="Times New Roman"/>
              </w:rPr>
            </w:pPr>
            <w:r>
              <w:rPr>
                <w:rFonts w:eastAsia="Times New Roman"/>
                <w:color w:val="000000"/>
                <w:sz w:val="18"/>
                <w:szCs w:val="18"/>
              </w:rPr>
              <w:t>Average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101,837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105,270 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100,832 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divId w:val="2110198170"/>
              <w:rPr>
                <w:rFonts w:eastAsia="Times New Roman"/>
              </w:rPr>
            </w:pPr>
            <w:r>
              <w:rPr>
                <w:rFonts w:eastAsia="Times New Roman"/>
                <w:color w:val="000000"/>
                <w:sz w:val="18"/>
                <w:szCs w:val="18"/>
              </w:rPr>
              <w:t>Average yield on loan</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divId w:val="1487285870"/>
              <w:rPr>
                <w:rFonts w:eastAsia="Times New Roman"/>
              </w:rPr>
            </w:pPr>
            <w:r>
              <w:rPr>
                <w:rFonts w:eastAsia="Times New Roman"/>
                <w:color w:val="000000"/>
                <w:sz w:val="18"/>
                <w:szCs w:val="18"/>
              </w:rPr>
              <w:t>Total net revenue margi</w:t>
            </w:r>
            <w:r>
              <w:rPr>
                <w:rFonts w:eastAsia="Times New Roman"/>
                <w:color w:val="000000"/>
                <w:sz w:val="18"/>
                <w:szCs w:val="18"/>
              </w:rPr>
              <w:t>n</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4,818 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8122026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Purchase volume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380,787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390,032 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354,158 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81220263"/>
          <w:trHeight w:val="240"/>
        </w:trPr>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tcMar>
              <w:top w:w="30" w:type="dxa"/>
              <w:left w:w="20" w:type="dxa"/>
              <w:bottom w:w="30" w:type="dxa"/>
              <w:right w:w="20" w:type="dxa"/>
            </w:tcMar>
            <w:vAlign w:val="center"/>
            <w:hideMark/>
          </w:tcPr>
          <w:p w:rsidR="00000000" w:rsidRDefault="00E0782F">
            <w:pPr>
              <w:divId w:val="1377655693"/>
              <w:rPr>
                <w:rFonts w:eastAsia="Times New Roman"/>
              </w:rPr>
            </w:pPr>
            <w:r>
              <w:rPr>
                <w:rFonts w:eastAsia="Times New Roman"/>
                <w:color w:val="000000"/>
                <w:sz w:val="18"/>
                <w:szCs w:val="18"/>
              </w:rPr>
              <w:t>Loans held for investmen</w:t>
            </w:r>
            <w:r>
              <w:rPr>
                <w:rFonts w:eastAsia="Times New Roman"/>
                <w:color w:val="000000"/>
                <w:sz w:val="18"/>
                <w:szCs w:val="18"/>
              </w:rPr>
              <w:t>t</w:t>
            </w:r>
            <w:r>
              <w:rPr>
                <w:rFonts w:eastAsia="Times New Roman"/>
                <w:color w:val="000000"/>
                <w:sz w:val="12"/>
                <w:szCs w:val="12"/>
              </w:rPr>
              <w:t>(3)(6</w:t>
            </w:r>
            <w:r>
              <w:rPr>
                <w:rFonts w:eastAsia="Times New Roman"/>
                <w:color w:val="000000"/>
                <w:sz w:val="12"/>
                <w:szCs w:val="12"/>
              </w:rPr>
              <w: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98,504</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118,606 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day performing delinquency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3.93 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for credit losses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10,650</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4,997 </w:t>
            </w:r>
          </w:p>
        </w:tc>
        <w:tc>
          <w:tcPr>
            <w:tcW w:w="0" w:type="auto"/>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113 </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4.21 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12202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12202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1801874009"/>
        <w:rPr>
          <w:rFonts w:eastAsia="Times New Roman"/>
        </w:rPr>
      </w:pPr>
      <w:r>
        <w:rPr>
          <w:rFonts w:eastAsia="Times New Roman"/>
          <w:color w:val="000000"/>
          <w:sz w:val="20"/>
          <w:szCs w:val="20"/>
        </w:rPr>
        <w:t>__________</w:t>
      </w:r>
    </w:p>
    <w:p w:rsidR="00000000" w:rsidRDefault="00E0782F">
      <w:pPr>
        <w:ind w:hanging="360"/>
        <w:jc w:val="both"/>
        <w:divId w:val="193831989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 finance charges and fee income on open-ended loans in accordance with the contractual provisions of the credit arrangements and charge-off uncollectible amounts</w:t>
      </w:r>
      <w:r>
        <w:rPr>
          <w:rFonts w:eastAsia="Times New Roman"/>
          <w:color w:val="000000"/>
          <w:sz w:val="16"/>
          <w:szCs w:val="16"/>
        </w:rPr>
        <w:t>. Finance charges and fees charged-off as uncollectible are reflected as a reduction in total net revenue.</w:t>
      </w:r>
    </w:p>
    <w:p w:rsidR="00000000" w:rsidRDefault="00E0782F">
      <w:pPr>
        <w:ind w:hanging="360"/>
        <w:jc w:val="both"/>
        <w:divId w:val="38706886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was reduced by $434 million, $471 million and $278 million in 2020, 2019 and 2018, respectively, due to the amortization of loan</w:t>
      </w:r>
      <w:r>
        <w:rPr>
          <w:rFonts w:eastAsia="Times New Roman"/>
          <w:color w:val="000000"/>
          <w:sz w:val="16"/>
          <w:szCs w:val="16"/>
        </w:rPr>
        <w:t xml:space="preserve"> origination bounties. As of December 31, 2020, approximately $45 million of deferred bounty payments remained to be amortized as an offset to revenue in future periods. </w:t>
      </w:r>
    </w:p>
    <w:p w:rsidR="00000000" w:rsidRDefault="00E0782F">
      <w:pPr>
        <w:ind w:hanging="360"/>
        <w:jc w:val="both"/>
        <w:divId w:val="150366679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Period-end loans held for investment and average loans held for investment include</w:t>
      </w:r>
      <w:r>
        <w:rPr>
          <w:rFonts w:eastAsia="Times New Roman"/>
          <w:color w:val="000000"/>
          <w:sz w:val="16"/>
          <w:szCs w:val="16"/>
        </w:rPr>
        <w:t xml:space="preserve"> billed finance charges and fees. Concurrent with our adoption of the CECL standard in the first quarter of 2020, we reclassified our finance charge and fee reserve to our allowance for credit losses, with a corresponding increase to credit card loans held</w:t>
      </w:r>
      <w:r>
        <w:rPr>
          <w:rFonts w:eastAsia="Times New Roman"/>
          <w:color w:val="000000"/>
          <w:sz w:val="16"/>
          <w:szCs w:val="16"/>
        </w:rPr>
        <w:t xml:space="preserve"> for investment.</w:t>
      </w:r>
    </w:p>
    <w:p w:rsidR="00000000" w:rsidRDefault="00E0782F">
      <w:pPr>
        <w:ind w:hanging="360"/>
        <w:jc w:val="both"/>
        <w:divId w:val="161135397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Average yield is calculated based on interest income for the period divided by average loans during the period and does not include any allocations, such as funds transfer pricing.</w:t>
      </w:r>
    </w:p>
    <w:p w:rsidR="00000000" w:rsidRDefault="00E0782F">
      <w:pPr>
        <w:ind w:hanging="360"/>
        <w:jc w:val="both"/>
        <w:divId w:val="102919284"/>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Total net revenue margin is calculated based on tota</w:t>
      </w:r>
      <w:r>
        <w:rPr>
          <w:rFonts w:eastAsia="Times New Roman"/>
          <w:color w:val="000000"/>
          <w:sz w:val="16"/>
          <w:szCs w:val="16"/>
        </w:rPr>
        <w:t>l net revenue for the period divided by average loans during the period.</w:t>
      </w:r>
    </w:p>
    <w:p w:rsidR="00000000" w:rsidRDefault="00E0782F">
      <w:pPr>
        <w:ind w:hanging="360"/>
        <w:jc w:val="both"/>
        <w:divId w:val="1170679758"/>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 xml:space="preserve">We reclassified $2.1 billion in partnership loans to held for sale as of September 30, 2020.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47448535"/>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4744853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4744853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7" style="width:0;height:1.5pt" o:hralign="center" o:hrstd="t" o:hr="t" fillcolor="#a0a0a0" stroked="f"/>
        </w:pict>
      </w:r>
    </w:p>
    <w:p w:rsidR="00000000" w:rsidRDefault="00E0782F">
      <w:pPr>
        <w:ind w:hanging="360"/>
        <w:jc w:val="both"/>
        <w:divId w:val="213393866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62821771"/>
        <w:rPr>
          <w:rFonts w:eastAsia="Times New Roman"/>
        </w:rPr>
      </w:pPr>
      <w:r>
        <w:rPr>
          <w:rFonts w:eastAsia="Times New Roman"/>
          <w:color w:val="000000"/>
          <w:sz w:val="20"/>
          <w:szCs w:val="20"/>
        </w:rPr>
        <w:t>Because our Domestic Card business accounts for the substantial majority of our Credit Card business, the key factors driving the results are similar to the key factors affecting our total Credit Card business. Net Income for our Domestic Card business dec</w:t>
      </w:r>
      <w:r>
        <w:rPr>
          <w:rFonts w:eastAsia="Times New Roman"/>
          <w:color w:val="000000"/>
          <w:sz w:val="20"/>
          <w:szCs w:val="20"/>
        </w:rPr>
        <w:t xml:space="preserve">reased in 2020 compared to 2019 primarily driven by: </w:t>
      </w:r>
    </w:p>
    <w:p w:rsidR="00000000" w:rsidRDefault="00E0782F">
      <w:pPr>
        <w:ind w:hanging="360"/>
        <w:jc w:val="both"/>
        <w:divId w:val="1709182090"/>
        <w:rPr>
          <w:rFonts w:eastAsia="Times New Roman"/>
        </w:rPr>
      </w:pPr>
      <w:r>
        <w:rPr>
          <w:rFonts w:eastAsia="Times New Roman"/>
          <w:color w:val="000000"/>
          <w:sz w:val="20"/>
          <w:szCs w:val="20"/>
        </w:rPr>
        <w:t>•higher provision for credit losses due to allowance builds in the first and second quarters of 2020 due to expectations of economic worsening as a result of the COVID-19 pandemic;</w:t>
      </w:r>
    </w:p>
    <w:p w:rsidR="00000000" w:rsidRDefault="00E0782F">
      <w:pPr>
        <w:ind w:hanging="360"/>
        <w:jc w:val="both"/>
        <w:divId w:val="298650195"/>
        <w:rPr>
          <w:rFonts w:eastAsia="Times New Roman"/>
        </w:rPr>
      </w:pPr>
      <w:r>
        <w:rPr>
          <w:rFonts w:eastAsia="Times New Roman"/>
          <w:color w:val="000000"/>
          <w:sz w:val="20"/>
          <w:szCs w:val="20"/>
        </w:rPr>
        <w:t>•lower net interest i</w:t>
      </w:r>
      <w:r>
        <w:rPr>
          <w:rFonts w:eastAsia="Times New Roman"/>
          <w:color w:val="000000"/>
          <w:sz w:val="20"/>
          <w:szCs w:val="20"/>
        </w:rPr>
        <w:t>ncome due to lower average outstanding balances and lower margins; and</w:t>
      </w:r>
    </w:p>
    <w:p w:rsidR="00000000" w:rsidRDefault="00E0782F">
      <w:pPr>
        <w:ind w:hanging="360"/>
        <w:jc w:val="both"/>
        <w:divId w:val="234358676"/>
        <w:rPr>
          <w:rFonts w:eastAsia="Times New Roman"/>
        </w:rPr>
      </w:pPr>
      <w:r>
        <w:rPr>
          <w:rFonts w:eastAsia="Times New Roman"/>
          <w:color w:val="000000"/>
          <w:sz w:val="20"/>
          <w:szCs w:val="20"/>
        </w:rPr>
        <w:t>•lower non-interest income due to lower net interchange fees from a decline in purchase volume, partially offset by higher revenues from card partnership arrangements,</w:t>
      </w:r>
    </w:p>
    <w:p w:rsidR="00000000" w:rsidRDefault="00E0782F">
      <w:pPr>
        <w:ind w:hanging="360"/>
        <w:jc w:val="both"/>
        <w:divId w:val="1162895908"/>
        <w:rPr>
          <w:rFonts w:eastAsia="Times New Roman"/>
        </w:rPr>
      </w:pPr>
      <w:r>
        <w:rPr>
          <w:rFonts w:eastAsia="Times New Roman"/>
          <w:color w:val="000000"/>
          <w:sz w:val="20"/>
          <w:szCs w:val="20"/>
        </w:rPr>
        <w:t>•partially offset</w:t>
      </w:r>
      <w:r>
        <w:rPr>
          <w:rFonts w:eastAsia="Times New Roman"/>
          <w:color w:val="000000"/>
          <w:sz w:val="20"/>
          <w:szCs w:val="20"/>
        </w:rPr>
        <w:t xml:space="preserve"> by lower non-interest expense from our decision to decrease marketing spend due to the economic environment created by the COVID-19 pandemic.</w:t>
      </w:r>
    </w:p>
    <w:p w:rsidR="00000000" w:rsidRDefault="00E0782F">
      <w:pPr>
        <w:divId w:val="305011117"/>
        <w:rPr>
          <w:rFonts w:eastAsia="Times New Roman"/>
        </w:rPr>
      </w:pPr>
      <w:r>
        <w:rPr>
          <w:rFonts w:eastAsia="Times New Roman"/>
          <w:b/>
          <w:bCs/>
          <w:color w:val="000000"/>
          <w:sz w:val="20"/>
          <w:szCs w:val="20"/>
        </w:rPr>
        <w:t>Consumer Banking Business</w:t>
      </w:r>
    </w:p>
    <w:p w:rsidR="00000000" w:rsidRDefault="00E0782F">
      <w:pPr>
        <w:jc w:val="both"/>
        <w:divId w:val="595748019"/>
        <w:rPr>
          <w:rFonts w:eastAsia="Times New Roman"/>
        </w:rPr>
      </w:pPr>
      <w:r>
        <w:rPr>
          <w:rFonts w:eastAsia="Times New Roman"/>
          <w:color w:val="000000"/>
          <w:sz w:val="20"/>
          <w:szCs w:val="20"/>
        </w:rPr>
        <w:t>The primary sources of revenue for our Consumer Banking business are net interest incom</w:t>
      </w:r>
      <w:r>
        <w:rPr>
          <w:rFonts w:eastAsia="Times New Roman"/>
          <w:color w:val="000000"/>
          <w:sz w:val="20"/>
          <w:szCs w:val="20"/>
        </w:rPr>
        <w:t>e from loans and deposits as well as service charges and customer-related fees. Expenses primarily consist of the provision for credit losses, operating costs and marketing expenses.</w:t>
      </w:r>
    </w:p>
    <w:p w:rsidR="00000000" w:rsidRDefault="00E0782F">
      <w:pPr>
        <w:jc w:val="both"/>
        <w:divId w:val="979917667"/>
        <w:rPr>
          <w:rFonts w:eastAsia="Times New Roman"/>
        </w:rPr>
      </w:pPr>
      <w:r>
        <w:rPr>
          <w:rFonts w:eastAsia="Times New Roman"/>
          <w:color w:val="000000"/>
          <w:sz w:val="20"/>
          <w:szCs w:val="20"/>
        </w:rPr>
        <w:t>Our Consumer Banking business generated net income from continuing operat</w:t>
      </w:r>
      <w:r>
        <w:rPr>
          <w:rFonts w:eastAsia="Times New Roman"/>
          <w:color w:val="000000"/>
          <w:sz w:val="20"/>
          <w:szCs w:val="20"/>
        </w:rPr>
        <w:t xml:space="preserve">ions of $1.4 billion in 2020 and $1.8 billion in both 2019 and 2018. </w:t>
      </w:r>
    </w:p>
    <w:p w:rsidR="00000000" w:rsidRDefault="00E0782F">
      <w:pPr>
        <w:jc w:val="both"/>
        <w:divId w:val="1979063857"/>
        <w:rPr>
          <w:rFonts w:eastAsia="Times New Roman"/>
        </w:rPr>
      </w:pPr>
      <w:r>
        <w:rPr>
          <w:rFonts w:eastAsia="Times New Roman"/>
          <w:color w:val="000000"/>
          <w:sz w:val="20"/>
          <w:szCs w:val="20"/>
        </w:rPr>
        <w:t>Table 10 summarizes the financial results of our Consumer Banking business and displays selected key metrics for the periods indicated.</w:t>
      </w:r>
    </w:p>
    <w:p w:rsidR="00000000" w:rsidRDefault="00E0782F">
      <w:pPr>
        <w:divId w:val="1358963397"/>
        <w:rPr>
          <w:rFonts w:eastAsia="Times New Roman"/>
        </w:rPr>
      </w:pPr>
      <w:r>
        <w:rPr>
          <w:rFonts w:eastAsia="Times New Roman"/>
          <w:b/>
          <w:bCs/>
          <w:color w:val="000000"/>
          <w:sz w:val="18"/>
          <w:szCs w:val="18"/>
        </w:rPr>
        <w:t xml:space="preserve">Table 10: Consumer Banking Business Results </w:t>
      </w:r>
    </w:p>
    <w:tbl>
      <w:tblPr>
        <w:tblW w:w="5000" w:type="pct"/>
        <w:tblCellMar>
          <w:top w:w="15" w:type="dxa"/>
          <w:left w:w="15" w:type="dxa"/>
          <w:bottom w:w="15" w:type="dxa"/>
          <w:right w:w="15" w:type="dxa"/>
        </w:tblCellMar>
        <w:tblLook w:val="04A0" w:firstRow="1" w:lastRow="0" w:firstColumn="1" w:lastColumn="0" w:noHBand="0" w:noVBand="1"/>
      </w:tblPr>
      <w:tblGrid>
        <w:gridCol w:w="40"/>
        <w:gridCol w:w="3457"/>
        <w:gridCol w:w="38"/>
        <w:gridCol w:w="36"/>
        <w:gridCol w:w="36"/>
        <w:gridCol w:w="36"/>
        <w:gridCol w:w="36"/>
        <w:gridCol w:w="36"/>
        <w:gridCol w:w="36"/>
        <w:gridCol w:w="36"/>
        <w:gridCol w:w="36"/>
        <w:gridCol w:w="36"/>
        <w:gridCol w:w="110"/>
        <w:gridCol w:w="630"/>
        <w:gridCol w:w="200"/>
        <w:gridCol w:w="36"/>
        <w:gridCol w:w="36"/>
        <w:gridCol w:w="36"/>
        <w:gridCol w:w="110"/>
        <w:gridCol w:w="630"/>
        <w:gridCol w:w="170"/>
        <w:gridCol w:w="36"/>
        <w:gridCol w:w="36"/>
        <w:gridCol w:w="36"/>
        <w:gridCol w:w="110"/>
        <w:gridCol w:w="630"/>
        <w:gridCol w:w="170"/>
        <w:gridCol w:w="36"/>
        <w:gridCol w:w="36"/>
        <w:gridCol w:w="36"/>
        <w:gridCol w:w="41"/>
        <w:gridCol w:w="315"/>
        <w:gridCol w:w="271"/>
        <w:gridCol w:w="36"/>
        <w:gridCol w:w="36"/>
        <w:gridCol w:w="36"/>
        <w:gridCol w:w="40"/>
        <w:gridCol w:w="317"/>
        <w:gridCol w:w="271"/>
      </w:tblGrid>
      <w:tr w:rsidR="00000000">
        <w:trPr>
          <w:divId w:val="1810398846"/>
        </w:trPr>
        <w:tc>
          <w:tcPr>
            <w:tcW w:w="50" w:type="pct"/>
            <w:vAlign w:val="center"/>
            <w:hideMark/>
          </w:tcPr>
          <w:p w:rsidR="00000000" w:rsidRDefault="00E0782F">
            <w:pPr>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810398846"/>
        </w:trPr>
        <w:tc>
          <w:tcPr>
            <w:tcW w:w="0" w:type="auto"/>
            <w:gridSpan w:val="3"/>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81039884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r>
      <w:tr w:rsidR="00000000">
        <w:trPr>
          <w:divId w:val="181039884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net revenue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7,704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4,027 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1,792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Income tax provision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1039884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63,227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57,938 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55,610 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divId w:val="1678341681"/>
              <w:rPr>
                <w:rFonts w:eastAsia="Times New Roman"/>
              </w:rPr>
            </w:pPr>
            <w:r>
              <w:rPr>
                <w:rFonts w:eastAsia="Times New Roman"/>
                <w:color w:val="000000"/>
                <w:sz w:val="18"/>
                <w:szCs w:val="18"/>
              </w:rPr>
              <w:t>Home loa</w:t>
            </w:r>
            <w:r>
              <w:rPr>
                <w:rFonts w:eastAsia="Times New Roman"/>
                <w:color w:val="000000"/>
                <w:sz w:val="18"/>
                <w:szCs w:val="18"/>
              </w:rPr>
              <w:t>n</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6,266 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81039884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66,299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60,708 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64,951 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divId w:val="1374427309"/>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8.37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7.54 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236,369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205,012 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193,053 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deposits interest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8103988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18103988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 loan originations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32,282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29,251 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26,276 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810398846"/>
          <w:trHeight w:val="1020"/>
        </w:trPr>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8" style="width:0;height:1.5pt" o:hralign="center" o:hrstd="t" o:hr="t" fillcolor="#a0a0a0" stroked="f"/>
        </w:pict>
      </w:r>
    </w:p>
    <w:p w:rsidR="00000000" w:rsidRDefault="00E0782F">
      <w:pPr>
        <w:ind w:hanging="360"/>
        <w:jc w:val="both"/>
        <w:divId w:val="806437541"/>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3600"/>
        <w:gridCol w:w="39"/>
        <w:gridCol w:w="36"/>
        <w:gridCol w:w="36"/>
        <w:gridCol w:w="36"/>
        <w:gridCol w:w="36"/>
        <w:gridCol w:w="36"/>
        <w:gridCol w:w="36"/>
        <w:gridCol w:w="36"/>
        <w:gridCol w:w="36"/>
        <w:gridCol w:w="36"/>
        <w:gridCol w:w="110"/>
        <w:gridCol w:w="630"/>
        <w:gridCol w:w="200"/>
        <w:gridCol w:w="36"/>
        <w:gridCol w:w="36"/>
        <w:gridCol w:w="36"/>
        <w:gridCol w:w="110"/>
        <w:gridCol w:w="630"/>
        <w:gridCol w:w="170"/>
        <w:gridCol w:w="36"/>
        <w:gridCol w:w="36"/>
        <w:gridCol w:w="36"/>
        <w:gridCol w:w="55"/>
        <w:gridCol w:w="576"/>
        <w:gridCol w:w="271"/>
        <w:gridCol w:w="36"/>
        <w:gridCol w:w="36"/>
        <w:gridCol w:w="36"/>
        <w:gridCol w:w="36"/>
        <w:gridCol w:w="475"/>
        <w:gridCol w:w="36"/>
        <w:gridCol w:w="36"/>
        <w:gridCol w:w="36"/>
        <w:gridCol w:w="36"/>
        <w:gridCol w:w="36"/>
        <w:gridCol w:w="500"/>
        <w:gridCol w:w="36"/>
      </w:tblGrid>
      <w:tr w:rsidR="00000000">
        <w:trPr>
          <w:divId w:val="1228035611"/>
        </w:trPr>
        <w:tc>
          <w:tcPr>
            <w:tcW w:w="50" w:type="pct"/>
            <w:vAlign w:val="center"/>
            <w:hideMark/>
          </w:tcPr>
          <w:p w:rsidR="00000000" w:rsidRDefault="00E0782F">
            <w:pPr>
              <w:ind w:hanging="360"/>
              <w:jc w:val="both"/>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65,762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60,362 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63,065 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day performing delinquency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day delinquency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CCEEFF"/>
            <w:tcMar>
              <w:top w:w="30" w:type="dxa"/>
              <w:left w:w="20" w:type="dxa"/>
              <w:bottom w:w="30" w:type="dxa"/>
              <w:right w:w="20" w:type="dxa"/>
            </w:tcMar>
            <w:vAlign w:val="center"/>
            <w:hideMark/>
          </w:tcPr>
          <w:p w:rsidR="00000000" w:rsidRDefault="00E0782F">
            <w:pPr>
              <w:divId w:val="1112044726"/>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2803561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249,815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213,099 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divId w:val="1944875128"/>
        <w:rPr>
          <w:rFonts w:eastAsia="Times New Roman"/>
        </w:rPr>
      </w:pPr>
      <w:r>
        <w:rPr>
          <w:rFonts w:eastAsia="Times New Roman"/>
          <w:color w:val="000000"/>
          <w:sz w:val="20"/>
          <w:szCs w:val="20"/>
        </w:rPr>
        <w:t>__________</w:t>
      </w:r>
    </w:p>
    <w:p w:rsidR="00000000" w:rsidRDefault="00E0782F">
      <w:pPr>
        <w:ind w:hanging="360"/>
        <w:jc w:val="both"/>
        <w:divId w:val="117526764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 2018, w</w:t>
      </w:r>
      <w:r>
        <w:rPr>
          <w:rFonts w:eastAsia="Times New Roman"/>
          <w:color w:val="000000"/>
          <w:sz w:val="16"/>
          <w:szCs w:val="16"/>
        </w:rPr>
        <w:t>e</w:t>
      </w:r>
      <w:r>
        <w:rPr>
          <w:rFonts w:eastAsia="Times New Roman"/>
          <w:color w:val="000000"/>
          <w:sz w:val="10"/>
          <w:szCs w:val="10"/>
        </w:rPr>
        <w:t xml:space="preserve"> </w:t>
      </w:r>
      <w:r>
        <w:rPr>
          <w:rFonts w:eastAsia="Times New Roman"/>
          <w:color w:val="000000"/>
          <w:sz w:val="16"/>
          <w:szCs w:val="16"/>
        </w:rPr>
        <w:t>sold all of our consumer home loan portfolio and the related servicing. The impact of this sale is reflected in the Other category.</w:t>
      </w:r>
    </w:p>
    <w:p w:rsidR="00000000" w:rsidRDefault="00E0782F">
      <w:pPr>
        <w:ind w:hanging="360"/>
        <w:jc w:val="both"/>
        <w:divId w:val="1666292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Average yield is calculated based on interest income for the period divided by average loans during the period and does n</w:t>
      </w:r>
      <w:r>
        <w:rPr>
          <w:rFonts w:eastAsia="Times New Roman"/>
          <w:color w:val="000000"/>
          <w:sz w:val="16"/>
          <w:szCs w:val="16"/>
        </w:rPr>
        <w:t>ot include any allocations, such as funds transfer pricing.</w:t>
      </w:r>
    </w:p>
    <w:p w:rsidR="00000000" w:rsidRDefault="00E0782F">
      <w:pPr>
        <w:ind w:hanging="360"/>
        <w:jc w:val="both"/>
        <w:divId w:val="132673712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Nonperforming assets primarily consist of nonperforming loans and repossessed assets. The total nonperforming asset rate is calculated based on total nonperforming assets divided by the combine</w:t>
      </w:r>
      <w:r>
        <w:rPr>
          <w:rFonts w:eastAsia="Times New Roman"/>
          <w:color w:val="000000"/>
          <w:sz w:val="16"/>
          <w:szCs w:val="16"/>
        </w:rPr>
        <w:t xml:space="preserve">d period-end total loans held for investment and repossessed assets. </w:t>
      </w:r>
    </w:p>
    <w:p w:rsidR="00000000" w:rsidRDefault="00E0782F">
      <w:pPr>
        <w:ind w:hanging="360"/>
        <w:jc w:val="both"/>
        <w:divId w:val="1283153444"/>
        <w:rPr>
          <w:rFonts w:eastAsia="Times New Roman"/>
        </w:rPr>
      </w:pPr>
      <w:r>
        <w:rPr>
          <w:rFonts w:eastAsia="Times New Roman"/>
          <w:color w:val="000000"/>
          <w:sz w:val="16"/>
          <w:szCs w:val="16"/>
        </w:rPr>
        <w:t>**    Not meaningful.</w:t>
      </w:r>
    </w:p>
    <w:p w:rsidR="00000000" w:rsidRDefault="00E0782F">
      <w:pPr>
        <w:jc w:val="both"/>
        <w:divId w:val="765616724"/>
        <w:rPr>
          <w:rFonts w:eastAsia="Times New Roman"/>
        </w:rPr>
      </w:pPr>
      <w:r>
        <w:rPr>
          <w:rFonts w:eastAsia="Times New Roman"/>
          <w:color w:val="000000"/>
          <w:sz w:val="20"/>
          <w:szCs w:val="20"/>
        </w:rPr>
        <w:t>Key factors affecting the results of our Consumer Banking business for 2020 compared to 2019, and changes in financial condition and credit performance between Dece</w:t>
      </w:r>
      <w:r>
        <w:rPr>
          <w:rFonts w:eastAsia="Times New Roman"/>
          <w:color w:val="000000"/>
          <w:sz w:val="20"/>
          <w:szCs w:val="20"/>
        </w:rPr>
        <w:t>mber 31, 2020 and December 31, 2019 include the following:</w:t>
      </w:r>
    </w:p>
    <w:p w:rsidR="00000000" w:rsidRDefault="00E0782F">
      <w:pPr>
        <w:ind w:hanging="360"/>
        <w:jc w:val="both"/>
        <w:divId w:val="1558664300"/>
        <w:rPr>
          <w:rFonts w:eastAsia="Times New Roman"/>
        </w:rPr>
      </w:pPr>
      <w:r>
        <w:rPr>
          <w:rFonts w:eastAsia="Times New Roman"/>
          <w:color w:val="000000"/>
          <w:sz w:val="20"/>
          <w:szCs w:val="20"/>
        </w:rPr>
        <w:t>•</w:t>
      </w:r>
      <w:r>
        <w:rPr>
          <w:rFonts w:eastAsia="Times New Roman"/>
          <w:i/>
          <w:iCs/>
          <w:color w:val="000000"/>
          <w:sz w:val="20"/>
          <w:szCs w:val="20"/>
        </w:rPr>
        <w:t>Net Interest Income: </w:t>
      </w:r>
      <w:r>
        <w:rPr>
          <w:rFonts w:eastAsia="Times New Roman"/>
          <w:color w:val="000000"/>
          <w:sz w:val="20"/>
          <w:szCs w:val="20"/>
        </w:rPr>
        <w:t>Net interest income increased by $506 million to $7.2 billion in 2020 primarily driven by growth in our auto loan portfolio.</w:t>
      </w:r>
    </w:p>
    <w:p w:rsidR="00000000" w:rsidRDefault="00E0782F">
      <w:pPr>
        <w:ind w:hanging="360"/>
        <w:jc w:val="both"/>
        <w:divId w:val="1642031129"/>
        <w:rPr>
          <w:rFonts w:eastAsia="Times New Roman"/>
        </w:rPr>
      </w:pPr>
      <w:r>
        <w:rPr>
          <w:rFonts w:eastAsia="Times New Roman"/>
          <w:color w:val="000000"/>
          <w:sz w:val="20"/>
          <w:szCs w:val="20"/>
        </w:rPr>
        <w:t>•</w:t>
      </w:r>
      <w:r>
        <w:rPr>
          <w:rFonts w:eastAsia="Times New Roman"/>
          <w:i/>
          <w:iCs/>
          <w:color w:val="000000"/>
          <w:sz w:val="20"/>
          <w:szCs w:val="20"/>
        </w:rPr>
        <w:t xml:space="preserve">Non-Interest Income: </w:t>
      </w:r>
      <w:r>
        <w:rPr>
          <w:rFonts w:eastAsia="Times New Roman"/>
          <w:color w:val="000000"/>
          <w:sz w:val="20"/>
          <w:szCs w:val="20"/>
        </w:rPr>
        <w:t>Non-interest income decrease</w:t>
      </w:r>
      <w:r>
        <w:rPr>
          <w:rFonts w:eastAsia="Times New Roman"/>
          <w:color w:val="000000"/>
          <w:sz w:val="20"/>
          <w:szCs w:val="20"/>
        </w:rPr>
        <w:t>d by $177 million to $466 million in 2020 primarily driven by lower service charges and fees on deposit accounts as a result of the COVID-19 pandemic.</w:t>
      </w:r>
    </w:p>
    <w:p w:rsidR="00000000" w:rsidRDefault="00E0782F">
      <w:pPr>
        <w:ind w:hanging="360"/>
        <w:jc w:val="both"/>
        <w:divId w:val="930506281"/>
        <w:rPr>
          <w:rFonts w:eastAsia="Times New Roman"/>
        </w:rPr>
      </w:pPr>
      <w:r>
        <w:rPr>
          <w:rFonts w:eastAsia="Times New Roman"/>
          <w:color w:val="000000"/>
          <w:sz w:val="20"/>
          <w:szCs w:val="20"/>
          <w:shd w:val="clear" w:color="auto" w:fill="FFFFFF"/>
        </w:rPr>
        <w:t>•</w:t>
      </w:r>
      <w:r>
        <w:rPr>
          <w:rFonts w:eastAsia="Times New Roman"/>
          <w:i/>
          <w:iCs/>
          <w:color w:val="000000"/>
          <w:sz w:val="20"/>
          <w:szCs w:val="20"/>
        </w:rPr>
        <w:t xml:space="preserve">Provision for Credit Losses: </w:t>
      </w:r>
      <w:r>
        <w:rPr>
          <w:rFonts w:eastAsia="Times New Roman"/>
          <w:color w:val="000000"/>
          <w:sz w:val="20"/>
          <w:szCs w:val="20"/>
        </w:rPr>
        <w:t>Provision for credit losses increased by $815 million to $1.8 billion in 20</w:t>
      </w:r>
      <w:r>
        <w:rPr>
          <w:rFonts w:eastAsia="Times New Roman"/>
          <w:color w:val="000000"/>
          <w:sz w:val="20"/>
          <w:szCs w:val="20"/>
        </w:rPr>
        <w:t>20 driven by allowance builds in the first and second quarters of 2020 due to expectations of economic worsening as a result of the COVID-19 pandemic.</w:t>
      </w:r>
    </w:p>
    <w:p w:rsidR="00000000" w:rsidRDefault="00E0782F">
      <w:pPr>
        <w:ind w:hanging="360"/>
        <w:jc w:val="both"/>
        <w:divId w:val="1747070665"/>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 increased by $68 million to $4.2 billion in 2020 primarily dr</w:t>
      </w:r>
      <w:r>
        <w:rPr>
          <w:rFonts w:eastAsia="Times New Roman"/>
          <w:color w:val="000000"/>
          <w:sz w:val="20"/>
          <w:szCs w:val="20"/>
        </w:rPr>
        <w:t>iven by growth in our auto loan portfolio.</w:t>
      </w:r>
    </w:p>
    <w:p w:rsidR="00000000" w:rsidRDefault="00E0782F">
      <w:pPr>
        <w:ind w:hanging="360"/>
        <w:jc w:val="both"/>
        <w:divId w:val="1544563708"/>
        <w:rPr>
          <w:rFonts w:eastAsia="Times New Roman"/>
        </w:rPr>
      </w:pPr>
      <w:r>
        <w:rPr>
          <w:rFonts w:eastAsia="Times New Roman"/>
          <w:i/>
          <w:iCs/>
          <w:color w:val="000000"/>
          <w:sz w:val="20"/>
          <w:szCs w:val="20"/>
        </w:rPr>
        <w:t>•Loans Held for Investment:</w:t>
      </w:r>
      <w:r>
        <w:rPr>
          <w:rFonts w:eastAsia="Times New Roman"/>
          <w:color w:val="000000"/>
          <w:sz w:val="20"/>
          <w:szCs w:val="20"/>
        </w:rPr>
        <w:t> Period-end loans held for investment increased by $5.8 billion to $68.9 billion as of December 31, 2020 from December 31, 2019, and average loans held for investment increased by $5.6 b</w:t>
      </w:r>
      <w:r>
        <w:rPr>
          <w:rFonts w:eastAsia="Times New Roman"/>
          <w:color w:val="000000"/>
          <w:sz w:val="20"/>
          <w:szCs w:val="20"/>
        </w:rPr>
        <w:t>illion to $66.3 billion in 2020 compared to 2019 primarily due to growth in our auto loan portfolio.</w:t>
      </w:r>
    </w:p>
    <w:p w:rsidR="00000000" w:rsidRDefault="00E0782F">
      <w:pPr>
        <w:ind w:hanging="360"/>
        <w:jc w:val="both"/>
        <w:divId w:val="166287151"/>
        <w:rPr>
          <w:rFonts w:eastAsia="Times New Roman"/>
        </w:rPr>
      </w:pPr>
      <w:r>
        <w:rPr>
          <w:rFonts w:eastAsia="Times New Roman"/>
          <w:i/>
          <w:iCs/>
          <w:color w:val="000000"/>
          <w:sz w:val="20"/>
          <w:szCs w:val="20"/>
        </w:rPr>
        <w:t>•Deposits:</w:t>
      </w:r>
      <w:r>
        <w:rPr>
          <w:rFonts w:eastAsia="Times New Roman"/>
          <w:color w:val="000000"/>
          <w:sz w:val="20"/>
          <w:szCs w:val="20"/>
        </w:rPr>
        <w:t> Period-end deposits increased by $36.7 billion to $249.8 billion as of December 31, 2020 from December 31, 2019 primarily driven by deposit grow</w:t>
      </w:r>
      <w:r>
        <w:rPr>
          <w:rFonts w:eastAsia="Times New Roman"/>
          <w:color w:val="000000"/>
          <w:sz w:val="20"/>
          <w:szCs w:val="20"/>
        </w:rPr>
        <w:t xml:space="preserve">th from increased consumer savings aided by the impact of government stimulus. </w:t>
      </w:r>
    </w:p>
    <w:p w:rsidR="00000000" w:rsidRDefault="00E0782F">
      <w:pPr>
        <w:ind w:hanging="360"/>
        <w:jc w:val="both"/>
        <w:divId w:val="1391033595"/>
        <w:rPr>
          <w:rFonts w:eastAsia="Times New Roman"/>
        </w:rPr>
      </w:pPr>
      <w:r>
        <w:rPr>
          <w:rFonts w:eastAsia="Times New Roman"/>
          <w:i/>
          <w:iCs/>
          <w:color w:val="000000"/>
          <w:sz w:val="20"/>
          <w:szCs w:val="20"/>
        </w:rPr>
        <w:t>•Net Charge-Off and Delinquency Metrics:</w:t>
      </w:r>
      <w:r>
        <w:rPr>
          <w:rFonts w:eastAsia="Times New Roman"/>
          <w:color w:val="000000"/>
          <w:sz w:val="20"/>
          <w:szCs w:val="20"/>
        </w:rPr>
        <w:t> The net charge-off rate decreased by 69 basis points to 0.87% in 2020 compared to 2019 primarily driven by the impact of short-term pay</w:t>
      </w:r>
      <w:r>
        <w:rPr>
          <w:rFonts w:eastAsia="Times New Roman"/>
          <w:color w:val="000000"/>
          <w:sz w:val="20"/>
          <w:szCs w:val="20"/>
        </w:rPr>
        <w:t>ment extensions offered to affected auto borrowers in response to the COVID-19 pandemic.</w:t>
      </w:r>
    </w:p>
    <w:p w:rsidR="00000000" w:rsidRDefault="00E0782F">
      <w:pPr>
        <w:jc w:val="both"/>
        <w:divId w:val="1542937615"/>
        <w:rPr>
          <w:rFonts w:eastAsia="Times New Roman"/>
        </w:rPr>
      </w:pPr>
      <w:r>
        <w:rPr>
          <w:rFonts w:eastAsia="Times New Roman"/>
          <w:color w:val="000000"/>
          <w:sz w:val="20"/>
          <w:szCs w:val="20"/>
        </w:rPr>
        <w:t>The 30+ day delinquency rate decreased by 234 basis points to 5.00% as of December 31, 2020 from December 31, 2019 driven by lower auto delinquency inventories resulti</w:t>
      </w:r>
      <w:r>
        <w:rPr>
          <w:rFonts w:eastAsia="Times New Roman"/>
          <w:color w:val="000000"/>
          <w:sz w:val="20"/>
          <w:szCs w:val="20"/>
        </w:rPr>
        <w:t>ng from the short-term payment extensions offered to affected auto borrowers in response to the COVID-19 pandemic.</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023830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3023830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3023830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89" style="width:0;height:1.5pt" o:hralign="center" o:hrstd="t" o:hr="t" fillcolor="#a0a0a0" stroked="f"/>
        </w:pict>
      </w:r>
    </w:p>
    <w:p w:rsidR="00000000" w:rsidRDefault="00E0782F">
      <w:pPr>
        <w:ind w:hanging="360"/>
        <w:jc w:val="both"/>
        <w:divId w:val="330792750"/>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28986566"/>
        <w:rPr>
          <w:rFonts w:eastAsia="Times New Roman"/>
        </w:rPr>
      </w:pPr>
      <w:r>
        <w:rPr>
          <w:rFonts w:eastAsia="Times New Roman"/>
          <w:b/>
          <w:bCs/>
          <w:color w:val="000000"/>
          <w:sz w:val="20"/>
          <w:szCs w:val="20"/>
        </w:rPr>
        <w:t>Commercial Banking Business</w:t>
      </w:r>
    </w:p>
    <w:p w:rsidR="00000000" w:rsidRDefault="00E0782F">
      <w:pPr>
        <w:jc w:val="both"/>
        <w:divId w:val="634137385"/>
        <w:rPr>
          <w:rFonts w:eastAsia="Times New Roman"/>
        </w:rPr>
      </w:pPr>
      <w:r>
        <w:rPr>
          <w:rFonts w:eastAsia="Times New Roman"/>
          <w:color w:val="000000"/>
          <w:sz w:val="20"/>
          <w:szCs w:val="20"/>
        </w:rPr>
        <w:t>The primary sources of revenue for our Commercial Banking business are net interest income from loans and deposits and non-interest income earned from products and services provided to our clients such as capital markets and treasury management. Because ou</w:t>
      </w:r>
      <w:r>
        <w:rPr>
          <w:rFonts w:eastAsia="Times New Roman"/>
          <w:color w:val="000000"/>
          <w:sz w:val="20"/>
          <w:szCs w:val="20"/>
        </w:rPr>
        <w:t>r Commercial Banking business has loans and investments that generate tax-exempt income, tax credits or other tax benefits, we present the revenues on a taxable-equivalent basis. Expenses primarily consist of the provision for credit losses and operating c</w:t>
      </w:r>
      <w:r>
        <w:rPr>
          <w:rFonts w:eastAsia="Times New Roman"/>
          <w:color w:val="000000"/>
          <w:sz w:val="20"/>
          <w:szCs w:val="20"/>
        </w:rPr>
        <w:t>osts.</w:t>
      </w:r>
    </w:p>
    <w:p w:rsidR="00000000" w:rsidRDefault="00E0782F">
      <w:pPr>
        <w:jc w:val="both"/>
        <w:divId w:val="1525905351"/>
        <w:rPr>
          <w:rFonts w:eastAsia="Times New Roman"/>
        </w:rPr>
      </w:pPr>
      <w:r>
        <w:rPr>
          <w:rFonts w:eastAsia="Times New Roman"/>
          <w:color w:val="000000"/>
          <w:sz w:val="20"/>
          <w:szCs w:val="20"/>
        </w:rPr>
        <w:t xml:space="preserve">Our Commercial Banking business generated net income from continuing operations of $65 million, $621 million and $806 million in 2020, 2019 and 2018, respectively. </w:t>
      </w:r>
    </w:p>
    <w:p w:rsidR="00000000" w:rsidRDefault="00E0782F">
      <w:pPr>
        <w:jc w:val="both"/>
        <w:divId w:val="697050513"/>
        <w:rPr>
          <w:rFonts w:eastAsia="Times New Roman"/>
        </w:rPr>
      </w:pPr>
      <w:r>
        <w:rPr>
          <w:rFonts w:eastAsia="Times New Roman"/>
          <w:color w:val="000000"/>
          <w:sz w:val="20"/>
          <w:szCs w:val="20"/>
        </w:rPr>
        <w:t>Table 11 summarizes the financial results of our Commercial Banking business and disp</w:t>
      </w:r>
      <w:r>
        <w:rPr>
          <w:rFonts w:eastAsia="Times New Roman"/>
          <w:color w:val="000000"/>
          <w:sz w:val="20"/>
          <w:szCs w:val="20"/>
        </w:rPr>
        <w:t>lays selected key metrics for the periods indicated.</w:t>
      </w:r>
    </w:p>
    <w:p w:rsidR="00000000" w:rsidRDefault="00E0782F">
      <w:pPr>
        <w:divId w:val="840436413"/>
        <w:rPr>
          <w:rFonts w:eastAsia="Times New Roman"/>
        </w:rPr>
      </w:pPr>
      <w:r>
        <w:rPr>
          <w:rFonts w:eastAsia="Times New Roman"/>
          <w:b/>
          <w:bCs/>
          <w:color w:val="000000"/>
          <w:sz w:val="18"/>
          <w:szCs w:val="18"/>
        </w:rPr>
        <w:t>Table 11: Commercial Banking Business Results</w:t>
      </w:r>
    </w:p>
    <w:tbl>
      <w:tblPr>
        <w:tblW w:w="5000" w:type="pct"/>
        <w:tblCellMar>
          <w:top w:w="15" w:type="dxa"/>
          <w:left w:w="15" w:type="dxa"/>
          <w:bottom w:w="15" w:type="dxa"/>
          <w:right w:w="15" w:type="dxa"/>
        </w:tblCellMar>
        <w:tblLook w:val="04A0" w:firstRow="1" w:lastRow="0" w:firstColumn="1" w:lastColumn="0" w:noHBand="0" w:noVBand="1"/>
      </w:tblPr>
      <w:tblGrid>
        <w:gridCol w:w="41"/>
        <w:gridCol w:w="3519"/>
        <w:gridCol w:w="40"/>
        <w:gridCol w:w="36"/>
        <w:gridCol w:w="36"/>
        <w:gridCol w:w="36"/>
        <w:gridCol w:w="36"/>
        <w:gridCol w:w="36"/>
        <w:gridCol w:w="36"/>
        <w:gridCol w:w="36"/>
        <w:gridCol w:w="36"/>
        <w:gridCol w:w="36"/>
        <w:gridCol w:w="110"/>
        <w:gridCol w:w="548"/>
        <w:gridCol w:w="200"/>
        <w:gridCol w:w="36"/>
        <w:gridCol w:w="36"/>
        <w:gridCol w:w="36"/>
        <w:gridCol w:w="110"/>
        <w:gridCol w:w="548"/>
        <w:gridCol w:w="170"/>
        <w:gridCol w:w="36"/>
        <w:gridCol w:w="36"/>
        <w:gridCol w:w="36"/>
        <w:gridCol w:w="110"/>
        <w:gridCol w:w="540"/>
        <w:gridCol w:w="271"/>
        <w:gridCol w:w="36"/>
        <w:gridCol w:w="36"/>
        <w:gridCol w:w="36"/>
        <w:gridCol w:w="47"/>
        <w:gridCol w:w="364"/>
        <w:gridCol w:w="271"/>
        <w:gridCol w:w="36"/>
        <w:gridCol w:w="36"/>
        <w:gridCol w:w="36"/>
        <w:gridCol w:w="40"/>
        <w:gridCol w:w="350"/>
        <w:gridCol w:w="271"/>
      </w:tblGrid>
      <w:tr w:rsidR="00000000">
        <w:trPr>
          <w:divId w:val="1972057177"/>
        </w:trPr>
        <w:tc>
          <w:tcPr>
            <w:tcW w:w="50" w:type="pct"/>
            <w:vAlign w:val="center"/>
            <w:hideMark/>
          </w:tcPr>
          <w:p w:rsidR="00000000" w:rsidRDefault="00E0782F">
            <w:pPr>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97205717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97205717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r>
      <w:tr w:rsidR="00000000">
        <w:trPr>
          <w:divId w:val="19720571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divId w:val="2039039474"/>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divId w:val="1806387779"/>
              <w:rPr>
                <w:rFonts w:eastAsia="Times New Roman"/>
              </w:rPr>
            </w:pPr>
            <w:r>
              <w:rPr>
                <w:rFonts w:eastAsia="Times New Roman"/>
                <w:color w:val="000000"/>
                <w:sz w:val="18"/>
                <w:szCs w:val="18"/>
              </w:rPr>
              <w:t>Provision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performance metrics: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29,608 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27,771 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45,819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42,863 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39,188 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lending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76,954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72,471 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66,959 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Small-ticket commercial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76,954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72,540 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67,330 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divId w:val="474108958"/>
              <w:rPr>
                <w:rFonts w:eastAsia="Times New Roman"/>
              </w:rPr>
            </w:pPr>
            <w:r>
              <w:rPr>
                <w:rFonts w:eastAsia="Times New Roman"/>
                <w:color w:val="000000"/>
                <w:sz w:val="18"/>
                <w:szCs w:val="18"/>
              </w:rPr>
              <w:t>Average yield on loans held for investmen</w:t>
            </w:r>
            <w:r>
              <w:rPr>
                <w:rFonts w:eastAsia="Times New Roman"/>
                <w:color w:val="000000"/>
                <w:sz w:val="18"/>
                <w:szCs w:val="18"/>
              </w:rPr>
              <w:t>t</w:t>
            </w:r>
            <w:r>
              <w:rPr>
                <w:rFonts w:eastAsia="Times New Roman"/>
                <w:color w:val="000000"/>
                <w:sz w:val="12"/>
                <w:szCs w:val="12"/>
              </w:rPr>
              <w:t>(1)(3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35,468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31,229 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32,175 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deposits interest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0.72 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r>
      <w:tr w:rsidR="00000000">
        <w:trPr>
          <w:divId w:val="1972057177"/>
          <w:trHeight w:val="240"/>
        </w:trPr>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period-end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30,245 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720571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Nonperforming loan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divId w:val="822427707"/>
              <w:rPr>
                <w:rFonts w:eastAsia="Times New Roman"/>
              </w:rPr>
            </w:pPr>
            <w:r>
              <w:rPr>
                <w:rFonts w:eastAsia="Times New Roman"/>
                <w:color w:val="000000"/>
                <w:sz w:val="18"/>
                <w:szCs w:val="18"/>
              </w:rPr>
              <w:t>Nonperforming asset rat</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divId w:val="819659791"/>
              <w:rPr>
                <w:rFonts w:eastAsia="Times New Roman"/>
              </w:rPr>
            </w:pPr>
            <w:r>
              <w:rPr>
                <w:rFonts w:eastAsia="Times New Roman"/>
                <w:color w:val="000000"/>
                <w:sz w:val="18"/>
                <w:szCs w:val="18"/>
              </w:rPr>
              <w:t>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coverage ratio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bps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39,590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32,134 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720571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serviced for others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38,481 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divId w:val="1090010120"/>
        <w:rPr>
          <w:rFonts w:eastAsia="Times New Roman"/>
        </w:rPr>
      </w:pPr>
      <w:r>
        <w:rPr>
          <w:rFonts w:eastAsia="Times New Roman"/>
          <w:color w:val="000000"/>
          <w:sz w:val="20"/>
          <w:szCs w:val="20"/>
        </w:rPr>
        <w:t>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27290120"/>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2729012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2729012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0" style="width:0;height:1.5pt" o:hralign="center" o:hrstd="t" o:hr="t" fillcolor="#a0a0a0" stroked="f"/>
        </w:pict>
      </w:r>
    </w:p>
    <w:p w:rsidR="00000000" w:rsidRDefault="00E0782F">
      <w:pPr>
        <w:ind w:hanging="360"/>
        <w:jc w:val="both"/>
        <w:divId w:val="1886407079"/>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ind w:hanging="360"/>
        <w:jc w:val="both"/>
        <w:divId w:val="116165250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for a</w:t>
      </w:r>
      <w:r>
        <w:rPr>
          <w:rFonts w:eastAsia="Times New Roman"/>
          <w:color w:val="000000"/>
          <w:sz w:val="16"/>
          <w:szCs w:val="16"/>
        </w:rPr>
        <w:t>ll periods presented) and state taxes where applicable, with offsetting reductions to the Other category.</w:t>
      </w:r>
    </w:p>
    <w:p w:rsidR="00000000" w:rsidRDefault="00E0782F">
      <w:pPr>
        <w:ind w:hanging="360"/>
        <w:jc w:val="both"/>
        <w:divId w:val="207377236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provision for losses on unfunded lending commitments is included in the provision for credit losses in our consolidated statements of income an</w:t>
      </w:r>
      <w:r>
        <w:rPr>
          <w:rFonts w:eastAsia="Times New Roman"/>
          <w:color w:val="000000"/>
          <w:sz w:val="16"/>
          <w:szCs w:val="16"/>
        </w:rPr>
        <w:t>d the related reserve is included in other liabilities on our consolidated balance sheets. Our reserve for unfunded lending commitments totaled $195 million, $130 million and $118 million as of December 31, 2020, 2019 and 2018, respectively.</w:t>
      </w:r>
    </w:p>
    <w:p w:rsidR="00000000" w:rsidRDefault="00E0782F">
      <w:pPr>
        <w:ind w:hanging="360"/>
        <w:jc w:val="both"/>
        <w:divId w:val="176548977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Average yie</w:t>
      </w:r>
      <w:r>
        <w:rPr>
          <w:rFonts w:eastAsia="Times New Roman"/>
          <w:color w:val="000000"/>
          <w:sz w:val="16"/>
          <w:szCs w:val="16"/>
        </w:rPr>
        <w:t>ld is calculated based on interest income for the period divided by average loans during the period and does not include any allocations, such as funds transfer pricing.</w:t>
      </w:r>
    </w:p>
    <w:p w:rsidR="00000000" w:rsidRDefault="00E0782F">
      <w:pPr>
        <w:ind w:hanging="360"/>
        <w:jc w:val="both"/>
        <w:divId w:val="1055085042"/>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Nonperforming assets consist of nonperforming loans and other foreclosed assets. Th</w:t>
      </w:r>
      <w:r>
        <w:rPr>
          <w:rFonts w:eastAsia="Times New Roman"/>
          <w:color w:val="000000"/>
          <w:sz w:val="16"/>
          <w:szCs w:val="16"/>
        </w:rPr>
        <w:t>e total nonperforming asset rate is calculated based on total nonperforming assets divided by the combined period-end total loans held for investment and other foreclosed assets.</w:t>
      </w:r>
    </w:p>
    <w:p w:rsidR="00000000" w:rsidRDefault="00E0782F">
      <w:pPr>
        <w:ind w:hanging="360"/>
        <w:jc w:val="both"/>
        <w:divId w:val="1134906928"/>
        <w:rPr>
          <w:rFonts w:eastAsia="Times New Roman"/>
        </w:rPr>
      </w:pPr>
      <w:r>
        <w:rPr>
          <w:rFonts w:eastAsia="Times New Roman"/>
          <w:color w:val="000000"/>
          <w:sz w:val="16"/>
          <w:szCs w:val="16"/>
        </w:rPr>
        <w:t>**    Not meaningful.</w:t>
      </w:r>
    </w:p>
    <w:p w:rsidR="00000000" w:rsidRDefault="00E0782F">
      <w:pPr>
        <w:jc w:val="both"/>
        <w:divId w:val="542863403"/>
        <w:rPr>
          <w:rFonts w:eastAsia="Times New Roman"/>
        </w:rPr>
      </w:pPr>
      <w:r>
        <w:rPr>
          <w:rFonts w:eastAsia="Times New Roman"/>
          <w:color w:val="000000"/>
          <w:sz w:val="20"/>
          <w:szCs w:val="20"/>
        </w:rPr>
        <w:t>Key factors affecting the results of our Commercial Ban</w:t>
      </w:r>
      <w:r>
        <w:rPr>
          <w:rFonts w:eastAsia="Times New Roman"/>
          <w:color w:val="000000"/>
          <w:sz w:val="20"/>
          <w:szCs w:val="20"/>
        </w:rPr>
        <w:t>king business for 2020 compared to 2019, and changes in financial condition and credit performance between December 31, 2020 and December 31, 2019 include the following:</w:t>
      </w:r>
    </w:p>
    <w:p w:rsidR="00000000" w:rsidRDefault="00E0782F">
      <w:pPr>
        <w:ind w:hanging="360"/>
        <w:jc w:val="both"/>
        <w:divId w:val="1303466447"/>
        <w:rPr>
          <w:rFonts w:eastAsia="Times New Roman"/>
        </w:rPr>
      </w:pPr>
      <w:r>
        <w:rPr>
          <w:rFonts w:eastAsia="Times New Roman"/>
          <w:color w:val="000000"/>
          <w:sz w:val="20"/>
          <w:szCs w:val="20"/>
        </w:rPr>
        <w:t>•</w:t>
      </w:r>
      <w:r>
        <w:rPr>
          <w:rFonts w:eastAsia="Times New Roman"/>
          <w:i/>
          <w:iCs/>
          <w:color w:val="000000"/>
          <w:sz w:val="20"/>
          <w:szCs w:val="20"/>
        </w:rPr>
        <w:t>Net Interest Income:</w:t>
      </w:r>
      <w:r>
        <w:rPr>
          <w:rFonts w:eastAsia="Times New Roman"/>
          <w:color w:val="000000"/>
          <w:sz w:val="20"/>
          <w:szCs w:val="20"/>
        </w:rPr>
        <w:t xml:space="preserve"> Net interest income increased by $65 million to $2.0 billion in </w:t>
      </w:r>
      <w:r>
        <w:rPr>
          <w:rFonts w:eastAsia="Times New Roman"/>
          <w:color w:val="000000"/>
          <w:sz w:val="20"/>
          <w:szCs w:val="20"/>
        </w:rPr>
        <w:t>2020 as higher average loans and deposits were partially offset by slightly lower margins.</w:t>
      </w:r>
    </w:p>
    <w:p w:rsidR="00000000" w:rsidRDefault="00E0782F">
      <w:pPr>
        <w:ind w:hanging="360"/>
        <w:jc w:val="both"/>
        <w:divId w:val="194344728"/>
        <w:rPr>
          <w:rFonts w:eastAsia="Times New Roman"/>
        </w:rPr>
      </w:pPr>
      <w:r>
        <w:rPr>
          <w:rFonts w:eastAsia="Times New Roman"/>
          <w:i/>
          <w:iCs/>
          <w:color w:val="000000"/>
          <w:sz w:val="20"/>
          <w:szCs w:val="20"/>
        </w:rPr>
        <w:t xml:space="preserve">•Non-Interest Income: </w:t>
      </w:r>
      <w:r>
        <w:rPr>
          <w:rFonts w:eastAsia="Times New Roman"/>
          <w:color w:val="000000"/>
          <w:sz w:val="20"/>
          <w:szCs w:val="20"/>
        </w:rPr>
        <w:t>Non-interest income increased by $92 million to $923 million in 2020 primarily driven by higher revenue from our agency and capital markets bus</w:t>
      </w:r>
      <w:r>
        <w:rPr>
          <w:rFonts w:eastAsia="Times New Roman"/>
          <w:color w:val="000000"/>
          <w:sz w:val="20"/>
          <w:szCs w:val="20"/>
        </w:rPr>
        <w:t>inesses.</w:t>
      </w:r>
    </w:p>
    <w:p w:rsidR="00000000" w:rsidRDefault="00E0782F">
      <w:pPr>
        <w:ind w:hanging="360"/>
        <w:jc w:val="both"/>
        <w:divId w:val="2075082620"/>
        <w:rPr>
          <w:rFonts w:eastAsia="Times New Roman"/>
        </w:rPr>
      </w:pPr>
      <w:r>
        <w:rPr>
          <w:rFonts w:eastAsia="Times New Roman"/>
          <w:color w:val="000000"/>
          <w:sz w:val="20"/>
          <w:szCs w:val="20"/>
          <w:shd w:val="clear" w:color="auto" w:fill="FFFFFF"/>
        </w:rPr>
        <w:t>•</w:t>
      </w:r>
      <w:r>
        <w:rPr>
          <w:rFonts w:eastAsia="Times New Roman"/>
          <w:i/>
          <w:iCs/>
          <w:color w:val="000000"/>
          <w:sz w:val="20"/>
          <w:szCs w:val="20"/>
        </w:rPr>
        <w:t>Provision for Credit Losses:</w:t>
      </w:r>
      <w:r>
        <w:rPr>
          <w:rFonts w:eastAsia="Times New Roman"/>
          <w:color w:val="000000"/>
          <w:sz w:val="20"/>
          <w:szCs w:val="20"/>
        </w:rPr>
        <w:t xml:space="preserve"> Provision for credit losses increased by $875 million to $1.2 billion in 2020 driven by allowance builds in the first and second quarters of 2020 due to expectations of economic worsening as a result of the COVID-19 p</w:t>
      </w:r>
      <w:r>
        <w:rPr>
          <w:rFonts w:eastAsia="Times New Roman"/>
          <w:color w:val="000000"/>
          <w:sz w:val="20"/>
          <w:szCs w:val="20"/>
        </w:rPr>
        <w:t xml:space="preserve">andemic as well as credit deterioration in our energy loan portfolio primarily in the first quarter of 2020. </w:t>
      </w:r>
    </w:p>
    <w:p w:rsidR="00000000" w:rsidRDefault="00E0782F">
      <w:pPr>
        <w:ind w:hanging="360"/>
        <w:jc w:val="both"/>
        <w:divId w:val="97910785"/>
        <w:rPr>
          <w:rFonts w:eastAsia="Times New Roman"/>
        </w:rPr>
      </w:pPr>
      <w:r>
        <w:rPr>
          <w:rFonts w:eastAsia="Times New Roman"/>
          <w:color w:val="000000"/>
          <w:sz w:val="20"/>
          <w:szCs w:val="20"/>
        </w:rPr>
        <w:t>•</w:t>
      </w:r>
      <w:r>
        <w:rPr>
          <w:rFonts w:eastAsia="Times New Roman"/>
          <w:i/>
          <w:iCs/>
          <w:color w:val="000000"/>
          <w:sz w:val="20"/>
          <w:szCs w:val="20"/>
        </w:rPr>
        <w:t xml:space="preserve">Non-Interest Expense: </w:t>
      </w:r>
      <w:r>
        <w:rPr>
          <w:rFonts w:eastAsia="Times New Roman"/>
          <w:color w:val="000000"/>
          <w:sz w:val="20"/>
          <w:szCs w:val="20"/>
        </w:rPr>
        <w:t>Non-interest expense remained substantially flat at $1.7 billion in 2020.</w:t>
      </w:r>
    </w:p>
    <w:p w:rsidR="00000000" w:rsidRDefault="00E0782F">
      <w:pPr>
        <w:ind w:hanging="360"/>
        <w:jc w:val="both"/>
        <w:divId w:val="947782617"/>
        <w:rPr>
          <w:rFonts w:eastAsia="Times New Roman"/>
        </w:rPr>
      </w:pPr>
      <w:r>
        <w:rPr>
          <w:rFonts w:eastAsia="Times New Roman"/>
          <w:color w:val="000000"/>
          <w:sz w:val="20"/>
          <w:szCs w:val="20"/>
        </w:rPr>
        <w:t>•</w:t>
      </w:r>
      <w:r>
        <w:rPr>
          <w:rFonts w:eastAsia="Times New Roman"/>
          <w:i/>
          <w:iCs/>
          <w:color w:val="000000"/>
          <w:sz w:val="20"/>
          <w:szCs w:val="20"/>
        </w:rPr>
        <w:t>Loans Held for Investment:</w:t>
      </w:r>
      <w:r>
        <w:rPr>
          <w:rFonts w:eastAsia="Times New Roman"/>
          <w:color w:val="000000"/>
          <w:sz w:val="20"/>
          <w:szCs w:val="20"/>
        </w:rPr>
        <w:t xml:space="preserve"> Period-end loans held</w:t>
      </w:r>
      <w:r>
        <w:rPr>
          <w:rFonts w:eastAsia="Times New Roman"/>
          <w:color w:val="000000"/>
          <w:sz w:val="20"/>
          <w:szCs w:val="20"/>
        </w:rPr>
        <w:t xml:space="preserve"> for investment increased by $1.3 billion to $75.8 billion as of December 31, 2020 from December 31, 2019, and average loans held for investment increased by $4.4 billion to $77.0 billion in 2020 compared to 2019 driven by growth across our commercial loan</w:t>
      </w:r>
      <w:r>
        <w:rPr>
          <w:rFonts w:eastAsia="Times New Roman"/>
          <w:color w:val="000000"/>
          <w:sz w:val="20"/>
          <w:szCs w:val="20"/>
        </w:rPr>
        <w:t xml:space="preserve"> portfolio. </w:t>
      </w:r>
    </w:p>
    <w:p w:rsidR="00000000" w:rsidRDefault="00E0782F">
      <w:pPr>
        <w:ind w:hanging="360"/>
        <w:jc w:val="both"/>
        <w:divId w:val="869611889"/>
        <w:rPr>
          <w:rFonts w:eastAsia="Times New Roman"/>
        </w:rPr>
      </w:pPr>
      <w:r>
        <w:rPr>
          <w:rFonts w:eastAsia="Times New Roman"/>
          <w:color w:val="000000"/>
          <w:sz w:val="20"/>
          <w:szCs w:val="20"/>
        </w:rPr>
        <w:t>•</w:t>
      </w:r>
      <w:r>
        <w:rPr>
          <w:rFonts w:eastAsia="Times New Roman"/>
          <w:i/>
          <w:iCs/>
          <w:color w:val="000000"/>
          <w:sz w:val="20"/>
          <w:szCs w:val="20"/>
        </w:rPr>
        <w:t>Deposits:</w:t>
      </w:r>
      <w:r>
        <w:rPr>
          <w:rFonts w:eastAsia="Times New Roman"/>
          <w:color w:val="000000"/>
          <w:sz w:val="20"/>
          <w:szCs w:val="20"/>
        </w:rPr>
        <w:t xml:space="preserve"> Period-end deposits increased by $7.5 billion to $39.6 billion as of December 31, 2020 from December 31, 2019 primarily driven by elevated client liquidity.</w:t>
      </w:r>
    </w:p>
    <w:p w:rsidR="00000000" w:rsidRDefault="00E0782F">
      <w:pPr>
        <w:ind w:hanging="360"/>
        <w:jc w:val="both"/>
        <w:divId w:val="823817949"/>
        <w:rPr>
          <w:rFonts w:eastAsia="Times New Roman"/>
        </w:rPr>
      </w:pPr>
      <w:r>
        <w:rPr>
          <w:rFonts w:eastAsia="Times New Roman"/>
          <w:color w:val="000000"/>
          <w:sz w:val="20"/>
          <w:szCs w:val="20"/>
        </w:rPr>
        <w:t>•</w:t>
      </w:r>
      <w:r>
        <w:rPr>
          <w:rFonts w:eastAsia="Times New Roman"/>
          <w:i/>
          <w:iCs/>
          <w:color w:val="000000"/>
          <w:sz w:val="20"/>
          <w:szCs w:val="20"/>
        </w:rPr>
        <w:t>Net Charge-Off and Nonperforming Metrics:</w:t>
      </w:r>
      <w:r>
        <w:rPr>
          <w:rFonts w:eastAsia="Times New Roman"/>
          <w:color w:val="000000"/>
          <w:sz w:val="20"/>
          <w:szCs w:val="20"/>
        </w:rPr>
        <w:t xml:space="preserve"> The net charge-off rate increase</w:t>
      </w:r>
      <w:r>
        <w:rPr>
          <w:rFonts w:eastAsia="Times New Roman"/>
          <w:color w:val="000000"/>
          <w:sz w:val="20"/>
          <w:szCs w:val="20"/>
        </w:rPr>
        <w:t>d by 27 basis points to 0.49% in 2020 primarily driven by elevated charge-offs in our energy loan portfolio.</w:t>
      </w:r>
    </w:p>
    <w:p w:rsidR="00000000" w:rsidRDefault="00E0782F">
      <w:pPr>
        <w:jc w:val="both"/>
        <w:divId w:val="693267434"/>
        <w:rPr>
          <w:rFonts w:eastAsia="Times New Roman"/>
        </w:rPr>
      </w:pPr>
      <w:r>
        <w:rPr>
          <w:rFonts w:eastAsia="Times New Roman"/>
          <w:color w:val="000000"/>
          <w:sz w:val="20"/>
          <w:szCs w:val="20"/>
        </w:rPr>
        <w:t>The nonperforming loan rate increased by 26 basis points to 0.86% as of December 31, 2020 from December 31, 2019 driven by credit downgrades in ind</w:t>
      </w:r>
      <w:r>
        <w:rPr>
          <w:rFonts w:eastAsia="Times New Roman"/>
          <w:color w:val="000000"/>
          <w:sz w:val="20"/>
          <w:szCs w:val="20"/>
        </w:rPr>
        <w:t>ustries that are impacted by the COVID-19 pandemic.</w:t>
      </w:r>
    </w:p>
    <w:p w:rsidR="00000000" w:rsidRDefault="00E0782F">
      <w:pPr>
        <w:divId w:val="248391273"/>
        <w:rPr>
          <w:rFonts w:eastAsia="Times New Roman"/>
        </w:rPr>
      </w:pPr>
      <w:r>
        <w:rPr>
          <w:rFonts w:eastAsia="Times New Roman"/>
          <w:b/>
          <w:bCs/>
          <w:color w:val="000000"/>
          <w:sz w:val="20"/>
          <w:szCs w:val="20"/>
        </w:rPr>
        <w:t>Other Category</w:t>
      </w:r>
    </w:p>
    <w:p w:rsidR="00000000" w:rsidRDefault="00E0782F">
      <w:pPr>
        <w:jc w:val="both"/>
        <w:divId w:val="621156813"/>
        <w:rPr>
          <w:rFonts w:eastAsia="Times New Roman"/>
        </w:rPr>
      </w:pPr>
      <w:r>
        <w:rPr>
          <w:rFonts w:eastAsia="Times New Roman"/>
          <w:color w:val="000000"/>
          <w:sz w:val="20"/>
          <w:szCs w:val="20"/>
        </w:rPr>
        <w:t>Other includes unallocated amounts related to our centralized Corporate Treasury group activities, such as management of our corporate investment securities portfolio, asset/liability management and certain capital management activities. Other also include</w:t>
      </w:r>
      <w:r>
        <w:rPr>
          <w:rFonts w:eastAsia="Times New Roman"/>
          <w:color w:val="000000"/>
          <w:sz w:val="20"/>
          <w:szCs w:val="20"/>
        </w:rPr>
        <w:t>s:</w:t>
      </w:r>
    </w:p>
    <w:p w:rsidR="00000000" w:rsidRDefault="00E0782F">
      <w:pPr>
        <w:ind w:hanging="360"/>
        <w:jc w:val="both"/>
        <w:divId w:val="1690066070"/>
        <w:rPr>
          <w:rFonts w:eastAsia="Times New Roman"/>
        </w:rPr>
      </w:pPr>
      <w:r>
        <w:rPr>
          <w:rFonts w:eastAsia="Times New Roman"/>
          <w:color w:val="000000"/>
          <w:sz w:val="20"/>
          <w:szCs w:val="20"/>
        </w:rPr>
        <w:t>•unallocated corporate revenue and expenses that do not directly support the operations of the business segments or for which the business segments are not considered financially accountable in evaluating their performance, such as certain restructuring</w:t>
      </w:r>
      <w:r>
        <w:rPr>
          <w:rFonts w:eastAsia="Times New Roman"/>
          <w:color w:val="000000"/>
          <w:sz w:val="20"/>
          <w:szCs w:val="20"/>
        </w:rPr>
        <w:t xml:space="preserve"> charges;</w:t>
      </w:r>
    </w:p>
    <w:p w:rsidR="00000000" w:rsidRDefault="00E0782F">
      <w:pPr>
        <w:ind w:hanging="360"/>
        <w:jc w:val="both"/>
        <w:divId w:val="2024161293"/>
        <w:rPr>
          <w:rFonts w:eastAsia="Times New Roman"/>
        </w:rPr>
      </w:pPr>
      <w:r>
        <w:rPr>
          <w:rFonts w:eastAsia="Times New Roman"/>
          <w:color w:val="000000"/>
          <w:sz w:val="20"/>
          <w:szCs w:val="20"/>
        </w:rPr>
        <w:t>•offsets related to certain line-item reclassifications;</w:t>
      </w:r>
    </w:p>
    <w:p w:rsidR="00000000" w:rsidRDefault="00E0782F">
      <w:pPr>
        <w:ind w:hanging="360"/>
        <w:jc w:val="both"/>
        <w:divId w:val="1509634728"/>
        <w:rPr>
          <w:rFonts w:eastAsia="Times New Roman"/>
        </w:rPr>
      </w:pPr>
      <w:r>
        <w:rPr>
          <w:rFonts w:eastAsia="Times New Roman"/>
          <w:color w:val="000000"/>
          <w:sz w:val="20"/>
          <w:szCs w:val="20"/>
        </w:rPr>
        <w:t>•residual tax expense or benefit to arrive at the consolidated effective tax rate that is not assessed to our primary business segments; and</w:t>
      </w:r>
    </w:p>
    <w:p w:rsidR="00000000" w:rsidRDefault="00E0782F">
      <w:pPr>
        <w:ind w:hanging="360"/>
        <w:jc w:val="both"/>
        <w:divId w:val="1556044959"/>
        <w:rPr>
          <w:rFonts w:eastAsia="Times New Roman"/>
        </w:rPr>
      </w:pPr>
      <w:r>
        <w:rPr>
          <w:rFonts w:eastAsia="Times New Roman"/>
          <w:color w:val="000000"/>
          <w:sz w:val="20"/>
          <w:szCs w:val="20"/>
        </w:rPr>
        <w:t>•foreign exchange-rate fluctuations on foreign c</w:t>
      </w:r>
      <w:r>
        <w:rPr>
          <w:rFonts w:eastAsia="Times New Roman"/>
          <w:color w:val="000000"/>
          <w:sz w:val="20"/>
          <w:szCs w:val="20"/>
        </w:rPr>
        <w:t>urrency-denominated balances.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48410440"/>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4841044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4841044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1" style="width:0;height:1.5pt" o:hralign="center" o:hrstd="t" o:hr="t" fillcolor="#a0a0a0" stroked="f"/>
        </w:pict>
      </w:r>
    </w:p>
    <w:p w:rsidR="00000000" w:rsidRDefault="00E0782F">
      <w:pPr>
        <w:ind w:hanging="360"/>
        <w:jc w:val="both"/>
        <w:divId w:val="353919800"/>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509980101"/>
        <w:rPr>
          <w:rFonts w:eastAsia="Times New Roman"/>
        </w:rPr>
      </w:pPr>
      <w:r>
        <w:rPr>
          <w:rFonts w:eastAsia="Times New Roman"/>
          <w:color w:val="000000"/>
          <w:sz w:val="20"/>
          <w:szCs w:val="20"/>
        </w:rPr>
        <w:t>Table 12 summarizes the financial results of our Other category for the periods indica</w:t>
      </w:r>
      <w:r>
        <w:rPr>
          <w:rFonts w:eastAsia="Times New Roman"/>
          <w:color w:val="000000"/>
          <w:sz w:val="20"/>
          <w:szCs w:val="20"/>
        </w:rPr>
        <w:t>ted.</w:t>
      </w:r>
    </w:p>
    <w:p w:rsidR="00000000" w:rsidRDefault="00E0782F">
      <w:pPr>
        <w:divId w:val="1899703248"/>
        <w:rPr>
          <w:rFonts w:eastAsia="Times New Roman"/>
        </w:rPr>
      </w:pPr>
      <w:r>
        <w:rPr>
          <w:rFonts w:eastAsia="Times New Roman"/>
          <w:b/>
          <w:bCs/>
          <w:color w:val="000000"/>
          <w:sz w:val="18"/>
          <w:szCs w:val="18"/>
        </w:rPr>
        <w:t>Table 12: Other Category Results</w:t>
      </w:r>
    </w:p>
    <w:tbl>
      <w:tblPr>
        <w:tblW w:w="4985" w:type="pct"/>
        <w:tblCellMar>
          <w:top w:w="15" w:type="dxa"/>
          <w:left w:w="15" w:type="dxa"/>
          <w:bottom w:w="15" w:type="dxa"/>
          <w:right w:w="15" w:type="dxa"/>
        </w:tblCellMar>
        <w:tblLook w:val="04A0" w:firstRow="1" w:lastRow="0" w:firstColumn="1" w:lastColumn="0" w:noHBand="0" w:noVBand="1"/>
      </w:tblPr>
      <w:tblGrid>
        <w:gridCol w:w="38"/>
        <w:gridCol w:w="3394"/>
        <w:gridCol w:w="37"/>
        <w:gridCol w:w="36"/>
        <w:gridCol w:w="36"/>
        <w:gridCol w:w="36"/>
        <w:gridCol w:w="36"/>
        <w:gridCol w:w="36"/>
        <w:gridCol w:w="165"/>
        <w:gridCol w:w="164"/>
        <w:gridCol w:w="164"/>
        <w:gridCol w:w="164"/>
        <w:gridCol w:w="110"/>
        <w:gridCol w:w="598"/>
        <w:gridCol w:w="36"/>
        <w:gridCol w:w="36"/>
        <w:gridCol w:w="36"/>
        <w:gridCol w:w="36"/>
        <w:gridCol w:w="110"/>
        <w:gridCol w:w="598"/>
        <w:gridCol w:w="36"/>
        <w:gridCol w:w="36"/>
        <w:gridCol w:w="36"/>
        <w:gridCol w:w="36"/>
        <w:gridCol w:w="110"/>
        <w:gridCol w:w="599"/>
        <w:gridCol w:w="36"/>
        <w:gridCol w:w="36"/>
        <w:gridCol w:w="36"/>
        <w:gridCol w:w="36"/>
        <w:gridCol w:w="42"/>
        <w:gridCol w:w="442"/>
        <w:gridCol w:w="170"/>
        <w:gridCol w:w="36"/>
        <w:gridCol w:w="36"/>
        <w:gridCol w:w="36"/>
        <w:gridCol w:w="41"/>
        <w:gridCol w:w="445"/>
        <w:gridCol w:w="170"/>
      </w:tblGrid>
      <w:tr w:rsidR="00000000">
        <w:trPr>
          <w:divId w:val="1484665513"/>
        </w:trPr>
        <w:tc>
          <w:tcPr>
            <w:tcW w:w="50" w:type="pct"/>
            <w:vAlign w:val="center"/>
            <w:hideMark/>
          </w:tcPr>
          <w:p w:rsidR="00000000" w:rsidRDefault="00E0782F">
            <w:pPr>
              <w:rPr>
                <w:rFonts w:eastAsia="Times New Roman"/>
              </w:rPr>
            </w:pPr>
          </w:p>
        </w:tc>
        <w:tc>
          <w:tcPr>
            <w:tcW w:w="229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8466551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Change</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48466551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 vs. 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 vs. 2018</w:t>
            </w:r>
          </w:p>
        </w:tc>
      </w:tr>
      <w:tr w:rsidR="00000000">
        <w:trPr>
          <w:divId w:val="14846655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Selected income statement data: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8466551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 (loss)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43 </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4846655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 (loss)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484665513"/>
        </w:trPr>
        <w:tc>
          <w:tcPr>
            <w:tcW w:w="0" w:type="auto"/>
            <w:gridSpan w:val="3"/>
            <w:shd w:val="clear" w:color="auto" w:fill="FFFFFF"/>
            <w:tcMar>
              <w:top w:w="30" w:type="dxa"/>
              <w:left w:w="20" w:type="dxa"/>
              <w:bottom w:w="30" w:type="dxa"/>
              <w:right w:w="20" w:type="dxa"/>
            </w:tcMar>
            <w:vAlign w:val="center"/>
            <w:hideMark/>
          </w:tcPr>
          <w:p w:rsidR="00000000" w:rsidRDefault="00E0782F">
            <w:pPr>
              <w:divId w:val="1905556328"/>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(86)</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846655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(benefit)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484665513"/>
        </w:trPr>
        <w:tc>
          <w:tcPr>
            <w:tcW w:w="0" w:type="auto"/>
            <w:gridSpan w:val="3"/>
            <w:shd w:val="clear" w:color="auto" w:fill="FFFFFF"/>
            <w:tcMar>
              <w:top w:w="30" w:type="dxa"/>
              <w:left w:w="20" w:type="dxa"/>
              <w:bottom w:w="30" w:type="dxa"/>
              <w:right w:w="20" w:type="dxa"/>
            </w:tcMar>
            <w:vAlign w:val="center"/>
            <w:hideMark/>
          </w:tcPr>
          <w:p w:rsidR="00000000" w:rsidRDefault="00E0782F">
            <w:pPr>
              <w:divId w:val="1735160920"/>
              <w:rPr>
                <w:rFonts w:eastAsia="Times New Roman"/>
              </w:rPr>
            </w:pPr>
            <w:r>
              <w:rPr>
                <w:rFonts w:eastAsia="Times New Roman"/>
                <w:color w:val="000000"/>
                <w:sz w:val="18"/>
                <w:szCs w:val="18"/>
              </w:rPr>
              <w:t>Non-interest expens</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846655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8466551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846655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411242651"/>
        <w:rPr>
          <w:rFonts w:eastAsia="Times New Roman"/>
        </w:rPr>
      </w:pPr>
      <w:r>
        <w:rPr>
          <w:rFonts w:eastAsia="Times New Roman"/>
          <w:color w:val="000000"/>
          <w:sz w:val="20"/>
          <w:szCs w:val="20"/>
        </w:rPr>
        <w:t>__________</w:t>
      </w:r>
    </w:p>
    <w:p w:rsidR="00000000" w:rsidRDefault="00E0782F">
      <w:pPr>
        <w:ind w:hanging="360"/>
        <w:jc w:val="both"/>
        <w:divId w:val="47410822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w:t>
      </w:r>
      <w:r>
        <w:rPr>
          <w:rFonts w:eastAsia="Times New Roman"/>
          <w:color w:val="000000"/>
          <w:sz w:val="16"/>
          <w:szCs w:val="16"/>
        </w:rPr>
        <w:t>exempt income, tax credits or other tax benefits. Accordingly, we present our Commercial Banking revenue and yields on a taxable-equivalent basis, calculated using the federal statutory tax rate of (21% for all periods presented) and state taxes where appl</w:t>
      </w:r>
      <w:r>
        <w:rPr>
          <w:rFonts w:eastAsia="Times New Roman"/>
          <w:color w:val="000000"/>
          <w:sz w:val="16"/>
          <w:szCs w:val="16"/>
        </w:rPr>
        <w:t>icable, with offsetting reductions to the Other category.</w:t>
      </w:r>
    </w:p>
    <w:p w:rsidR="00000000" w:rsidRDefault="00E0782F">
      <w:pPr>
        <w:ind w:hanging="360"/>
        <w:jc w:val="both"/>
        <w:divId w:val="9274249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legal reserve builds of $313 million and net Cybersecurity Incident expenses of $27 million in 2020.</w:t>
      </w:r>
    </w:p>
    <w:p w:rsidR="00000000" w:rsidRDefault="00E0782F">
      <w:pPr>
        <w:ind w:hanging="360"/>
        <w:jc w:val="both"/>
        <w:divId w:val="1707217458"/>
        <w:rPr>
          <w:rFonts w:eastAsia="Times New Roman"/>
        </w:rPr>
      </w:pPr>
      <w:r>
        <w:rPr>
          <w:rFonts w:eastAsia="Times New Roman"/>
          <w:color w:val="000000"/>
          <w:sz w:val="16"/>
          <w:szCs w:val="16"/>
        </w:rPr>
        <w:t>**    Not meaningful.</w:t>
      </w:r>
    </w:p>
    <w:p w:rsidR="00000000" w:rsidRDefault="00E0782F">
      <w:pPr>
        <w:jc w:val="both"/>
        <w:divId w:val="666254813"/>
        <w:rPr>
          <w:rFonts w:eastAsia="Times New Roman"/>
        </w:rPr>
      </w:pPr>
      <w:r>
        <w:rPr>
          <w:rFonts w:eastAsia="Times New Roman"/>
          <w:color w:val="000000"/>
          <w:sz w:val="20"/>
          <w:szCs w:val="20"/>
        </w:rPr>
        <w:t>Net loss from continuing operations was $76 million and $14 mil</w:t>
      </w:r>
      <w:r>
        <w:rPr>
          <w:rFonts w:eastAsia="Times New Roman"/>
          <w:color w:val="000000"/>
          <w:sz w:val="20"/>
          <w:szCs w:val="20"/>
        </w:rPr>
        <w:t>lion in 2020 and 2019, respectively, primarily driven by lower net interest income due to the decline in market interest rates and funding demands by our segments and increased non-interest expense resulting from legal reserve builds, partially offset by a</w:t>
      </w:r>
      <w:r>
        <w:rPr>
          <w:rFonts w:eastAsia="Times New Roman"/>
          <w:color w:val="000000"/>
          <w:sz w:val="20"/>
          <w:szCs w:val="20"/>
        </w:rPr>
        <w:t xml:space="preserve"> gain of $535 million on our equity investment in Snowflake Inc.</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53750089"/>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5375008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CRITICAL ACCOUNTING POLICIES AND ESTIMATES</w:t>
            </w:r>
          </w:p>
        </w:tc>
      </w:tr>
    </w:tbl>
    <w:p w:rsidR="00000000" w:rsidRDefault="00E0782F">
      <w:pPr>
        <w:jc w:val="both"/>
        <w:divId w:val="1173956786"/>
        <w:rPr>
          <w:rFonts w:eastAsia="Times New Roman"/>
        </w:rPr>
      </w:pPr>
      <w:r>
        <w:rPr>
          <w:rFonts w:eastAsia="Times New Roman"/>
          <w:color w:val="000000"/>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eastAsia="Times New Roman"/>
          <w:color w:val="000000"/>
          <w:sz w:val="20"/>
          <w:szCs w:val="20"/>
        </w:rPr>
        <w:t xml:space="preserve">nderstanding our accounting policies and the extent to which we use management judgment and estimates in applying these policies is integral to understanding our financial statements. We provide a summary of our significant accounting policies under “Note </w:t>
      </w:r>
      <w:r>
        <w:rPr>
          <w:rFonts w:eastAsia="Times New Roman"/>
          <w:color w:val="000000"/>
          <w:sz w:val="20"/>
          <w:szCs w:val="20"/>
        </w:rPr>
        <w:t>1—Summary of Significant Accounting Policies”.</w:t>
      </w:r>
    </w:p>
    <w:p w:rsidR="00000000" w:rsidRDefault="00E0782F">
      <w:pPr>
        <w:jc w:val="both"/>
        <w:divId w:val="1464931683"/>
        <w:rPr>
          <w:rFonts w:eastAsia="Times New Roman"/>
        </w:rPr>
      </w:pPr>
      <w:r>
        <w:rPr>
          <w:rFonts w:eastAsia="Times New Roman"/>
          <w:color w:val="000000"/>
          <w:sz w:val="20"/>
          <w:szCs w:val="20"/>
        </w:rPr>
        <w:t>We have identified the following accounting estimates as critical because they require significant judgments and assumptions about highly complex and inherently uncertain matters and the use of reasonably diff</w:t>
      </w:r>
      <w:r>
        <w:rPr>
          <w:rFonts w:eastAsia="Times New Roman"/>
          <w:color w:val="000000"/>
          <w:sz w:val="20"/>
          <w:szCs w:val="20"/>
        </w:rPr>
        <w:t>erent estimates and assumptions could have a material impact on our results of operations or financial condition. Our critical accounting policies and estimates are as follows:</w:t>
      </w:r>
    </w:p>
    <w:p w:rsidR="00000000" w:rsidRDefault="00E0782F">
      <w:pPr>
        <w:ind w:hanging="360"/>
        <w:divId w:val="2131509042"/>
        <w:rPr>
          <w:rFonts w:eastAsia="Times New Roman"/>
        </w:rPr>
      </w:pPr>
      <w:r>
        <w:rPr>
          <w:rFonts w:eastAsia="Times New Roman"/>
          <w:color w:val="000000"/>
          <w:sz w:val="20"/>
          <w:szCs w:val="20"/>
        </w:rPr>
        <w:t>•Loan loss reserves</w:t>
      </w:r>
    </w:p>
    <w:p w:rsidR="00000000" w:rsidRDefault="00E0782F">
      <w:pPr>
        <w:ind w:hanging="360"/>
        <w:divId w:val="1952786517"/>
        <w:rPr>
          <w:rFonts w:eastAsia="Times New Roman"/>
        </w:rPr>
      </w:pPr>
      <w:r>
        <w:rPr>
          <w:rFonts w:eastAsia="Times New Roman"/>
          <w:color w:val="000000"/>
          <w:sz w:val="20"/>
          <w:szCs w:val="20"/>
        </w:rPr>
        <w:t>•Asset impairment</w:t>
      </w:r>
    </w:p>
    <w:p w:rsidR="00000000" w:rsidRDefault="00E0782F">
      <w:pPr>
        <w:ind w:hanging="360"/>
        <w:divId w:val="1371031453"/>
        <w:rPr>
          <w:rFonts w:eastAsia="Times New Roman"/>
        </w:rPr>
      </w:pPr>
      <w:r>
        <w:rPr>
          <w:rFonts w:eastAsia="Times New Roman"/>
          <w:color w:val="000000"/>
          <w:sz w:val="20"/>
          <w:szCs w:val="20"/>
        </w:rPr>
        <w:t>•Fair value of financial instruments</w:t>
      </w:r>
    </w:p>
    <w:p w:rsidR="00000000" w:rsidRDefault="00E0782F">
      <w:pPr>
        <w:ind w:hanging="360"/>
        <w:divId w:val="2005082331"/>
        <w:rPr>
          <w:rFonts w:eastAsia="Times New Roman"/>
        </w:rPr>
      </w:pPr>
      <w:r>
        <w:rPr>
          <w:rFonts w:eastAsia="Times New Roman"/>
          <w:color w:val="000000"/>
          <w:sz w:val="20"/>
          <w:szCs w:val="20"/>
        </w:rPr>
        <w:t>•Cus</w:t>
      </w:r>
      <w:r>
        <w:rPr>
          <w:rFonts w:eastAsia="Times New Roman"/>
          <w:color w:val="000000"/>
          <w:sz w:val="20"/>
          <w:szCs w:val="20"/>
        </w:rPr>
        <w:t>tomer rewards reserve</w:t>
      </w:r>
    </w:p>
    <w:p w:rsidR="00000000" w:rsidRDefault="00E0782F">
      <w:pPr>
        <w:jc w:val="both"/>
        <w:divId w:val="1925918966"/>
        <w:rPr>
          <w:rFonts w:eastAsia="Times New Roman"/>
        </w:rPr>
      </w:pPr>
      <w:r>
        <w:rPr>
          <w:rFonts w:eastAsia="Times New Roman"/>
          <w:color w:val="000000"/>
          <w:sz w:val="20"/>
          <w:szCs w:val="20"/>
        </w:rPr>
        <w:t>We evaluate our critical accounting estimates and judgments on an ongoing basis and update them as necessary, based on changing conditions.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2442335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24423354"/>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2442335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2" style="width:0;height:1.5pt" o:hralign="center" o:hrstd="t" o:hr="t" fillcolor="#a0a0a0" stroked="f"/>
        </w:pict>
      </w:r>
    </w:p>
    <w:p w:rsidR="00000000" w:rsidRDefault="00E0782F">
      <w:pPr>
        <w:ind w:hanging="360"/>
        <w:jc w:val="both"/>
        <w:divId w:val="57941334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637954004"/>
        <w:rPr>
          <w:rFonts w:eastAsia="Times New Roman"/>
        </w:rPr>
      </w:pPr>
      <w:r>
        <w:rPr>
          <w:rFonts w:eastAsia="Times New Roman"/>
          <w:b/>
          <w:bCs/>
          <w:color w:val="000000"/>
          <w:sz w:val="20"/>
          <w:szCs w:val="20"/>
        </w:rPr>
        <w:t>Loan Loss Reserves</w:t>
      </w:r>
    </w:p>
    <w:p w:rsidR="00000000" w:rsidRDefault="00E0782F">
      <w:pPr>
        <w:jc w:val="both"/>
        <w:rPr>
          <w:rFonts w:eastAsia="Times New Roman"/>
        </w:rPr>
      </w:pPr>
      <w:r>
        <w:rPr>
          <w:rFonts w:eastAsia="Times New Roman"/>
          <w:color w:val="000000"/>
          <w:sz w:val="20"/>
          <w:szCs w:val="20"/>
        </w:rPr>
        <w:t>In the first quarter of 2020, we adopted the CECL standard and updated our critical accounting policy and estimate for loan loss reserves. We maintain an allowance for credit losses that represents management’s current estimate of expected credit losses in</w:t>
      </w:r>
      <w:r>
        <w:rPr>
          <w:rFonts w:eastAsia="Times New Roman"/>
          <w:color w:val="000000"/>
          <w:sz w:val="20"/>
          <w:szCs w:val="20"/>
        </w:rPr>
        <w:t xml:space="preserve">herent in our credit card, consumer banking and commercial banking loans held for investment portfolios as of each balance sheet date. We also separately reserve for unfunded lending commitments that are not unconditionally cancellable. For all such loans </w:t>
      </w:r>
      <w:r>
        <w:rPr>
          <w:rFonts w:eastAsia="Times New Roman"/>
          <w:color w:val="000000"/>
          <w:sz w:val="20"/>
          <w:szCs w:val="20"/>
        </w:rPr>
        <w:t>and unfunded lending commitments, our estimate of expected credit losses includes a reasonable and supportable forecast period of one year and then reverts over a one-year period to historical losses at each relevant loss component of the estimate. We buil</w:t>
      </w:r>
      <w:r>
        <w:rPr>
          <w:rFonts w:eastAsia="Times New Roman"/>
          <w:color w:val="000000"/>
          <w:sz w:val="20"/>
          <w:szCs w:val="20"/>
        </w:rPr>
        <w:t xml:space="preserve">d our allowance for credit losses and reserve for unfunded lending commitments through the provision for credit losses, which is driven by charge-offs, changes in the allowance for credit losses and changes in the reserve for unfunded lending commitments. </w:t>
      </w:r>
      <w:r>
        <w:rPr>
          <w:rFonts w:eastAsia="Times New Roman"/>
          <w:color w:val="000000"/>
          <w:sz w:val="20"/>
          <w:szCs w:val="20"/>
        </w:rPr>
        <w:t>The allowance for credit losses was $15.6 billion as of December 31, 2020, compared to $7.2 billion as of December 31, 2019. In periods prior to 2020, the allowance for loan and lease losses represented management’s estimate of incurred loan and lease loss</w:t>
      </w:r>
      <w:r>
        <w:rPr>
          <w:rFonts w:eastAsia="Times New Roman"/>
          <w:color w:val="000000"/>
          <w:sz w:val="20"/>
          <w:szCs w:val="20"/>
        </w:rPr>
        <w:t xml:space="preserve">es as fully described in “Note 1—Summary of Significant Accounting Policies” in our Annual Report on Form 10-K for the fiscal year ended December 31, 2019. </w:t>
      </w:r>
    </w:p>
    <w:p w:rsidR="00000000" w:rsidRDefault="00E0782F">
      <w:pPr>
        <w:jc w:val="both"/>
        <w:divId w:val="512843749"/>
        <w:rPr>
          <w:rFonts w:eastAsia="Times New Roman"/>
        </w:rPr>
      </w:pPr>
      <w:r>
        <w:rPr>
          <w:rFonts w:eastAsia="Times New Roman"/>
          <w:color w:val="000000"/>
          <w:sz w:val="20"/>
          <w:szCs w:val="20"/>
        </w:rPr>
        <w:t>We have an established process, using analytical tools and management judgment, to determine our al</w:t>
      </w:r>
      <w:r>
        <w:rPr>
          <w:rFonts w:eastAsia="Times New Roman"/>
          <w:color w:val="000000"/>
          <w:sz w:val="20"/>
          <w:szCs w:val="20"/>
        </w:rPr>
        <w:t xml:space="preserve">lowance for credit losses. Establishing the allowance on a quarterly basis involves evaluating many factors including, but not limited to, historical loss and recovery experience, recent trends in delinquencies and charge-offs, risk ratings, the impact of </w:t>
      </w:r>
      <w:r>
        <w:rPr>
          <w:rFonts w:eastAsia="Times New Roman"/>
          <w:color w:val="000000"/>
          <w:sz w:val="20"/>
          <w:szCs w:val="20"/>
        </w:rPr>
        <w:t>bankruptcy filings, the value of collateral underlying secured loans, account seasoning, changes in our credit evaluation, underwriting and collection management policies, seasonality, credit bureau scores, current general economic conditions, our reasonab</w:t>
      </w:r>
      <w:r>
        <w:rPr>
          <w:rFonts w:eastAsia="Times New Roman"/>
          <w:color w:val="000000"/>
          <w:sz w:val="20"/>
          <w:szCs w:val="20"/>
        </w:rPr>
        <w:t>le and supportable forecasts of future economic conditions, changes in the legal and regulatory environment and uncertainties in forecasting and modeling techniques used in estimating our allowance for credit losses. Key factors that have a significant imp</w:t>
      </w:r>
      <w:r>
        <w:rPr>
          <w:rFonts w:eastAsia="Times New Roman"/>
          <w:color w:val="000000"/>
          <w:sz w:val="20"/>
          <w:szCs w:val="20"/>
        </w:rPr>
        <w:t>act on our allowance for credit losses include assumptions about employment levels, home prices and the valuation of commercial properties, automobiles and other collateral.</w:t>
      </w:r>
    </w:p>
    <w:p w:rsidR="00000000" w:rsidRDefault="00E0782F">
      <w:pPr>
        <w:jc w:val="both"/>
        <w:divId w:val="1950117289"/>
        <w:rPr>
          <w:rFonts w:eastAsia="Times New Roman"/>
        </w:rPr>
      </w:pPr>
      <w:r>
        <w:rPr>
          <w:rFonts w:eastAsia="Times New Roman"/>
          <w:color w:val="000000"/>
          <w:sz w:val="20"/>
          <w:szCs w:val="20"/>
        </w:rPr>
        <w:t>We have a governance framework intended to ensure that our estimate of the allowan</w:t>
      </w:r>
      <w:r>
        <w:rPr>
          <w:rFonts w:eastAsia="Times New Roman"/>
          <w:color w:val="000000"/>
          <w:sz w:val="20"/>
          <w:szCs w:val="20"/>
        </w:rPr>
        <w:t>ce for credit losses is appropriate. Our governance framework provides for oversight of methods, models, qualitative adjustments, process controls and results. At least quarterly, representatives from the Finance and Risk Management organizations review an</w:t>
      </w:r>
      <w:r>
        <w:rPr>
          <w:rFonts w:eastAsia="Times New Roman"/>
          <w:color w:val="000000"/>
          <w:sz w:val="20"/>
          <w:szCs w:val="20"/>
        </w:rPr>
        <w:t>d assess our allowance methodologies, key assumptions and the appropriateness of the allowance for credit losses.</w:t>
      </w:r>
    </w:p>
    <w:p w:rsidR="00000000" w:rsidRDefault="00E0782F">
      <w:pPr>
        <w:jc w:val="both"/>
        <w:divId w:val="507603898"/>
        <w:rPr>
          <w:rFonts w:eastAsia="Times New Roman"/>
        </w:rPr>
      </w:pPr>
      <w:r>
        <w:rPr>
          <w:rFonts w:eastAsia="Times New Roman"/>
          <w:color w:val="000000"/>
          <w:sz w:val="20"/>
          <w:szCs w:val="20"/>
        </w:rPr>
        <w:t>Groups independent of our estimation functions participate in the review and validation process. Tasks performed by these groups include perio</w:t>
      </w:r>
      <w:r>
        <w:rPr>
          <w:rFonts w:eastAsia="Times New Roman"/>
          <w:color w:val="000000"/>
          <w:sz w:val="20"/>
          <w:szCs w:val="20"/>
        </w:rPr>
        <w:t>dic review of the rationale for and quantification of inputs requiring judgment as well as adjustments to results.</w:t>
      </w:r>
    </w:p>
    <w:p w:rsidR="00000000" w:rsidRDefault="00E0782F">
      <w:pPr>
        <w:jc w:val="both"/>
        <w:divId w:val="1502969591"/>
        <w:rPr>
          <w:rFonts w:eastAsia="Times New Roman"/>
        </w:rPr>
      </w:pPr>
      <w:r>
        <w:rPr>
          <w:rFonts w:eastAsia="Times New Roman"/>
          <w:color w:val="000000"/>
          <w:sz w:val="20"/>
          <w:szCs w:val="20"/>
        </w:rPr>
        <w:t>We have a model policy, established by an independent Model Risk Office, which governs the validation of models and related supporting docume</w:t>
      </w:r>
      <w:r>
        <w:rPr>
          <w:rFonts w:eastAsia="Times New Roman"/>
          <w:color w:val="000000"/>
          <w:sz w:val="20"/>
          <w:szCs w:val="20"/>
        </w:rPr>
        <w:t>ntation to ensure the appropriate use of models for estimating credit losses. The Model Risk Office validates all models and requires ongoing monitoring of their performance.</w:t>
      </w:r>
    </w:p>
    <w:p w:rsidR="00000000" w:rsidRDefault="00E0782F">
      <w:pPr>
        <w:jc w:val="both"/>
        <w:divId w:val="92669430"/>
        <w:rPr>
          <w:rFonts w:eastAsia="Times New Roman"/>
        </w:rPr>
      </w:pPr>
      <w:r>
        <w:rPr>
          <w:rFonts w:eastAsia="Times New Roman"/>
          <w:color w:val="000000"/>
          <w:sz w:val="20"/>
          <w:szCs w:val="20"/>
        </w:rPr>
        <w:t>In addition to the allowance for credit losses, on a quarterly basis, we review a</w:t>
      </w:r>
      <w:r>
        <w:rPr>
          <w:rFonts w:eastAsia="Times New Roman"/>
          <w:color w:val="000000"/>
          <w:sz w:val="20"/>
          <w:szCs w:val="20"/>
        </w:rPr>
        <w:t xml:space="preserve">nd assess our estimate of expected losses related to unfunded lending commitments that are not unconditionally cancellable. The factors impacting our assessment generally align with those considered in our evaluation of the allowance for credit losses for </w:t>
      </w:r>
      <w:r>
        <w:rPr>
          <w:rFonts w:eastAsia="Times New Roman"/>
          <w:color w:val="000000"/>
          <w:sz w:val="20"/>
          <w:szCs w:val="20"/>
        </w:rPr>
        <w:t>the Commercial Banking business. Changes to the reserve for losses on unfunded lending commitments are recorded through the provision for credit losses in the consolidated statements of income and to other liabilities on the consolidated balance sheets.</w:t>
      </w:r>
    </w:p>
    <w:p w:rsidR="00000000" w:rsidRDefault="00E0782F">
      <w:pPr>
        <w:jc w:val="both"/>
        <w:divId w:val="723602772"/>
        <w:rPr>
          <w:rFonts w:eastAsia="Times New Roman"/>
        </w:rPr>
      </w:pPr>
      <w:r>
        <w:rPr>
          <w:rFonts w:eastAsia="Times New Roman"/>
          <w:color w:val="000000"/>
          <w:sz w:val="20"/>
          <w:szCs w:val="20"/>
        </w:rPr>
        <w:t>Al</w:t>
      </w:r>
      <w:r>
        <w:rPr>
          <w:rFonts w:eastAsia="Times New Roman"/>
          <w:color w:val="000000"/>
          <w:sz w:val="20"/>
          <w:szCs w:val="20"/>
        </w:rPr>
        <w:t>though we examine a variety of externally available data, as well as our internal loan performance data, to determine our allowance for credit losses and reserve for unfunded lending commitments, our estimation process is subject to risks and uncertainties</w:t>
      </w:r>
      <w:r>
        <w:rPr>
          <w:rFonts w:eastAsia="Times New Roman"/>
          <w:color w:val="000000"/>
          <w:sz w:val="20"/>
          <w:szCs w:val="20"/>
        </w:rPr>
        <w:t xml:space="preserve">, including a reliance on historical loss and trend information that may not be representative of current conditions and indicative of future performance as well as economic forecasts that may not align with actual future economic conditions. Accordingly, </w:t>
      </w:r>
      <w:r>
        <w:rPr>
          <w:rFonts w:eastAsia="Times New Roman"/>
          <w:color w:val="000000"/>
          <w:sz w:val="20"/>
          <w:szCs w:val="20"/>
        </w:rPr>
        <w:t>our actual credit loss experience may not be in line with our expectations. We provide additional information on the methodologies and key assumptions used in determining our allowance for credit losses for each of our loan portfolio segments in “Note 1—Su</w:t>
      </w:r>
      <w:r>
        <w:rPr>
          <w:rFonts w:eastAsia="Times New Roman"/>
          <w:color w:val="000000"/>
          <w:sz w:val="20"/>
          <w:szCs w:val="20"/>
        </w:rPr>
        <w:t>mmary of Significant Accounting Policies.” We provide information on the components of our allowance, disaggregated by impairment methodology, and changes in our allowance in “Note 4—Allowance for Credit Losses and Reserve for Unfunded Lending Commitments.</w:t>
      </w:r>
      <w:r>
        <w:rPr>
          <w:rFonts w:eastAsia="Times New Roman"/>
          <w:color w:val="000000"/>
          <w:sz w:val="20"/>
          <w:szCs w:val="20"/>
        </w:rPr>
        <w:t>”</w:t>
      </w:r>
    </w:p>
    <w:p w:rsidR="00000000" w:rsidRDefault="00E0782F">
      <w:pPr>
        <w:divId w:val="783504340"/>
        <w:rPr>
          <w:rFonts w:eastAsia="Times New Roman"/>
        </w:rPr>
      </w:pPr>
      <w:r>
        <w:rPr>
          <w:rFonts w:eastAsia="Times New Roman"/>
          <w:b/>
          <w:bCs/>
          <w:i/>
          <w:iCs/>
          <w:color w:val="000000"/>
          <w:sz w:val="20"/>
          <w:szCs w:val="20"/>
        </w:rPr>
        <w:t>Finance Charge and Fee Reserves</w:t>
      </w:r>
    </w:p>
    <w:p w:rsidR="00000000" w:rsidRDefault="00E0782F">
      <w:pPr>
        <w:jc w:val="both"/>
        <w:divId w:val="2096432243"/>
        <w:rPr>
          <w:rFonts w:eastAsia="Times New Roman"/>
        </w:rPr>
      </w:pPr>
      <w:r>
        <w:rPr>
          <w:rFonts w:eastAsia="Times New Roman"/>
          <w:color w:val="000000"/>
          <w:sz w:val="20"/>
          <w:szCs w:val="20"/>
        </w:rPr>
        <w:t xml:space="preserve">Finance charges and fees on credit card loans are recorded in revenue when earned. Billed finance charges and fees on credit card loans are included in loans held for investment while unbilled finance charges and fees are </w:t>
      </w:r>
      <w:r>
        <w:rPr>
          <w:rFonts w:eastAsia="Times New Roman"/>
          <w:color w:val="000000"/>
          <w:sz w:val="20"/>
          <w:szCs w:val="20"/>
        </w:rPr>
        <w:t xml:space="preserve">included in interest receivable.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0008002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0008002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0008002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3" style="width:0;height:1.5pt" o:hralign="center" o:hrstd="t" o:hr="t" fillcolor="#a0a0a0" stroked="f"/>
        </w:pict>
      </w:r>
    </w:p>
    <w:p w:rsidR="00000000" w:rsidRDefault="00E0782F">
      <w:pPr>
        <w:ind w:hanging="360"/>
        <w:jc w:val="both"/>
        <w:divId w:val="192880974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129204883"/>
        <w:rPr>
          <w:rFonts w:eastAsia="Times New Roman"/>
        </w:rPr>
      </w:pPr>
      <w:r>
        <w:rPr>
          <w:rFonts w:eastAsia="Times New Roman"/>
          <w:color w:val="000000"/>
          <w:sz w:val="20"/>
          <w:szCs w:val="20"/>
        </w:rPr>
        <w:t>We continue to accrue finance charges and fees on credit card loans until the account is charged off. We estimate the uncollectible portion of finance charges and fees in our finance charge and fee reserve. Billed finance charges and fees that are ultimate</w:t>
      </w:r>
      <w:r>
        <w:rPr>
          <w:rFonts w:eastAsia="Times New Roman"/>
          <w:color w:val="000000"/>
          <w:sz w:val="20"/>
          <w:szCs w:val="20"/>
        </w:rPr>
        <w:t>ly charged-off as uncollectible are reflected as a reduction to revenue.</w:t>
      </w:r>
    </w:p>
    <w:p w:rsidR="00000000" w:rsidRDefault="00E0782F">
      <w:pPr>
        <w:jc w:val="both"/>
        <w:divId w:val="1258295468"/>
        <w:rPr>
          <w:rFonts w:eastAsia="Times New Roman"/>
        </w:rPr>
      </w:pPr>
      <w:r>
        <w:rPr>
          <w:rFonts w:eastAsia="Times New Roman"/>
          <w:color w:val="000000"/>
          <w:sz w:val="20"/>
          <w:szCs w:val="20"/>
        </w:rPr>
        <w:t xml:space="preserve">Concurrent with our adoption of the CECL standard in the first quarter of 2020, we reclassified our finance charge and fee reserve of $462 million to our allowance for credit losses, </w:t>
      </w:r>
      <w:r>
        <w:rPr>
          <w:rFonts w:eastAsia="Times New Roman"/>
          <w:color w:val="000000"/>
          <w:sz w:val="20"/>
          <w:szCs w:val="20"/>
        </w:rPr>
        <w:t>with a corresponding increase to credit card loans held for investment. We review and assess the appropriateness of our finance charge and fee reserve on a quarterly basis. Our methodology for estimating the uncollectible portion of finance charges and fee</w:t>
      </w:r>
      <w:r>
        <w:rPr>
          <w:rFonts w:eastAsia="Times New Roman"/>
          <w:color w:val="000000"/>
          <w:sz w:val="20"/>
          <w:szCs w:val="20"/>
        </w:rPr>
        <w:t>s is consistent with the methodology we use to estimate the allowance for credit losses on the principal portion of our credit card loan receivables.</w:t>
      </w:r>
    </w:p>
    <w:p w:rsidR="00000000" w:rsidRDefault="00E0782F">
      <w:pPr>
        <w:divId w:val="514732234"/>
        <w:rPr>
          <w:rFonts w:eastAsia="Times New Roman"/>
        </w:rPr>
      </w:pPr>
      <w:r>
        <w:rPr>
          <w:rFonts w:eastAsia="Times New Roman"/>
          <w:b/>
          <w:bCs/>
          <w:color w:val="000000"/>
          <w:sz w:val="20"/>
          <w:szCs w:val="20"/>
        </w:rPr>
        <w:t>Asset Impairment</w:t>
      </w:r>
    </w:p>
    <w:p w:rsidR="00000000" w:rsidRDefault="00E0782F">
      <w:pPr>
        <w:jc w:val="both"/>
        <w:divId w:val="1162040563"/>
        <w:rPr>
          <w:rFonts w:eastAsia="Times New Roman"/>
        </w:rPr>
      </w:pPr>
      <w:r>
        <w:rPr>
          <w:rFonts w:eastAsia="Times New Roman"/>
          <w:color w:val="000000"/>
          <w:sz w:val="20"/>
          <w:szCs w:val="20"/>
        </w:rPr>
        <w:t>In addition to our loan portfolio, we review other assets for impairment on a regular bas</w:t>
      </w:r>
      <w:r>
        <w:rPr>
          <w:rFonts w:eastAsia="Times New Roman"/>
          <w:color w:val="000000"/>
          <w:sz w:val="20"/>
          <w:szCs w:val="20"/>
        </w:rPr>
        <w:t>is in accordance with applicable accounting guidance. This process requires significant management judgment and involves various estimates and assumptions.</w:t>
      </w:r>
    </w:p>
    <w:p w:rsidR="00000000" w:rsidRDefault="00E0782F">
      <w:pPr>
        <w:divId w:val="371810906"/>
        <w:rPr>
          <w:rFonts w:eastAsia="Times New Roman"/>
        </w:rPr>
      </w:pPr>
      <w:r>
        <w:rPr>
          <w:rFonts w:eastAsia="Times New Roman"/>
          <w:b/>
          <w:bCs/>
          <w:i/>
          <w:iCs/>
          <w:color w:val="000000"/>
          <w:sz w:val="20"/>
          <w:szCs w:val="20"/>
        </w:rPr>
        <w:t xml:space="preserve">Goodwill </w:t>
      </w:r>
    </w:p>
    <w:p w:rsidR="00000000" w:rsidRDefault="00E0782F">
      <w:pPr>
        <w:jc w:val="both"/>
        <w:divId w:val="1207991056"/>
        <w:rPr>
          <w:rFonts w:eastAsia="Times New Roman"/>
        </w:rPr>
      </w:pPr>
      <w:r>
        <w:rPr>
          <w:rFonts w:eastAsia="Times New Roman"/>
          <w:color w:val="000000"/>
          <w:sz w:val="20"/>
          <w:szCs w:val="20"/>
        </w:rPr>
        <w:t>Goodwill represents the excess of the fair value of the consideration transferred, plus th</w:t>
      </w:r>
      <w:r>
        <w:rPr>
          <w:rFonts w:eastAsia="Times New Roman"/>
          <w:color w:val="000000"/>
          <w:sz w:val="20"/>
          <w:szCs w:val="20"/>
        </w:rPr>
        <w:t xml:space="preserve">e fair value of any non-controlling interests in the acquiree, over the fair value of the net assets acquired and liabilities assumed as of the acquisition date. </w:t>
      </w:r>
    </w:p>
    <w:p w:rsidR="00000000" w:rsidRDefault="00E0782F">
      <w:pPr>
        <w:jc w:val="both"/>
        <w:divId w:val="1026636832"/>
        <w:rPr>
          <w:rFonts w:eastAsia="Times New Roman"/>
        </w:rPr>
      </w:pPr>
      <w:r>
        <w:rPr>
          <w:rFonts w:eastAsia="Times New Roman"/>
          <w:color w:val="000000"/>
          <w:sz w:val="20"/>
          <w:szCs w:val="20"/>
        </w:rPr>
        <w:t>Goodwill totaled $14.7 billion as of both December 31, 2020 and 2019. We did not recognize an</w:t>
      </w:r>
      <w:r>
        <w:rPr>
          <w:rFonts w:eastAsia="Times New Roman"/>
          <w:color w:val="000000"/>
          <w:sz w:val="20"/>
          <w:szCs w:val="20"/>
        </w:rPr>
        <w:t>y goodwill impairment in 2020 and 2019. See “Note 6—Goodwill and Intangible Assets” for additional information.</w:t>
      </w:r>
    </w:p>
    <w:p w:rsidR="00000000" w:rsidRDefault="00E0782F">
      <w:pPr>
        <w:jc w:val="both"/>
        <w:divId w:val="892081093"/>
        <w:rPr>
          <w:rFonts w:eastAsia="Times New Roman"/>
        </w:rPr>
      </w:pPr>
      <w:r>
        <w:rPr>
          <w:rFonts w:eastAsia="Times New Roman"/>
          <w:color w:val="000000"/>
          <w:sz w:val="20"/>
          <w:szCs w:val="20"/>
        </w:rPr>
        <w:t>We perform our goodwill impairment test annually on October 1 at a reporting unit level. We are also required to test goodwill for impairment wh</w:t>
      </w:r>
      <w:r>
        <w:rPr>
          <w:rFonts w:eastAsia="Times New Roman"/>
          <w:color w:val="000000"/>
          <w:sz w:val="20"/>
          <w:szCs w:val="20"/>
        </w:rPr>
        <w:t xml:space="preserve">enever events or circumstances indicate it is more-likely-than-not that an impairment may have occurred. We have four reporting units: Credit Card, Auto Finance, Other Consumer Banking and Commercial Banking. </w:t>
      </w:r>
    </w:p>
    <w:p w:rsidR="00000000" w:rsidRDefault="00E0782F">
      <w:pPr>
        <w:jc w:val="both"/>
        <w:divId w:val="1888561353"/>
        <w:rPr>
          <w:rFonts w:eastAsia="Times New Roman"/>
        </w:rPr>
      </w:pPr>
      <w:r>
        <w:rPr>
          <w:rFonts w:eastAsia="Times New Roman"/>
          <w:color w:val="000000"/>
          <w:sz w:val="20"/>
          <w:szCs w:val="20"/>
        </w:rPr>
        <w:t>In the first quarter of 2020, we adopted Accou</w:t>
      </w:r>
      <w:r>
        <w:rPr>
          <w:rFonts w:eastAsia="Times New Roman"/>
          <w:color w:val="000000"/>
          <w:sz w:val="20"/>
          <w:szCs w:val="20"/>
        </w:rPr>
        <w:t xml:space="preserve">nting Standards Update (“ASU”) No. 2017-04, Intangibles—Goodwill and Other (Topic 350): </w:t>
      </w:r>
      <w:r>
        <w:rPr>
          <w:rFonts w:eastAsia="Times New Roman"/>
          <w:i/>
          <w:iCs/>
          <w:color w:val="000000"/>
          <w:sz w:val="20"/>
          <w:szCs w:val="20"/>
        </w:rPr>
        <w:t>Simplifying the Test for Goodwill Impairment</w:t>
      </w:r>
      <w:r>
        <w:rPr>
          <w:rFonts w:eastAsia="Times New Roman"/>
          <w:color w:val="000000"/>
          <w:sz w:val="20"/>
          <w:szCs w:val="20"/>
        </w:rPr>
        <w:t>. Under the new guidance, an impairment of a reporting unit’s goodwill is determined based on the amount by which the report</w:t>
      </w:r>
      <w:r>
        <w:rPr>
          <w:rFonts w:eastAsia="Times New Roman"/>
          <w:color w:val="000000"/>
          <w:sz w:val="20"/>
          <w:szCs w:val="20"/>
        </w:rPr>
        <w:t>ing unit’s carrying value exceeds its fair value, limited to the amount of goodwill allocated to the reporting unit.</w:t>
      </w:r>
    </w:p>
    <w:p w:rsidR="00000000" w:rsidRDefault="00E0782F">
      <w:pPr>
        <w:jc w:val="both"/>
        <w:divId w:val="1114206078"/>
        <w:rPr>
          <w:rFonts w:eastAsia="Times New Roman"/>
        </w:rPr>
      </w:pPr>
      <w:r>
        <w:rPr>
          <w:rFonts w:eastAsia="Times New Roman"/>
          <w:color w:val="000000"/>
          <w:sz w:val="20"/>
          <w:szCs w:val="20"/>
        </w:rPr>
        <w:t>For the purpose of our goodwill impairment testing, we calculate the carrying amount of a reporting unit using an allocated capital approach based on each reporting unit’s specific regulatory capital requirements, economic capital requirements and underlyi</w:t>
      </w:r>
      <w:r>
        <w:rPr>
          <w:rFonts w:eastAsia="Times New Roman"/>
          <w:color w:val="000000"/>
          <w:sz w:val="20"/>
          <w:szCs w:val="20"/>
        </w:rPr>
        <w:t>ng risks. The carrying amount for a reporting unit is the sum of its respective capital requirements, goodwill and intangibles balances. Consolidated stockholder’s equity in excess of the sum of all reporting unit’s capital requirements that is not identif</w:t>
      </w:r>
      <w:r>
        <w:rPr>
          <w:rFonts w:eastAsia="Times New Roman"/>
          <w:color w:val="000000"/>
          <w:sz w:val="20"/>
          <w:szCs w:val="20"/>
        </w:rPr>
        <w:t>ied for future capital needs, such as dividends, share buybacks or other strategic initiatives, is allocated to the reporting units and the Other category and assumed distributed to equity holders in future periods.</w:t>
      </w:r>
    </w:p>
    <w:p w:rsidR="00000000" w:rsidRDefault="00E0782F">
      <w:pPr>
        <w:jc w:val="both"/>
        <w:divId w:val="1717730124"/>
        <w:rPr>
          <w:rFonts w:eastAsia="Times New Roman"/>
        </w:rPr>
      </w:pPr>
      <w:r>
        <w:rPr>
          <w:rFonts w:eastAsia="Times New Roman"/>
          <w:color w:val="000000"/>
          <w:sz w:val="20"/>
          <w:szCs w:val="20"/>
        </w:rPr>
        <w:t>Determining the fair value of a reportin</w:t>
      </w:r>
      <w:r>
        <w:rPr>
          <w:rFonts w:eastAsia="Times New Roman"/>
          <w:color w:val="000000"/>
          <w:sz w:val="20"/>
          <w:szCs w:val="20"/>
        </w:rPr>
        <w:t>g unit is a subjective process that requires the use of estimates and the exercise of significant judgment. We calculate the fair value of our reporting units using a discounted cash flow (“DCF”) calculation, a form of the income approach. This DCF calcula</w:t>
      </w:r>
      <w:r>
        <w:rPr>
          <w:rFonts w:eastAsia="Times New Roman"/>
          <w:color w:val="000000"/>
          <w:sz w:val="20"/>
          <w:szCs w:val="20"/>
        </w:rPr>
        <w:t xml:space="preserve">tion uses projected cash flows based on each reporting unit’s internal forecast and the perpetuity growth method to calculate terminal values. Our DCF calculation requires management to make estimates about future loan, deposit and revenue growth, as well </w:t>
      </w:r>
      <w:r>
        <w:rPr>
          <w:rFonts w:eastAsia="Times New Roman"/>
          <w:color w:val="000000"/>
          <w:sz w:val="20"/>
          <w:szCs w:val="20"/>
        </w:rPr>
        <w:t>as credit losses and capital rates. These cash flows and terminal values are then discounted using discount rates based on our external cost of capital with adjustments for the risk inherent in each reporting unit. Discount rates used for our reporting uni</w:t>
      </w:r>
      <w:r>
        <w:rPr>
          <w:rFonts w:eastAsia="Times New Roman"/>
          <w:color w:val="000000"/>
          <w:sz w:val="20"/>
          <w:szCs w:val="20"/>
        </w:rPr>
        <w:t>ts ranged from 8.1% to 14.3%, and we applied a terminal year long-term growth rate of 3.97% to all reporting units. The reasonableness of our DCF calculation is assessed by reference to a market-based approach using comparable market multiples and recent m</w:t>
      </w:r>
      <w:r>
        <w:rPr>
          <w:rFonts w:eastAsia="Times New Roman"/>
          <w:color w:val="000000"/>
          <w:sz w:val="20"/>
          <w:szCs w:val="20"/>
        </w:rPr>
        <w:t>arket transactions where available. The results of the 2020 annual impairment test for the reporting units indicated that the estimated fair values of the Commercial Banking, Credit Card, Auto Finance, and Other Consumer Banking reporting units exceeded th</w:t>
      </w:r>
      <w:r>
        <w:rPr>
          <w:rFonts w:eastAsia="Times New Roman"/>
          <w:color w:val="000000"/>
          <w:sz w:val="20"/>
          <w:szCs w:val="20"/>
        </w:rPr>
        <w:t>eir carrying amounts by between 11% and 273%.</w:t>
      </w:r>
    </w:p>
    <w:p w:rsidR="00000000" w:rsidRDefault="00E0782F">
      <w:pPr>
        <w:jc w:val="both"/>
        <w:divId w:val="1204562777"/>
        <w:rPr>
          <w:rFonts w:eastAsia="Times New Roman"/>
        </w:rPr>
      </w:pPr>
      <w:r>
        <w:rPr>
          <w:rFonts w:eastAsia="Times New Roman"/>
          <w:color w:val="000000"/>
          <w:sz w:val="20"/>
          <w:szCs w:val="20"/>
        </w:rPr>
        <w:t xml:space="preserve">Assumptions used in estimating the fair value of a reporting unit are judgmental and inherently uncertain. A change in the economic conditions of a reporting unit, such as declines in business performance from </w:t>
      </w:r>
      <w:r>
        <w:rPr>
          <w:rFonts w:eastAsia="Times New Roman"/>
          <w:color w:val="000000"/>
          <w:sz w:val="20"/>
          <w:szCs w:val="20"/>
        </w:rPr>
        <w:t>industry or macroeconomic trends or from changes in our strategy, adverse impacts to loan or deposit growth trends, decreases in revenue, increases in expenses, increases in credit losses, increases in capital requirements, deterioration of market conditio</w:t>
      </w:r>
      <w:r>
        <w:rPr>
          <w:rFonts w:eastAsia="Times New Roman"/>
          <w:color w:val="000000"/>
          <w:sz w:val="20"/>
          <w:szCs w:val="20"/>
        </w:rPr>
        <w:t>ns, declines in long-term growth expectations, adverse impacts of regulatory or legislative changes or increases in the estimated cost of capital, including if these conditions are merely forecasted to occur in future periods, could cause the estimated fai</w:t>
      </w:r>
      <w:r>
        <w:rPr>
          <w:rFonts w:eastAsia="Times New Roman"/>
          <w:color w:val="000000"/>
          <w:sz w:val="20"/>
          <w:szCs w:val="20"/>
        </w:rPr>
        <w:t>r values of our reporting units to decline in the future, and increase the risk of a goodwill impairment in a future period.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670019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7670019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7670019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4" style="width:0;height:1.5pt" o:hralign="center" o:hrstd="t" o:hr="t" fillcolor="#a0a0a0" stroked="f"/>
        </w:pict>
      </w:r>
    </w:p>
    <w:p w:rsidR="00000000" w:rsidRDefault="00E0782F">
      <w:pPr>
        <w:ind w:hanging="360"/>
        <w:jc w:val="both"/>
        <w:divId w:val="119164530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524713051"/>
        <w:rPr>
          <w:rFonts w:eastAsia="Times New Roman"/>
        </w:rPr>
      </w:pPr>
      <w:r>
        <w:rPr>
          <w:rFonts w:eastAsia="Times New Roman"/>
          <w:b/>
          <w:bCs/>
          <w:color w:val="000000"/>
          <w:sz w:val="20"/>
          <w:szCs w:val="20"/>
        </w:rPr>
        <w:t>Fair Value</w:t>
      </w:r>
    </w:p>
    <w:p w:rsidR="00000000" w:rsidRDefault="00E0782F">
      <w:pPr>
        <w:jc w:val="both"/>
        <w:divId w:val="861474474"/>
        <w:rPr>
          <w:rFonts w:eastAsia="Times New Roman"/>
        </w:rPr>
      </w:pPr>
      <w:r>
        <w:rPr>
          <w:rFonts w:eastAsia="Times New Roman"/>
          <w:color w:val="000000"/>
          <w:sz w:val="20"/>
          <w:szCs w:val="20"/>
        </w:rPr>
        <w:t>Fair value, also referred to as an exit price, is defined as the price that</w:t>
      </w:r>
      <w:r>
        <w:rPr>
          <w:rFonts w:eastAsia="Times New Roman"/>
          <w:color w:val="000000"/>
          <w:sz w:val="20"/>
          <w:szCs w:val="20"/>
        </w:rPr>
        <w:t xml:space="preserve"> would be received for an asset or paid to transfer a liability in an orderly transaction between market participants on the measurement date. The fair value accounting guidance provides a three-level fair value hierarchy for classifying financial instrume</w:t>
      </w:r>
      <w:r>
        <w:rPr>
          <w:rFonts w:eastAsia="Times New Roman"/>
          <w:color w:val="000000"/>
          <w:sz w:val="20"/>
          <w:szCs w:val="20"/>
        </w:rPr>
        <w:t xml:space="preserve">nts. This hierarchy is based on the markets in which the assets or liabilities trade and whether the inputs to the valuation techniques used to measure fair value are observable or unobservable. The fair value measurement of a financial asset or liability </w:t>
      </w:r>
      <w:r>
        <w:rPr>
          <w:rFonts w:eastAsia="Times New Roman"/>
          <w:color w:val="000000"/>
          <w:sz w:val="20"/>
          <w:szCs w:val="20"/>
        </w:rPr>
        <w:t>is assigned a level based on the lowest level of any input that is significant to the fair value measurement in its entirety. The three levels of the fair value hierarchy are described below:</w:t>
      </w:r>
    </w:p>
    <w:p w:rsidR="00000000" w:rsidRDefault="00E0782F">
      <w:pPr>
        <w:ind w:firstLine="450"/>
        <w:jc w:val="both"/>
        <w:divId w:val="455031330"/>
        <w:rPr>
          <w:rFonts w:eastAsia="Times New Roman"/>
        </w:rPr>
      </w:pPr>
      <w:r>
        <w:rPr>
          <w:rFonts w:eastAsia="Times New Roman"/>
          <w:color w:val="000000"/>
          <w:sz w:val="20"/>
          <w:szCs w:val="20"/>
        </w:rPr>
        <w:t>Level 1: </w:t>
      </w:r>
      <w:r>
        <w:rPr>
          <w:rFonts w:eastAsia="Times New Roman"/>
          <w:color w:val="000000"/>
          <w:sz w:val="20"/>
          <w:szCs w:val="20"/>
        </w:rPr>
        <w:t xml:space="preserve">Valuation is based on quoted prices (unadjusted) in active markets for identical assets or liabilities. </w:t>
      </w:r>
    </w:p>
    <w:p w:rsidR="00000000" w:rsidRDefault="00E0782F">
      <w:pPr>
        <w:jc w:val="both"/>
        <w:divId w:val="1346788793"/>
        <w:rPr>
          <w:rFonts w:eastAsia="Times New Roman"/>
        </w:rPr>
      </w:pPr>
      <w:r>
        <w:rPr>
          <w:rFonts w:eastAsia="Times New Roman"/>
          <w:color w:val="000000"/>
          <w:sz w:val="20"/>
          <w:szCs w:val="20"/>
        </w:rPr>
        <w:t>Level 2: Valuation is based on observable market-based inputs other than Level 1 prices, such as quoted prices for similar assets or liabilities, quote</w:t>
      </w:r>
      <w:r>
        <w:rPr>
          <w:rFonts w:eastAsia="Times New Roman"/>
          <w:color w:val="000000"/>
          <w:sz w:val="20"/>
          <w:szCs w:val="20"/>
        </w:rPr>
        <w:t xml:space="preserve">d prices in markets that are not active, or other inputs that are observable or can be corroborated by observable market data for substantially the full term of the assets or liabilities. </w:t>
      </w:r>
    </w:p>
    <w:p w:rsidR="00000000" w:rsidRDefault="00E0782F">
      <w:pPr>
        <w:jc w:val="both"/>
        <w:divId w:val="827091251"/>
        <w:rPr>
          <w:rFonts w:eastAsia="Times New Roman"/>
        </w:rPr>
      </w:pPr>
      <w:r>
        <w:rPr>
          <w:rFonts w:eastAsia="Times New Roman"/>
          <w:color w:val="000000"/>
          <w:sz w:val="20"/>
          <w:szCs w:val="20"/>
        </w:rPr>
        <w:t>Level 3: Valuation is generated from techniques that use significan</w:t>
      </w:r>
      <w:r>
        <w:rPr>
          <w:rFonts w:eastAsia="Times New Roman"/>
          <w:color w:val="000000"/>
          <w:sz w:val="20"/>
          <w:szCs w:val="20"/>
        </w:rPr>
        <w:t xml:space="preserve">t assumptions not observable in the market. Valuation techniques include pricing models, discounted cash flow methodologies or similar techniques. </w:t>
      </w:r>
    </w:p>
    <w:p w:rsidR="00000000" w:rsidRDefault="00E0782F">
      <w:pPr>
        <w:jc w:val="both"/>
        <w:divId w:val="1962758195"/>
        <w:rPr>
          <w:rFonts w:eastAsia="Times New Roman"/>
        </w:rPr>
      </w:pPr>
      <w:r>
        <w:rPr>
          <w:rFonts w:eastAsia="Times New Roman"/>
          <w:color w:val="000000"/>
          <w:sz w:val="20"/>
          <w:szCs w:val="20"/>
        </w:rPr>
        <w:t>The degree of management judgment involved in determining the fair value of a financial instrument is depend</w:t>
      </w:r>
      <w:r>
        <w:rPr>
          <w:rFonts w:eastAsia="Times New Roman"/>
          <w:color w:val="000000"/>
          <w:sz w:val="20"/>
          <w:szCs w:val="20"/>
        </w:rPr>
        <w:t>ent upon the availability of quoted prices in active markets or observable market parameters. When quoted prices and observable data in active markets are not fully available, management judgment is necessary to estimate fair value. Changes in market condi</w:t>
      </w:r>
      <w:r>
        <w:rPr>
          <w:rFonts w:eastAsia="Times New Roman"/>
          <w:color w:val="000000"/>
          <w:sz w:val="20"/>
          <w:szCs w:val="20"/>
        </w:rPr>
        <w:t>tions, such as reduced liquidity in the capital markets or changes in secondary market activities, may reduce the availability and reliability of quoted prices or observable data used to determine fair value.</w:t>
      </w:r>
    </w:p>
    <w:p w:rsidR="00000000" w:rsidRDefault="00E0782F">
      <w:pPr>
        <w:jc w:val="both"/>
        <w:divId w:val="1458067512"/>
        <w:rPr>
          <w:rFonts w:eastAsia="Times New Roman"/>
        </w:rPr>
      </w:pPr>
      <w:r>
        <w:rPr>
          <w:rFonts w:eastAsia="Times New Roman"/>
          <w:color w:val="000000"/>
          <w:sz w:val="20"/>
          <w:szCs w:val="20"/>
        </w:rPr>
        <w:t>We have developed policies and procedures to de</w:t>
      </w:r>
      <w:r>
        <w:rPr>
          <w:rFonts w:eastAsia="Times New Roman"/>
          <w:color w:val="000000"/>
          <w:sz w:val="20"/>
          <w:szCs w:val="20"/>
        </w:rPr>
        <w:t xml:space="preserve">termine when markets for our financial assets and liabilities are inactive if the level and volume of activity has declined significantly relative to normal conditions. If markets are determined to be inactive, it may be appropriate to adjust price quotes </w:t>
      </w:r>
      <w:r>
        <w:rPr>
          <w:rFonts w:eastAsia="Times New Roman"/>
          <w:color w:val="000000"/>
          <w:sz w:val="20"/>
          <w:szCs w:val="20"/>
        </w:rPr>
        <w:t>received. When significant adjustments are required to price quotes or inputs, it may be appropriate to utilize an estimate based primarily on unobservable inputs.</w:t>
      </w:r>
    </w:p>
    <w:p w:rsidR="00000000" w:rsidRDefault="00E0782F">
      <w:pPr>
        <w:jc w:val="both"/>
        <w:divId w:val="2000621179"/>
        <w:rPr>
          <w:rFonts w:eastAsia="Times New Roman"/>
        </w:rPr>
      </w:pPr>
      <w:r>
        <w:rPr>
          <w:rFonts w:eastAsia="Times New Roman"/>
          <w:color w:val="000000"/>
          <w:sz w:val="20"/>
          <w:szCs w:val="20"/>
        </w:rPr>
        <w:t>Significant judgment may be required to determine whether certain financial instruments meas</w:t>
      </w:r>
      <w:r>
        <w:rPr>
          <w:rFonts w:eastAsia="Times New Roman"/>
          <w:color w:val="000000"/>
          <w:sz w:val="20"/>
          <w:szCs w:val="20"/>
        </w:rPr>
        <w:t>ured at fair value are classified as Level 2 or Level 3. In making this determination, we consider all available information that market participants use to measure the fair value of the financial instrument, including observable market data, indications o</w:t>
      </w:r>
      <w:r>
        <w:rPr>
          <w:rFonts w:eastAsia="Times New Roman"/>
          <w:color w:val="000000"/>
          <w:sz w:val="20"/>
          <w:szCs w:val="20"/>
        </w:rPr>
        <w:t>f market liquidity and orderliness, and our understanding of the valuation techniques and significant inputs used. Based upon the specific facts and circumstances of each instrument or instrument category, judgments are made regarding the significance of t</w:t>
      </w:r>
      <w:r>
        <w:rPr>
          <w:rFonts w:eastAsia="Times New Roman"/>
          <w:color w:val="000000"/>
          <w:sz w:val="20"/>
          <w:szCs w:val="20"/>
        </w:rPr>
        <w:t>he Level 3 inputs to the instruments’ fair value measurement in its entirety. If Level 3 inputs are considered significant, the instrument is classified as Level 3. The process for determining fair value using unobservable inputs is generally more subjecti</w:t>
      </w:r>
      <w:r>
        <w:rPr>
          <w:rFonts w:eastAsia="Times New Roman"/>
          <w:color w:val="000000"/>
          <w:sz w:val="20"/>
          <w:szCs w:val="20"/>
        </w:rPr>
        <w:t>ve and involves a high degree of management judgment and assumptions. We discuss changes in the valuation inputs and assumptions used in determining the fair value of our financial instruments, including the extent to which we have relied on significant un</w:t>
      </w:r>
      <w:r>
        <w:rPr>
          <w:rFonts w:eastAsia="Times New Roman"/>
          <w:color w:val="000000"/>
          <w:sz w:val="20"/>
          <w:szCs w:val="20"/>
        </w:rPr>
        <w:t>observable inputs to estimate fair value and our process for corroborating these inputs, in “Note 16—Fair Value Measurement.”</w:t>
      </w:r>
    </w:p>
    <w:p w:rsidR="00000000" w:rsidRDefault="00E0782F">
      <w:pPr>
        <w:jc w:val="both"/>
        <w:divId w:val="359864396"/>
        <w:rPr>
          <w:rFonts w:eastAsia="Times New Roman"/>
        </w:rPr>
      </w:pPr>
      <w:r>
        <w:rPr>
          <w:rFonts w:eastAsia="Times New Roman"/>
          <w:color w:val="000000"/>
          <w:sz w:val="20"/>
          <w:szCs w:val="20"/>
        </w:rPr>
        <w:t>We have a governance framework and a number of key controls that are intended to ensure that our fair value measurements are appro</w:t>
      </w:r>
      <w:r>
        <w:rPr>
          <w:rFonts w:eastAsia="Times New Roman"/>
          <w:color w:val="000000"/>
          <w:sz w:val="20"/>
          <w:szCs w:val="20"/>
        </w:rPr>
        <w:t xml:space="preserve">priate and reliable. Our governance framework provides for independent oversight and segregation of duties. Our control processes include review and approval of new transaction types, price verification, and review of valuation judgments, methods, models, </w:t>
      </w:r>
      <w:r>
        <w:rPr>
          <w:rFonts w:eastAsia="Times New Roman"/>
          <w:color w:val="000000"/>
          <w:sz w:val="20"/>
          <w:szCs w:val="20"/>
        </w:rPr>
        <w:t>process controls and results.</w:t>
      </w:r>
    </w:p>
    <w:p w:rsidR="00000000" w:rsidRDefault="00E0782F">
      <w:pPr>
        <w:jc w:val="both"/>
        <w:divId w:val="400757612"/>
        <w:rPr>
          <w:rFonts w:eastAsia="Times New Roman"/>
        </w:rPr>
      </w:pPr>
      <w:r>
        <w:rPr>
          <w:rFonts w:eastAsia="Times New Roman"/>
          <w:color w:val="000000"/>
          <w:sz w:val="20"/>
          <w:szCs w:val="20"/>
        </w:rPr>
        <w:t>Groups independent of our trading and investing functions participate in the review and validation process. Tasks performed by these groups include periodic verification of fair value measurements to determine if assigned fair</w:t>
      </w:r>
      <w:r>
        <w:rPr>
          <w:rFonts w:eastAsia="Times New Roman"/>
          <w:color w:val="000000"/>
          <w:sz w:val="20"/>
          <w:szCs w:val="20"/>
        </w:rPr>
        <w:t xml:space="preserve"> values are reasonable, including comparing prices from vendor pricing services to other available market information.</w:t>
      </w:r>
    </w:p>
    <w:p w:rsidR="00000000" w:rsidRDefault="00E0782F">
      <w:pPr>
        <w:jc w:val="both"/>
        <w:divId w:val="912667755"/>
        <w:rPr>
          <w:rFonts w:eastAsia="Times New Roman"/>
        </w:rPr>
      </w:pPr>
      <w:r>
        <w:rPr>
          <w:rFonts w:eastAsia="Times New Roman"/>
          <w:color w:val="000000"/>
          <w:sz w:val="20"/>
          <w:szCs w:val="20"/>
        </w:rPr>
        <w:t>Our Fair Value Committee (“FVC”), which includes representation from business areas, Risk Management and Finance, provides guidance and o</w:t>
      </w:r>
      <w:r>
        <w:rPr>
          <w:rFonts w:eastAsia="Times New Roman"/>
          <w:color w:val="000000"/>
          <w:sz w:val="20"/>
          <w:szCs w:val="20"/>
        </w:rPr>
        <w:t>versight to ensure an appropriate valuation control environment. The FVC regularly reviews and approves our fair valuations to ensure that our valuation practices are consistent with industry standards and adhere to regulatory and accounting guidance.</w:t>
      </w:r>
    </w:p>
    <w:p w:rsidR="00000000" w:rsidRDefault="00E0782F">
      <w:pPr>
        <w:jc w:val="both"/>
        <w:divId w:val="146672308"/>
        <w:rPr>
          <w:rFonts w:eastAsia="Times New Roman"/>
        </w:rPr>
      </w:pPr>
      <w:r>
        <w:rPr>
          <w:rFonts w:eastAsia="Times New Roman"/>
          <w:color w:val="000000"/>
          <w:sz w:val="20"/>
          <w:szCs w:val="20"/>
        </w:rPr>
        <w:t>We h</w:t>
      </w:r>
      <w:r>
        <w:rPr>
          <w:rFonts w:eastAsia="Times New Roman"/>
          <w:color w:val="000000"/>
          <w:sz w:val="20"/>
          <w:szCs w:val="20"/>
        </w:rPr>
        <w:t>ave a model policy, established by an independent Model Risk Office, which governs the validation of models and related supporting documentation to ensure the appropriate use of models for pricing and fair value measurements. The Model Risk Office validate</w:t>
      </w:r>
      <w:r>
        <w:rPr>
          <w:rFonts w:eastAsia="Times New Roman"/>
          <w:color w:val="000000"/>
          <w:sz w:val="20"/>
          <w:szCs w:val="20"/>
        </w:rPr>
        <w:t>s all models and requires ongoing monitoring of their performance.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916014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916014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916014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69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5" style="width:0;height:1.5pt" o:hralign="center" o:hrstd="t" o:hr="t" fillcolor="#a0a0a0" stroked="f"/>
        </w:pict>
      </w:r>
    </w:p>
    <w:p w:rsidR="00000000" w:rsidRDefault="00E0782F">
      <w:pPr>
        <w:ind w:hanging="360"/>
        <w:jc w:val="both"/>
        <w:divId w:val="189461038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823475376"/>
        <w:rPr>
          <w:rFonts w:eastAsia="Times New Roman"/>
        </w:rPr>
      </w:pPr>
      <w:r>
        <w:rPr>
          <w:rFonts w:eastAsia="Times New Roman"/>
          <w:color w:val="000000"/>
          <w:sz w:val="20"/>
          <w:szCs w:val="20"/>
        </w:rPr>
        <w:t>The fair value governance process is set up in a manner that allows the Chairperson of the FVC to escalate valuation disputes that cannot be resolved by the FVC to a more senior committee called the Valuations Advisory Committee (“VAC”) for resolution. The</w:t>
      </w:r>
      <w:r>
        <w:rPr>
          <w:rFonts w:eastAsia="Times New Roman"/>
          <w:color w:val="000000"/>
          <w:sz w:val="20"/>
          <w:szCs w:val="20"/>
        </w:rPr>
        <w:t xml:space="preserve"> VAC is chaired by the Chief Financial Officer and includes other members of senior management. The VAC convenes to review escalated valuation disputes. There were no disputes for the years ended December 31, 2020 and 2019.</w:t>
      </w:r>
    </w:p>
    <w:p w:rsidR="00000000" w:rsidRDefault="00E0782F">
      <w:pPr>
        <w:divId w:val="879362316"/>
        <w:rPr>
          <w:rFonts w:eastAsia="Times New Roman"/>
        </w:rPr>
      </w:pPr>
      <w:r>
        <w:rPr>
          <w:rFonts w:eastAsia="Times New Roman"/>
          <w:b/>
          <w:bCs/>
          <w:color w:val="000000"/>
          <w:sz w:val="20"/>
          <w:szCs w:val="20"/>
        </w:rPr>
        <w:t>Customer Rewards Reserve</w:t>
      </w:r>
    </w:p>
    <w:p w:rsidR="00000000" w:rsidRDefault="00E0782F">
      <w:pPr>
        <w:jc w:val="both"/>
        <w:divId w:val="1101953722"/>
        <w:rPr>
          <w:rFonts w:eastAsia="Times New Roman"/>
        </w:rPr>
      </w:pPr>
      <w:r>
        <w:rPr>
          <w:rFonts w:eastAsia="Times New Roman"/>
          <w:color w:val="000000"/>
          <w:sz w:val="20"/>
          <w:szCs w:val="20"/>
        </w:rPr>
        <w:t>We offe</w:t>
      </w:r>
      <w:r>
        <w:rPr>
          <w:rFonts w:eastAsia="Times New Roman"/>
          <w:color w:val="000000"/>
          <w:sz w:val="20"/>
          <w:szCs w:val="20"/>
        </w:rPr>
        <w:t>r products, primarily credit cards, which include programs that allow members to earn rewards based on account activity that can be redeemed for cash (primarily in the form of statement credits), gift cards, travel, or covering eligible charges. The amount</w:t>
      </w:r>
      <w:r>
        <w:rPr>
          <w:rFonts w:eastAsia="Times New Roman"/>
          <w:color w:val="000000"/>
          <w:sz w:val="20"/>
          <w:szCs w:val="20"/>
        </w:rPr>
        <w:t xml:space="preserve"> of rewards that a customer earns varies based on the terms and conditions of the rewards program and product. The majority of our rewards do not expire and there is no limit on the amount of rewards an eligible card member can earn. Customer rewards costs</w:t>
      </w:r>
      <w:r>
        <w:rPr>
          <w:rFonts w:eastAsia="Times New Roman"/>
          <w:color w:val="000000"/>
          <w:sz w:val="20"/>
          <w:szCs w:val="20"/>
        </w:rPr>
        <w:t>, which we generally record as an offset to interchange income, are driven by various factors such as card member purchase volume, the terms and conditions of the rewards program and rewards redemption cost. We establish a customer rewards reserve that ref</w:t>
      </w:r>
      <w:r>
        <w:rPr>
          <w:rFonts w:eastAsia="Times New Roman"/>
          <w:color w:val="000000"/>
          <w:sz w:val="20"/>
          <w:szCs w:val="20"/>
        </w:rPr>
        <w:t>lects management’s judgment regarding rewards earned that are expected to be redeemed and the estimated redemption cost.</w:t>
      </w:r>
    </w:p>
    <w:p w:rsidR="00000000" w:rsidRDefault="00E0782F">
      <w:pPr>
        <w:jc w:val="both"/>
        <w:divId w:val="1493371569"/>
        <w:rPr>
          <w:rFonts w:eastAsia="Times New Roman"/>
        </w:rPr>
      </w:pPr>
      <w:r>
        <w:rPr>
          <w:rFonts w:eastAsia="Times New Roman"/>
          <w:color w:val="000000"/>
          <w:sz w:val="20"/>
          <w:szCs w:val="20"/>
        </w:rPr>
        <w:t>We use financial models to estimate ultimate redemption rates of rewards earned to date by current card members based on historical red</w:t>
      </w:r>
      <w:r>
        <w:rPr>
          <w:rFonts w:eastAsia="Times New Roman"/>
          <w:color w:val="000000"/>
          <w:sz w:val="20"/>
          <w:szCs w:val="20"/>
        </w:rPr>
        <w:t>emption trends, current enrollee redemption behavior, card product type, year of program enrollment, enrollment tenure and card spend levels. Our current assumption is that the vast majority of all rewards earned will eventually be redeemed. We use the wei</w:t>
      </w:r>
      <w:r>
        <w:rPr>
          <w:rFonts w:eastAsia="Times New Roman"/>
          <w:color w:val="000000"/>
          <w:sz w:val="20"/>
          <w:szCs w:val="20"/>
        </w:rPr>
        <w:t>ghted-average redemption cost during the previous twelve months, adjusted as appropriate for recent changes in redemption costs, including changes related to the mix of rewards redeemed, to estimate future redemption costs. We continually evaluate our rese</w:t>
      </w:r>
      <w:r>
        <w:rPr>
          <w:rFonts w:eastAsia="Times New Roman"/>
          <w:color w:val="000000"/>
          <w:sz w:val="20"/>
          <w:szCs w:val="20"/>
        </w:rPr>
        <w:t>rve and assumptions based on developments in redemption patterns, changes to the terms and conditions of the rewards program and other factors. We recognized customer rewards expense of $4.9 billion in both 2020 and</w:t>
      </w:r>
      <w:r>
        <w:rPr>
          <w:rFonts w:eastAsia="Times New Roman"/>
          <w:color w:val="000000"/>
          <w:sz w:val="16"/>
          <w:szCs w:val="16"/>
        </w:rPr>
        <w:t xml:space="preserve"> </w:t>
      </w:r>
      <w:r>
        <w:rPr>
          <w:rFonts w:eastAsia="Times New Roman"/>
          <w:color w:val="000000"/>
          <w:sz w:val="20"/>
          <w:szCs w:val="20"/>
        </w:rPr>
        <w:t>2019</w:t>
      </w:r>
      <w:r>
        <w:rPr>
          <w:rFonts w:eastAsia="Times New Roman"/>
          <w:color w:val="000000"/>
          <w:sz w:val="16"/>
          <w:szCs w:val="16"/>
        </w:rPr>
        <w:t xml:space="preserve"> </w:t>
      </w:r>
      <w:r>
        <w:rPr>
          <w:rFonts w:eastAsia="Times New Roman"/>
          <w:color w:val="000000"/>
          <w:sz w:val="20"/>
          <w:szCs w:val="20"/>
        </w:rPr>
        <w:t>and $4.4 billion in 2018. Our custo</w:t>
      </w:r>
      <w:r>
        <w:rPr>
          <w:rFonts w:eastAsia="Times New Roman"/>
          <w:color w:val="000000"/>
          <w:sz w:val="20"/>
          <w:szCs w:val="20"/>
        </w:rPr>
        <w:t>mer rewards reserve, which is included in other liabilities on our consolidated balance sheets, totaled $5.4 billion and $4.7 billion as of December 31, 2020 and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6103527"/>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610352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ACCOUNTING CHANGES AND DEVELOPMENTS</w:t>
            </w:r>
          </w:p>
        </w:tc>
      </w:tr>
    </w:tbl>
    <w:p w:rsidR="00000000" w:rsidRDefault="00E0782F">
      <w:pPr>
        <w:divId w:val="1468662418"/>
        <w:rPr>
          <w:rFonts w:eastAsia="Times New Roman"/>
        </w:rPr>
      </w:pPr>
      <w:r>
        <w:rPr>
          <w:rFonts w:eastAsia="Times New Roman"/>
          <w:b/>
          <w:bCs/>
          <w:color w:val="000000"/>
          <w:sz w:val="20"/>
          <w:szCs w:val="20"/>
        </w:rPr>
        <w:t xml:space="preserve">Accounting Standards Issued but Not Adopted as of December 31, 2020 </w:t>
      </w:r>
    </w:p>
    <w:tbl>
      <w:tblPr>
        <w:tblW w:w="4970" w:type="pct"/>
        <w:jc w:val="center"/>
        <w:tblCellMar>
          <w:top w:w="15" w:type="dxa"/>
          <w:left w:w="15" w:type="dxa"/>
          <w:bottom w:w="15" w:type="dxa"/>
          <w:right w:w="15" w:type="dxa"/>
        </w:tblCellMar>
        <w:tblLook w:val="04A0" w:firstRow="1" w:lastRow="0" w:firstColumn="1" w:lastColumn="0" w:noHBand="0" w:noVBand="1"/>
      </w:tblPr>
      <w:tblGrid>
        <w:gridCol w:w="58"/>
        <w:gridCol w:w="2592"/>
        <w:gridCol w:w="36"/>
        <w:gridCol w:w="36"/>
        <w:gridCol w:w="36"/>
        <w:gridCol w:w="36"/>
        <w:gridCol w:w="40"/>
        <w:gridCol w:w="2593"/>
        <w:gridCol w:w="36"/>
        <w:gridCol w:w="36"/>
        <w:gridCol w:w="36"/>
        <w:gridCol w:w="36"/>
        <w:gridCol w:w="42"/>
        <w:gridCol w:w="2606"/>
        <w:gridCol w:w="37"/>
      </w:tblGrid>
      <w:tr w:rsidR="00000000">
        <w:trPr>
          <w:divId w:val="1638416407"/>
          <w:jc w:val="center"/>
        </w:trPr>
        <w:tc>
          <w:tcPr>
            <w:tcW w:w="50" w:type="pct"/>
            <w:vAlign w:val="center"/>
            <w:hideMark/>
          </w:tcPr>
          <w:p w:rsidR="00000000" w:rsidRDefault="00E0782F">
            <w:pPr>
              <w:rPr>
                <w:rFonts w:eastAsia="Times New Roman"/>
              </w:rPr>
            </w:pPr>
          </w:p>
        </w:tc>
        <w:tc>
          <w:tcPr>
            <w:tcW w:w="15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5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5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38416407"/>
          <w:jc w:val="center"/>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Standard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Guidance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Adoption Timing and Financial Statement Impacts</w:t>
            </w:r>
          </w:p>
        </w:tc>
      </w:tr>
      <w:tr w:rsidR="00000000">
        <w:trPr>
          <w:divId w:val="1638416407"/>
          <w:jc w:val="center"/>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E0782F">
            <w:pPr>
              <w:divId w:val="760637966"/>
              <w:rPr>
                <w:rFonts w:eastAsia="Times New Roman"/>
              </w:rPr>
            </w:pPr>
            <w:r>
              <w:rPr>
                <w:rFonts w:eastAsia="Times New Roman"/>
                <w:b/>
                <w:bCs/>
                <w:color w:val="000000"/>
                <w:sz w:val="18"/>
                <w:szCs w:val="18"/>
              </w:rPr>
              <w:t>Income Tax Accounting Simplification</w:t>
            </w:r>
          </w:p>
          <w:p w:rsidR="00000000" w:rsidRDefault="00E0782F">
            <w:pPr>
              <w:divId w:val="1133016517"/>
              <w:rPr>
                <w:rFonts w:eastAsia="Times New Roman"/>
              </w:rPr>
            </w:pPr>
            <w:r>
              <w:rPr>
                <w:rFonts w:eastAsia="Times New Roman"/>
                <w:color w:val="000000"/>
                <w:sz w:val="18"/>
                <w:szCs w:val="18"/>
              </w:rPr>
              <w:t>ASU No. 2019-12, Income Taxes (Topic 740):</w:t>
            </w:r>
            <w:r>
              <w:rPr>
                <w:rFonts w:eastAsia="Times New Roman"/>
                <w:i/>
                <w:iCs/>
                <w:color w:val="000000"/>
                <w:sz w:val="18"/>
                <w:szCs w:val="18"/>
              </w:rPr>
              <w:t xml:space="preserve"> Simplifying the Accounting for Income Taxes</w:t>
            </w:r>
          </w:p>
          <w:p w:rsidR="00000000" w:rsidRDefault="00E0782F">
            <w:pPr>
              <w:divId w:val="970134858"/>
              <w:rPr>
                <w:rFonts w:eastAsia="Times New Roman"/>
              </w:rPr>
            </w:pPr>
            <w:r>
              <w:rPr>
                <w:rFonts w:eastAsia="Times New Roman"/>
                <w:i/>
                <w:iCs/>
                <w:color w:val="000000"/>
                <w:sz w:val="18"/>
                <w:szCs w:val="18"/>
              </w:rPr>
              <w:t>Issued December 2019</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E0782F">
            <w:pPr>
              <w:divId w:val="1155952968"/>
              <w:rPr>
                <w:rFonts w:eastAsia="Times New Roman"/>
              </w:rPr>
            </w:pPr>
            <w:r>
              <w:rPr>
                <w:rFonts w:eastAsia="Times New Roman"/>
                <w:color w:val="000000"/>
                <w:sz w:val="18"/>
                <w:szCs w:val="18"/>
              </w:rPr>
              <w:t>Simplifies various aspects of the guidance on accounting for income taxes.</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 xml:space="preserve">We adopted this guidance in the first quarter of 2021 using the modified retrospective and prospective methods of adoption. </w:t>
            </w:r>
            <w:r>
              <w:rPr>
                <w:rFonts w:eastAsia="Times New Roman"/>
                <w:color w:val="000000"/>
                <w:sz w:val="18"/>
                <w:szCs w:val="18"/>
              </w:rPr>
              <w:br/>
            </w:r>
            <w:r>
              <w:rPr>
                <w:rFonts w:eastAsia="Times New Roman"/>
                <w:color w:val="000000"/>
                <w:sz w:val="18"/>
                <w:szCs w:val="18"/>
              </w:rPr>
              <w:br/>
              <w:t>Our adoption of this standard did not have a mater</w:t>
            </w:r>
            <w:r>
              <w:rPr>
                <w:rFonts w:eastAsia="Times New Roman"/>
                <w:color w:val="000000"/>
                <w:sz w:val="18"/>
                <w:szCs w:val="18"/>
              </w:rPr>
              <w:t>ial impact on our consolidated financial statements.</w:t>
            </w:r>
          </w:p>
        </w:tc>
      </w:tr>
      <w:tr w:rsidR="00000000">
        <w:trPr>
          <w:divId w:val="1638416407"/>
          <w:jc w:val="center"/>
        </w:trPr>
        <w:tc>
          <w:tcPr>
            <w:tcW w:w="0" w:type="auto"/>
            <w:gridSpan w:val="3"/>
            <w:vAlign w:val="center"/>
            <w:hideMark/>
          </w:tcPr>
          <w:p w:rsidR="00000000" w:rsidRDefault="00E0782F">
            <w:pP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divId w:val="1028063954"/>
        <w:rPr>
          <w:rFonts w:eastAsia="Times New Roman"/>
        </w:rPr>
      </w:pPr>
      <w:r>
        <w:rPr>
          <w:rFonts w:eastAsia="Times New Roman"/>
          <w:color w:val="000000"/>
          <w:sz w:val="20"/>
          <w:szCs w:val="20"/>
        </w:rPr>
        <w:t xml:space="preserve">See “Note 1—Summary of Significant Accounting Policies” </w:t>
      </w:r>
      <w:r>
        <w:rPr>
          <w:rFonts w:eastAsia="Times New Roman"/>
          <w:color w:val="000000"/>
          <w:sz w:val="20"/>
          <w:szCs w:val="20"/>
        </w:rPr>
        <w:t>for information on the accounting standards we adopted in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002276051"/>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02276051"/>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20"/>
                <w:szCs w:val="20"/>
              </w:rPr>
              <w:t>CAPITAL MANAGEMENT</w:t>
            </w:r>
          </w:p>
        </w:tc>
      </w:tr>
    </w:tbl>
    <w:p w:rsidR="00000000" w:rsidRDefault="00E0782F">
      <w:pPr>
        <w:jc w:val="both"/>
        <w:divId w:val="279915776"/>
        <w:rPr>
          <w:rFonts w:eastAsia="Times New Roman"/>
        </w:rPr>
      </w:pPr>
      <w:r>
        <w:rPr>
          <w:rFonts w:eastAsia="Times New Roman"/>
          <w:color w:val="000000"/>
          <w:sz w:val="20"/>
          <w:szCs w:val="20"/>
        </w:rPr>
        <w:t>The level and composition of our capital are determined by multiple factors, including our consolidated regulatory capital requirements and internal risk-based capital assessments such as internal stress testing and economic capital. The level and composit</w:t>
      </w:r>
      <w:r>
        <w:rPr>
          <w:rFonts w:eastAsia="Times New Roman"/>
          <w:color w:val="000000"/>
          <w:sz w:val="20"/>
          <w:szCs w:val="20"/>
        </w:rPr>
        <w:t>ion of our capital may also be influenced by rating agency guidelines, subsidiary capital requirements, business environment, conditions in the financial markets and assessments of potential future losses due to adverse changes in our business and market e</w:t>
      </w:r>
      <w:r>
        <w:rPr>
          <w:rFonts w:eastAsia="Times New Roman"/>
          <w:color w:val="000000"/>
          <w:sz w:val="20"/>
          <w:szCs w:val="20"/>
        </w:rPr>
        <w:t>nvironments.</w:t>
      </w:r>
    </w:p>
    <w:p w:rsidR="00000000" w:rsidRDefault="00E0782F">
      <w:pPr>
        <w:divId w:val="2115053284"/>
        <w:rPr>
          <w:rFonts w:eastAsia="Times New Roman"/>
        </w:rPr>
      </w:pPr>
      <w:r>
        <w:rPr>
          <w:rFonts w:eastAsia="Times New Roman"/>
          <w:b/>
          <w:bCs/>
          <w:color w:val="000000"/>
          <w:sz w:val="20"/>
          <w:szCs w:val="20"/>
        </w:rPr>
        <w:t>Capital Standards and Prompt Corrective Action</w:t>
      </w:r>
    </w:p>
    <w:p w:rsidR="00000000" w:rsidRDefault="00E0782F">
      <w:pPr>
        <w:jc w:val="both"/>
        <w:divId w:val="54553002"/>
        <w:rPr>
          <w:rFonts w:eastAsia="Times New Roman"/>
        </w:rPr>
      </w:pPr>
      <w:r>
        <w:rPr>
          <w:rFonts w:eastAsia="Times New Roman"/>
          <w:color w:val="000000"/>
          <w:sz w:val="20"/>
          <w:szCs w:val="20"/>
        </w:rPr>
        <w:t>The Company and the Banks are subject to the Basel III Capital Rules established by the Federal Reserve and the OCC respectively. The Basel III Capital Rules implement certain capital and liquidit</w:t>
      </w:r>
      <w:r>
        <w:rPr>
          <w:rFonts w:eastAsia="Times New Roman"/>
          <w:color w:val="000000"/>
          <w:sz w:val="20"/>
          <w:szCs w:val="20"/>
        </w:rPr>
        <w:t>y requirements published by the Basel Committee, along with certain Dodd-Frank Act and other capital provisions. Moreover, the Banks, as insured depository institutions, are subject to PCA capital regulations.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7522347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7522347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7522347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6" style="width:0;height:1.5pt" o:hralign="center" o:hrstd="t" o:hr="t" fillcolor="#a0a0a0" stroked="f"/>
        </w:pict>
      </w:r>
    </w:p>
    <w:p w:rsidR="00000000" w:rsidRDefault="00E0782F">
      <w:pPr>
        <w:ind w:hanging="360"/>
        <w:jc w:val="both"/>
        <w:divId w:val="1084718346"/>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210460836"/>
        <w:rPr>
          <w:rFonts w:eastAsia="Times New Roman"/>
        </w:rPr>
      </w:pPr>
      <w:r>
        <w:rPr>
          <w:rFonts w:eastAsia="Times New Roman"/>
          <w:b/>
          <w:bCs/>
          <w:i/>
          <w:iCs/>
          <w:color w:val="000000"/>
          <w:sz w:val="20"/>
          <w:szCs w:val="20"/>
        </w:rPr>
        <w:t>Basel III and United States Capital Rules</w:t>
      </w:r>
    </w:p>
    <w:p w:rsidR="00000000" w:rsidRDefault="00E0782F">
      <w:pPr>
        <w:jc w:val="both"/>
        <w:divId w:val="1915973403"/>
        <w:rPr>
          <w:rFonts w:eastAsia="Times New Roman"/>
        </w:rPr>
      </w:pPr>
      <w:r>
        <w:rPr>
          <w:rFonts w:eastAsia="Times New Roman"/>
          <w:color w:val="000000"/>
          <w:sz w:val="20"/>
          <w:szCs w:val="20"/>
        </w:rPr>
        <w:t>Under the Basel III Capital Rules, we must maintain a minimum CET1 capital ratio of 4.5%, a Tier 1 capital ratio of 6.0%, and a Total capital ratio of 8.0%, in each case in relation to risk-weighted assets. In addi</w:t>
      </w:r>
      <w:r>
        <w:rPr>
          <w:rFonts w:eastAsia="Times New Roman"/>
          <w:color w:val="000000"/>
          <w:sz w:val="20"/>
          <w:szCs w:val="20"/>
        </w:rPr>
        <w:t>tion, we must maintain a minimum leverage ratio of 4.0% and a minimum supplementary leverage ratio of 3.0%. We are also subject to the capital conservation buffer and countercyclical capital buffer requirements, as described below.</w:t>
      </w:r>
    </w:p>
    <w:p w:rsidR="00000000" w:rsidRDefault="00E0782F">
      <w:pPr>
        <w:jc w:val="both"/>
        <w:divId w:val="385836347"/>
        <w:rPr>
          <w:rFonts w:eastAsia="Times New Roman"/>
        </w:rPr>
      </w:pPr>
      <w:r>
        <w:rPr>
          <w:rFonts w:eastAsia="Times New Roman"/>
          <w:color w:val="000000"/>
          <w:sz w:val="20"/>
          <w:szCs w:val="20"/>
        </w:rPr>
        <w:t>In July 2019, the Federa</w:t>
      </w:r>
      <w:r>
        <w:rPr>
          <w:rFonts w:eastAsia="Times New Roman"/>
          <w:color w:val="000000"/>
          <w:sz w:val="20"/>
          <w:szCs w:val="20"/>
        </w:rPr>
        <w:t>l Banking Agencies issued the Capital Simplification Rule, which finalized certain changes to the Basel III Capital Rules for institutions not subject to the Basel III Advanced Approaches. These changes, effective January 1, 2020, generally raised the thre</w:t>
      </w:r>
      <w:r>
        <w:rPr>
          <w:rFonts w:eastAsia="Times New Roman"/>
          <w:color w:val="000000"/>
          <w:sz w:val="20"/>
          <w:szCs w:val="20"/>
        </w:rPr>
        <w:t xml:space="preserve">shold above which a covered institution such as the Company must deduct certain assets from its CET1 capital, including certain deferred tax assets, mortgage servicing assets, and investments in unconsolidated financial institutions. </w:t>
      </w:r>
    </w:p>
    <w:p w:rsidR="00000000" w:rsidRDefault="00E0782F">
      <w:pPr>
        <w:jc w:val="both"/>
        <w:divId w:val="720711032"/>
        <w:rPr>
          <w:rFonts w:eastAsia="Times New Roman"/>
        </w:rPr>
      </w:pPr>
      <w:r>
        <w:rPr>
          <w:rFonts w:eastAsia="Times New Roman"/>
          <w:color w:val="000000"/>
          <w:sz w:val="20"/>
          <w:szCs w:val="20"/>
        </w:rPr>
        <w:t xml:space="preserve">In October 2019, the </w:t>
      </w:r>
      <w:r>
        <w:rPr>
          <w:rFonts w:eastAsia="Times New Roman"/>
          <w:color w:val="000000"/>
          <w:sz w:val="20"/>
          <w:szCs w:val="20"/>
        </w:rPr>
        <w:t>Federal Banking Agencies finalized the Tailoring Rules, which amended the Basel III Capital Rules to provide for tailored application of certain capital requirements across different categories of banking institutions. These categories are determined prima</w:t>
      </w:r>
      <w:r>
        <w:rPr>
          <w:rFonts w:eastAsia="Times New Roman"/>
          <w:color w:val="000000"/>
          <w:sz w:val="20"/>
          <w:szCs w:val="20"/>
        </w:rPr>
        <w:t>rily by an institution’s asset size, with adjustments to a more stringent category possible if the institution exceeds certain risk-based thresholds. As a BHC with total consolidated assets of at least $250 billion that does not exceed any of the applicabl</w:t>
      </w:r>
      <w:r>
        <w:rPr>
          <w:rFonts w:eastAsia="Times New Roman"/>
          <w:color w:val="000000"/>
          <w:sz w:val="20"/>
          <w:szCs w:val="20"/>
        </w:rPr>
        <w:t>e risk-based thresholds, we are a Category III institution under the Tailoring Rules. Therefore, effective January 1, 2020, we are no longer subject to the Basel III “Advanced Approaches” framework and certain associated capital requirements, such as the r</w:t>
      </w:r>
      <w:r>
        <w:rPr>
          <w:rFonts w:eastAsia="Times New Roman"/>
          <w:color w:val="000000"/>
          <w:sz w:val="20"/>
          <w:szCs w:val="20"/>
        </w:rPr>
        <w:t>equirement to include certain elements of AOCI in our regulatory capital. We remain subject to the countercyclical capital buffer requirement (which is currently set at 0%) and supplementary leverage ratio requirement, which were previously required only f</w:t>
      </w:r>
      <w:r>
        <w:rPr>
          <w:rFonts w:eastAsia="Times New Roman"/>
          <w:color w:val="000000"/>
          <w:sz w:val="20"/>
          <w:szCs w:val="20"/>
        </w:rPr>
        <w:t xml:space="preserve">or Basel III Advanced Approaches institutions. Effective as of the first quarter of 2020, we excluded certain elements of AOCI from our regulatory capital as permitted by the Tailoring Rules. The Tailoring Rules and Capital Simplification Rule have, taken </w:t>
      </w:r>
      <w:r>
        <w:rPr>
          <w:rFonts w:eastAsia="Times New Roman"/>
          <w:color w:val="000000"/>
          <w:sz w:val="20"/>
          <w:szCs w:val="20"/>
        </w:rPr>
        <w:t>together, decreased our capital requirements.</w:t>
      </w:r>
    </w:p>
    <w:p w:rsidR="00000000" w:rsidRDefault="00E0782F">
      <w:pPr>
        <w:jc w:val="both"/>
        <w:divId w:val="1561208893"/>
        <w:rPr>
          <w:rFonts w:eastAsia="Times New Roman"/>
        </w:rPr>
      </w:pPr>
      <w:r>
        <w:rPr>
          <w:rFonts w:eastAsia="Times New Roman"/>
          <w:color w:val="000000"/>
          <w:sz w:val="20"/>
          <w:szCs w:val="20"/>
        </w:rPr>
        <w:t xml:space="preserve">G-SIBs that are based in the U.S. are subject to an additional CET1 capital requirement known as the G-SIB Surcharge. We are not a G-SIB based on the most recent available data and thus we are not subject to a </w:t>
      </w:r>
      <w:r>
        <w:rPr>
          <w:rFonts w:eastAsia="Times New Roman"/>
          <w:color w:val="000000"/>
          <w:sz w:val="20"/>
          <w:szCs w:val="20"/>
        </w:rPr>
        <w:t>G-SIB Surcharge.</w:t>
      </w:r>
    </w:p>
    <w:p w:rsidR="00000000" w:rsidRDefault="00E0782F">
      <w:pPr>
        <w:jc w:val="both"/>
        <w:divId w:val="1394428013"/>
        <w:rPr>
          <w:rFonts w:eastAsia="Times New Roman"/>
        </w:rPr>
      </w:pPr>
      <w:r>
        <w:rPr>
          <w:rFonts w:eastAsia="Times New Roman"/>
          <w:b/>
          <w:bCs/>
          <w:i/>
          <w:iCs/>
          <w:color w:val="000000"/>
          <w:sz w:val="20"/>
          <w:szCs w:val="20"/>
        </w:rPr>
        <w:t>Stress Capital Buffer Rule</w:t>
      </w:r>
    </w:p>
    <w:p w:rsidR="00000000" w:rsidRDefault="00E0782F">
      <w:pPr>
        <w:jc w:val="both"/>
        <w:divId w:val="296228492"/>
        <w:rPr>
          <w:rFonts w:eastAsia="Times New Roman"/>
        </w:rPr>
      </w:pPr>
      <w:r>
        <w:rPr>
          <w:rFonts w:eastAsia="Times New Roman"/>
          <w:color w:val="000000"/>
          <w:sz w:val="20"/>
          <w:szCs w:val="20"/>
        </w:rPr>
        <w:t>The Basel III Capital Rules require banking institutions to maintain a capital conservation buffer, composed of CET1 capital, above the regulatory minimum ratios. The capital conservation buffer for BHCs was prev</w:t>
      </w:r>
      <w:r>
        <w:rPr>
          <w:rFonts w:eastAsia="Times New Roman"/>
          <w:color w:val="000000"/>
          <w:sz w:val="20"/>
          <w:szCs w:val="20"/>
        </w:rPr>
        <w:t>iously fixed at 2.5%. In March 2020, the Federal Reserve issued a final rule to implement the stress capital buffer requirement. The stress capital buffer requirement is institution-specific and replaces the fixed 2.5% capital conservation buffer for BHCs.</w:t>
      </w:r>
    </w:p>
    <w:p w:rsidR="00000000" w:rsidRDefault="00E0782F">
      <w:pPr>
        <w:jc w:val="both"/>
        <w:divId w:val="182059492"/>
        <w:rPr>
          <w:rFonts w:eastAsia="Times New Roman"/>
        </w:rPr>
      </w:pPr>
      <w:r>
        <w:rPr>
          <w:rFonts w:eastAsia="Times New Roman"/>
          <w:color w:val="000000"/>
          <w:sz w:val="20"/>
          <w:szCs w:val="20"/>
        </w:rPr>
        <w:t>Pursuant to the Stress Capital Buffer Rule, the Federal Reserve will use the results of its supervisory stress test to determine the size of a BHC’s stress capital buffer requirement. In particular, a BHC’s stress capital buffer requirement will equal, su</w:t>
      </w:r>
      <w:r>
        <w:rPr>
          <w:rFonts w:eastAsia="Times New Roman"/>
          <w:color w:val="000000"/>
          <w:sz w:val="20"/>
          <w:szCs w:val="20"/>
        </w:rPr>
        <w:t>bject to a floor of 2.5%, the sum of (i) the difference between the BHC’s starting CET1 capital ratio and its lowest projected CET1 capital ratio under the severely adverse scenario of the Federal Reserve’s supervisory stress test plus (ii) the ratio of th</w:t>
      </w:r>
      <w:r>
        <w:rPr>
          <w:rFonts w:eastAsia="Times New Roman"/>
          <w:color w:val="000000"/>
          <w:sz w:val="20"/>
          <w:szCs w:val="20"/>
        </w:rPr>
        <w:t>e BHC’s projected four quarters of common stock dividends (for the fourth to seventh quarters of the planning horizon) to the projected risk-weighted assets for the quarter in which the BHC’s projected CET1 capital ratio reaches its minimum under the super</w:t>
      </w:r>
      <w:r>
        <w:rPr>
          <w:rFonts w:eastAsia="Times New Roman"/>
          <w:color w:val="000000"/>
          <w:sz w:val="20"/>
          <w:szCs w:val="20"/>
        </w:rPr>
        <w:t>visory stress test.</w:t>
      </w:r>
    </w:p>
    <w:p w:rsidR="00000000" w:rsidRDefault="00E0782F">
      <w:pPr>
        <w:jc w:val="both"/>
        <w:divId w:val="531918418"/>
        <w:rPr>
          <w:rFonts w:eastAsia="Times New Roman"/>
        </w:rPr>
      </w:pPr>
      <w:r>
        <w:rPr>
          <w:rFonts w:eastAsia="Times New Roman"/>
          <w:color w:val="000000"/>
          <w:sz w:val="20"/>
          <w:szCs w:val="20"/>
        </w:rPr>
        <w:t>Under the Stress Capital Buffer Rule framework, the Company’s new “standardized approach capital conservation buffer” includes its stress capital buffer requirement (which will be recalibrated every year based on the Company’s superviso</w:t>
      </w:r>
      <w:r>
        <w:rPr>
          <w:rFonts w:eastAsia="Times New Roman"/>
          <w:color w:val="000000"/>
          <w:sz w:val="20"/>
          <w:szCs w:val="20"/>
        </w:rPr>
        <w:t>ry stress test results), any G-SIB surcharge (which is not applicable to us) and the countercyclical capital buffer requirement (which is currently set at 0%). Any determination to increase the countercyclical capital buffer generally would be effective tw</w:t>
      </w:r>
      <w:r>
        <w:rPr>
          <w:rFonts w:eastAsia="Times New Roman"/>
          <w:color w:val="000000"/>
          <w:sz w:val="20"/>
          <w:szCs w:val="20"/>
        </w:rPr>
        <w:t>elve months after the announcement of such an increase, unless the Federal Banking Agencies set an earlier effective date.</w:t>
      </w:r>
    </w:p>
    <w:p w:rsidR="00000000" w:rsidRDefault="00E0782F">
      <w:pPr>
        <w:jc w:val="both"/>
        <w:divId w:val="1808860885"/>
        <w:rPr>
          <w:rFonts w:eastAsia="Times New Roman"/>
        </w:rPr>
      </w:pPr>
      <w:r>
        <w:rPr>
          <w:rFonts w:eastAsia="Times New Roman"/>
          <w:color w:val="000000"/>
          <w:sz w:val="20"/>
          <w:szCs w:val="20"/>
        </w:rPr>
        <w:t>The Company’s stress capital buffer requirement is 5.6% for the period from October 1, 2020 through September 30, 2021, at which poin</w:t>
      </w:r>
      <w:r>
        <w:rPr>
          <w:rFonts w:eastAsia="Times New Roman"/>
          <w:color w:val="000000"/>
          <w:sz w:val="20"/>
          <w:szCs w:val="20"/>
        </w:rPr>
        <w:t>t a revised stress capital buffer requirement will be applicable to the Company based on the Company’s 2021 stress testing results. Therefore, the Company’s minimum capital requirements plus the standardized approach capital conservation buffer for CET1 ca</w:t>
      </w:r>
      <w:r>
        <w:rPr>
          <w:rFonts w:eastAsia="Times New Roman"/>
          <w:color w:val="000000"/>
          <w:sz w:val="20"/>
          <w:szCs w:val="20"/>
        </w:rPr>
        <w:t xml:space="preserve">pital, Tier 1 capital and total capital ratios under the stress capital buffer framework are 10.1%, 11.6% and 13.6%, respectively, for the period from October 1, 2020 through September 30, 2021. </w:t>
      </w:r>
    </w:p>
    <w:p w:rsidR="00000000" w:rsidRDefault="00E0782F">
      <w:pPr>
        <w:jc w:val="both"/>
        <w:divId w:val="744185042"/>
        <w:rPr>
          <w:rFonts w:eastAsia="Times New Roman"/>
        </w:rPr>
      </w:pPr>
      <w:r>
        <w:rPr>
          <w:rFonts w:eastAsia="Times New Roman"/>
          <w:color w:val="000000"/>
          <w:sz w:val="20"/>
          <w:szCs w:val="20"/>
        </w:rPr>
        <w:t xml:space="preserve">The Stress Capital Buffer Rule does not apply to the Banks. </w:t>
      </w:r>
      <w:r>
        <w:rPr>
          <w:rFonts w:eastAsia="Times New Roman"/>
          <w:color w:val="000000"/>
          <w:sz w:val="20"/>
          <w:szCs w:val="20"/>
        </w:rPr>
        <w:t>The capital conservation buffer for the Banks continues to be fixed at 2.5%. Accordingly, each Bank’s minimum capital requirements plus its capital conservation buffer for CET1 capital, Tier 1 capital and total capital ratios remain at 7.0%, 8.5% and 10.5%</w:t>
      </w:r>
      <w:r>
        <w:rPr>
          <w:rFonts w:eastAsia="Times New Roman"/>
          <w:color w:val="000000"/>
          <w:sz w:val="20"/>
          <w:szCs w:val="20"/>
        </w:rPr>
        <w:t xml:space="preserve">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4450577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64450577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64450577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7" style="width:0;height:1.5pt" o:hralign="center" o:hrstd="t" o:hr="t" fillcolor="#a0a0a0" stroked="f"/>
        </w:pict>
      </w:r>
    </w:p>
    <w:p w:rsidR="00000000" w:rsidRDefault="00E0782F">
      <w:pPr>
        <w:ind w:hanging="360"/>
        <w:jc w:val="both"/>
        <w:divId w:val="1233931019"/>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916937176"/>
        <w:rPr>
          <w:rFonts w:eastAsia="Times New Roman"/>
        </w:rPr>
      </w:pPr>
      <w:r>
        <w:rPr>
          <w:rFonts w:eastAsia="Times New Roman"/>
          <w:color w:val="000000"/>
          <w:sz w:val="20"/>
          <w:szCs w:val="20"/>
        </w:rPr>
        <w:t xml:space="preserve">If we fail to maintain our capital ratios above the minimum capital requirements plus </w:t>
      </w:r>
      <w:r>
        <w:rPr>
          <w:rFonts w:eastAsia="Times New Roman"/>
          <w:color w:val="000000"/>
          <w:sz w:val="20"/>
          <w:szCs w:val="20"/>
        </w:rPr>
        <w:t>the applicable buffer requirements, we will face increasingly strict automatic limitations on capital distributions and discretionary bonus payments to certain executive officers.</w:t>
      </w:r>
    </w:p>
    <w:p w:rsidR="00000000" w:rsidRDefault="00E0782F">
      <w:pPr>
        <w:jc w:val="both"/>
        <w:divId w:val="871302894"/>
        <w:rPr>
          <w:rFonts w:eastAsia="Times New Roman"/>
        </w:rPr>
      </w:pPr>
      <w:r>
        <w:rPr>
          <w:rFonts w:eastAsia="Times New Roman"/>
          <w:color w:val="000000"/>
          <w:sz w:val="20"/>
          <w:szCs w:val="20"/>
        </w:rPr>
        <w:t xml:space="preserve">As of December 31, 2020 and 2019, respectively, each of the Company and the </w:t>
      </w:r>
      <w:r>
        <w:rPr>
          <w:rFonts w:eastAsia="Times New Roman"/>
          <w:color w:val="000000"/>
          <w:sz w:val="20"/>
          <w:szCs w:val="20"/>
        </w:rPr>
        <w:t>Banks exceeded the minimum capital requirements and the buffer requirements applicable to them, and each of the Banks was “well capitalized” under PCA requirements.</w:t>
      </w:r>
    </w:p>
    <w:p w:rsidR="00000000" w:rsidRDefault="00E0782F">
      <w:pPr>
        <w:jc w:val="both"/>
        <w:divId w:val="1738893005"/>
        <w:rPr>
          <w:rFonts w:eastAsia="Times New Roman"/>
        </w:rPr>
      </w:pPr>
      <w:r>
        <w:rPr>
          <w:rFonts w:eastAsia="Times New Roman"/>
          <w:b/>
          <w:bCs/>
          <w:i/>
          <w:iCs/>
          <w:color w:val="000000"/>
          <w:sz w:val="20"/>
          <w:szCs w:val="20"/>
        </w:rPr>
        <w:t>Market Risk Rule</w:t>
      </w:r>
    </w:p>
    <w:p w:rsidR="00000000" w:rsidRDefault="00E0782F">
      <w:pPr>
        <w:jc w:val="both"/>
        <w:divId w:val="2080517779"/>
        <w:rPr>
          <w:rFonts w:eastAsia="Times New Roman"/>
        </w:rPr>
      </w:pPr>
      <w:r>
        <w:rPr>
          <w:rFonts w:eastAsia="Times New Roman"/>
          <w:color w:val="000000"/>
          <w:sz w:val="20"/>
          <w:szCs w:val="20"/>
        </w:rPr>
        <w:t>The Market Risk Rule requires institutions subject to the rule to adjust their risk-based capital ratios to reflect the market risk in their trading portfolios. As of December 31, 2020, the Company and CONA are subject to the Market Risk Rule. See “MD&amp;A—Ma</w:t>
      </w:r>
      <w:r>
        <w:rPr>
          <w:rFonts w:eastAsia="Times New Roman"/>
          <w:color w:val="000000"/>
          <w:sz w:val="20"/>
          <w:szCs w:val="20"/>
        </w:rPr>
        <w:t xml:space="preserve">rket Risk Profile” below for additional information. </w:t>
      </w:r>
    </w:p>
    <w:p w:rsidR="00000000" w:rsidRDefault="00E0782F">
      <w:pPr>
        <w:jc w:val="both"/>
        <w:divId w:val="1303344530"/>
        <w:rPr>
          <w:rFonts w:eastAsia="Times New Roman"/>
        </w:rPr>
      </w:pPr>
      <w:r>
        <w:rPr>
          <w:rFonts w:eastAsia="Times New Roman"/>
          <w:b/>
          <w:bCs/>
          <w:i/>
          <w:iCs/>
          <w:color w:val="000000"/>
          <w:sz w:val="20"/>
          <w:szCs w:val="20"/>
        </w:rPr>
        <w:t>CECL Transition Rule</w:t>
      </w:r>
    </w:p>
    <w:p w:rsidR="00000000" w:rsidRDefault="00E0782F">
      <w:pPr>
        <w:jc w:val="both"/>
        <w:divId w:val="520515996"/>
        <w:rPr>
          <w:rFonts w:eastAsia="Times New Roman"/>
        </w:rPr>
      </w:pPr>
      <w:r>
        <w:rPr>
          <w:rFonts w:eastAsia="Times New Roman"/>
          <w:color w:val="000000"/>
          <w:sz w:val="20"/>
          <w:szCs w:val="20"/>
        </w:rPr>
        <w:t>As part of their response to the COVID-19 pandemic, the Federal Banking Agencies adopted the 2020 CECL Transition Rule which provides banking institutions an optional five-year tran</w:t>
      </w:r>
      <w:r>
        <w:rPr>
          <w:rFonts w:eastAsia="Times New Roman"/>
          <w:color w:val="000000"/>
          <w:sz w:val="20"/>
          <w:szCs w:val="20"/>
        </w:rPr>
        <w:t xml:space="preserve">sition period to phase in the impact of the CECL standard on their regulatory capital. </w:t>
      </w:r>
    </w:p>
    <w:p w:rsidR="00000000" w:rsidRDefault="00E0782F">
      <w:pPr>
        <w:jc w:val="both"/>
        <w:divId w:val="210845011"/>
        <w:rPr>
          <w:rFonts w:eastAsia="Times New Roman"/>
        </w:rPr>
      </w:pPr>
      <w:r>
        <w:rPr>
          <w:rFonts w:eastAsia="Times New Roman"/>
          <w:color w:val="000000"/>
          <w:sz w:val="20"/>
          <w:szCs w:val="20"/>
        </w:rPr>
        <w:t>Pursuant to the 2020 CECL Transition Rule, a banking institution may elect to delay the estimated impact of adopting CECL on its regulatory capital through December 31,</w:t>
      </w:r>
      <w:r>
        <w:rPr>
          <w:rFonts w:eastAsia="Times New Roman"/>
          <w:color w:val="000000"/>
          <w:sz w:val="20"/>
          <w:szCs w:val="20"/>
        </w:rPr>
        <w:t xml:space="preserve"> 2021 and then phase in the estimated cumulative impact from January 1, 2022 through December 31, 2024. For the “day 2” ongoing impact of CECL during the initial two years, the Federal Banking Agencies use a uniform “scaling factor” of 25% as an approximat</w:t>
      </w:r>
      <w:r>
        <w:rPr>
          <w:rFonts w:eastAsia="Times New Roman"/>
          <w:color w:val="000000"/>
          <w:sz w:val="20"/>
          <w:szCs w:val="20"/>
        </w:rPr>
        <w:t>ion of the increase in the allowance under the CECL standard compared to the prior incurred loss methodology. Accordingly, from January 1, 2020 through December 31, 2021, electing banking institutions are permitted to add back to their regulatory capital a</w:t>
      </w:r>
      <w:r>
        <w:rPr>
          <w:rFonts w:eastAsia="Times New Roman"/>
          <w:color w:val="000000"/>
          <w:sz w:val="20"/>
          <w:szCs w:val="20"/>
        </w:rPr>
        <w:t>n amount equal to the sum of the after-tax “day 1” CECL adoption impact and 25% of the increase in the allowance since the adoption of the CECL standard. Beginning January 1, 2022 through December 31, 2024, the after-tax “day 1” CECL adoption impact and th</w:t>
      </w:r>
      <w:r>
        <w:rPr>
          <w:rFonts w:eastAsia="Times New Roman"/>
          <w:color w:val="000000"/>
          <w:sz w:val="20"/>
          <w:szCs w:val="20"/>
        </w:rPr>
        <w:t>e cumulative “day 2” ongoing impact will be phased in to regulatory capital at 25% per year. The following table summarizes the capital impact delay and phase in period on our regulatory capital from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116221764"/>
        </w:trPr>
        <w:tc>
          <w:tcPr>
            <w:tcW w:w="50" w:type="pct"/>
            <w:vAlign w:val="center"/>
            <w:hideMark/>
          </w:tcPr>
          <w:p w:rsidR="00000000" w:rsidRDefault="00E0782F">
            <w:pPr>
              <w:jc w:val="both"/>
              <w:rPr>
                <w:rFonts w:eastAsia="Times New Roman"/>
              </w:rPr>
            </w:pPr>
          </w:p>
        </w:tc>
        <w:tc>
          <w:tcPr>
            <w:tcW w:w="14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622176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Phase In Period</w:t>
            </w:r>
          </w:p>
        </w:tc>
      </w:tr>
      <w:tr w:rsidR="00000000">
        <w:trPr>
          <w:divId w:val="116221764"/>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2025</w:t>
            </w:r>
          </w:p>
        </w:tc>
      </w:tr>
      <w:tr w:rsidR="00000000">
        <w:trPr>
          <w:divId w:val="116221764"/>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Fully Phased In</w:t>
            </w:r>
          </w:p>
        </w:tc>
      </w:tr>
      <w:tr w:rsidR="00000000">
        <w:trPr>
          <w:divId w:val="116221764"/>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 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r>
    </w:tbl>
    <w:p w:rsidR="00000000" w:rsidRDefault="00E0782F">
      <w:pPr>
        <w:jc w:val="both"/>
        <w:divId w:val="1176068544"/>
        <w:rPr>
          <w:rFonts w:eastAsia="Times New Roman"/>
        </w:rPr>
      </w:pPr>
      <w:r>
        <w:rPr>
          <w:rFonts w:eastAsia="Times New Roman"/>
          <w:color w:val="000000"/>
          <w:sz w:val="20"/>
          <w:szCs w:val="20"/>
        </w:rPr>
        <w:t>We adopted the CECL standard (for accounting purposes) as of January 1, 2020, and made the 2020 CECL Transition Election (for regulatory capital purposes) in the first quarter of 2020. Therefore, the applicable amounts presented in this Report reflect such</w:t>
      </w:r>
      <w:r>
        <w:rPr>
          <w:rFonts w:eastAsia="Times New Roman"/>
          <w:color w:val="000000"/>
          <w:sz w:val="20"/>
          <w:szCs w:val="20"/>
        </w:rPr>
        <w:t xml:space="preserve"> election. </w:t>
      </w:r>
    </w:p>
    <w:p w:rsidR="00000000" w:rsidRDefault="00E0782F">
      <w:pPr>
        <w:jc w:val="both"/>
        <w:divId w:val="580872247"/>
        <w:rPr>
          <w:rFonts w:eastAsia="Times New Roman"/>
        </w:rPr>
      </w:pPr>
      <w:r>
        <w:rPr>
          <w:rFonts w:eastAsia="Times New Roman"/>
          <w:b/>
          <w:bCs/>
          <w:i/>
          <w:iCs/>
          <w:color w:val="000000"/>
          <w:sz w:val="20"/>
          <w:szCs w:val="20"/>
        </w:rPr>
        <w:t>Temporary Exclusions for Supplementary Leverage Ratio</w:t>
      </w:r>
    </w:p>
    <w:p w:rsidR="00000000" w:rsidRDefault="00E0782F">
      <w:pPr>
        <w:jc w:val="both"/>
        <w:divId w:val="841700852"/>
        <w:rPr>
          <w:rFonts w:eastAsia="Times New Roman"/>
        </w:rPr>
      </w:pPr>
      <w:r>
        <w:rPr>
          <w:rFonts w:eastAsia="Times New Roman"/>
          <w:color w:val="000000"/>
          <w:sz w:val="20"/>
          <w:szCs w:val="20"/>
        </w:rPr>
        <w:t>In addition, in April 2020, as part of the response to the COVID-19 pandemic, the Federal Reserve issued an interim final rule that temporarily excludes U.S. Treasury securities and deposits at Federal Reserve Banks from the calculation of the supplementar</w:t>
      </w:r>
      <w:r>
        <w:rPr>
          <w:rFonts w:eastAsia="Times New Roman"/>
          <w:color w:val="000000"/>
          <w:sz w:val="20"/>
          <w:szCs w:val="20"/>
        </w:rPr>
        <w:t>y leverage ratio for BHCs. These exclusions became effective on April 1, 2020, and will remain in effect through March 31, 2021.</w:t>
      </w:r>
    </w:p>
    <w:p w:rsidR="00000000" w:rsidRDefault="00E0782F">
      <w:pPr>
        <w:jc w:val="both"/>
        <w:divId w:val="302391895"/>
        <w:rPr>
          <w:rFonts w:eastAsia="Times New Roman"/>
        </w:rPr>
      </w:pPr>
      <w:r>
        <w:rPr>
          <w:rFonts w:eastAsia="Times New Roman"/>
          <w:color w:val="000000"/>
          <w:sz w:val="20"/>
          <w:szCs w:val="20"/>
        </w:rPr>
        <w:t>Subsequently, in May 2020, the Federal Banking Agencies issued an interim final rule that provides an option for depository ins</w:t>
      </w:r>
      <w:r>
        <w:rPr>
          <w:rFonts w:eastAsia="Times New Roman"/>
          <w:color w:val="000000"/>
          <w:sz w:val="20"/>
          <w:szCs w:val="20"/>
        </w:rPr>
        <w:t>titutions to make similar exclusions to the calculation of the supplementary leverage ratio. If a depository institution elects to make such exclusions, it must request prior approval from its primary federal banking regulator before making capital distrib</w:t>
      </w:r>
      <w:r>
        <w:rPr>
          <w:rFonts w:eastAsia="Times New Roman"/>
          <w:color w:val="000000"/>
          <w:sz w:val="20"/>
          <w:szCs w:val="20"/>
        </w:rPr>
        <w:t>utions, such as paying dividends to its parent company, for as long as the exclusions are in effect. Neither CONA nor COBNA elected to make such exclusions.</w:t>
      </w:r>
    </w:p>
    <w:p w:rsidR="00000000" w:rsidRDefault="00E0782F">
      <w:pPr>
        <w:jc w:val="both"/>
        <w:divId w:val="115494318"/>
        <w:rPr>
          <w:rFonts w:eastAsia="Times New Roman"/>
        </w:rPr>
      </w:pPr>
      <w:r>
        <w:rPr>
          <w:rFonts w:eastAsia="Times New Roman"/>
          <w:color w:val="000000"/>
          <w:sz w:val="20"/>
          <w:szCs w:val="20"/>
        </w:rPr>
        <w:t>For the description of the regulatory capital rules we are subject to, see “Part I—Item 1. Business</w:t>
      </w:r>
      <w:r>
        <w:rPr>
          <w:rFonts w:eastAsia="Times New Roman"/>
          <w:color w:val="000000"/>
          <w:sz w:val="20"/>
          <w:szCs w:val="20"/>
        </w:rPr>
        <w:t>—Supervision and Regulation.”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2831023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2831023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2831023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8" style="width:0;height:1.5pt" o:hralign="center" o:hrstd="t" o:hr="t" fillcolor="#a0a0a0" stroked="f"/>
        </w:pict>
      </w:r>
    </w:p>
    <w:p w:rsidR="00000000" w:rsidRDefault="00E0782F">
      <w:pPr>
        <w:ind w:hanging="360"/>
        <w:jc w:val="both"/>
        <w:divId w:val="160441935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627053989"/>
        <w:rPr>
          <w:rFonts w:eastAsia="Times New Roman"/>
        </w:rPr>
      </w:pPr>
      <w:r>
        <w:rPr>
          <w:rFonts w:eastAsia="Times New Roman"/>
          <w:color w:val="000000"/>
          <w:sz w:val="20"/>
          <w:szCs w:val="20"/>
        </w:rPr>
        <w:t>Table 13 provides a comparison of our regulatory capital ratios under the Basel III Standardized Approach, the regulatory minimum capital adequacy ratios and the PCA well-capitalized level for each ratio, where applicable, as of December 31, 2020 and 2019.</w:t>
      </w:r>
    </w:p>
    <w:p w:rsidR="00000000" w:rsidRDefault="00E0782F">
      <w:pPr>
        <w:divId w:val="1560938233"/>
        <w:rPr>
          <w:rFonts w:eastAsia="Times New Roman"/>
        </w:rPr>
      </w:pPr>
      <w:r>
        <w:rPr>
          <w:rFonts w:eastAsia="Times New Roman"/>
          <w:b/>
          <w:bCs/>
          <w:color w:val="000000"/>
          <w:sz w:val="18"/>
          <w:szCs w:val="18"/>
        </w:rPr>
        <w:t>Table 13: Capital Ratios Under Basel II</w:t>
      </w:r>
      <w:r>
        <w:rPr>
          <w:rFonts w:eastAsia="Times New Roman"/>
          <w:b/>
          <w:bCs/>
          <w:color w:val="000000"/>
          <w:sz w:val="18"/>
          <w:szCs w:val="18"/>
        </w:rPr>
        <w:t>I</w:t>
      </w:r>
      <w:r>
        <w:rPr>
          <w:rFonts w:eastAsia="Times New Roman"/>
          <w:b/>
          <w:bCs/>
          <w:color w:val="000000"/>
          <w:sz w:val="12"/>
          <w:szCs w:val="12"/>
        </w:rPr>
        <w:t>(1</w:t>
      </w:r>
      <w:r>
        <w:rPr>
          <w:rFonts w:eastAsia="Times New Roman"/>
          <w:b/>
          <w:bCs/>
          <w:color w:val="000000"/>
          <w:sz w:val="12"/>
          <w:szCs w:val="12"/>
        </w:rPr>
        <w:t>)</w:t>
      </w:r>
    </w:p>
    <w:tbl>
      <w:tblPr>
        <w:tblW w:w="4978" w:type="pct"/>
        <w:tblCellMar>
          <w:top w:w="15" w:type="dxa"/>
          <w:left w:w="15" w:type="dxa"/>
          <w:bottom w:w="15" w:type="dxa"/>
          <w:right w:w="15" w:type="dxa"/>
        </w:tblCellMar>
        <w:tblLook w:val="04A0" w:firstRow="1" w:lastRow="0" w:firstColumn="1" w:lastColumn="0" w:noHBand="0" w:noVBand="1"/>
      </w:tblPr>
      <w:tblGrid>
        <w:gridCol w:w="39"/>
        <w:gridCol w:w="2554"/>
        <w:gridCol w:w="38"/>
        <w:gridCol w:w="36"/>
        <w:gridCol w:w="36"/>
        <w:gridCol w:w="36"/>
        <w:gridCol w:w="52"/>
        <w:gridCol w:w="357"/>
        <w:gridCol w:w="200"/>
        <w:gridCol w:w="36"/>
        <w:gridCol w:w="36"/>
        <w:gridCol w:w="36"/>
        <w:gridCol w:w="87"/>
        <w:gridCol w:w="630"/>
        <w:gridCol w:w="200"/>
        <w:gridCol w:w="36"/>
        <w:gridCol w:w="36"/>
        <w:gridCol w:w="36"/>
        <w:gridCol w:w="93"/>
        <w:gridCol w:w="721"/>
        <w:gridCol w:w="200"/>
        <w:gridCol w:w="36"/>
        <w:gridCol w:w="36"/>
        <w:gridCol w:w="36"/>
        <w:gridCol w:w="52"/>
        <w:gridCol w:w="357"/>
        <w:gridCol w:w="170"/>
        <w:gridCol w:w="36"/>
        <w:gridCol w:w="36"/>
        <w:gridCol w:w="36"/>
        <w:gridCol w:w="87"/>
        <w:gridCol w:w="630"/>
        <w:gridCol w:w="170"/>
        <w:gridCol w:w="36"/>
        <w:gridCol w:w="36"/>
        <w:gridCol w:w="36"/>
        <w:gridCol w:w="92"/>
        <w:gridCol w:w="722"/>
        <w:gridCol w:w="170"/>
      </w:tblGrid>
      <w:tr w:rsidR="00000000">
        <w:trPr>
          <w:divId w:val="143816807"/>
        </w:trPr>
        <w:tc>
          <w:tcPr>
            <w:tcW w:w="50" w:type="pct"/>
            <w:vAlign w:val="center"/>
            <w:hideMark/>
          </w:tcPr>
          <w:p w:rsidR="00000000" w:rsidRDefault="00E0782F">
            <w:pPr>
              <w:rPr>
                <w:rFonts w:eastAsia="Times New Roman"/>
              </w:rPr>
            </w:pPr>
          </w:p>
        </w:tc>
        <w:tc>
          <w:tcPr>
            <w:tcW w:w="21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381680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43816807"/>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r>
            <w:r>
              <w:rPr>
                <w:rFonts w:eastAsia="Times New Roman"/>
                <w:b/>
                <w:bCs/>
                <w:color w:val="000000"/>
                <w:sz w:val="16"/>
                <w:szCs w:val="16"/>
              </w:rP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trPr>
          <w:divId w:val="1438168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143668096"/>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E0782F">
            <w:pPr>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N/A</w:t>
            </w: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divId w:val="1569923688"/>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212009025"/>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divId w:val="888299093"/>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N/A</w:t>
            </w: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1956792722"/>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(6)(7</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N/A</w:t>
            </w: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COBNA: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58333837"/>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divId w:val="668142633"/>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118694248"/>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divId w:val="643897947"/>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491338977"/>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N/A</w:t>
            </w: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CONA: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272518262"/>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divId w:val="1831943647"/>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988483077"/>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CCEEFF"/>
            <w:tcMar>
              <w:top w:w="30" w:type="dxa"/>
              <w:left w:w="20" w:type="dxa"/>
              <w:bottom w:w="30" w:type="dxa"/>
              <w:right w:w="20" w:type="dxa"/>
            </w:tcMar>
            <w:vAlign w:val="center"/>
            <w:hideMark/>
          </w:tcPr>
          <w:p w:rsidR="00000000" w:rsidRDefault="00E0782F">
            <w:pPr>
              <w:divId w:val="1794202718"/>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3816807"/>
        </w:trPr>
        <w:tc>
          <w:tcPr>
            <w:tcW w:w="0" w:type="auto"/>
            <w:gridSpan w:val="3"/>
            <w:shd w:val="clear" w:color="auto" w:fill="FFFFFF"/>
            <w:tcMar>
              <w:top w:w="30" w:type="dxa"/>
              <w:left w:w="20" w:type="dxa"/>
              <w:bottom w:w="30" w:type="dxa"/>
              <w:right w:w="20" w:type="dxa"/>
            </w:tcMar>
            <w:vAlign w:val="center"/>
            <w:hideMark/>
          </w:tcPr>
          <w:p w:rsidR="00000000" w:rsidRDefault="00E0782F">
            <w:pPr>
              <w:divId w:val="926574162"/>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N/A</w:t>
            </w:r>
          </w:p>
        </w:tc>
      </w:tr>
    </w:tbl>
    <w:p w:rsidR="00000000" w:rsidRDefault="00E0782F">
      <w:pPr>
        <w:divId w:val="761144558"/>
        <w:rPr>
          <w:rFonts w:eastAsia="Times New Roman"/>
        </w:rPr>
      </w:pPr>
      <w:r>
        <w:rPr>
          <w:rFonts w:eastAsia="Times New Roman"/>
          <w:color w:val="000000"/>
          <w:sz w:val="20"/>
          <w:szCs w:val="20"/>
        </w:rPr>
        <w:t>__________</w:t>
      </w:r>
    </w:p>
    <w:p w:rsidR="00000000" w:rsidRDefault="00E0782F">
      <w:pPr>
        <w:ind w:hanging="360"/>
        <w:jc w:val="both"/>
        <w:divId w:val="166790478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rsidR="00000000" w:rsidRDefault="00E0782F">
      <w:pPr>
        <w:ind w:hanging="360"/>
        <w:jc w:val="both"/>
        <w:divId w:val="160356333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rsidR="00000000" w:rsidRDefault="00E0782F">
      <w:pPr>
        <w:ind w:hanging="360"/>
        <w:jc w:val="both"/>
        <w:divId w:val="29788223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risk-</w:t>
      </w:r>
      <w:r>
        <w:rPr>
          <w:rFonts w:eastAsia="Times New Roman"/>
          <w:color w:val="000000"/>
          <w:sz w:val="16"/>
          <w:szCs w:val="16"/>
        </w:rPr>
        <w:t>weighted assets.</w:t>
      </w:r>
    </w:p>
    <w:p w:rsidR="00000000" w:rsidRDefault="00E0782F">
      <w:pPr>
        <w:ind w:hanging="360"/>
        <w:jc w:val="both"/>
        <w:divId w:val="752891958"/>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rsidR="00000000" w:rsidRDefault="00E0782F">
      <w:pPr>
        <w:ind w:hanging="360"/>
        <w:jc w:val="both"/>
        <w:divId w:val="326402004"/>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Tier 1 leverage ratio is a regulatory capital measure calculated based on Tier 1 capital divided by adjusted avera</w:t>
      </w:r>
      <w:r>
        <w:rPr>
          <w:rFonts w:eastAsia="Times New Roman"/>
          <w:color w:val="000000"/>
          <w:sz w:val="16"/>
          <w:szCs w:val="16"/>
        </w:rPr>
        <w:t>ge assets.</w:t>
      </w:r>
    </w:p>
    <w:p w:rsidR="00000000" w:rsidRDefault="00E0782F">
      <w:pPr>
        <w:ind w:hanging="360"/>
        <w:jc w:val="both"/>
        <w:divId w:val="360976907"/>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 xml:space="preserve">Supplementary leverage ratio is a regulatory capital measure calculated based on Tier 1 capital divided by total leverage exposure. </w:t>
      </w:r>
    </w:p>
    <w:p w:rsidR="00000000" w:rsidRDefault="00E0782F">
      <w:pPr>
        <w:ind w:hanging="360"/>
        <w:jc w:val="both"/>
        <w:divId w:val="1085884428"/>
        <w:rPr>
          <w:rFonts w:eastAsia="Times New Roman"/>
        </w:rPr>
      </w:pPr>
      <w:r>
        <w:rPr>
          <w:rFonts w:eastAsia="Times New Roman"/>
          <w:color w:val="000000"/>
          <w:sz w:val="10"/>
          <w:szCs w:val="10"/>
        </w:rPr>
        <w:t>(7</w:t>
      </w:r>
      <w:r>
        <w:rPr>
          <w:rFonts w:eastAsia="Times New Roman"/>
          <w:color w:val="000000"/>
          <w:sz w:val="10"/>
          <w:szCs w:val="10"/>
        </w:rPr>
        <w:t>)</w:t>
      </w:r>
      <w:r>
        <w:rPr>
          <w:rFonts w:eastAsia="Times New Roman"/>
          <w:color w:val="000000"/>
          <w:sz w:val="16"/>
          <w:szCs w:val="16"/>
        </w:rPr>
        <w:t>Supplementary leverage ratio for the Company as of December 31, 2020 excludes U.S. Treasury securities and</w:t>
      </w:r>
      <w:r>
        <w:rPr>
          <w:rFonts w:eastAsia="Times New Roman"/>
          <w:color w:val="000000"/>
          <w:sz w:val="16"/>
          <w:szCs w:val="16"/>
        </w:rPr>
        <w:t xml:space="preserve"> deposits with the Federal Reserve Banks pursuant to an interim final rule issued by the Federal Reserve, see “Part I—Item 1. Business—Supervision and Regulation” for more information.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504507"/>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2504507"/>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250450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099" style="width:0;height:1.5pt" o:hralign="center" o:hrstd="t" o:hr="t" fillcolor="#a0a0a0" stroked="f"/>
        </w:pict>
      </w:r>
    </w:p>
    <w:p w:rsidR="00000000" w:rsidRDefault="00E0782F">
      <w:pPr>
        <w:ind w:hanging="360"/>
        <w:jc w:val="both"/>
        <w:divId w:val="1117723848"/>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957182650"/>
        <w:rPr>
          <w:rFonts w:eastAsia="Times New Roman"/>
        </w:rPr>
      </w:pPr>
      <w:r>
        <w:rPr>
          <w:rFonts w:eastAsia="Times New Roman"/>
          <w:color w:val="000000"/>
          <w:sz w:val="20"/>
          <w:szCs w:val="20"/>
        </w:rPr>
        <w:t>Table 14 presents regulatory capital under the Basel III Standardized Approach and reg</w:t>
      </w:r>
      <w:r>
        <w:rPr>
          <w:rFonts w:eastAsia="Times New Roman"/>
          <w:color w:val="000000"/>
          <w:sz w:val="20"/>
          <w:szCs w:val="20"/>
        </w:rPr>
        <w:t xml:space="preserve">ulatory capital metrics as of December 31, 2020 and 2019. </w:t>
      </w:r>
    </w:p>
    <w:p w:rsidR="00000000" w:rsidRDefault="00E0782F">
      <w:pPr>
        <w:divId w:val="74253765"/>
        <w:rPr>
          <w:rFonts w:eastAsia="Times New Roman"/>
        </w:rPr>
      </w:pPr>
      <w:r>
        <w:rPr>
          <w:rFonts w:eastAsia="Times New Roman"/>
          <w:b/>
          <w:bCs/>
          <w:color w:val="000000"/>
          <w:sz w:val="18"/>
          <w:szCs w:val="18"/>
        </w:rPr>
        <w:t>Table 14: Regulatory Risk-Based Capital Components and Regulatory Capital Metrics</w:t>
      </w:r>
    </w:p>
    <w:tbl>
      <w:tblPr>
        <w:tblW w:w="4970" w:type="pct"/>
        <w:tblCellMar>
          <w:top w:w="15" w:type="dxa"/>
          <w:left w:w="15" w:type="dxa"/>
          <w:bottom w:w="15" w:type="dxa"/>
          <w:right w:w="15" w:type="dxa"/>
        </w:tblCellMar>
        <w:tblLook w:val="04A0" w:firstRow="1" w:lastRow="0" w:firstColumn="1" w:lastColumn="0" w:noHBand="0" w:noVBand="1"/>
      </w:tblPr>
      <w:tblGrid>
        <w:gridCol w:w="41"/>
        <w:gridCol w:w="5650"/>
        <w:gridCol w:w="37"/>
        <w:gridCol w:w="36"/>
        <w:gridCol w:w="36"/>
        <w:gridCol w:w="36"/>
        <w:gridCol w:w="110"/>
        <w:gridCol w:w="1033"/>
        <w:gridCol w:w="36"/>
        <w:gridCol w:w="36"/>
        <w:gridCol w:w="36"/>
        <w:gridCol w:w="36"/>
        <w:gridCol w:w="110"/>
        <w:gridCol w:w="987"/>
        <w:gridCol w:w="36"/>
      </w:tblGrid>
      <w:tr w:rsidR="00000000">
        <w:trPr>
          <w:divId w:val="1460764159"/>
        </w:trPr>
        <w:tc>
          <w:tcPr>
            <w:tcW w:w="50" w:type="pct"/>
            <w:vAlign w:val="center"/>
            <w:hideMark/>
          </w:tcPr>
          <w:p w:rsidR="00000000" w:rsidRDefault="00E0782F">
            <w:pPr>
              <w:rPr>
                <w:rFonts w:eastAsia="Times New Roman"/>
              </w:rPr>
            </w:pPr>
          </w:p>
        </w:tc>
        <w:tc>
          <w:tcPr>
            <w:tcW w:w="34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46076415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Regulatory Capital Under Basel III Standardized Approach</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Common equity excluding AOCI</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55,299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52,001 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Adjustments: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divId w:val="1709523139"/>
              <w:rPr>
                <w:rFonts w:eastAsia="Times New Roman"/>
              </w:rPr>
            </w:pPr>
            <w:r>
              <w:rPr>
                <w:rFonts w:eastAsia="Times New Roman"/>
                <w:color w:val="000000"/>
                <w:sz w:val="18"/>
                <w:szCs w:val="18"/>
              </w:rPr>
              <w:t>AOCI, net of ta</w:t>
            </w:r>
            <w:r>
              <w:rPr>
                <w:rFonts w:eastAsia="Times New Roman"/>
                <w:color w:val="000000"/>
                <w:sz w:val="18"/>
                <w:szCs w:val="18"/>
              </w:rPr>
              <w:t>x</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CCEE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Goodwill, net of related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(14,448)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(14,465)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FFFF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Intangible assets, net of related deferred tax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CCEEFF"/>
            <w:tcMar>
              <w:top w:w="30" w:type="dxa"/>
              <w:left w:w="20" w:type="dxa"/>
              <w:bottom w:w="30" w:type="dxa"/>
              <w:right w:w="20" w:type="dxa"/>
            </w:tcMar>
            <w:vAlign w:val="bottom"/>
            <w:hideMark/>
          </w:tcPr>
          <w:p w:rsidR="00000000" w:rsidRDefault="00E0782F">
            <w:pPr>
              <w:divId w:val="238294175"/>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Common equity Tier 1 capital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40,736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38,162 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Tier 1 capital instruments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Tier 1 capital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45,583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43,015 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Tier 2 capital instruments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3,377 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Qualifying 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Tier 2 capital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 capital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52,788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50,348 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Height w:val="280"/>
        </w:trPr>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Regulatory Capital Metrics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6076415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Risk-weighted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297,903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313,155 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Adjusted average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406,762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368,511 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076415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 leverage exposure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427,522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435,976 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291715615"/>
        <w:rPr>
          <w:rFonts w:eastAsia="Times New Roman"/>
        </w:rPr>
      </w:pPr>
      <w:r>
        <w:rPr>
          <w:rFonts w:eastAsia="Times New Roman"/>
          <w:color w:val="000000"/>
          <w:sz w:val="20"/>
          <w:szCs w:val="20"/>
        </w:rPr>
        <w:t>__________</w:t>
      </w:r>
    </w:p>
    <w:p w:rsidR="00000000" w:rsidRDefault="00E0782F">
      <w:pPr>
        <w:ind w:hanging="360"/>
        <w:jc w:val="both"/>
        <w:divId w:val="70937831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 the first quarter of 2020, we elected to exclude from our regulatory capital ratios certain components of AOCI as permitted under the Tailoring Rules. As such, we revised our presentation herein to only include those components of AOCI that impact our r</w:t>
      </w:r>
      <w:r>
        <w:rPr>
          <w:rFonts w:eastAsia="Times New Roman"/>
          <w:color w:val="000000"/>
          <w:sz w:val="16"/>
          <w:szCs w:val="16"/>
        </w:rPr>
        <w:t>egulatory capital ratios.</w:t>
      </w:r>
    </w:p>
    <w:p w:rsidR="00000000" w:rsidRDefault="00E0782F">
      <w:pPr>
        <w:divId w:val="785387603"/>
        <w:rPr>
          <w:rFonts w:eastAsia="Times New Roman"/>
        </w:rPr>
      </w:pPr>
      <w:r>
        <w:rPr>
          <w:rFonts w:eastAsia="Times New Roman"/>
          <w:b/>
          <w:bCs/>
          <w:color w:val="000000"/>
          <w:sz w:val="20"/>
          <w:szCs w:val="20"/>
        </w:rPr>
        <w:t>Capital Planning and Regulatory Stress Testing</w:t>
      </w:r>
    </w:p>
    <w:p w:rsidR="00000000" w:rsidRDefault="00E0782F">
      <w:pPr>
        <w:jc w:val="both"/>
        <w:divId w:val="1048069191"/>
        <w:rPr>
          <w:rFonts w:eastAsia="Times New Roman"/>
        </w:rPr>
      </w:pPr>
      <w:r>
        <w:rPr>
          <w:rFonts w:eastAsia="Times New Roman"/>
          <w:color w:val="000000"/>
          <w:sz w:val="20"/>
          <w:szCs w:val="20"/>
        </w:rPr>
        <w:t>On June 25, 2020, the Federal Reserve released the stress testing results for the 2020 CCAR cycle, including additional sensitivity analyses conducted due to the COVID-19 pandemic, an</w:t>
      </w:r>
      <w:r>
        <w:rPr>
          <w:rFonts w:eastAsia="Times New Roman"/>
          <w:color w:val="000000"/>
          <w:sz w:val="20"/>
          <w:szCs w:val="20"/>
        </w:rPr>
        <w:t>d notified all participating BHCs, including us, of their stress capital buffer requirements. In light of the COVID-19 pandemic, the Federal Reserve required all participating BHCs, including us, to update and resubmit their capital plans in the fourth qua</w:t>
      </w:r>
      <w:r>
        <w:rPr>
          <w:rFonts w:eastAsia="Times New Roman"/>
          <w:color w:val="000000"/>
          <w:sz w:val="20"/>
          <w:szCs w:val="20"/>
        </w:rPr>
        <w:t>rter of 2020, and to preserve capital by suspending share repurchases and capping common stock dividend payments for the third and fourth quarters of 2020 to the lower of (i) the amount paid in the second quarter of 2020 and (ii) an amount equal to the ave</w:t>
      </w:r>
      <w:r>
        <w:rPr>
          <w:rFonts w:eastAsia="Times New Roman"/>
          <w:color w:val="000000"/>
          <w:sz w:val="20"/>
          <w:szCs w:val="20"/>
        </w:rPr>
        <w:t xml:space="preserve">rage net income earned across the four preceding calendar quarters. Scheduled payments on additional Tier 1 and Tier 2 capital instruments, such as preferred stock and subordinated debt, were not similarly restricted. </w:t>
      </w:r>
    </w:p>
    <w:p w:rsidR="00000000" w:rsidRDefault="00E0782F">
      <w:pPr>
        <w:jc w:val="both"/>
        <w:divId w:val="21440003"/>
        <w:rPr>
          <w:rFonts w:eastAsia="Times New Roman"/>
        </w:rPr>
      </w:pPr>
      <w:r>
        <w:rPr>
          <w:rFonts w:eastAsia="Times New Roman"/>
          <w:color w:val="000000"/>
          <w:sz w:val="20"/>
          <w:szCs w:val="20"/>
        </w:rPr>
        <w:t>We conducted a second round of stress</w:t>
      </w:r>
      <w:r>
        <w:rPr>
          <w:rFonts w:eastAsia="Times New Roman"/>
          <w:color w:val="000000"/>
          <w:sz w:val="20"/>
          <w:szCs w:val="20"/>
        </w:rPr>
        <w:t xml:space="preserve"> tests and submitted our updated capital plan to the Federal Reserve on November 2, 2020. On December 18, 2020, the Federal Reserve released the results of its second round of supervisory stress tests. The Federal Reserve did not recalculate our stress cap</w:t>
      </w:r>
      <w:r>
        <w:rPr>
          <w:rFonts w:eastAsia="Times New Roman"/>
          <w:color w:val="000000"/>
          <w:sz w:val="20"/>
          <w:szCs w:val="20"/>
        </w:rPr>
        <w:t>ital buffer requirement at this time but reserved its ability to do so until March 31, 2021. Finally, the Federal Reserve extended the capital distribution restrictions for all participating BHCs through at least the first quarter of 2021 with certain modi</w:t>
      </w:r>
      <w:r>
        <w:rPr>
          <w:rFonts w:eastAsia="Times New Roman"/>
          <w:color w:val="000000"/>
          <w:sz w:val="20"/>
          <w:szCs w:val="20"/>
        </w:rPr>
        <w:t>fications. In particular, for the first quarter of 2021, participating BHCs may resume share repurchases but the aggregate amount of common stock dividend payments and share repurchases shall not exceed an amount equal to the average net income earned acro</w:t>
      </w:r>
      <w:r>
        <w:rPr>
          <w:rFonts w:eastAsia="Times New Roman"/>
          <w:color w:val="000000"/>
          <w:sz w:val="20"/>
          <w:szCs w:val="20"/>
        </w:rPr>
        <w:t xml:space="preserve">ss the four preceding calendar quarters. In addition, common stock dividend payments for the first quarter of 2021 continue to be capped at the amount paid in the second quarter of 2020. </w:t>
      </w:r>
    </w:p>
    <w:p w:rsidR="00000000" w:rsidRDefault="00E0782F">
      <w:pPr>
        <w:jc w:val="both"/>
        <w:divId w:val="1209756561"/>
        <w:rPr>
          <w:rFonts w:eastAsia="Times New Roman"/>
        </w:rPr>
      </w:pPr>
      <w:r>
        <w:rPr>
          <w:rFonts w:eastAsia="Times New Roman"/>
          <w:color w:val="000000"/>
          <w:sz w:val="20"/>
          <w:szCs w:val="20"/>
        </w:rPr>
        <w:t>We suspended our 2019 Stock Repurchase Program on March 13, 2020, in</w:t>
      </w:r>
      <w:r>
        <w:rPr>
          <w:rFonts w:eastAsia="Times New Roman"/>
          <w:color w:val="000000"/>
          <w:sz w:val="20"/>
          <w:szCs w:val="20"/>
        </w:rPr>
        <w:t xml:space="preserve"> response to the COVID-19 pandemic through the program’s expiration at the end of the second quarter of 2020. As described above, for the third and fourth quarters of 2020, we were restricted from engaging in share repurchases. On January 25, 2021, our Boa</w:t>
      </w:r>
      <w:r>
        <w:rPr>
          <w:rFonts w:eastAsia="Times New Roman"/>
          <w:color w:val="000000"/>
          <w:sz w:val="20"/>
          <w:szCs w:val="20"/>
        </w:rPr>
        <w:t>rd of Directors authorized the repurchase of up to $7.5 billion of shares of our common stock.</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6449488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6449488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6449488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0" style="width:0;height:1.5pt" o:hralign="center" o:hrstd="t" o:hr="t" fillcolor="#a0a0a0" stroked="f"/>
        </w:pict>
      </w:r>
    </w:p>
    <w:p w:rsidR="00000000" w:rsidRDefault="00E0782F">
      <w:pPr>
        <w:ind w:hanging="360"/>
        <w:jc w:val="both"/>
        <w:divId w:val="30212738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834295974"/>
        <w:rPr>
          <w:rFonts w:eastAsia="Times New Roman"/>
        </w:rPr>
      </w:pPr>
      <w:r>
        <w:rPr>
          <w:rFonts w:eastAsia="Times New Roman"/>
          <w:color w:val="000000"/>
          <w:sz w:val="20"/>
          <w:szCs w:val="20"/>
        </w:rPr>
        <w:t>We distributed dividends of $0.40 per share on our common stock in the first and secon</w:t>
      </w:r>
      <w:r>
        <w:rPr>
          <w:rFonts w:eastAsia="Times New Roman"/>
          <w:color w:val="000000"/>
          <w:sz w:val="20"/>
          <w:szCs w:val="20"/>
        </w:rPr>
        <w:t>d quarters of 2020. Consistent with the Federal Reserve’s capital distribution restrictions described above, we reduced our quarterly dividend on our common stock from $0.40 per share to $0.10 per share for the third quarter of 2020. For the fourth quarter</w:t>
      </w:r>
      <w:r>
        <w:rPr>
          <w:rFonts w:eastAsia="Times New Roman"/>
          <w:color w:val="000000"/>
          <w:sz w:val="20"/>
          <w:szCs w:val="20"/>
        </w:rPr>
        <w:t xml:space="preserve"> of 2020, while our third quarter results would have permitted us to increase our common stock dividend pursuant to the Federal Reserve’s limitations described above, we maintained our quarterly dividend at $0.10 per share as the process surrounding our re</w:t>
      </w:r>
      <w:r>
        <w:rPr>
          <w:rFonts w:eastAsia="Times New Roman"/>
          <w:color w:val="000000"/>
          <w:sz w:val="20"/>
          <w:szCs w:val="20"/>
        </w:rPr>
        <w:t xml:space="preserve">submitted capital plan had not been completed at that time. </w:t>
      </w:r>
    </w:p>
    <w:p w:rsidR="00000000" w:rsidRDefault="00E0782F">
      <w:pPr>
        <w:jc w:val="both"/>
        <w:divId w:val="1977954497"/>
        <w:rPr>
          <w:rFonts w:eastAsia="Times New Roman"/>
        </w:rPr>
      </w:pPr>
      <w:r>
        <w:rPr>
          <w:rFonts w:eastAsia="Times New Roman"/>
          <w:color w:val="000000"/>
          <w:sz w:val="20"/>
          <w:szCs w:val="20"/>
        </w:rPr>
        <w:t>On February 4, 2021, our Board of Directors approved returning our quarterly common stock dividend to $0.40 per share for the first quarter of 2021.</w:t>
      </w:r>
    </w:p>
    <w:p w:rsidR="00000000" w:rsidRDefault="00E0782F">
      <w:pPr>
        <w:jc w:val="both"/>
        <w:divId w:val="1792284774"/>
        <w:rPr>
          <w:rFonts w:eastAsia="Times New Roman"/>
        </w:rPr>
      </w:pPr>
      <w:r>
        <w:rPr>
          <w:rFonts w:eastAsia="Times New Roman"/>
          <w:color w:val="000000"/>
          <w:sz w:val="20"/>
          <w:szCs w:val="20"/>
        </w:rPr>
        <w:t xml:space="preserve">For the description of the regulatory capital </w:t>
      </w:r>
      <w:r>
        <w:rPr>
          <w:rFonts w:eastAsia="Times New Roman"/>
          <w:color w:val="000000"/>
          <w:sz w:val="20"/>
          <w:szCs w:val="20"/>
        </w:rPr>
        <w:t>planning rules we are subject to, see “Part I—Item 1. Business—Supervision and Regulation.”</w:t>
      </w:r>
    </w:p>
    <w:p w:rsidR="00000000" w:rsidRDefault="00E0782F">
      <w:pPr>
        <w:divId w:val="60687542"/>
        <w:rPr>
          <w:rFonts w:eastAsia="Times New Roman"/>
        </w:rPr>
      </w:pPr>
      <w:r>
        <w:rPr>
          <w:rFonts w:eastAsia="Times New Roman"/>
          <w:b/>
          <w:bCs/>
          <w:color w:val="000000"/>
          <w:sz w:val="20"/>
          <w:szCs w:val="20"/>
        </w:rPr>
        <w:t>Equity Offerings and Transactions</w:t>
      </w:r>
    </w:p>
    <w:p w:rsidR="00000000" w:rsidRDefault="00E0782F">
      <w:pPr>
        <w:jc w:val="both"/>
        <w:divId w:val="914709261"/>
        <w:rPr>
          <w:rFonts w:eastAsia="Times New Roman"/>
        </w:rPr>
      </w:pPr>
      <w:r>
        <w:rPr>
          <w:rFonts w:eastAsia="Times New Roman"/>
          <w:color w:val="000000"/>
          <w:sz w:val="20"/>
          <w:szCs w:val="20"/>
        </w:rPr>
        <w:t>On January 31, 2020, we issued 50,000,000 depositary shares, each representing a 1/40th interest in a share of Fixed Rate Non-Cumulative Perpetual Preferred Stock, Series J, $0.01 par value, with a liquidation preference of $25 per depositary share (“Serie</w:t>
      </w:r>
      <w:r>
        <w:rPr>
          <w:rFonts w:eastAsia="Times New Roman"/>
          <w:color w:val="000000"/>
          <w:sz w:val="20"/>
          <w:szCs w:val="20"/>
        </w:rPr>
        <w:t>s J Preferred Stock”). The net proceeds of the offering of Series J Preferred Stock were approximately $1.2 billion after deducting underwriting commissions and offering expenses. Dividends on the Series J Preferred Stock are payable quarterly in arrears a</w:t>
      </w:r>
      <w:r>
        <w:rPr>
          <w:rFonts w:eastAsia="Times New Roman"/>
          <w:color w:val="000000"/>
          <w:sz w:val="20"/>
          <w:szCs w:val="20"/>
        </w:rPr>
        <w:t>t a rate of 4.80% per annum.</w:t>
      </w:r>
    </w:p>
    <w:p w:rsidR="00000000" w:rsidRDefault="00E0782F">
      <w:pPr>
        <w:jc w:val="both"/>
        <w:divId w:val="609361757"/>
        <w:rPr>
          <w:rFonts w:eastAsia="Times New Roman"/>
        </w:rPr>
      </w:pPr>
      <w:r>
        <w:rPr>
          <w:rFonts w:eastAsia="Times New Roman"/>
          <w:color w:val="000000"/>
          <w:sz w:val="20"/>
          <w:szCs w:val="20"/>
        </w:rPr>
        <w:t>On March 2, 2020, we redeemed all outstanding shares of our Fixed Rate 6.00% Non-Cumulative Perpetual Preferred Stock Series B. The redemption resulted in the recognition of deferred issuance costs, which reduced our net income</w:t>
      </w:r>
      <w:r>
        <w:rPr>
          <w:rFonts w:eastAsia="Times New Roman"/>
          <w:color w:val="000000"/>
          <w:sz w:val="20"/>
          <w:szCs w:val="20"/>
        </w:rPr>
        <w:t xml:space="preserve"> available to common shareholders by $22 million for the year ended December 31, 2020.</w:t>
      </w:r>
    </w:p>
    <w:p w:rsidR="00000000" w:rsidRDefault="00E0782F">
      <w:pPr>
        <w:jc w:val="both"/>
        <w:divId w:val="1149252339"/>
        <w:rPr>
          <w:rFonts w:eastAsia="Times New Roman"/>
        </w:rPr>
      </w:pPr>
      <w:r>
        <w:rPr>
          <w:rFonts w:eastAsia="Times New Roman"/>
          <w:color w:val="000000"/>
          <w:sz w:val="20"/>
          <w:szCs w:val="20"/>
        </w:rPr>
        <w:t>On September 17, 2020, we issued 5,000,000 depositary shares, each representing a 1/40th interest in a share of Fixed Rate Non-Cumulative Perpetual Preferred Stock, Seri</w:t>
      </w:r>
      <w:r>
        <w:rPr>
          <w:rFonts w:eastAsia="Times New Roman"/>
          <w:color w:val="000000"/>
          <w:sz w:val="20"/>
          <w:szCs w:val="20"/>
        </w:rPr>
        <w:t>es K, $0.01 par value, with a liquidation preference of $25 per depositary share (“Series K Preferred Stock”). The net proceeds of the offering of Series K Preferred Stock were approximately $122 million after deducting underwriting commissions and offerin</w:t>
      </w:r>
      <w:r>
        <w:rPr>
          <w:rFonts w:eastAsia="Times New Roman"/>
          <w:color w:val="000000"/>
          <w:sz w:val="20"/>
          <w:szCs w:val="20"/>
        </w:rPr>
        <w:t>g expenses. Dividends on the Series K Preferred Stock are payable quarterly in arrears at a rate of 4.625% per annum.</w:t>
      </w:r>
    </w:p>
    <w:p w:rsidR="00000000" w:rsidRDefault="00E0782F">
      <w:pPr>
        <w:jc w:val="both"/>
        <w:divId w:val="529686360"/>
        <w:rPr>
          <w:rFonts w:eastAsia="Times New Roman"/>
        </w:rPr>
      </w:pPr>
      <w:r>
        <w:rPr>
          <w:rFonts w:eastAsia="Times New Roman"/>
          <w:color w:val="000000"/>
          <w:sz w:val="20"/>
          <w:szCs w:val="20"/>
        </w:rPr>
        <w:t>On December 1, 2020, we redeemed all outstanding shares of our Fixed Rate 6.20% Non-Cumulative Perpetual Preferred Stock Series F. The red</w:t>
      </w:r>
      <w:r>
        <w:rPr>
          <w:rFonts w:eastAsia="Times New Roman"/>
          <w:color w:val="000000"/>
          <w:sz w:val="20"/>
          <w:szCs w:val="20"/>
        </w:rPr>
        <w:t>emption resulted in the recognition of deferred issuance costs, which reduced our net income available to common shareholders by $17 million for the year ended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9111898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9111898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9111898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1" style="width:0;height:1.5pt" o:hralign="center" o:hrstd="t" o:hr="t" fillcolor="#a0a0a0" stroked="f"/>
        </w:pict>
      </w:r>
    </w:p>
    <w:p w:rsidR="00000000" w:rsidRDefault="00E0782F">
      <w:pPr>
        <w:ind w:hanging="360"/>
        <w:jc w:val="both"/>
        <w:divId w:val="21562412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253464577"/>
        <w:rPr>
          <w:rFonts w:eastAsia="Times New Roman"/>
        </w:rPr>
      </w:pPr>
      <w:r>
        <w:rPr>
          <w:rFonts w:eastAsia="Times New Roman"/>
          <w:b/>
          <w:bCs/>
          <w:color w:val="000000"/>
          <w:sz w:val="20"/>
          <w:szCs w:val="20"/>
        </w:rPr>
        <w:t xml:space="preserve">Dividend Policy and Stock Purchases </w:t>
      </w:r>
    </w:p>
    <w:p w:rsidR="00000000" w:rsidRDefault="00E0782F">
      <w:pPr>
        <w:jc w:val="both"/>
        <w:divId w:val="184635162"/>
        <w:rPr>
          <w:rFonts w:eastAsia="Times New Roman"/>
        </w:rPr>
      </w:pPr>
      <w:r>
        <w:rPr>
          <w:rFonts w:eastAsia="Times New Roman"/>
          <w:color w:val="000000"/>
          <w:sz w:val="20"/>
          <w:szCs w:val="20"/>
        </w:rPr>
        <w:t>For the year ended December 31, 2020, we declared</w:t>
      </w:r>
      <w:r>
        <w:rPr>
          <w:rFonts w:eastAsia="Times New Roman"/>
          <w:color w:val="000000"/>
          <w:sz w:val="20"/>
          <w:szCs w:val="20"/>
        </w:rPr>
        <w:t xml:space="preserve"> and paid common stock dividends of $463 million, or $1.00 per share, and preferred stock dividends of $280 million. The following table summarizes the dividends paid per share on our various preferred stock series in each quarter of 2020.</w:t>
      </w:r>
    </w:p>
    <w:p w:rsidR="00000000" w:rsidRDefault="00E0782F">
      <w:pPr>
        <w:divId w:val="1051421708"/>
        <w:rPr>
          <w:rFonts w:eastAsia="Times New Roman"/>
        </w:rPr>
      </w:pPr>
      <w:r>
        <w:rPr>
          <w:rFonts w:eastAsia="Times New Roman"/>
          <w:b/>
          <w:bCs/>
          <w:color w:val="000000"/>
          <w:sz w:val="18"/>
          <w:szCs w:val="18"/>
        </w:rPr>
        <w:t xml:space="preserve">Table 15: Preferred Stock Dividends Paid Per Share </w:t>
      </w:r>
    </w:p>
    <w:tbl>
      <w:tblPr>
        <w:tblW w:w="5000" w:type="pct"/>
        <w:tblCellMar>
          <w:top w:w="15" w:type="dxa"/>
          <w:left w:w="15" w:type="dxa"/>
          <w:bottom w:w="15" w:type="dxa"/>
          <w:right w:w="15" w:type="dxa"/>
        </w:tblCellMar>
        <w:tblLook w:val="04A0" w:firstRow="1" w:lastRow="0" w:firstColumn="1" w:lastColumn="0" w:noHBand="0" w:noVBand="1"/>
      </w:tblPr>
      <w:tblGrid>
        <w:gridCol w:w="59"/>
        <w:gridCol w:w="564"/>
        <w:gridCol w:w="36"/>
        <w:gridCol w:w="36"/>
        <w:gridCol w:w="36"/>
        <w:gridCol w:w="36"/>
        <w:gridCol w:w="69"/>
        <w:gridCol w:w="899"/>
        <w:gridCol w:w="36"/>
        <w:gridCol w:w="36"/>
        <w:gridCol w:w="36"/>
        <w:gridCol w:w="36"/>
        <w:gridCol w:w="60"/>
        <w:gridCol w:w="956"/>
        <w:gridCol w:w="37"/>
        <w:gridCol w:w="36"/>
        <w:gridCol w:w="36"/>
        <w:gridCol w:w="36"/>
        <w:gridCol w:w="55"/>
        <w:gridCol w:w="1098"/>
        <w:gridCol w:w="37"/>
        <w:gridCol w:w="36"/>
        <w:gridCol w:w="36"/>
        <w:gridCol w:w="36"/>
        <w:gridCol w:w="61"/>
        <w:gridCol w:w="970"/>
        <w:gridCol w:w="37"/>
        <w:gridCol w:w="36"/>
        <w:gridCol w:w="36"/>
        <w:gridCol w:w="36"/>
        <w:gridCol w:w="99"/>
        <w:gridCol w:w="482"/>
        <w:gridCol w:w="36"/>
        <w:gridCol w:w="36"/>
        <w:gridCol w:w="36"/>
        <w:gridCol w:w="36"/>
        <w:gridCol w:w="99"/>
        <w:gridCol w:w="482"/>
        <w:gridCol w:w="36"/>
        <w:gridCol w:w="36"/>
        <w:gridCol w:w="36"/>
        <w:gridCol w:w="36"/>
        <w:gridCol w:w="99"/>
        <w:gridCol w:w="482"/>
        <w:gridCol w:w="36"/>
        <w:gridCol w:w="36"/>
        <w:gridCol w:w="36"/>
        <w:gridCol w:w="36"/>
        <w:gridCol w:w="99"/>
        <w:gridCol w:w="482"/>
        <w:gridCol w:w="36"/>
      </w:tblGrid>
      <w:tr w:rsidR="00000000">
        <w:trPr>
          <w:divId w:val="160894602"/>
        </w:trPr>
        <w:tc>
          <w:tcPr>
            <w:tcW w:w="50" w:type="pct"/>
            <w:vAlign w:val="center"/>
            <w:hideMark/>
          </w:tcPr>
          <w:p w:rsidR="00000000" w:rsidRDefault="00E0782F">
            <w:pPr>
              <w:rPr>
                <w:rFonts w:eastAsia="Times New Roman"/>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7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0894602"/>
          <w:trHeight w:val="280"/>
        </w:trPr>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Series</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Description</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Issuance Date</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 xml:space="preserve">Per Annum </w:t>
            </w:r>
            <w:r>
              <w:rPr>
                <w:rFonts w:eastAsia="Times New Roman"/>
                <w:b/>
                <w:bCs/>
                <w:color w:val="000000"/>
                <w:sz w:val="18"/>
                <w:szCs w:val="18"/>
              </w:rPr>
              <w:br/>
              <w:t>Dividend Rate</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Dividend Frequency</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2020</w:t>
            </w:r>
          </w:p>
        </w:tc>
      </w:tr>
      <w:tr w:rsidR="00000000">
        <w:trPr>
          <w:divId w:val="160894602"/>
          <w:trHeight w:val="280"/>
        </w:trPr>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Q4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Q3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Q2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Q1</w:t>
            </w:r>
          </w:p>
        </w:tc>
      </w:tr>
      <w:tr w:rsidR="00000000">
        <w:trPr>
          <w:divId w:val="160894602"/>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divId w:val="1052390595"/>
              <w:rPr>
                <w:rFonts w:eastAsia="Times New Roman"/>
              </w:rPr>
            </w:pPr>
            <w:r>
              <w:rPr>
                <w:rFonts w:eastAsia="Times New Roman"/>
                <w:b/>
                <w:bCs/>
                <w:color w:val="000000"/>
                <w:sz w:val="20"/>
                <w:szCs w:val="20"/>
              </w:rPr>
              <w:t xml:space="preserve">Series </w:t>
            </w:r>
            <w:r>
              <w:rPr>
                <w:rFonts w:eastAsia="Times New Roman"/>
                <w:b/>
                <w:bCs/>
                <w:color w:val="000000"/>
                <w:sz w:val="20"/>
                <w:szCs w:val="20"/>
              </w:rPr>
              <w:t>B</w:t>
            </w:r>
            <w:r>
              <w:rPr>
                <w:rFonts w:eastAsia="Times New Roman"/>
                <w:b/>
                <w:bCs/>
                <w:color w:val="000000"/>
                <w:sz w:val="13"/>
                <w:szCs w:val="13"/>
              </w:rPr>
              <w:t>(1</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 xml:space="preserve">6.000%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August 20, 2012</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6.000%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$15.00</w:t>
            </w:r>
          </w:p>
        </w:tc>
      </w:tr>
      <w:tr w:rsidR="00000000">
        <w:trPr>
          <w:divId w:val="160894602"/>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0894602"/>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0894602"/>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20"/>
                <w:szCs w:val="20"/>
              </w:rPr>
              <w:t>Series 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Fixed-to-Floating Rate</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May 14, 2015</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 xml:space="preserve">5.550% through 5/31/2020; </w:t>
            </w:r>
            <w:r>
              <w:rPr>
                <w:rFonts w:eastAsia="Times New Roman"/>
                <w:color w:val="000000"/>
                <w:sz w:val="20"/>
                <w:szCs w:val="20"/>
              </w:rPr>
              <w:br/>
              <w:t>3-mo. LIBOR + 380 bps thereafter</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Semi-Annually through 5/31/2020; Quarterly thereafter</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$10.23</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$10.61</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$27.75</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w:t>
            </w:r>
          </w:p>
        </w:tc>
      </w:tr>
      <w:tr w:rsidR="00000000">
        <w:trPr>
          <w:divId w:val="160894602"/>
        </w:trPr>
        <w:tc>
          <w:tcPr>
            <w:tcW w:w="0" w:type="auto"/>
            <w:gridSpan w:val="3"/>
            <w:shd w:val="clear" w:color="auto" w:fill="CCEEFF"/>
            <w:tcMar>
              <w:top w:w="30" w:type="dxa"/>
              <w:left w:w="20" w:type="dxa"/>
              <w:bottom w:w="30" w:type="dxa"/>
              <w:right w:w="20" w:type="dxa"/>
            </w:tcMar>
            <w:hideMark/>
          </w:tcPr>
          <w:p w:rsidR="00000000" w:rsidRDefault="00E0782F">
            <w:pPr>
              <w:divId w:val="620650749"/>
              <w:rPr>
                <w:rFonts w:eastAsia="Times New Roman"/>
              </w:rPr>
            </w:pPr>
            <w:r>
              <w:rPr>
                <w:rFonts w:eastAsia="Times New Roman"/>
                <w:b/>
                <w:bCs/>
                <w:color w:val="000000"/>
                <w:sz w:val="20"/>
                <w:szCs w:val="20"/>
              </w:rPr>
              <w:t xml:space="preserve">Series </w:t>
            </w:r>
            <w:r>
              <w:rPr>
                <w:rFonts w:eastAsia="Times New Roman"/>
                <w:b/>
                <w:bCs/>
                <w:color w:val="000000"/>
                <w:sz w:val="20"/>
                <w:szCs w:val="20"/>
              </w:rPr>
              <w:t>F</w:t>
            </w:r>
            <w:r>
              <w:rPr>
                <w:rFonts w:eastAsia="Times New Roman"/>
                <w:b/>
                <w:bCs/>
                <w:color w:val="000000"/>
                <w:sz w:val="13"/>
                <w:szCs w:val="13"/>
              </w:rPr>
              <w:t>(2</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 xml:space="preserve">6.200%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August 24, 2015</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6.200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15.50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15.50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15.50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15.50</w:t>
            </w:r>
          </w:p>
        </w:tc>
      </w:tr>
      <w:tr w:rsidR="00000000">
        <w:trPr>
          <w:divId w:val="160894602"/>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20"/>
                <w:szCs w:val="20"/>
              </w:rPr>
              <w:t>Series 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5.200%</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July 29, 2016</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5.200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13.00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13.00</w:t>
            </w:r>
          </w:p>
        </w:tc>
      </w:tr>
      <w:tr w:rsidR="00000000">
        <w:trPr>
          <w:divId w:val="160894602"/>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20"/>
                <w:szCs w:val="20"/>
              </w:rPr>
              <w:t>Series H</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 xml:space="preserve">6.000%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6.000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15.00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15.00</w:t>
            </w:r>
          </w:p>
        </w:tc>
      </w:tr>
      <w:tr w:rsidR="00000000">
        <w:trPr>
          <w:divId w:val="160894602"/>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20"/>
                <w:szCs w:val="20"/>
              </w:rPr>
              <w:t>Series I</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 xml:space="preserve">5.000% </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5.000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Quarterly</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12.50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12.50</w:t>
            </w:r>
          </w:p>
        </w:tc>
      </w:tr>
      <w:tr w:rsidR="00000000">
        <w:trPr>
          <w:divId w:val="160894602"/>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20"/>
                <w:szCs w:val="20"/>
              </w:rPr>
              <w:t>Series J</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 xml:space="preserve">4.800% </w:t>
            </w:r>
            <w:r>
              <w:rPr>
                <w:rFonts w:eastAsia="Times New Roman"/>
                <w:color w:val="000000"/>
                <w:sz w:val="20"/>
                <w:szCs w:val="20"/>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4.800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12.00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12.00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16.13</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w:t>
            </w:r>
          </w:p>
        </w:tc>
      </w:tr>
      <w:tr w:rsidR="00000000">
        <w:trPr>
          <w:divId w:val="160894602"/>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20"/>
                <w:szCs w:val="20"/>
              </w:rPr>
              <w:t>Series 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4.625%</w:t>
            </w:r>
            <w:r>
              <w:rPr>
                <w:rFonts w:eastAsia="Times New Roman"/>
                <w:color w:val="000000"/>
                <w:sz w:val="20"/>
                <w:szCs w:val="20"/>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4.625</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b/>
                <w:bCs/>
                <w:color w:val="000000"/>
                <w:sz w:val="20"/>
                <w:szCs w:val="20"/>
              </w:rPr>
              <w:t>9.51</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20"/>
                <w:szCs w:val="20"/>
              </w:rPr>
              <w:t>—</w:t>
            </w:r>
          </w:p>
        </w:tc>
      </w:tr>
    </w:tbl>
    <w:p w:rsidR="00000000" w:rsidRDefault="00E0782F">
      <w:pPr>
        <w:divId w:val="1109203841"/>
        <w:rPr>
          <w:rFonts w:eastAsia="Times New Roman"/>
        </w:rPr>
      </w:pPr>
      <w:r>
        <w:rPr>
          <w:rFonts w:eastAsia="Times New Roman"/>
          <w:color w:val="000000"/>
          <w:sz w:val="20"/>
          <w:szCs w:val="20"/>
        </w:rPr>
        <w:t>__________</w:t>
      </w:r>
    </w:p>
    <w:p w:rsidR="00000000" w:rsidRDefault="00E0782F">
      <w:pPr>
        <w:ind w:hanging="360"/>
        <w:jc w:val="both"/>
        <w:divId w:val="107420648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On March 2, 2020, we redeemed all outstanding shares of our preferred stock </w:t>
      </w:r>
      <w:r>
        <w:rPr>
          <w:rFonts w:eastAsia="Times New Roman"/>
          <w:color w:val="000000"/>
          <w:sz w:val="16"/>
          <w:szCs w:val="16"/>
        </w:rPr>
        <w:t>Series B.</w:t>
      </w:r>
    </w:p>
    <w:p w:rsidR="00000000" w:rsidRDefault="00E0782F">
      <w:pPr>
        <w:ind w:hanging="360"/>
        <w:jc w:val="both"/>
        <w:divId w:val="12879264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On December 1, 2020, we redeemed all outstanding shares of our preferred stock Series F. </w:t>
      </w:r>
    </w:p>
    <w:p w:rsidR="00000000" w:rsidRDefault="00E0782F">
      <w:pPr>
        <w:jc w:val="both"/>
        <w:divId w:val="652685475"/>
        <w:rPr>
          <w:rFonts w:eastAsia="Times New Roman"/>
        </w:rPr>
      </w:pPr>
      <w:r>
        <w:rPr>
          <w:rFonts w:eastAsia="Times New Roman"/>
          <w:color w:val="000000"/>
          <w:sz w:val="20"/>
          <w:szCs w:val="20"/>
        </w:rPr>
        <w:t xml:space="preserve">The declaration and payment of dividends to our stockholders, as well as the amount thereof, are subject to the discretion of our Board of Directors and </w:t>
      </w:r>
      <w:r>
        <w:rPr>
          <w:rFonts w:eastAsia="Times New Roman"/>
          <w:color w:val="000000"/>
          <w:sz w:val="20"/>
          <w:szCs w:val="20"/>
        </w:rPr>
        <w:t>depend upon our results of operations, financial condition, capital levels, cash requirements, future prospects, regulatory requirements and other factors deemed relevant by the Board of Directors. As a BHC, our ability to pay dividends is largely dependen</w:t>
      </w:r>
      <w:r>
        <w:rPr>
          <w:rFonts w:eastAsia="Times New Roman"/>
          <w:color w:val="000000"/>
          <w:sz w:val="20"/>
          <w:szCs w:val="20"/>
        </w:rPr>
        <w:t>t upon the receipt of dividends or other payments from our subsidiaries. The Banks are subject to regulatory restrictions that limit their ability to transfer funds to our BHC. As of December 31, 2020, funds available for dividend payments from COBNA and C</w:t>
      </w:r>
      <w:r>
        <w:rPr>
          <w:rFonts w:eastAsia="Times New Roman"/>
          <w:color w:val="000000"/>
          <w:sz w:val="20"/>
          <w:szCs w:val="20"/>
        </w:rPr>
        <w:t xml:space="preserve">ONA were $4.0 billion and $1.8 billion, respectively. There can be no assurance that we will declare and pay any dividends to stockholders. </w:t>
      </w:r>
    </w:p>
    <w:p w:rsidR="00000000" w:rsidRDefault="00E0782F">
      <w:pPr>
        <w:jc w:val="both"/>
        <w:divId w:val="1764255948"/>
        <w:rPr>
          <w:rFonts w:eastAsia="Times New Roman"/>
        </w:rPr>
      </w:pPr>
      <w:r>
        <w:rPr>
          <w:rFonts w:eastAsia="Times New Roman"/>
          <w:color w:val="000000"/>
          <w:sz w:val="20"/>
          <w:szCs w:val="20"/>
        </w:rPr>
        <w:t>Consistent with our 2019 Stock Repurchase Program which was announced on June 27, 2019, our Board of Directors authorized the repurchase of up to $2.2 billion of shares of common stock beginning in the third quarter of 2019 through the end of the second qu</w:t>
      </w:r>
      <w:r>
        <w:rPr>
          <w:rFonts w:eastAsia="Times New Roman"/>
          <w:color w:val="000000"/>
          <w:sz w:val="20"/>
          <w:szCs w:val="20"/>
        </w:rPr>
        <w:t>arter of 2020. During the first quarter of 2020, we repurchased approximately $312 million of shares of our common stock under the 2019 Stock Repurchase Program before suspending further repurchases on March 13, 2020 in response to the COVID-19 pandemic th</w:t>
      </w:r>
      <w:r>
        <w:rPr>
          <w:rFonts w:eastAsia="Times New Roman"/>
          <w:color w:val="000000"/>
          <w:sz w:val="20"/>
          <w:szCs w:val="20"/>
        </w:rPr>
        <w:t>rough the program's expiration at the end of the second quarter of 2020. As noted above, for the third and fourth quarters of 2020, the Federal Reserve required all participating banking organizations, including us, to suspend share repurchases as a measur</w:t>
      </w:r>
      <w:r>
        <w:rPr>
          <w:rFonts w:eastAsia="Times New Roman"/>
          <w:color w:val="000000"/>
          <w:sz w:val="20"/>
          <w:szCs w:val="20"/>
        </w:rPr>
        <w:t>e of capital preservation. On January 25, 2021, our Board of Directors authorized the repurchase of up to $7.5 billion of shares of our common stock.</w:t>
      </w:r>
    </w:p>
    <w:p w:rsidR="00000000" w:rsidRDefault="00E0782F">
      <w:pPr>
        <w:jc w:val="both"/>
        <w:divId w:val="132452776"/>
        <w:rPr>
          <w:rFonts w:eastAsia="Times New Roman"/>
        </w:rPr>
      </w:pPr>
      <w:r>
        <w:rPr>
          <w:rFonts w:eastAsia="Times New Roman"/>
          <w:color w:val="000000"/>
          <w:sz w:val="20"/>
          <w:szCs w:val="20"/>
        </w:rPr>
        <w:t>The timing and exact amount of any future common stock repurchases will depend on various factors, includi</w:t>
      </w:r>
      <w:r>
        <w:rPr>
          <w:rFonts w:eastAsia="Times New Roman"/>
          <w:color w:val="000000"/>
          <w:sz w:val="20"/>
          <w:szCs w:val="20"/>
        </w:rPr>
        <w:t xml:space="preserve">ng regulatory approval, market conditions, opportunities for growth, our capital position and the amount of retained earnings. Our stock repurchase program does not include specific price targets, may be executed through open market purchases or privately </w:t>
      </w:r>
      <w:r>
        <w:rPr>
          <w:rFonts w:eastAsia="Times New Roman"/>
          <w:color w:val="000000"/>
          <w:sz w:val="20"/>
          <w:szCs w:val="20"/>
        </w:rPr>
        <w:t>negotiated transactions, including utilizing Rule 10b5-1 programs, and may be suspended at any time. For additional information on dividends and stock repurchases, see “MD&amp;A—Capital Management—Capital Planning and Regulatory Stress Testing” and “Part I—Ite</w:t>
      </w:r>
      <w:r>
        <w:rPr>
          <w:rFonts w:eastAsia="Times New Roman"/>
          <w:color w:val="000000"/>
          <w:sz w:val="20"/>
          <w:szCs w:val="20"/>
        </w:rPr>
        <w:t>m 1. Business—Supervision and Regulation—Dividends, Stock Repurchases and Transfers of Funds”.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0320285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0320285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0320285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2" style="width:0;height:1.5pt" o:hralign="center" o:hrstd="t" o:hr="t" fillcolor="#a0a0a0" stroked="f"/>
        </w:pict>
      </w:r>
    </w:p>
    <w:p w:rsidR="00000000" w:rsidRDefault="00E0782F">
      <w:pPr>
        <w:ind w:hanging="360"/>
        <w:jc w:val="both"/>
        <w:divId w:val="636449309"/>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477795822"/>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77795822"/>
        </w:trPr>
        <w:tc>
          <w:tcPr>
            <w:tcW w:w="0" w:type="auto"/>
            <w:gridSpan w:val="3"/>
            <w:tcBorders>
              <w:top w:val="single" w:sz="18" w:space="0" w:color="000000"/>
              <w:bottom w:val="single" w:sz="1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20"/>
                <w:szCs w:val="20"/>
              </w:rPr>
              <w:t>RISK MANAGEMENT</w:t>
            </w:r>
          </w:p>
        </w:tc>
      </w:tr>
    </w:tbl>
    <w:p w:rsidR="00000000" w:rsidRDefault="00E0782F">
      <w:pPr>
        <w:divId w:val="1549799922"/>
        <w:rPr>
          <w:rFonts w:eastAsia="Times New Roman"/>
        </w:rPr>
      </w:pPr>
      <w:r>
        <w:rPr>
          <w:rFonts w:eastAsia="Times New Roman"/>
          <w:b/>
          <w:bCs/>
          <w:color w:val="000000"/>
          <w:sz w:val="20"/>
          <w:szCs w:val="20"/>
        </w:rPr>
        <w:t>Risk Management Framework</w:t>
      </w:r>
    </w:p>
    <w:p w:rsidR="00000000" w:rsidRDefault="00E0782F">
      <w:pPr>
        <w:jc w:val="both"/>
        <w:divId w:val="1946694861"/>
        <w:rPr>
          <w:rFonts w:eastAsia="Times New Roman"/>
        </w:rPr>
      </w:pPr>
      <w:r>
        <w:rPr>
          <w:rFonts w:eastAsia="Times New Roman"/>
          <w:color w:val="000000"/>
          <w:sz w:val="20"/>
          <w:szCs w:val="20"/>
        </w:rPr>
        <w:t>Our Risk Management Framework (the “Framework”) sets consistent expectations for risk management across the Company. It also sets expectations for our “Three Lines of Defense” model, which defines the roles, responsibilities and accountabilities for taking</w:t>
      </w:r>
      <w:r>
        <w:rPr>
          <w:rFonts w:eastAsia="Times New Roman"/>
          <w:color w:val="000000"/>
          <w:sz w:val="20"/>
          <w:szCs w:val="20"/>
        </w:rPr>
        <w:t xml:space="preserve"> and managing risk across the Company. Accountability for overseeing an effective Framework resides with our Board of Directors either directly or through its committees. </w:t>
      </w:r>
    </w:p>
    <w:p w:rsidR="00000000" w:rsidRDefault="00E0782F">
      <w:pPr>
        <w:jc w:val="both"/>
        <w:divId w:val="789200020"/>
        <w:rPr>
          <w:rFonts w:eastAsia="Times New Roman"/>
        </w:rPr>
      </w:pPr>
      <w:r>
        <w:rPr>
          <w:rFonts w:eastAsia="Times New Roman"/>
          <w:color w:val="000000"/>
          <w:sz w:val="20"/>
          <w:szCs w:val="20"/>
        </w:rPr>
        <w:t>The “First Line of Defense” consists of any line of business or function that is acc</w:t>
      </w:r>
      <w:r>
        <w:rPr>
          <w:rFonts w:eastAsia="Times New Roman"/>
          <w:color w:val="000000"/>
          <w:sz w:val="20"/>
          <w:szCs w:val="20"/>
        </w:rPr>
        <w:t xml:space="preserve">ountable for risk taking and is responsible for: (i) engaging in activities designed to generate revenue or reduce expenses; (ii) providing operational support or servicing to any business function for the delivery of products or services to customers; or </w:t>
      </w:r>
      <w:r>
        <w:rPr>
          <w:rFonts w:eastAsia="Times New Roman"/>
          <w:color w:val="000000"/>
          <w:sz w:val="20"/>
          <w:szCs w:val="20"/>
        </w:rPr>
        <w:t>(iii) providing technology services in direct support of first line business areas. Each line of business or first line function must manage the risks associated with their activities, including identifying, assessing, measuring, monitoring, controlling an</w:t>
      </w:r>
      <w:r>
        <w:rPr>
          <w:rFonts w:eastAsia="Times New Roman"/>
          <w:color w:val="000000"/>
          <w:sz w:val="20"/>
          <w:szCs w:val="20"/>
        </w:rPr>
        <w:t>d reporting the risks within its business activities, consistent with the risk framework. The “Second Line of Defense” consists of two types of functions: Independent Risk Management (“IRM”) and Support Functions. IRM oversees risk-taking activities and as</w:t>
      </w:r>
      <w:r>
        <w:rPr>
          <w:rFonts w:eastAsia="Times New Roman"/>
          <w:color w:val="000000"/>
          <w:sz w:val="20"/>
          <w:szCs w:val="20"/>
        </w:rPr>
        <w:t xml:space="preserve">sesses risks and issues independent from the first line of defense. Support Functions are centers of specialized expertise (e.g., Human Resources, Accounting, Legal) that provide support services to the Company. The “Third Line of Defense” is comprised of </w:t>
      </w:r>
      <w:r>
        <w:rPr>
          <w:rFonts w:eastAsia="Times New Roman"/>
          <w:color w:val="000000"/>
          <w:sz w:val="20"/>
          <w:szCs w:val="20"/>
        </w:rPr>
        <w:t>the Internal Audit and Credit Review functions. The third line provides independent and objective assurance to senior management and to the Board of Directors that the first and second lines of defense have systems and governance processes which are well-d</w:t>
      </w:r>
      <w:r>
        <w:rPr>
          <w:rFonts w:eastAsia="Times New Roman"/>
          <w:color w:val="000000"/>
          <w:sz w:val="20"/>
          <w:szCs w:val="20"/>
        </w:rPr>
        <w:t xml:space="preserve">esigned and working as intended, and that the Framework is appropriate for our size, complexity and risk profile. </w:t>
      </w:r>
    </w:p>
    <w:p w:rsidR="00000000" w:rsidRDefault="00E0782F">
      <w:pPr>
        <w:jc w:val="both"/>
        <w:divId w:val="545220927"/>
        <w:rPr>
          <w:rFonts w:eastAsia="Times New Roman"/>
        </w:rPr>
      </w:pPr>
      <w:r>
        <w:rPr>
          <w:rFonts w:eastAsia="Times New Roman"/>
          <w:color w:val="000000"/>
          <w:sz w:val="20"/>
          <w:szCs w:val="20"/>
        </w:rPr>
        <w:t xml:space="preserve">Our Framework consists of the following nine elements: </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7"/>
        <w:gridCol w:w="37"/>
        <w:gridCol w:w="37"/>
        <w:gridCol w:w="37"/>
        <w:gridCol w:w="46"/>
        <w:gridCol w:w="1903"/>
        <w:gridCol w:w="36"/>
        <w:gridCol w:w="36"/>
        <w:gridCol w:w="36"/>
        <w:gridCol w:w="36"/>
        <w:gridCol w:w="40"/>
        <w:gridCol w:w="1912"/>
        <w:gridCol w:w="36"/>
        <w:gridCol w:w="36"/>
        <w:gridCol w:w="36"/>
        <w:gridCol w:w="36"/>
        <w:gridCol w:w="43"/>
        <w:gridCol w:w="1909"/>
        <w:gridCol w:w="36"/>
      </w:tblGrid>
      <w:tr w:rsidR="00000000">
        <w:trPr>
          <w:divId w:val="938220435"/>
        </w:trPr>
        <w:tc>
          <w:tcPr>
            <w:tcW w:w="50" w:type="pct"/>
            <w:vAlign w:val="center"/>
            <w:hideMark/>
          </w:tcPr>
          <w:p w:rsidR="00000000" w:rsidRDefault="00E0782F">
            <w:pPr>
              <w:jc w:val="both"/>
              <w:rPr>
                <w:rFonts w:eastAsia="Times New Roman"/>
              </w:rPr>
            </w:pPr>
          </w:p>
        </w:tc>
        <w:tc>
          <w:tcPr>
            <w:tcW w:w="116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16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16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16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38220435"/>
        </w:trPr>
        <w:tc>
          <w:tcPr>
            <w:tcW w:w="0" w:type="auto"/>
            <w:gridSpan w:val="21"/>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 Governance and Accountability</w:t>
            </w:r>
          </w:p>
          <w:p w:rsidR="00000000" w:rsidRDefault="00E0782F">
            <w:pPr>
              <w:jc w:val="center"/>
              <w:rPr>
                <w:rFonts w:eastAsia="Times New Roman"/>
              </w:rPr>
            </w:pPr>
          </w:p>
        </w:tc>
      </w:tr>
      <w:tr w:rsidR="00000000">
        <w:trPr>
          <w:divId w:val="938220435"/>
          <w:trHeight w:val="60"/>
        </w:trPr>
        <w:tc>
          <w:tcPr>
            <w:tcW w:w="0" w:type="auto"/>
            <w:gridSpan w:val="21"/>
            <w:tcMar>
              <w:top w:w="0" w:type="dxa"/>
              <w:left w:w="20" w:type="dxa"/>
              <w:bottom w:w="0" w:type="dxa"/>
              <w:right w:w="20" w:type="dxa"/>
            </w:tcMar>
            <w:vAlign w:val="center"/>
            <w:hideMark/>
          </w:tcPr>
          <w:p w:rsidR="00000000" w:rsidRDefault="00E0782F">
            <w:pPr>
              <w:jc w:val="center"/>
              <w:rPr>
                <w:rFonts w:eastAsia="Times New Roman"/>
              </w:rPr>
            </w:pPr>
          </w:p>
        </w:tc>
      </w:tr>
      <w:tr w:rsidR="00000000">
        <w:trPr>
          <w:divId w:val="938220435"/>
        </w:trPr>
        <w:tc>
          <w:tcPr>
            <w:tcW w:w="0" w:type="auto"/>
            <w:gridSpan w:val="21"/>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Strategy and Risk Alignment</w:t>
            </w:r>
          </w:p>
          <w:p w:rsidR="00000000" w:rsidRDefault="00E0782F">
            <w:pPr>
              <w:jc w:val="center"/>
              <w:rPr>
                <w:rFonts w:eastAsia="Times New Roman"/>
              </w:rPr>
            </w:pPr>
          </w:p>
        </w:tc>
      </w:tr>
      <w:tr w:rsidR="00000000">
        <w:trPr>
          <w:divId w:val="938220435"/>
          <w:trHeight w:val="6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38220435"/>
        </w:trPr>
        <w:tc>
          <w:tcPr>
            <w:tcW w:w="0" w:type="auto"/>
            <w:gridSpan w:val="3"/>
            <w:shd w:val="clear" w:color="auto" w:fill="004977"/>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FFFFFF"/>
                <w:sz w:val="18"/>
                <w:szCs w:val="18"/>
              </w:rPr>
              <w:br/>
              <w:t>Risk Identification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Assessment, Measurement</w:t>
            </w:r>
          </w:p>
          <w:p w:rsidR="00000000" w:rsidRDefault="00E0782F">
            <w:pPr>
              <w:jc w:val="center"/>
              <w:rPr>
                <w:rFonts w:eastAsia="Times New Roman"/>
              </w:rPr>
            </w:pPr>
            <w:r>
              <w:rPr>
                <w:rFonts w:eastAsia="Times New Roman"/>
                <w:b/>
                <w:bCs/>
                <w:color w:val="FFFFFF"/>
                <w:sz w:val="18"/>
                <w:szCs w:val="18"/>
              </w:rPr>
              <w:t>and Response</w:t>
            </w:r>
          </w:p>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Monitoring and Testing</w:t>
            </w:r>
          </w:p>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Aggregation, Reporting and Escalation</w:t>
            </w:r>
          </w:p>
          <w:p w:rsidR="00000000" w:rsidRDefault="00E0782F">
            <w:pPr>
              <w:jc w:val="center"/>
              <w:rPr>
                <w:rFonts w:eastAsia="Times New Roman"/>
              </w:rPr>
            </w:pPr>
          </w:p>
        </w:tc>
      </w:tr>
      <w:tr w:rsidR="00000000">
        <w:trPr>
          <w:divId w:val="938220435"/>
          <w:trHeight w:val="6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38220435"/>
        </w:trPr>
        <w:tc>
          <w:tcPr>
            <w:tcW w:w="0" w:type="auto"/>
            <w:gridSpan w:val="21"/>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Capital and Liquidity Management (including Stress Testing)</w:t>
            </w:r>
          </w:p>
          <w:p w:rsidR="00000000" w:rsidRDefault="00E0782F">
            <w:pPr>
              <w:jc w:val="center"/>
              <w:rPr>
                <w:rFonts w:eastAsia="Times New Roman"/>
              </w:rPr>
            </w:pPr>
          </w:p>
        </w:tc>
      </w:tr>
      <w:tr w:rsidR="00000000">
        <w:trPr>
          <w:divId w:val="938220435"/>
          <w:trHeight w:val="60"/>
        </w:trPr>
        <w:tc>
          <w:tcPr>
            <w:tcW w:w="0" w:type="auto"/>
            <w:gridSpan w:val="21"/>
            <w:tcMar>
              <w:top w:w="0" w:type="dxa"/>
              <w:left w:w="20" w:type="dxa"/>
              <w:bottom w:w="0" w:type="dxa"/>
              <w:right w:w="20" w:type="dxa"/>
            </w:tcMar>
            <w:vAlign w:val="center"/>
            <w:hideMark/>
          </w:tcPr>
          <w:p w:rsidR="00000000" w:rsidRDefault="00E0782F">
            <w:pPr>
              <w:jc w:val="center"/>
              <w:rPr>
                <w:rFonts w:eastAsia="Times New Roman"/>
              </w:rPr>
            </w:pPr>
          </w:p>
        </w:tc>
      </w:tr>
      <w:tr w:rsidR="00000000">
        <w:trPr>
          <w:divId w:val="938220435"/>
        </w:trPr>
        <w:tc>
          <w:tcPr>
            <w:tcW w:w="0" w:type="auto"/>
            <w:gridSpan w:val="21"/>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Risk Data and Enabling Technology</w:t>
            </w:r>
          </w:p>
          <w:p w:rsidR="00000000" w:rsidRDefault="00E0782F">
            <w:pPr>
              <w:jc w:val="center"/>
              <w:rPr>
                <w:rFonts w:eastAsia="Times New Roman"/>
              </w:rPr>
            </w:pPr>
          </w:p>
        </w:tc>
      </w:tr>
      <w:tr w:rsidR="00000000">
        <w:trPr>
          <w:divId w:val="938220435"/>
          <w:trHeight w:val="60"/>
        </w:trPr>
        <w:tc>
          <w:tcPr>
            <w:tcW w:w="0" w:type="auto"/>
            <w:gridSpan w:val="21"/>
            <w:tcMar>
              <w:top w:w="0" w:type="dxa"/>
              <w:left w:w="20" w:type="dxa"/>
              <w:bottom w:w="0" w:type="dxa"/>
              <w:right w:w="20" w:type="dxa"/>
            </w:tcMar>
            <w:vAlign w:val="center"/>
            <w:hideMark/>
          </w:tcPr>
          <w:p w:rsidR="00000000" w:rsidRDefault="00E0782F">
            <w:pPr>
              <w:jc w:val="center"/>
              <w:rPr>
                <w:rFonts w:eastAsia="Times New Roman"/>
              </w:rPr>
            </w:pPr>
          </w:p>
        </w:tc>
      </w:tr>
      <w:tr w:rsidR="00000000">
        <w:trPr>
          <w:divId w:val="938220435"/>
        </w:trPr>
        <w:tc>
          <w:tcPr>
            <w:tcW w:w="0" w:type="auto"/>
            <w:gridSpan w:val="21"/>
            <w:shd w:val="clear" w:color="auto" w:fill="004977"/>
            <w:tcMar>
              <w:top w:w="30" w:type="dxa"/>
              <w:left w:w="20" w:type="dxa"/>
              <w:bottom w:w="30" w:type="dxa"/>
              <w:right w:w="20" w:type="dxa"/>
            </w:tcMar>
            <w:vAlign w:val="center"/>
            <w:hideMark/>
          </w:tcPr>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FFFFFF"/>
                <w:sz w:val="18"/>
                <w:szCs w:val="18"/>
              </w:rPr>
              <w:t>Culture and Talent Management</w:t>
            </w:r>
          </w:p>
          <w:p w:rsidR="00000000" w:rsidRDefault="00E0782F">
            <w:pPr>
              <w:jc w:val="center"/>
              <w:rPr>
                <w:rFonts w:eastAsia="Times New Roman"/>
              </w:rPr>
            </w:pPr>
          </w:p>
        </w:tc>
      </w:tr>
    </w:tbl>
    <w:p w:rsidR="00000000" w:rsidRDefault="00E0782F">
      <w:pPr>
        <w:jc w:val="both"/>
        <w:divId w:val="1880119707"/>
        <w:rPr>
          <w:rFonts w:eastAsia="Times New Roman"/>
        </w:rPr>
      </w:pPr>
      <w:r>
        <w:rPr>
          <w:rFonts w:eastAsia="Times New Roman"/>
          <w:b/>
          <w:bCs/>
          <w:i/>
          <w:iCs/>
          <w:color w:val="000000"/>
          <w:sz w:val="20"/>
          <w:szCs w:val="20"/>
        </w:rPr>
        <w:t>Governance and Accountability</w:t>
      </w:r>
    </w:p>
    <w:p w:rsidR="00000000" w:rsidRDefault="00E0782F">
      <w:pPr>
        <w:jc w:val="both"/>
        <w:divId w:val="539560152"/>
        <w:rPr>
          <w:rFonts w:eastAsia="Times New Roman"/>
        </w:rPr>
      </w:pPr>
      <w:r>
        <w:rPr>
          <w:rFonts w:eastAsia="Times New Roman"/>
          <w:color w:val="000000"/>
          <w:sz w:val="20"/>
          <w:szCs w:val="20"/>
        </w:rPr>
        <w:t>Governance and accountability sets the foundation for the methods for governing risk taking and the interactions within and among our three lines of defense.</w:t>
      </w:r>
    </w:p>
    <w:p w:rsidR="00000000" w:rsidRDefault="00E0782F">
      <w:pPr>
        <w:jc w:val="both"/>
        <w:divId w:val="1215582980"/>
        <w:rPr>
          <w:rFonts w:eastAsia="Times New Roman"/>
        </w:rPr>
      </w:pPr>
      <w:r>
        <w:rPr>
          <w:rFonts w:eastAsia="Times New Roman"/>
          <w:color w:val="000000"/>
          <w:sz w:val="20"/>
          <w:szCs w:val="20"/>
        </w:rPr>
        <w:t>We established a risk governance structure and accountabilities to effectively and consistently ov</w:t>
      </w:r>
      <w:r>
        <w:rPr>
          <w:rFonts w:eastAsia="Times New Roman"/>
          <w:color w:val="000000"/>
          <w:sz w:val="20"/>
          <w:szCs w:val="20"/>
        </w:rPr>
        <w:t>ersee the management of risks across the Company. Our Board of Directors, Chief Executive Officer and management establish the tone at the top regarding the culture of the Company, including management of risk. Management reinforces expectations at the var</w:t>
      </w:r>
      <w:r>
        <w:rPr>
          <w:rFonts w:eastAsia="Times New Roman"/>
          <w:color w:val="000000"/>
          <w:sz w:val="20"/>
          <w:szCs w:val="20"/>
        </w:rPr>
        <w:t xml:space="preserve">ious levels of the organization.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5158082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5158082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5158082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3" style="width:0;height:1.5pt" o:hralign="center" o:hrstd="t" o:hr="t" fillcolor="#a0a0a0" stroked="f"/>
        </w:pict>
      </w:r>
    </w:p>
    <w:p w:rsidR="00000000" w:rsidRDefault="00E0782F">
      <w:pPr>
        <w:ind w:hanging="360"/>
        <w:jc w:val="both"/>
        <w:divId w:val="1997033398"/>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617756865"/>
        <w:rPr>
          <w:rFonts w:eastAsia="Times New Roman"/>
        </w:rPr>
      </w:pPr>
      <w:r>
        <w:rPr>
          <w:rFonts w:eastAsia="Times New Roman"/>
          <w:b/>
          <w:bCs/>
          <w:i/>
          <w:iCs/>
          <w:color w:val="000000"/>
          <w:sz w:val="20"/>
          <w:szCs w:val="20"/>
        </w:rPr>
        <w:t>Strategy and Risk Alignment</w:t>
      </w:r>
    </w:p>
    <w:p w:rsidR="00000000" w:rsidRDefault="00E0782F">
      <w:pPr>
        <w:jc w:val="both"/>
        <w:divId w:val="614560564"/>
        <w:rPr>
          <w:rFonts w:eastAsia="Times New Roman"/>
        </w:rPr>
      </w:pPr>
      <w:r>
        <w:rPr>
          <w:rFonts w:eastAsia="Times New Roman"/>
          <w:color w:val="000000"/>
          <w:sz w:val="20"/>
          <w:szCs w:val="20"/>
        </w:rPr>
        <w:t>Our strategy is informed by and aligned with risk appetite, from development to execution. The Chief Executive Officer develops the strategy with input from the first, second, and third lines of defense, as well as the Board of Directors. The strategic pla</w:t>
      </w:r>
      <w:r>
        <w:rPr>
          <w:rFonts w:eastAsia="Times New Roman"/>
          <w:color w:val="000000"/>
          <w:sz w:val="20"/>
          <w:szCs w:val="20"/>
        </w:rPr>
        <w:t xml:space="preserve">nning process should consider relevant changes to the Company’s overall risk profile. </w:t>
      </w:r>
    </w:p>
    <w:p w:rsidR="00000000" w:rsidRDefault="00E0782F">
      <w:pPr>
        <w:jc w:val="both"/>
        <w:divId w:val="692265870"/>
        <w:rPr>
          <w:rFonts w:eastAsia="Times New Roman"/>
        </w:rPr>
      </w:pPr>
      <w:r>
        <w:rPr>
          <w:rFonts w:eastAsia="Times New Roman"/>
          <w:color w:val="000000"/>
          <w:sz w:val="20"/>
          <w:szCs w:val="20"/>
        </w:rPr>
        <w:t>Our Board of Directors approves a Risk Appetite Statement for the Company to set forth the high-level principles that govern risk taking at the Company. The Risk Appetit</w:t>
      </w:r>
      <w:r>
        <w:rPr>
          <w:rFonts w:eastAsia="Times New Roman"/>
          <w:color w:val="000000"/>
          <w:sz w:val="20"/>
          <w:szCs w:val="20"/>
        </w:rPr>
        <w:t>e Statement defines the Board of Directors’ tolerance for certain risk outcomes at an enterprise level and enables senior management to manage and report within these boundaries. This Risk Appetite Statement is also supported by risk category specific risk</w:t>
      </w:r>
      <w:r>
        <w:rPr>
          <w:rFonts w:eastAsia="Times New Roman"/>
          <w:color w:val="000000"/>
          <w:sz w:val="20"/>
          <w:szCs w:val="20"/>
        </w:rPr>
        <w:t xml:space="preserve"> appetite statements as well as metrics and, where appropriate, Board Limits and Board Notification Thresholds.</w:t>
      </w:r>
    </w:p>
    <w:p w:rsidR="00000000" w:rsidRDefault="00E0782F">
      <w:pPr>
        <w:jc w:val="both"/>
        <w:divId w:val="586689497"/>
        <w:rPr>
          <w:rFonts w:eastAsia="Times New Roman"/>
        </w:rPr>
      </w:pPr>
      <w:r>
        <w:rPr>
          <w:rFonts w:eastAsia="Times New Roman"/>
          <w:b/>
          <w:bCs/>
          <w:i/>
          <w:iCs/>
          <w:color w:val="000000"/>
          <w:sz w:val="20"/>
          <w:szCs w:val="20"/>
        </w:rPr>
        <w:t>Risk Identification</w:t>
      </w:r>
    </w:p>
    <w:p w:rsidR="00000000" w:rsidRDefault="00E0782F">
      <w:pPr>
        <w:jc w:val="both"/>
        <w:divId w:val="1224561209"/>
        <w:rPr>
          <w:rFonts w:eastAsia="Times New Roman"/>
        </w:rPr>
      </w:pPr>
      <w:r>
        <w:rPr>
          <w:rFonts w:eastAsia="Times New Roman"/>
          <w:color w:val="000000"/>
          <w:sz w:val="20"/>
          <w:szCs w:val="20"/>
        </w:rPr>
        <w:t>The first line of defense and certain Support Functions shall identify new and emerging risks across the relevant risk categ</w:t>
      </w:r>
      <w:r>
        <w:rPr>
          <w:rFonts w:eastAsia="Times New Roman"/>
          <w:color w:val="000000"/>
          <w:sz w:val="20"/>
          <w:szCs w:val="20"/>
        </w:rPr>
        <w:t>ories associated with their business activities and objectives, in consultation with IRM. Risk identification also must be informed by major changes in infrastructure or organization, introduction of new products and services, acquisitions of businesses, o</w:t>
      </w:r>
      <w:r>
        <w:rPr>
          <w:rFonts w:eastAsia="Times New Roman"/>
          <w:color w:val="000000"/>
          <w:sz w:val="20"/>
          <w:szCs w:val="20"/>
        </w:rPr>
        <w:t>r substantial changes in the internal or external environment.</w:t>
      </w:r>
    </w:p>
    <w:p w:rsidR="00000000" w:rsidRDefault="00E0782F">
      <w:pPr>
        <w:jc w:val="both"/>
        <w:divId w:val="1978876507"/>
        <w:rPr>
          <w:rFonts w:eastAsia="Times New Roman"/>
        </w:rPr>
      </w:pPr>
      <w:r>
        <w:rPr>
          <w:rFonts w:eastAsia="Times New Roman"/>
          <w:color w:val="000000"/>
          <w:sz w:val="20"/>
          <w:szCs w:val="20"/>
        </w:rPr>
        <w:t xml:space="preserve">IRM and certain Support Functions, where appropriate, provide effective challenge in the risk identification process. IRM is also responsible for identifying our material aggregate risks on an </w:t>
      </w:r>
      <w:r>
        <w:rPr>
          <w:rFonts w:eastAsia="Times New Roman"/>
          <w:color w:val="000000"/>
          <w:sz w:val="20"/>
          <w:szCs w:val="20"/>
        </w:rPr>
        <w:t>ongoing basis.</w:t>
      </w:r>
    </w:p>
    <w:p w:rsidR="00000000" w:rsidRDefault="00E0782F">
      <w:pPr>
        <w:jc w:val="both"/>
        <w:divId w:val="1156648891"/>
        <w:rPr>
          <w:rFonts w:eastAsia="Times New Roman"/>
        </w:rPr>
      </w:pPr>
      <w:r>
        <w:rPr>
          <w:rFonts w:eastAsia="Times New Roman"/>
          <w:b/>
          <w:bCs/>
          <w:i/>
          <w:iCs/>
          <w:color w:val="000000"/>
          <w:sz w:val="20"/>
          <w:szCs w:val="20"/>
        </w:rPr>
        <w:t>Assessment, Measurement and Response</w:t>
      </w:r>
    </w:p>
    <w:p w:rsidR="00000000" w:rsidRDefault="00E0782F">
      <w:pPr>
        <w:jc w:val="both"/>
        <w:divId w:val="263073021"/>
        <w:rPr>
          <w:rFonts w:eastAsia="Times New Roman"/>
        </w:rPr>
      </w:pPr>
      <w:r>
        <w:rPr>
          <w:rFonts w:eastAsia="Times New Roman"/>
          <w:color w:val="000000"/>
          <w:sz w:val="20"/>
          <w:szCs w:val="20"/>
        </w:rPr>
        <w:t>Management shall assess risks associated with our activities. Risks identified should be assessed to understand the severity of each risk and likelihood of occurrence under both normal and stressful condi</w:t>
      </w:r>
      <w:r>
        <w:rPr>
          <w:rFonts w:eastAsia="Times New Roman"/>
          <w:color w:val="000000"/>
          <w:sz w:val="20"/>
          <w:szCs w:val="20"/>
        </w:rPr>
        <w:t>tions. Risk severity is measured through modeling and other quantitative estimation approaches, as well as qualitative approaches, based on management judgment. As part of the risk assessment process, the first and second lines of defense also evaluate the</w:t>
      </w:r>
      <w:r>
        <w:rPr>
          <w:rFonts w:eastAsia="Times New Roman"/>
          <w:color w:val="000000"/>
          <w:sz w:val="20"/>
          <w:szCs w:val="20"/>
        </w:rPr>
        <w:t xml:space="preserve"> effectiveness of the existing control environment and mitigation strategies.</w:t>
      </w:r>
    </w:p>
    <w:p w:rsidR="00000000" w:rsidRDefault="00E0782F">
      <w:pPr>
        <w:jc w:val="both"/>
        <w:divId w:val="1926835646"/>
        <w:rPr>
          <w:rFonts w:eastAsia="Times New Roman"/>
        </w:rPr>
      </w:pPr>
      <w:r>
        <w:rPr>
          <w:rFonts w:eastAsia="Times New Roman"/>
          <w:color w:val="000000"/>
          <w:sz w:val="20"/>
          <w:szCs w:val="20"/>
        </w:rPr>
        <w:t>Management shall determine the appropriate risk response. Risks may be mitigated, accepted, transferred, or avoided. Actions taken to respond to the risk include implementing new</w:t>
      </w:r>
      <w:r>
        <w:rPr>
          <w:rFonts w:eastAsia="Times New Roman"/>
          <w:color w:val="000000"/>
          <w:sz w:val="20"/>
          <w:szCs w:val="20"/>
        </w:rPr>
        <w:t xml:space="preserve"> controls, enhancing existing controls, developing additional mitigation strategies to reduce the impact of the risk, and/or monitoring the risk. </w:t>
      </w:r>
    </w:p>
    <w:p w:rsidR="00000000" w:rsidRDefault="00E0782F">
      <w:pPr>
        <w:jc w:val="both"/>
        <w:divId w:val="2004043499"/>
        <w:rPr>
          <w:rFonts w:eastAsia="Times New Roman"/>
        </w:rPr>
      </w:pPr>
      <w:r>
        <w:rPr>
          <w:rFonts w:eastAsia="Times New Roman"/>
          <w:b/>
          <w:bCs/>
          <w:i/>
          <w:iCs/>
          <w:color w:val="000000"/>
          <w:sz w:val="20"/>
          <w:szCs w:val="20"/>
        </w:rPr>
        <w:t>Monitoring and Testing</w:t>
      </w:r>
    </w:p>
    <w:p w:rsidR="00000000" w:rsidRDefault="00E0782F">
      <w:pPr>
        <w:jc w:val="both"/>
        <w:divId w:val="1068384757"/>
        <w:rPr>
          <w:rFonts w:eastAsia="Times New Roman"/>
        </w:rPr>
      </w:pPr>
      <w:r>
        <w:rPr>
          <w:rFonts w:eastAsia="Times New Roman"/>
          <w:color w:val="000000"/>
          <w:sz w:val="20"/>
          <w:szCs w:val="20"/>
        </w:rPr>
        <w:t>Management periodically monitors risks to evaluate and measure how the risk is affecti</w:t>
      </w:r>
      <w:r>
        <w:rPr>
          <w:rFonts w:eastAsia="Times New Roman"/>
          <w:color w:val="000000"/>
          <w:sz w:val="20"/>
          <w:szCs w:val="20"/>
        </w:rPr>
        <w:t>ng our strategy and business objectives, in alignment with management’s risk appetite, including established concentration risk limits. The scope and frequency of monitoring activities depend on the results of relevant risk assessments, as well as specific</w:t>
      </w:r>
      <w:r>
        <w:rPr>
          <w:rFonts w:eastAsia="Times New Roman"/>
          <w:color w:val="000000"/>
          <w:sz w:val="20"/>
          <w:szCs w:val="20"/>
        </w:rPr>
        <w:t xml:space="preserve"> business risk operations and activities.</w:t>
      </w:r>
    </w:p>
    <w:p w:rsidR="00000000" w:rsidRDefault="00E0782F">
      <w:pPr>
        <w:jc w:val="both"/>
        <w:divId w:val="1773747005"/>
        <w:rPr>
          <w:rFonts w:eastAsia="Times New Roman"/>
        </w:rPr>
      </w:pPr>
      <w:r>
        <w:rPr>
          <w:rFonts w:eastAsia="Times New Roman"/>
          <w:color w:val="000000"/>
          <w:sz w:val="20"/>
          <w:szCs w:val="20"/>
        </w:rPr>
        <w:t>The first line of defense is required to evaluate the effectiveness of risk management practices and controls through testing and other activities. IRM and Support Functions, as appropriate, assess the first line of defense’s evaluation of risk management,</w:t>
      </w:r>
      <w:r>
        <w:rPr>
          <w:rFonts w:eastAsia="Times New Roman"/>
          <w:color w:val="000000"/>
          <w:sz w:val="20"/>
          <w:szCs w:val="20"/>
        </w:rPr>
        <w:t xml:space="preserve"> which may include conducting effective challenge, performing independent monitoring, or conducting risk or control validations. The third line of defense provides independent assurance for first and second line risk management practices and controls. </w:t>
      </w:r>
    </w:p>
    <w:p w:rsidR="00000000" w:rsidRDefault="00E0782F">
      <w:pPr>
        <w:jc w:val="both"/>
        <w:divId w:val="696737296"/>
        <w:rPr>
          <w:rFonts w:eastAsia="Times New Roman"/>
        </w:rPr>
      </w:pPr>
      <w:r>
        <w:rPr>
          <w:rFonts w:eastAsia="Times New Roman"/>
          <w:b/>
          <w:bCs/>
          <w:i/>
          <w:iCs/>
          <w:color w:val="000000"/>
          <w:sz w:val="20"/>
          <w:szCs w:val="20"/>
        </w:rPr>
        <w:t>Agg</w:t>
      </w:r>
      <w:r>
        <w:rPr>
          <w:rFonts w:eastAsia="Times New Roman"/>
          <w:b/>
          <w:bCs/>
          <w:i/>
          <w:iCs/>
          <w:color w:val="000000"/>
          <w:sz w:val="20"/>
          <w:szCs w:val="20"/>
        </w:rPr>
        <w:t>regation, Reporting and Escalation</w:t>
      </w:r>
    </w:p>
    <w:p w:rsidR="00000000" w:rsidRDefault="00E0782F">
      <w:pPr>
        <w:jc w:val="both"/>
        <w:divId w:val="978849029"/>
        <w:rPr>
          <w:rFonts w:eastAsia="Times New Roman"/>
        </w:rPr>
      </w:pPr>
      <w:r>
        <w:rPr>
          <w:rFonts w:eastAsia="Times New Roman"/>
          <w:color w:val="000000"/>
          <w:sz w:val="20"/>
          <w:szCs w:val="20"/>
        </w:rPr>
        <w:t xml:space="preserve">Risk aggregation supports strategic decision making and risk management practices through collectively reporting risks across different levels of the Company and providing a comprehensive view of performance against risk </w:t>
      </w:r>
      <w:r>
        <w:rPr>
          <w:rFonts w:eastAsia="Times New Roman"/>
          <w:color w:val="000000"/>
          <w:sz w:val="20"/>
          <w:szCs w:val="20"/>
        </w:rPr>
        <w:t>appetite. Capital One’s risk aggregation processes are designed to aggregate risk information from lower levels of the business hierarchy to high levels and to aggregate risk information to determine material risk themes.</w:t>
      </w:r>
    </w:p>
    <w:p w:rsidR="00000000" w:rsidRDefault="00E0782F">
      <w:pPr>
        <w:jc w:val="both"/>
        <w:divId w:val="117530875"/>
        <w:rPr>
          <w:rFonts w:eastAsia="Times New Roman"/>
        </w:rPr>
      </w:pPr>
      <w:r>
        <w:rPr>
          <w:rFonts w:eastAsia="Times New Roman"/>
          <w:color w:val="000000"/>
          <w:sz w:val="20"/>
          <w:szCs w:val="20"/>
        </w:rPr>
        <w:t>Material risks, new or emerging ri</w:t>
      </w:r>
      <w:r>
        <w:rPr>
          <w:rFonts w:eastAsia="Times New Roman"/>
          <w:color w:val="000000"/>
          <w:sz w:val="20"/>
          <w:szCs w:val="20"/>
        </w:rPr>
        <w:t>sks, aggregate risks, risk appetite metrics and other measures across all risk categories are reported to the appropriate governance forum no less than quarterly. Material risks are reported to the Board of Directors and senior management committees no les</w:t>
      </w:r>
      <w:r>
        <w:rPr>
          <w:rFonts w:eastAsia="Times New Roman"/>
          <w:color w:val="000000"/>
          <w:sz w:val="20"/>
          <w:szCs w:val="20"/>
        </w:rPr>
        <w:t>s than quarterly.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1289358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12893587"/>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1289358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4" style="width:0;height:1.5pt" o:hralign="center" o:hrstd="t" o:hr="t" fillcolor="#a0a0a0" stroked="f"/>
        </w:pict>
      </w:r>
    </w:p>
    <w:p w:rsidR="00000000" w:rsidRDefault="00E0782F">
      <w:pPr>
        <w:ind w:hanging="360"/>
        <w:jc w:val="both"/>
        <w:divId w:val="1250113446"/>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030378695"/>
        <w:rPr>
          <w:rFonts w:eastAsia="Times New Roman"/>
        </w:rPr>
      </w:pPr>
      <w:r>
        <w:rPr>
          <w:rFonts w:eastAsia="Times New Roman"/>
          <w:b/>
          <w:bCs/>
          <w:i/>
          <w:iCs/>
          <w:color w:val="000000"/>
          <w:sz w:val="20"/>
          <w:szCs w:val="20"/>
        </w:rPr>
        <w:t>Capital and Liquidity Management (including Stress Testing)</w:t>
      </w:r>
    </w:p>
    <w:p w:rsidR="00000000" w:rsidRDefault="00E0782F">
      <w:pPr>
        <w:jc w:val="both"/>
        <w:divId w:val="126557335"/>
        <w:rPr>
          <w:rFonts w:eastAsia="Times New Roman"/>
        </w:rPr>
      </w:pPr>
      <w:r>
        <w:rPr>
          <w:rFonts w:eastAsia="Times New Roman"/>
          <w:color w:val="000000"/>
          <w:sz w:val="20"/>
          <w:szCs w:val="20"/>
        </w:rPr>
        <w:t>Our capital management pro</w:t>
      </w:r>
      <w:r>
        <w:rPr>
          <w:rFonts w:eastAsia="Times New Roman"/>
          <w:color w:val="000000"/>
          <w:sz w:val="20"/>
          <w:szCs w:val="20"/>
        </w:rPr>
        <w:t xml:space="preserve">cesses are linked to our risk management practices, including the enterprise-wide identification, assessment and measurement of risks to ensure that all relevant risks are incorporated in the assessment of the Company's capital adequacy. We use identified </w:t>
      </w:r>
      <w:r>
        <w:rPr>
          <w:rFonts w:eastAsia="Times New Roman"/>
          <w:color w:val="000000"/>
          <w:sz w:val="20"/>
          <w:szCs w:val="20"/>
        </w:rPr>
        <w:t>risks to inform key aspects of the Company’s capital planning, including the development of stress scenarios, the assessment of the adequacy of post-stress capital levels, and the appropriateness of potential capital actions considering the Company’s capit</w:t>
      </w:r>
      <w:r>
        <w:rPr>
          <w:rFonts w:eastAsia="Times New Roman"/>
          <w:color w:val="000000"/>
          <w:sz w:val="20"/>
          <w:szCs w:val="20"/>
        </w:rPr>
        <w:t>al objectives. We quantify capital needs through stress testing, regulatory capital, economic capital and assessments of market considerations. In assessing our capital adequacy, we identify how and where our material risks are accounted for within the cap</w:t>
      </w:r>
      <w:r>
        <w:rPr>
          <w:rFonts w:eastAsia="Times New Roman"/>
          <w:color w:val="000000"/>
          <w:sz w:val="20"/>
          <w:szCs w:val="20"/>
        </w:rPr>
        <w:t xml:space="preserve">ital planning process. Monitoring and escalation processes exist for key capital thresholds and metrics to continuously monitor capital adequacy. </w:t>
      </w:r>
    </w:p>
    <w:p w:rsidR="00000000" w:rsidRDefault="00E0782F">
      <w:pPr>
        <w:jc w:val="both"/>
        <w:divId w:val="1823543571"/>
        <w:rPr>
          <w:rFonts w:eastAsia="Times New Roman"/>
        </w:rPr>
      </w:pPr>
      <w:r>
        <w:rPr>
          <w:rFonts w:eastAsia="Times New Roman"/>
          <w:color w:val="000000"/>
          <w:sz w:val="20"/>
          <w:szCs w:val="20"/>
        </w:rPr>
        <w:t xml:space="preserve">Capital One identifies and manages funding and liquidity risks that could affect its earnings, balance sheet </w:t>
      </w:r>
      <w:r>
        <w:rPr>
          <w:rFonts w:eastAsia="Times New Roman"/>
          <w:color w:val="000000"/>
          <w:sz w:val="20"/>
          <w:szCs w:val="20"/>
        </w:rPr>
        <w:t>strength and investor confidence. The Company also manages its liquidity position to satisfy regulatory requirements. The Company implements its liquidity management philosophy through the Liquidity Adequacy Framework ("Liquidity Framework"). The Liquidity</w:t>
      </w:r>
      <w:r>
        <w:rPr>
          <w:rFonts w:eastAsia="Times New Roman"/>
          <w:color w:val="000000"/>
          <w:sz w:val="20"/>
          <w:szCs w:val="20"/>
        </w:rPr>
        <w:t xml:space="preserve"> Framework enables Capital One to meet its liquidity goal of maintaining a fortified balance sheet that is resilient to uncertainties that may arise because of systemic or idiosyncratic liquidity events. </w:t>
      </w:r>
    </w:p>
    <w:p w:rsidR="00000000" w:rsidRDefault="00E0782F">
      <w:pPr>
        <w:jc w:val="both"/>
        <w:divId w:val="273942916"/>
        <w:rPr>
          <w:rFonts w:eastAsia="Times New Roman"/>
        </w:rPr>
      </w:pPr>
      <w:r>
        <w:rPr>
          <w:rFonts w:eastAsia="Times New Roman"/>
          <w:b/>
          <w:bCs/>
          <w:i/>
          <w:iCs/>
          <w:color w:val="000000"/>
          <w:sz w:val="20"/>
          <w:szCs w:val="20"/>
        </w:rPr>
        <w:t>Risk Data and Enabling Technology</w:t>
      </w:r>
    </w:p>
    <w:p w:rsidR="00000000" w:rsidRDefault="00E0782F">
      <w:pPr>
        <w:jc w:val="both"/>
        <w:divId w:val="247270479"/>
        <w:rPr>
          <w:rFonts w:eastAsia="Times New Roman"/>
        </w:rPr>
      </w:pPr>
      <w:r>
        <w:rPr>
          <w:rFonts w:eastAsia="Times New Roman"/>
          <w:color w:val="000000"/>
          <w:sz w:val="20"/>
          <w:szCs w:val="20"/>
        </w:rPr>
        <w:t>Risk data and technology provides the basis for risk reporting and is used in decision making and to monitor and review changes to our risk profile. There is a core Governance, Risk Management and Compliance system which i</w:t>
      </w:r>
      <w:r>
        <w:rPr>
          <w:rFonts w:eastAsia="Times New Roman"/>
          <w:color w:val="000000"/>
          <w:sz w:val="20"/>
          <w:szCs w:val="20"/>
        </w:rPr>
        <w:t>s used as the system of record for risks, controls, issues and events for our risk categories and supports the analysis, aggregation and reporting capabilities across the categories.</w:t>
      </w:r>
    </w:p>
    <w:p w:rsidR="00000000" w:rsidRDefault="00E0782F">
      <w:pPr>
        <w:jc w:val="both"/>
        <w:divId w:val="1281036092"/>
        <w:rPr>
          <w:rFonts w:eastAsia="Times New Roman"/>
        </w:rPr>
      </w:pPr>
      <w:r>
        <w:rPr>
          <w:rFonts w:eastAsia="Times New Roman"/>
          <w:b/>
          <w:bCs/>
          <w:i/>
          <w:iCs/>
          <w:color w:val="000000"/>
          <w:sz w:val="20"/>
          <w:szCs w:val="20"/>
        </w:rPr>
        <w:t>Culture and Talent Management</w:t>
      </w:r>
    </w:p>
    <w:p w:rsidR="00000000" w:rsidRDefault="00E0782F">
      <w:pPr>
        <w:jc w:val="both"/>
        <w:divId w:val="1801217664"/>
        <w:rPr>
          <w:rFonts w:eastAsia="Times New Roman"/>
        </w:rPr>
      </w:pPr>
      <w:r>
        <w:rPr>
          <w:rFonts w:eastAsia="Times New Roman"/>
          <w:color w:val="000000"/>
          <w:sz w:val="20"/>
          <w:szCs w:val="20"/>
        </w:rPr>
        <w:t>The Framework must be supported with the ri</w:t>
      </w:r>
      <w:r>
        <w:rPr>
          <w:rFonts w:eastAsia="Times New Roman"/>
          <w:color w:val="000000"/>
          <w:sz w:val="20"/>
          <w:szCs w:val="20"/>
        </w:rPr>
        <w:t xml:space="preserve">ght culture, talent and skills to enable effective risk management across the Company. </w:t>
      </w:r>
    </w:p>
    <w:p w:rsidR="00000000" w:rsidRDefault="00E0782F">
      <w:pPr>
        <w:jc w:val="both"/>
        <w:divId w:val="1880629877"/>
        <w:rPr>
          <w:rFonts w:eastAsia="Times New Roman"/>
        </w:rPr>
      </w:pPr>
      <w:r>
        <w:rPr>
          <w:rFonts w:eastAsia="Times New Roman"/>
          <w:color w:val="000000"/>
          <w:sz w:val="20"/>
          <w:szCs w:val="20"/>
        </w:rPr>
        <w:t>Every associate at the Company is responsible for risk management; however, associates with specific risk management skills and expertise within the first, second and t</w:t>
      </w:r>
      <w:r>
        <w:rPr>
          <w:rFonts w:eastAsia="Times New Roman"/>
          <w:color w:val="000000"/>
          <w:sz w:val="20"/>
          <w:szCs w:val="20"/>
        </w:rPr>
        <w:t>hird lines of defense are critical to executing appropriate risk management across the enterprise.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4717935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4717935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4717935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79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5" style="width:0;height:1.5pt" o:hralign="center" o:hrstd="t" o:hr="t" fillcolor="#a0a0a0" stroked="f"/>
        </w:pict>
      </w:r>
    </w:p>
    <w:p w:rsidR="00000000" w:rsidRDefault="00E0782F">
      <w:pPr>
        <w:ind w:hanging="360"/>
        <w:jc w:val="both"/>
        <w:divId w:val="1013217109"/>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748190915"/>
        <w:rPr>
          <w:rFonts w:eastAsia="Times New Roman"/>
        </w:rPr>
      </w:pPr>
      <w:r>
        <w:rPr>
          <w:rFonts w:eastAsia="Times New Roman"/>
          <w:b/>
          <w:bCs/>
          <w:color w:val="000000"/>
          <w:sz w:val="20"/>
          <w:szCs w:val="20"/>
        </w:rPr>
        <w:t>Risk Categories</w:t>
      </w:r>
    </w:p>
    <w:p w:rsidR="00000000" w:rsidRDefault="00E0782F">
      <w:pPr>
        <w:jc w:val="both"/>
        <w:divId w:val="1853296641"/>
        <w:rPr>
          <w:rFonts w:eastAsia="Times New Roman"/>
        </w:rPr>
      </w:pPr>
      <w:r>
        <w:rPr>
          <w:rFonts w:eastAsia="Times New Roman"/>
          <w:color w:val="000000"/>
          <w:sz w:val="20"/>
          <w:szCs w:val="20"/>
        </w:rPr>
        <w:t xml:space="preserve">We apply our Framework to protect the Company from the major categories of risk that we are exposed to through our business activities. Our seven major categories of risk are: </w:t>
      </w:r>
    </w:p>
    <w:tbl>
      <w:tblPr>
        <w:tblW w:w="5000" w:type="pct"/>
        <w:tblCellMar>
          <w:top w:w="15" w:type="dxa"/>
          <w:left w:w="15" w:type="dxa"/>
          <w:bottom w:w="15" w:type="dxa"/>
          <w:right w:w="15" w:type="dxa"/>
        </w:tblCellMar>
        <w:tblLook w:val="04A0" w:firstRow="1" w:lastRow="0" w:firstColumn="1" w:lastColumn="0" w:noHBand="0" w:noVBand="1"/>
      </w:tblPr>
      <w:tblGrid>
        <w:gridCol w:w="59"/>
        <w:gridCol w:w="1239"/>
        <w:gridCol w:w="37"/>
        <w:gridCol w:w="37"/>
        <w:gridCol w:w="37"/>
        <w:gridCol w:w="37"/>
        <w:gridCol w:w="38"/>
        <w:gridCol w:w="1909"/>
        <w:gridCol w:w="38"/>
        <w:gridCol w:w="38"/>
        <w:gridCol w:w="38"/>
        <w:gridCol w:w="38"/>
        <w:gridCol w:w="38"/>
        <w:gridCol w:w="1909"/>
        <w:gridCol w:w="37"/>
        <w:gridCol w:w="37"/>
        <w:gridCol w:w="37"/>
        <w:gridCol w:w="37"/>
        <w:gridCol w:w="37"/>
        <w:gridCol w:w="2592"/>
        <w:gridCol w:w="37"/>
      </w:tblGrid>
      <w:tr w:rsidR="00000000">
        <w:trPr>
          <w:divId w:val="152062902"/>
        </w:trPr>
        <w:tc>
          <w:tcPr>
            <w:tcW w:w="50" w:type="pct"/>
            <w:vAlign w:val="center"/>
            <w:hideMark/>
          </w:tcPr>
          <w:p w:rsidR="00000000" w:rsidRDefault="00E0782F">
            <w:pPr>
              <w:jc w:val="both"/>
              <w:rPr>
                <w:rFonts w:eastAsia="Times New Roman"/>
              </w:rPr>
            </w:pPr>
          </w:p>
        </w:tc>
        <w:tc>
          <w:tcPr>
            <w:tcW w:w="7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16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16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57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2062902"/>
        </w:trPr>
        <w:tc>
          <w:tcPr>
            <w:tcW w:w="0" w:type="auto"/>
            <w:gridSpan w:val="21"/>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t>Major Categories of Risk</w:t>
            </w:r>
          </w:p>
        </w:tc>
      </w:tr>
      <w:tr w:rsidR="00000000">
        <w:trPr>
          <w:divId w:val="152062902"/>
          <w:trHeight w:val="60"/>
        </w:trPr>
        <w:tc>
          <w:tcPr>
            <w:tcW w:w="0" w:type="auto"/>
            <w:gridSpan w:val="21"/>
            <w:tcMar>
              <w:top w:w="0" w:type="dxa"/>
              <w:left w:w="20" w:type="dxa"/>
              <w:bottom w:w="0" w:type="dxa"/>
              <w:right w:w="20" w:type="dxa"/>
            </w:tcMar>
            <w:vAlign w:val="center"/>
            <w:hideMark/>
          </w:tcPr>
          <w:p w:rsidR="00000000" w:rsidRDefault="00E0782F">
            <w:pPr>
              <w:spacing w:after="240"/>
              <w:jc w:val="center"/>
              <w:rPr>
                <w:rFonts w:eastAsia="Times New Roman"/>
              </w:rPr>
            </w:pPr>
          </w:p>
        </w:tc>
      </w:tr>
      <w:tr w:rsidR="00000000">
        <w:trPr>
          <w:divId w:val="152062902"/>
        </w:trPr>
        <w:tc>
          <w:tcPr>
            <w:tcW w:w="0" w:type="auto"/>
            <w:gridSpan w:val="3"/>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t>Compliance</w:t>
            </w:r>
          </w:p>
        </w:tc>
        <w:tc>
          <w:tcPr>
            <w:tcW w:w="0" w:type="auto"/>
            <w:gridSpan w:val="3"/>
            <w:tcMar>
              <w:top w:w="0" w:type="dxa"/>
              <w:left w:w="20" w:type="dxa"/>
              <w:bottom w:w="0" w:type="dxa"/>
              <w:right w:w="20" w:type="dxa"/>
            </w:tcMar>
            <w:vAlign w:val="center"/>
            <w:hideMark/>
          </w:tcPr>
          <w:p w:rsidR="00000000" w:rsidRDefault="00E0782F">
            <w:pPr>
              <w:spacing w:after="24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E0782F">
            <w:pPr>
              <w:spacing w:after="240"/>
              <w:jc w:val="both"/>
              <w:rPr>
                <w:rFonts w:eastAsia="Times New Roman"/>
              </w:rPr>
            </w:pPr>
            <w:r>
              <w:rPr>
                <w:rFonts w:eastAsia="Times New Roman"/>
                <w:color w:val="FFFFFF"/>
                <w:sz w:val="18"/>
                <w:szCs w:val="18"/>
              </w:rPr>
              <w:br/>
            </w:r>
            <w:r>
              <w:rPr>
                <w:rFonts w:eastAsia="Times New Roman"/>
                <w:color w:val="FFFFFF"/>
                <w:sz w:val="18"/>
                <w:szCs w:val="18"/>
              </w:rPr>
              <w:t>The risk to current or anticipated earnings or capital arising from violations of laws, rules or regulations. Compliance risk can also arise from nonconformance with prescribed practices, internal policies and procedures, contractual obligations or ethical</w:t>
            </w:r>
            <w:r>
              <w:rPr>
                <w:rFonts w:eastAsia="Times New Roman"/>
                <w:color w:val="FFFFFF"/>
                <w:sz w:val="18"/>
                <w:szCs w:val="18"/>
              </w:rPr>
              <w:t xml:space="preserve"> standards that reinforce those laws, rules or regulations</w:t>
            </w:r>
          </w:p>
        </w:tc>
      </w:tr>
      <w:tr w:rsidR="00000000">
        <w:trPr>
          <w:divId w:val="152062902"/>
          <w:trHeight w:val="60"/>
        </w:trPr>
        <w:tc>
          <w:tcPr>
            <w:tcW w:w="0" w:type="auto"/>
            <w:gridSpan w:val="3"/>
            <w:tcMar>
              <w:top w:w="0" w:type="dxa"/>
              <w:left w:w="20" w:type="dxa"/>
              <w:bottom w:w="0" w:type="dxa"/>
              <w:right w:w="20" w:type="dxa"/>
            </w:tcMar>
            <w:vAlign w:val="center"/>
            <w:hideMark/>
          </w:tcPr>
          <w:p w:rsidR="00000000" w:rsidRDefault="00E0782F">
            <w:pPr>
              <w:spacing w:after="240"/>
              <w:jc w:val="both"/>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2062902"/>
        </w:trPr>
        <w:tc>
          <w:tcPr>
            <w:tcW w:w="0" w:type="auto"/>
            <w:gridSpan w:val="3"/>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t>Credit</w:t>
            </w:r>
          </w:p>
        </w:tc>
        <w:tc>
          <w:tcPr>
            <w:tcW w:w="0" w:type="auto"/>
            <w:gridSpan w:val="3"/>
            <w:tcMar>
              <w:top w:w="0" w:type="dxa"/>
              <w:left w:w="20" w:type="dxa"/>
              <w:bottom w:w="0" w:type="dxa"/>
              <w:right w:w="20" w:type="dxa"/>
            </w:tcMar>
            <w:vAlign w:val="center"/>
            <w:hideMark/>
          </w:tcPr>
          <w:p w:rsidR="00000000" w:rsidRDefault="00E0782F">
            <w:pPr>
              <w:spacing w:after="24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E0782F">
            <w:pPr>
              <w:spacing w:after="240"/>
              <w:jc w:val="both"/>
              <w:rPr>
                <w:rFonts w:eastAsia="Times New Roman"/>
              </w:rPr>
            </w:pPr>
            <w:r>
              <w:rPr>
                <w:rFonts w:eastAsia="Times New Roman"/>
                <w:color w:val="FFFFFF"/>
                <w:sz w:val="18"/>
                <w:szCs w:val="18"/>
              </w:rPr>
              <w:br/>
            </w:r>
            <w:r>
              <w:rPr>
                <w:rFonts w:eastAsia="Times New Roman"/>
                <w:color w:val="FFFFFF"/>
                <w:sz w:val="18"/>
                <w:szCs w:val="18"/>
              </w:rPr>
              <w:t>The risk to current or projected financial condition and resilience arising from an obligor’s failure to meet the terms of any contract with the Company or otherwise perform as agreed</w:t>
            </w:r>
          </w:p>
        </w:tc>
      </w:tr>
      <w:tr w:rsidR="00000000">
        <w:trPr>
          <w:divId w:val="152062902"/>
          <w:trHeight w:val="60"/>
        </w:trPr>
        <w:tc>
          <w:tcPr>
            <w:tcW w:w="0" w:type="auto"/>
            <w:gridSpan w:val="3"/>
            <w:tcMar>
              <w:top w:w="0" w:type="dxa"/>
              <w:left w:w="20" w:type="dxa"/>
              <w:bottom w:w="0" w:type="dxa"/>
              <w:right w:w="20" w:type="dxa"/>
            </w:tcMar>
            <w:vAlign w:val="center"/>
            <w:hideMark/>
          </w:tcPr>
          <w:p w:rsidR="00000000" w:rsidRDefault="00E0782F">
            <w:pPr>
              <w:spacing w:after="240"/>
              <w:jc w:val="both"/>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2062902"/>
        </w:trPr>
        <w:tc>
          <w:tcPr>
            <w:tcW w:w="0" w:type="auto"/>
            <w:gridSpan w:val="3"/>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t>Liquidity</w:t>
            </w:r>
          </w:p>
        </w:tc>
        <w:tc>
          <w:tcPr>
            <w:tcW w:w="0" w:type="auto"/>
            <w:gridSpan w:val="3"/>
            <w:tcMar>
              <w:top w:w="0" w:type="dxa"/>
              <w:left w:w="20" w:type="dxa"/>
              <w:bottom w:w="0" w:type="dxa"/>
              <w:right w:w="20" w:type="dxa"/>
            </w:tcMar>
            <w:vAlign w:val="center"/>
            <w:hideMark/>
          </w:tcPr>
          <w:p w:rsidR="00000000" w:rsidRDefault="00E0782F">
            <w:pPr>
              <w:spacing w:after="24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E0782F">
            <w:pPr>
              <w:spacing w:after="240"/>
              <w:jc w:val="both"/>
              <w:rPr>
                <w:rFonts w:eastAsia="Times New Roman"/>
              </w:rPr>
            </w:pPr>
            <w:r>
              <w:rPr>
                <w:rFonts w:eastAsia="Times New Roman"/>
                <w:color w:val="FFFFFF"/>
                <w:sz w:val="18"/>
                <w:szCs w:val="18"/>
              </w:rPr>
              <w:br/>
            </w:r>
            <w:r>
              <w:rPr>
                <w:rFonts w:eastAsia="Times New Roman"/>
                <w:color w:val="FFFFFF"/>
                <w:sz w:val="18"/>
                <w:szCs w:val="18"/>
              </w:rPr>
              <w:t>The risk that the Company will not be able to meet its future financial obligations as they come due, or invest in future asset growth because of an inability to obtain funds at a reasonable price within a reasonable time</w:t>
            </w:r>
          </w:p>
        </w:tc>
      </w:tr>
      <w:tr w:rsidR="00000000">
        <w:trPr>
          <w:divId w:val="152062902"/>
          <w:trHeight w:val="60"/>
        </w:trPr>
        <w:tc>
          <w:tcPr>
            <w:tcW w:w="0" w:type="auto"/>
            <w:gridSpan w:val="21"/>
            <w:tcMar>
              <w:top w:w="0" w:type="dxa"/>
              <w:left w:w="20" w:type="dxa"/>
              <w:bottom w:w="0" w:type="dxa"/>
              <w:right w:w="20" w:type="dxa"/>
            </w:tcMar>
            <w:vAlign w:val="center"/>
            <w:hideMark/>
          </w:tcPr>
          <w:p w:rsidR="00000000" w:rsidRDefault="00E0782F">
            <w:pPr>
              <w:spacing w:after="240"/>
              <w:jc w:val="both"/>
              <w:rPr>
                <w:rFonts w:eastAsia="Times New Roman"/>
              </w:rPr>
            </w:pPr>
          </w:p>
        </w:tc>
      </w:tr>
      <w:tr w:rsidR="00000000">
        <w:trPr>
          <w:divId w:val="152062902"/>
        </w:trPr>
        <w:tc>
          <w:tcPr>
            <w:tcW w:w="0" w:type="auto"/>
            <w:gridSpan w:val="3"/>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t>Market</w:t>
            </w:r>
          </w:p>
        </w:tc>
        <w:tc>
          <w:tcPr>
            <w:tcW w:w="0" w:type="auto"/>
            <w:gridSpan w:val="3"/>
            <w:tcMar>
              <w:top w:w="0" w:type="dxa"/>
              <w:left w:w="20" w:type="dxa"/>
              <w:bottom w:w="0" w:type="dxa"/>
              <w:right w:w="20" w:type="dxa"/>
            </w:tcMar>
            <w:vAlign w:val="center"/>
            <w:hideMark/>
          </w:tcPr>
          <w:p w:rsidR="00000000" w:rsidRDefault="00E0782F">
            <w:pPr>
              <w:spacing w:after="24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E0782F">
            <w:pPr>
              <w:spacing w:after="240"/>
              <w:jc w:val="both"/>
              <w:rPr>
                <w:rFonts w:eastAsia="Times New Roman"/>
              </w:rPr>
            </w:pPr>
            <w:r>
              <w:rPr>
                <w:rFonts w:eastAsia="Times New Roman"/>
                <w:color w:val="FFFFFF"/>
                <w:sz w:val="18"/>
                <w:szCs w:val="18"/>
              </w:rPr>
              <w:br/>
              <w:t>The risk that an institution’s earnings or the economic value of equity could be adversely impacted by changes in interest rates, foreign exchange rates or other market factors</w:t>
            </w:r>
          </w:p>
        </w:tc>
      </w:tr>
      <w:tr w:rsidR="00000000">
        <w:trPr>
          <w:divId w:val="152062902"/>
          <w:trHeight w:val="60"/>
        </w:trPr>
        <w:tc>
          <w:tcPr>
            <w:tcW w:w="0" w:type="auto"/>
            <w:gridSpan w:val="21"/>
            <w:tcMar>
              <w:top w:w="0" w:type="dxa"/>
              <w:left w:w="20" w:type="dxa"/>
              <w:bottom w:w="0" w:type="dxa"/>
              <w:right w:w="20" w:type="dxa"/>
            </w:tcMar>
            <w:vAlign w:val="center"/>
            <w:hideMark/>
          </w:tcPr>
          <w:p w:rsidR="00000000" w:rsidRDefault="00E0782F">
            <w:pPr>
              <w:spacing w:after="240"/>
              <w:jc w:val="both"/>
              <w:rPr>
                <w:rFonts w:eastAsia="Times New Roman"/>
              </w:rPr>
            </w:pPr>
          </w:p>
        </w:tc>
      </w:tr>
      <w:tr w:rsidR="00000000">
        <w:trPr>
          <w:divId w:val="152062902"/>
        </w:trPr>
        <w:tc>
          <w:tcPr>
            <w:tcW w:w="0" w:type="auto"/>
            <w:gridSpan w:val="3"/>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r>
            <w:r>
              <w:rPr>
                <w:rFonts w:eastAsia="Times New Roman"/>
                <w:b/>
                <w:bCs/>
                <w:color w:val="FFFFFF"/>
                <w:sz w:val="18"/>
                <w:szCs w:val="18"/>
              </w:rPr>
              <w:t>Operational</w:t>
            </w:r>
          </w:p>
        </w:tc>
        <w:tc>
          <w:tcPr>
            <w:tcW w:w="0" w:type="auto"/>
            <w:gridSpan w:val="3"/>
            <w:tcMar>
              <w:top w:w="0" w:type="dxa"/>
              <w:left w:w="20" w:type="dxa"/>
              <w:bottom w:w="0" w:type="dxa"/>
              <w:right w:w="20" w:type="dxa"/>
            </w:tcMar>
            <w:vAlign w:val="center"/>
            <w:hideMark/>
          </w:tcPr>
          <w:p w:rsidR="00000000" w:rsidRDefault="00E0782F">
            <w:pPr>
              <w:spacing w:after="24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E0782F">
            <w:pPr>
              <w:spacing w:after="240"/>
              <w:jc w:val="both"/>
              <w:rPr>
                <w:rFonts w:eastAsia="Times New Roman"/>
              </w:rPr>
            </w:pPr>
            <w:r>
              <w:rPr>
                <w:rFonts w:eastAsia="Times New Roman"/>
                <w:color w:val="FFFFFF"/>
                <w:sz w:val="18"/>
                <w:szCs w:val="18"/>
              </w:rPr>
              <w:br/>
              <w:t>The risk of loss, capital impairment, adverse customer experience or reputational impact resulting from failure to comply with policies and procedures, failed internal processes or systems, or from external events</w:t>
            </w:r>
          </w:p>
        </w:tc>
      </w:tr>
      <w:tr w:rsidR="00000000">
        <w:trPr>
          <w:divId w:val="152062902"/>
          <w:trHeight w:val="60"/>
        </w:trPr>
        <w:tc>
          <w:tcPr>
            <w:tcW w:w="0" w:type="auto"/>
            <w:gridSpan w:val="3"/>
            <w:tcMar>
              <w:top w:w="0" w:type="dxa"/>
              <w:left w:w="20" w:type="dxa"/>
              <w:bottom w:w="0" w:type="dxa"/>
              <w:right w:w="20" w:type="dxa"/>
            </w:tcMar>
            <w:vAlign w:val="center"/>
            <w:hideMark/>
          </w:tcPr>
          <w:p w:rsidR="00000000" w:rsidRDefault="00E0782F">
            <w:pPr>
              <w:spacing w:after="240"/>
              <w:jc w:val="both"/>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2062902"/>
        </w:trPr>
        <w:tc>
          <w:tcPr>
            <w:tcW w:w="0" w:type="auto"/>
            <w:gridSpan w:val="3"/>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t>Reputation</w:t>
            </w:r>
          </w:p>
        </w:tc>
        <w:tc>
          <w:tcPr>
            <w:tcW w:w="0" w:type="auto"/>
            <w:gridSpan w:val="3"/>
            <w:tcMar>
              <w:top w:w="0" w:type="dxa"/>
              <w:left w:w="20" w:type="dxa"/>
              <w:bottom w:w="0" w:type="dxa"/>
              <w:right w:w="20" w:type="dxa"/>
            </w:tcMar>
            <w:vAlign w:val="center"/>
            <w:hideMark/>
          </w:tcPr>
          <w:p w:rsidR="00000000" w:rsidRDefault="00E0782F">
            <w:pPr>
              <w:spacing w:after="24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E0782F">
            <w:pPr>
              <w:spacing w:after="240"/>
              <w:jc w:val="both"/>
              <w:rPr>
                <w:rFonts w:eastAsia="Times New Roman"/>
              </w:rPr>
            </w:pPr>
            <w:r>
              <w:rPr>
                <w:rFonts w:eastAsia="Times New Roman"/>
                <w:color w:val="FFFFFF"/>
                <w:sz w:val="18"/>
                <w:szCs w:val="18"/>
              </w:rPr>
              <w:br/>
            </w:r>
            <w:r>
              <w:rPr>
                <w:rFonts w:eastAsia="Times New Roman"/>
                <w:color w:val="FFFFFF"/>
                <w:sz w:val="18"/>
                <w:szCs w:val="18"/>
              </w:rPr>
              <w:t>The risk to market value, recruitment and retention of talented associates and maintenance of a loyal customer base due to the negative perceptions of our internal and external constituents regarding our business strategies and activities</w:t>
            </w:r>
          </w:p>
        </w:tc>
      </w:tr>
      <w:tr w:rsidR="00000000">
        <w:trPr>
          <w:divId w:val="152062902"/>
          <w:trHeight w:val="60"/>
        </w:trPr>
        <w:tc>
          <w:tcPr>
            <w:tcW w:w="0" w:type="auto"/>
            <w:gridSpan w:val="3"/>
            <w:tcMar>
              <w:top w:w="0" w:type="dxa"/>
              <w:left w:w="20" w:type="dxa"/>
              <w:bottom w:w="0" w:type="dxa"/>
              <w:right w:w="20" w:type="dxa"/>
            </w:tcMar>
            <w:vAlign w:val="center"/>
            <w:hideMark/>
          </w:tcPr>
          <w:p w:rsidR="00000000" w:rsidRDefault="00E0782F">
            <w:pPr>
              <w:spacing w:after="240"/>
              <w:jc w:val="both"/>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2062902"/>
        </w:trPr>
        <w:tc>
          <w:tcPr>
            <w:tcW w:w="0" w:type="auto"/>
            <w:gridSpan w:val="3"/>
            <w:shd w:val="clear" w:color="auto" w:fill="004977"/>
            <w:tcMar>
              <w:top w:w="30" w:type="dxa"/>
              <w:left w:w="20" w:type="dxa"/>
              <w:bottom w:w="30" w:type="dxa"/>
              <w:right w:w="20" w:type="dxa"/>
            </w:tcMar>
            <w:vAlign w:val="center"/>
            <w:hideMark/>
          </w:tcPr>
          <w:p w:rsidR="00000000" w:rsidRDefault="00E0782F">
            <w:pPr>
              <w:spacing w:after="240"/>
              <w:jc w:val="center"/>
              <w:rPr>
                <w:rFonts w:eastAsia="Times New Roman"/>
              </w:rPr>
            </w:pPr>
            <w:r>
              <w:rPr>
                <w:rFonts w:eastAsia="Times New Roman"/>
                <w:b/>
                <w:bCs/>
                <w:color w:val="FFFFFF"/>
                <w:sz w:val="18"/>
                <w:szCs w:val="18"/>
              </w:rPr>
              <w:br/>
              <w:t>Strategic</w:t>
            </w:r>
          </w:p>
        </w:tc>
        <w:tc>
          <w:tcPr>
            <w:tcW w:w="0" w:type="auto"/>
            <w:gridSpan w:val="3"/>
            <w:tcMar>
              <w:top w:w="0" w:type="dxa"/>
              <w:left w:w="20" w:type="dxa"/>
              <w:bottom w:w="0" w:type="dxa"/>
              <w:right w:w="20" w:type="dxa"/>
            </w:tcMar>
            <w:vAlign w:val="center"/>
            <w:hideMark/>
          </w:tcPr>
          <w:p w:rsidR="00000000" w:rsidRDefault="00E0782F">
            <w:pPr>
              <w:spacing w:after="240"/>
              <w:jc w:val="center"/>
              <w:rPr>
                <w:rFonts w:eastAsia="Times New Roman"/>
              </w:rPr>
            </w:pPr>
          </w:p>
        </w:tc>
        <w:tc>
          <w:tcPr>
            <w:tcW w:w="0" w:type="auto"/>
            <w:gridSpan w:val="15"/>
            <w:shd w:val="clear" w:color="auto" w:fill="004977"/>
            <w:tcMar>
              <w:top w:w="30" w:type="dxa"/>
              <w:left w:w="20" w:type="dxa"/>
              <w:bottom w:w="30" w:type="dxa"/>
              <w:right w:w="20" w:type="dxa"/>
            </w:tcMar>
            <w:vAlign w:val="center"/>
            <w:hideMark/>
          </w:tcPr>
          <w:p w:rsidR="00000000" w:rsidRDefault="00E0782F">
            <w:pPr>
              <w:spacing w:after="240"/>
              <w:jc w:val="both"/>
              <w:rPr>
                <w:rFonts w:eastAsia="Times New Roman"/>
              </w:rPr>
            </w:pPr>
            <w:r>
              <w:rPr>
                <w:rFonts w:eastAsia="Times New Roman"/>
                <w:color w:val="FFFFFF"/>
                <w:sz w:val="18"/>
                <w:szCs w:val="18"/>
              </w:rPr>
              <w:br/>
            </w:r>
            <w:r>
              <w:rPr>
                <w:rFonts w:eastAsia="Times New Roman"/>
                <w:color w:val="FFFFFF"/>
                <w:sz w:val="18"/>
                <w:szCs w:val="18"/>
              </w:rPr>
              <w:t>The risk of a material impact on current or anticipated earnings, capital, franchise or enterprise value arising from the Company’s competitive and market position and evolving forces in the industry that can affect that position; lack of responsiveness to</w:t>
            </w:r>
            <w:r>
              <w:rPr>
                <w:rFonts w:eastAsia="Times New Roman"/>
                <w:color w:val="FFFFFF"/>
                <w:sz w:val="18"/>
                <w:szCs w:val="18"/>
              </w:rPr>
              <w:t xml:space="preserve"> these conditions; strategic decisions to change the Company’s scale, market position or operating model; or, failure to appropriately consider implementation risks inherent in the Company’s strategy</w:t>
            </w:r>
          </w:p>
        </w:tc>
      </w:tr>
      <w:tr w:rsidR="00000000">
        <w:trPr>
          <w:divId w:val="152062902"/>
        </w:trPr>
        <w:tc>
          <w:tcPr>
            <w:tcW w:w="0" w:type="auto"/>
            <w:gridSpan w:val="3"/>
            <w:vAlign w:val="center"/>
            <w:hideMark/>
          </w:tcPr>
          <w:p w:rsidR="00000000" w:rsidRDefault="00E0782F">
            <w:pPr>
              <w:spacing w:after="240"/>
              <w:jc w:val="both"/>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divId w:val="813370003"/>
        <w:rPr>
          <w:rFonts w:eastAsia="Times New Roman"/>
        </w:rPr>
      </w:pPr>
      <w:r>
        <w:rPr>
          <w:rFonts w:eastAsia="Times New Roman"/>
          <w:color w:val="000000"/>
          <w:sz w:val="20"/>
          <w:szCs w:val="20"/>
        </w:rPr>
        <w:t>We provide an overview of how we manage our seven major categories of risk below.</w:t>
      </w:r>
    </w:p>
    <w:p w:rsidR="00000000" w:rsidRDefault="00E0782F">
      <w:pPr>
        <w:jc w:val="both"/>
        <w:divId w:val="890264410"/>
        <w:rPr>
          <w:rFonts w:eastAsia="Times New Roman"/>
        </w:rPr>
      </w:pPr>
      <w:r>
        <w:rPr>
          <w:rFonts w:eastAsia="Times New Roman"/>
          <w:b/>
          <w:bCs/>
          <w:i/>
          <w:iCs/>
          <w:color w:val="000000"/>
          <w:sz w:val="20"/>
          <w:szCs w:val="20"/>
        </w:rPr>
        <w:t>Compliance Risk Management</w:t>
      </w:r>
    </w:p>
    <w:p w:rsidR="00000000" w:rsidRDefault="00E0782F">
      <w:pPr>
        <w:jc w:val="both"/>
        <w:divId w:val="738601117"/>
        <w:rPr>
          <w:rFonts w:eastAsia="Times New Roman"/>
        </w:rPr>
      </w:pPr>
      <w:r>
        <w:rPr>
          <w:rFonts w:eastAsia="Times New Roman"/>
          <w:color w:val="000000"/>
          <w:sz w:val="20"/>
          <w:szCs w:val="20"/>
        </w:rPr>
        <w:t>We recognize that compliance requirements for financial institutions are increasingly complex and that there are heightened expectations from our regulators and our customers. In response, we continuously evaluate the regulatory environment and proactively</w:t>
      </w:r>
      <w:r>
        <w:rPr>
          <w:rFonts w:eastAsia="Times New Roman"/>
          <w:color w:val="000000"/>
          <w:sz w:val="20"/>
          <w:szCs w:val="20"/>
        </w:rPr>
        <w:t xml:space="preserve"> adjust our compliance program to fully address these expectations.</w:t>
      </w:r>
    </w:p>
    <w:p w:rsidR="00000000" w:rsidRDefault="00E0782F">
      <w:pPr>
        <w:jc w:val="both"/>
        <w:divId w:val="603997788"/>
        <w:rPr>
          <w:rFonts w:eastAsia="Times New Roman"/>
        </w:rPr>
      </w:pPr>
      <w:r>
        <w:rPr>
          <w:rFonts w:eastAsia="Times New Roman"/>
          <w:color w:val="000000"/>
          <w:sz w:val="20"/>
          <w:szCs w:val="20"/>
        </w:rPr>
        <w:t xml:space="preserve">Our Compliance Management Program establishes expectations for determining compliance requirements, assessing the risk of new product offerings, creating appropriate controls and training </w:t>
      </w:r>
      <w:r>
        <w:rPr>
          <w:rFonts w:eastAsia="Times New Roman"/>
          <w:color w:val="000000"/>
          <w:sz w:val="20"/>
          <w:szCs w:val="20"/>
        </w:rPr>
        <w:t>to address requirements, monitoring for control performance and independently testing for adherence to compliance requirements. The program also establishes regular compliance reporting to senior business leaders, the executive committee and the Board of D</w:t>
      </w:r>
      <w:r>
        <w:rPr>
          <w:rFonts w:eastAsia="Times New Roman"/>
          <w:color w:val="000000"/>
          <w:sz w:val="20"/>
          <w:szCs w:val="20"/>
        </w:rPr>
        <w:t>irectors.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00169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200169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200169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6" style="width:0;height:1.5pt" o:hralign="center" o:hrstd="t" o:hr="t" fillcolor="#a0a0a0" stroked="f"/>
        </w:pict>
      </w:r>
    </w:p>
    <w:p w:rsidR="00000000" w:rsidRDefault="00E0782F">
      <w:pPr>
        <w:ind w:hanging="360"/>
        <w:jc w:val="both"/>
        <w:divId w:val="64088654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275063387"/>
        <w:rPr>
          <w:rFonts w:eastAsia="Times New Roman"/>
        </w:rPr>
      </w:pPr>
      <w:r>
        <w:rPr>
          <w:rFonts w:eastAsia="Times New Roman"/>
          <w:color w:val="000000"/>
          <w:sz w:val="20"/>
          <w:szCs w:val="20"/>
        </w:rPr>
        <w:t>The Chief Compliance Officer is responsible for establishing and overseeing our Compli</w:t>
      </w:r>
      <w:r>
        <w:rPr>
          <w:rFonts w:eastAsia="Times New Roman"/>
          <w:color w:val="000000"/>
          <w:sz w:val="20"/>
          <w:szCs w:val="20"/>
        </w:rPr>
        <w:t>ance Management Program. Business areas incorporate compliance requirements and controls into their business policies, standards, processes and procedures. They regularly monitor and report on the efficacy of their compliance controls and our Corporate Com</w:t>
      </w:r>
      <w:r>
        <w:rPr>
          <w:rFonts w:eastAsia="Times New Roman"/>
          <w:color w:val="000000"/>
          <w:sz w:val="20"/>
          <w:szCs w:val="20"/>
        </w:rPr>
        <w:t>pliance team periodically independently tests to validate the effectiveness of business controls.</w:t>
      </w:r>
    </w:p>
    <w:p w:rsidR="00000000" w:rsidRDefault="00E0782F">
      <w:pPr>
        <w:jc w:val="both"/>
        <w:divId w:val="2092701474"/>
        <w:rPr>
          <w:rFonts w:eastAsia="Times New Roman"/>
        </w:rPr>
      </w:pPr>
      <w:r>
        <w:rPr>
          <w:rFonts w:eastAsia="Times New Roman"/>
          <w:b/>
          <w:bCs/>
          <w:i/>
          <w:iCs/>
          <w:color w:val="000000"/>
          <w:sz w:val="20"/>
          <w:szCs w:val="20"/>
        </w:rPr>
        <w:t>Credit Risk Management</w:t>
      </w:r>
    </w:p>
    <w:p w:rsidR="00000000" w:rsidRDefault="00E0782F">
      <w:pPr>
        <w:jc w:val="both"/>
        <w:divId w:val="218052224"/>
        <w:rPr>
          <w:rFonts w:eastAsia="Times New Roman"/>
        </w:rPr>
      </w:pPr>
      <w:r>
        <w:rPr>
          <w:rFonts w:eastAsia="Times New Roman"/>
          <w:color w:val="000000"/>
          <w:sz w:val="20"/>
          <w:szCs w:val="20"/>
        </w:rPr>
        <w:t>We recognize that we are exposed to cyclical changes in credit quality. Consequently, we try to ensure our credit portfolio is resilien</w:t>
      </w:r>
      <w:r>
        <w:rPr>
          <w:rFonts w:eastAsia="Times New Roman"/>
          <w:color w:val="000000"/>
          <w:sz w:val="20"/>
          <w:szCs w:val="20"/>
        </w:rPr>
        <w:t xml:space="preserve">t to economic downturns. Our most important tool in this endeavor is sound underwriting. In unsecured consumer loan underwriting, we generally assume that loans will be subject to an environment in which losses are higher than those prevailing at the time </w:t>
      </w:r>
      <w:r>
        <w:rPr>
          <w:rFonts w:eastAsia="Times New Roman"/>
          <w:color w:val="000000"/>
          <w:sz w:val="20"/>
          <w:szCs w:val="20"/>
        </w:rPr>
        <w:t>of underwriting. In commercial underwriting, we generally require strong cash flow, collateral, covenants, structural enhancements, or and guarantees. In addition to sound underwriting, we continually monitor our portfolio and take steps to collect or work</w:t>
      </w:r>
      <w:r>
        <w:rPr>
          <w:rFonts w:eastAsia="Times New Roman"/>
          <w:color w:val="000000"/>
          <w:sz w:val="20"/>
          <w:szCs w:val="20"/>
        </w:rPr>
        <w:t xml:space="preserve"> out distressed loans. </w:t>
      </w:r>
    </w:p>
    <w:p w:rsidR="00000000" w:rsidRDefault="00E0782F">
      <w:pPr>
        <w:jc w:val="both"/>
        <w:divId w:val="1624456692"/>
        <w:rPr>
          <w:rFonts w:eastAsia="Times New Roman"/>
        </w:rPr>
      </w:pPr>
      <w:r>
        <w:rPr>
          <w:rFonts w:eastAsia="Times New Roman"/>
          <w:color w:val="000000"/>
          <w:sz w:val="20"/>
          <w:szCs w:val="20"/>
        </w:rPr>
        <w:t>The Chief Risk Officer, in conjunction with the Consumer and Commercial Chief Credit Officers, is responsible for establishing credit risk policies and procedures, including underwriting and hold guidelines and credit approval autho</w:t>
      </w:r>
      <w:r>
        <w:rPr>
          <w:rFonts w:eastAsia="Times New Roman"/>
          <w:color w:val="000000"/>
          <w:sz w:val="20"/>
          <w:szCs w:val="20"/>
        </w:rPr>
        <w:t>rity, and monitoring credit exposure and performance of our lending related transactions. Our Consumer and Commercial Chief Credit Officers are responsible for evaluating the risk implications of credit strategy and the oversight of credit for both the exi</w:t>
      </w:r>
      <w:r>
        <w:rPr>
          <w:rFonts w:eastAsia="Times New Roman"/>
          <w:color w:val="000000"/>
          <w:sz w:val="20"/>
          <w:szCs w:val="20"/>
        </w:rPr>
        <w:t>sting portfolio and any new credit investments. They also have formal approval authority for various types and levels of credit decisions, including individual commercial loan transactions. Division Presidents within each segment are responsible for managi</w:t>
      </w:r>
      <w:r>
        <w:rPr>
          <w:rFonts w:eastAsia="Times New Roman"/>
          <w:color w:val="000000"/>
          <w:sz w:val="20"/>
          <w:szCs w:val="20"/>
        </w:rPr>
        <w:t>ng the credit risk within their divisions and maintaining processes to control credit risk and comply with credit policies and guidelines. In addition, the Chief Risk Officer establishes policies, delegates approval authority and monitors performance for n</w:t>
      </w:r>
      <w:r>
        <w:rPr>
          <w:rFonts w:eastAsia="Times New Roman"/>
          <w:color w:val="000000"/>
          <w:sz w:val="20"/>
          <w:szCs w:val="20"/>
        </w:rPr>
        <w:t xml:space="preserve">on-loan credit exposure entered into with financial counterparties or through the purchase of credit sensitive securities in our investment portfolio. </w:t>
      </w:r>
    </w:p>
    <w:p w:rsidR="00000000" w:rsidRDefault="00E0782F">
      <w:pPr>
        <w:jc w:val="both"/>
        <w:divId w:val="1514756691"/>
        <w:rPr>
          <w:rFonts w:eastAsia="Times New Roman"/>
        </w:rPr>
      </w:pPr>
      <w:r>
        <w:rPr>
          <w:rFonts w:eastAsia="Times New Roman"/>
          <w:color w:val="000000"/>
          <w:sz w:val="20"/>
          <w:szCs w:val="20"/>
        </w:rPr>
        <w:t>Our credit policies establish standards in five areas: customer selection, underwriting, monitoring, rem</w:t>
      </w:r>
      <w:r>
        <w:rPr>
          <w:rFonts w:eastAsia="Times New Roman"/>
          <w:color w:val="000000"/>
          <w:sz w:val="20"/>
          <w:szCs w:val="20"/>
        </w:rPr>
        <w:t>ediation and portfolio management. The standards in each area provide a framework comprising specific objectives and control processes. These standards are supported by detailed policies and procedures for each component of the credit process. Starting wit</w:t>
      </w:r>
      <w:r>
        <w:rPr>
          <w:rFonts w:eastAsia="Times New Roman"/>
          <w:color w:val="000000"/>
          <w:sz w:val="20"/>
          <w:szCs w:val="20"/>
        </w:rPr>
        <w:t>h customer selection, our goal is to generally provide credit on terms that generate above hurdle returns. We use a number of quantitative and qualitative factors to manage credit risk, including setting credit risk limits and guidelines for each of our li</w:t>
      </w:r>
      <w:r>
        <w:rPr>
          <w:rFonts w:eastAsia="Times New Roman"/>
          <w:color w:val="000000"/>
          <w:sz w:val="20"/>
          <w:szCs w:val="20"/>
        </w:rPr>
        <w:t xml:space="preserve">nes of business. We monitor performance relative to these guidelines and report results and any required mitigating actions to appropriate senior management committees and our Board of Directors. </w:t>
      </w:r>
    </w:p>
    <w:p w:rsidR="00000000" w:rsidRDefault="00E0782F">
      <w:pPr>
        <w:jc w:val="both"/>
        <w:divId w:val="1312444164"/>
        <w:rPr>
          <w:rFonts w:eastAsia="Times New Roman"/>
        </w:rPr>
      </w:pPr>
      <w:r>
        <w:rPr>
          <w:rFonts w:eastAsia="Times New Roman"/>
          <w:b/>
          <w:bCs/>
          <w:i/>
          <w:iCs/>
          <w:color w:val="000000"/>
          <w:sz w:val="20"/>
          <w:szCs w:val="20"/>
        </w:rPr>
        <w:t>Liquidity Risk Management</w:t>
      </w:r>
    </w:p>
    <w:p w:rsidR="00000000" w:rsidRDefault="00E0782F">
      <w:pPr>
        <w:jc w:val="both"/>
        <w:divId w:val="1868640658"/>
        <w:rPr>
          <w:rFonts w:eastAsia="Times New Roman"/>
        </w:rPr>
      </w:pPr>
      <w:r>
        <w:rPr>
          <w:rFonts w:eastAsia="Times New Roman"/>
          <w:color w:val="000000"/>
          <w:sz w:val="20"/>
          <w:szCs w:val="20"/>
        </w:rPr>
        <w:t>We manage liquidity risk by apply</w:t>
      </w:r>
      <w:r>
        <w:rPr>
          <w:rFonts w:eastAsia="Times New Roman"/>
          <w:color w:val="000000"/>
          <w:sz w:val="20"/>
          <w:szCs w:val="20"/>
        </w:rPr>
        <w:t xml:space="preserve">ing our Liquidity Framework. The Liquidity Framework uses internal and regulatory stress testing and the evaluation of other balance sheet metrics to confirm that we maintain a fortified balance sheet that is resilient to uncertainties that may arise as a </w:t>
      </w:r>
      <w:r>
        <w:rPr>
          <w:rFonts w:eastAsia="Times New Roman"/>
          <w:color w:val="000000"/>
          <w:sz w:val="20"/>
          <w:szCs w:val="20"/>
        </w:rPr>
        <w:t xml:space="preserve">consequence of systemic, idiosyncratic, or combined liquidity events. We continuously monitor market and economic conditions to evaluate emerging stress conditions and to develop appropriate action plans in accordance with our Contingency Funding Plan and </w:t>
      </w:r>
      <w:r>
        <w:rPr>
          <w:rFonts w:eastAsia="Times New Roman"/>
          <w:color w:val="000000"/>
          <w:sz w:val="20"/>
          <w:szCs w:val="20"/>
        </w:rPr>
        <w:t xml:space="preserve">our Recovery Plan, which include the Company’s policies, procedures and action plans for managing liquidity stress events. The Liquidity Framework enables us to manage our liquidity risk in accordance with regulatory requirements. </w:t>
      </w:r>
    </w:p>
    <w:p w:rsidR="00000000" w:rsidRDefault="00E0782F">
      <w:pPr>
        <w:jc w:val="both"/>
        <w:divId w:val="990794706"/>
        <w:rPr>
          <w:rFonts w:eastAsia="Times New Roman"/>
        </w:rPr>
      </w:pPr>
      <w:r>
        <w:rPr>
          <w:rFonts w:eastAsia="Times New Roman"/>
          <w:color w:val="000000"/>
          <w:sz w:val="20"/>
          <w:szCs w:val="20"/>
        </w:rPr>
        <w:t>Additionally, the Liquid</w:t>
      </w:r>
      <w:r>
        <w:rPr>
          <w:rFonts w:eastAsia="Times New Roman"/>
          <w:color w:val="000000"/>
          <w:sz w:val="20"/>
          <w:szCs w:val="20"/>
        </w:rPr>
        <w:t xml:space="preserve">ity Framework establishes governing principles that apply to the management of liquidity risk. We use these principles to monitor, measure and report liquidity risk; to develop funding and investment strategies that enable us to maintain an adequate level </w:t>
      </w:r>
      <w:r>
        <w:rPr>
          <w:rFonts w:eastAsia="Times New Roman"/>
          <w:color w:val="000000"/>
          <w:sz w:val="20"/>
          <w:szCs w:val="20"/>
        </w:rPr>
        <w:t>of liquidity to support our businesses and satisfy regulatory requirements; and to protect us from a broad range of liquidity events should they arise.</w:t>
      </w:r>
    </w:p>
    <w:p w:rsidR="00000000" w:rsidRDefault="00E0782F">
      <w:pPr>
        <w:jc w:val="both"/>
        <w:divId w:val="929629102"/>
        <w:rPr>
          <w:rFonts w:eastAsia="Times New Roman"/>
        </w:rPr>
      </w:pPr>
      <w:r>
        <w:rPr>
          <w:rFonts w:eastAsia="Times New Roman"/>
          <w:color w:val="000000"/>
          <w:sz w:val="20"/>
          <w:szCs w:val="20"/>
        </w:rPr>
        <w:t xml:space="preserve">The Chief Risk Officer, in conjunction with the Chief Market and Liquidity Risk Officer, is responsible </w:t>
      </w:r>
      <w:r>
        <w:rPr>
          <w:rFonts w:eastAsia="Times New Roman"/>
          <w:color w:val="000000"/>
          <w:sz w:val="20"/>
          <w:szCs w:val="20"/>
        </w:rPr>
        <w:t>for the establishment of liquidity risk management policies and standards for governance and monitoring of liquidity risk at a corporate level. We assess liquidity strength by evaluating several different balance sheet metrics under severe stress scenarios</w:t>
      </w:r>
      <w:r>
        <w:rPr>
          <w:rFonts w:eastAsia="Times New Roman"/>
          <w:color w:val="000000"/>
          <w:sz w:val="20"/>
          <w:szCs w:val="20"/>
        </w:rPr>
        <w:t xml:space="preserve"> to ensure we can withstand significant funding degradation through idiosyncratic, systemic, and combined liquidity stress scenarios. Management reports liquidity metrics to appropriate senior management committees and our Board of Directors no less than q</w:t>
      </w:r>
      <w:r>
        <w:rPr>
          <w:rFonts w:eastAsia="Times New Roman"/>
          <w:color w:val="000000"/>
          <w:sz w:val="20"/>
          <w:szCs w:val="20"/>
        </w:rPr>
        <w:t xml:space="preserve">uarterly. </w:t>
      </w:r>
    </w:p>
    <w:p w:rsidR="00000000" w:rsidRDefault="00E0782F">
      <w:pPr>
        <w:jc w:val="both"/>
        <w:divId w:val="925842549"/>
        <w:rPr>
          <w:rFonts w:eastAsia="Times New Roman"/>
        </w:rPr>
      </w:pPr>
      <w:r>
        <w:rPr>
          <w:rFonts w:eastAsia="Times New Roman"/>
          <w:color w:val="000000"/>
          <w:sz w:val="20"/>
          <w:szCs w:val="20"/>
        </w:rPr>
        <w:t>We seek to mitigate liquidity risk strategically and tactically. From a strategic perspective, we have acquired and built deposit gathering businesses and actively monitor our funding concentration. From a tactical perspective, we have accumulated a sizabl</w:t>
      </w:r>
      <w:r>
        <w:rPr>
          <w:rFonts w:eastAsia="Times New Roman"/>
          <w:color w:val="000000"/>
          <w:sz w:val="20"/>
          <w:szCs w:val="20"/>
        </w:rPr>
        <w:t xml:space="preserve">e liquidity reserve comprised of cash and cash equivalents, high-quality, unencumbered securities and committed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1621403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1621403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1621403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7" style="width:0;height:1.5pt" o:hralign="center" o:hrstd="t" o:hr="t" fillcolor="#a0a0a0" stroked="f"/>
        </w:pict>
      </w:r>
    </w:p>
    <w:p w:rsidR="00000000" w:rsidRDefault="00E0782F">
      <w:pPr>
        <w:ind w:hanging="360"/>
        <w:jc w:val="both"/>
        <w:divId w:val="209875102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571648149"/>
        <w:rPr>
          <w:rFonts w:eastAsia="Times New Roman"/>
        </w:rPr>
      </w:pPr>
      <w:r>
        <w:rPr>
          <w:rFonts w:eastAsia="Times New Roman"/>
          <w:color w:val="000000"/>
          <w:sz w:val="20"/>
          <w:szCs w:val="20"/>
        </w:rPr>
        <w:t>collateralized credit lines. We also continue to maintain access to secured and unsecured debt markets through regular issuance. This combination of stable and diversified funding sources and our stockpile of liquidity reserves enable us to maintain confid</w:t>
      </w:r>
      <w:r>
        <w:rPr>
          <w:rFonts w:eastAsia="Times New Roman"/>
          <w:color w:val="000000"/>
          <w:sz w:val="20"/>
          <w:szCs w:val="20"/>
        </w:rPr>
        <w:t>ence in our liquidity position.</w:t>
      </w:r>
    </w:p>
    <w:p w:rsidR="00000000" w:rsidRDefault="00E0782F">
      <w:pPr>
        <w:jc w:val="both"/>
        <w:divId w:val="1922790046"/>
        <w:rPr>
          <w:rFonts w:eastAsia="Times New Roman"/>
        </w:rPr>
      </w:pPr>
      <w:r>
        <w:rPr>
          <w:rFonts w:eastAsia="Times New Roman"/>
          <w:b/>
          <w:bCs/>
          <w:i/>
          <w:iCs/>
          <w:color w:val="000000"/>
          <w:sz w:val="20"/>
          <w:szCs w:val="20"/>
        </w:rPr>
        <w:t>Market Risk Management</w:t>
      </w:r>
    </w:p>
    <w:p w:rsidR="00000000" w:rsidRDefault="00E0782F">
      <w:pPr>
        <w:jc w:val="both"/>
        <w:divId w:val="880822967"/>
        <w:rPr>
          <w:rFonts w:eastAsia="Times New Roman"/>
        </w:rPr>
      </w:pPr>
      <w:r>
        <w:rPr>
          <w:rFonts w:eastAsia="Times New Roman"/>
          <w:color w:val="000000"/>
          <w:sz w:val="20"/>
          <w:szCs w:val="20"/>
        </w:rPr>
        <w:t>The Chief Financial Officer and the Chief Risk Officer are responsible for the establishment of market risk management policies and standards for the governance and monitoring of market risk at a corpo</w:t>
      </w:r>
      <w:r>
        <w:rPr>
          <w:rFonts w:eastAsia="Times New Roman"/>
          <w:color w:val="000000"/>
          <w:sz w:val="20"/>
          <w:szCs w:val="20"/>
        </w:rPr>
        <w:t>rate level. Market risk is inherent from the financial instruments associated with our business operations and activities including loans, deposits, securities, short-term borrowings, long-term debt and derivatives. We manage market risk exposure, which is</w:t>
      </w:r>
      <w:r>
        <w:rPr>
          <w:rFonts w:eastAsia="Times New Roman"/>
          <w:color w:val="000000"/>
          <w:sz w:val="20"/>
          <w:szCs w:val="20"/>
        </w:rPr>
        <w:t xml:space="preserve"> principally driven by balance sheet interest rate risk, centrally and establish quantitative risk limits to monitor and control our exposure. </w:t>
      </w:r>
    </w:p>
    <w:p w:rsidR="00000000" w:rsidRDefault="00E0782F">
      <w:pPr>
        <w:jc w:val="both"/>
        <w:divId w:val="2030136209"/>
        <w:rPr>
          <w:rFonts w:eastAsia="Times New Roman"/>
        </w:rPr>
      </w:pPr>
      <w:r>
        <w:rPr>
          <w:rFonts w:eastAsia="Times New Roman"/>
          <w:color w:val="000000"/>
          <w:sz w:val="20"/>
          <w:szCs w:val="20"/>
        </w:rPr>
        <w:t>We recognize that interest rate and foreign exchange risk is present in our business due to the nature of our as</w:t>
      </w:r>
      <w:r>
        <w:rPr>
          <w:rFonts w:eastAsia="Times New Roman"/>
          <w:color w:val="000000"/>
          <w:sz w:val="20"/>
          <w:szCs w:val="20"/>
        </w:rPr>
        <w:t>sets and liabilities. Banks typically manage the trade-off between near-term earnings volatility and market value volatility by targeting moderate levels of each. In addition to using industry accepted techniques to analyze and measure interest rate and fo</w:t>
      </w:r>
      <w:r>
        <w:rPr>
          <w:rFonts w:eastAsia="Times New Roman"/>
          <w:color w:val="000000"/>
          <w:sz w:val="20"/>
          <w:szCs w:val="20"/>
        </w:rPr>
        <w:t>reign exchange risk, we perform sensitivity analyses to identify our risk exposures under a broad range of scenarios. Investment securities and derivatives are the main levers for the management of interest rate risk. In addition, we also use derivatives t</w:t>
      </w:r>
      <w:r>
        <w:rPr>
          <w:rFonts w:eastAsia="Times New Roman"/>
          <w:color w:val="000000"/>
          <w:sz w:val="20"/>
          <w:szCs w:val="20"/>
        </w:rPr>
        <w:t>o manage our foreign exchange risk.</w:t>
      </w:r>
    </w:p>
    <w:p w:rsidR="00000000" w:rsidRDefault="00E0782F">
      <w:pPr>
        <w:jc w:val="both"/>
        <w:divId w:val="838927129"/>
        <w:rPr>
          <w:rFonts w:eastAsia="Times New Roman"/>
        </w:rPr>
      </w:pPr>
      <w:r>
        <w:rPr>
          <w:rFonts w:eastAsia="Times New Roman"/>
          <w:color w:val="000000"/>
          <w:sz w:val="20"/>
          <w:szCs w:val="20"/>
        </w:rPr>
        <w:t>The market risk positions for the Company and each of the Banks are calculated separately and in aggregate, and analyzed against pre-established limits. Results are reported to the Asset Liability Committee monthly and t</w:t>
      </w:r>
      <w:r>
        <w:rPr>
          <w:rFonts w:eastAsia="Times New Roman"/>
          <w:color w:val="000000"/>
          <w:sz w:val="20"/>
          <w:szCs w:val="20"/>
        </w:rPr>
        <w:t>o the Risk Committee of the Board of Directors no less than quarterly. Management is authorized to utilize financial instruments as outlined in our policy to actively manage market risk exposure.</w:t>
      </w:r>
    </w:p>
    <w:p w:rsidR="00000000" w:rsidRDefault="00E0782F">
      <w:pPr>
        <w:jc w:val="both"/>
        <w:divId w:val="1618947934"/>
        <w:rPr>
          <w:rFonts w:eastAsia="Times New Roman"/>
        </w:rPr>
      </w:pPr>
      <w:r>
        <w:rPr>
          <w:rFonts w:eastAsia="Times New Roman"/>
          <w:b/>
          <w:bCs/>
          <w:i/>
          <w:iCs/>
          <w:color w:val="000000"/>
          <w:sz w:val="20"/>
          <w:szCs w:val="20"/>
        </w:rPr>
        <w:t>Operational Risk Management</w:t>
      </w:r>
    </w:p>
    <w:p w:rsidR="00000000" w:rsidRDefault="00E0782F">
      <w:pPr>
        <w:jc w:val="both"/>
        <w:divId w:val="992417308"/>
        <w:rPr>
          <w:rFonts w:eastAsia="Times New Roman"/>
        </w:rPr>
      </w:pPr>
      <w:r>
        <w:rPr>
          <w:rFonts w:eastAsia="Times New Roman"/>
          <w:color w:val="000000"/>
          <w:sz w:val="20"/>
          <w:szCs w:val="20"/>
        </w:rPr>
        <w:t xml:space="preserve">We recognize the criticality of </w:t>
      </w:r>
      <w:r>
        <w:rPr>
          <w:rFonts w:eastAsia="Times New Roman"/>
          <w:color w:val="000000"/>
          <w:sz w:val="20"/>
          <w:szCs w:val="20"/>
        </w:rPr>
        <w:t xml:space="preserve">managing operational risk on both a strategic and day-to-day basis and that there are heightened expectations from our regulators and our customers. We have implemented appropriate operational risk management policies, standards, processes and controls to </w:t>
      </w:r>
      <w:r>
        <w:rPr>
          <w:rFonts w:eastAsia="Times New Roman"/>
          <w:color w:val="000000"/>
          <w:sz w:val="20"/>
          <w:szCs w:val="20"/>
        </w:rPr>
        <w:t>enable the delivery of high quality and consistent customer experiences and to achieve business objectives in a controlled manner.</w:t>
      </w:r>
    </w:p>
    <w:p w:rsidR="00000000" w:rsidRDefault="00E0782F">
      <w:pPr>
        <w:jc w:val="both"/>
        <w:divId w:val="736516336"/>
        <w:rPr>
          <w:rFonts w:eastAsia="Times New Roman"/>
        </w:rPr>
      </w:pPr>
      <w:r>
        <w:rPr>
          <w:rFonts w:eastAsia="Times New Roman"/>
          <w:color w:val="000000"/>
          <w:sz w:val="20"/>
          <w:szCs w:val="20"/>
        </w:rPr>
        <w:t>The Chief Operational Risk Officer is responsible for establishing and overseeing our Operational Risk Management Program. In</w:t>
      </w:r>
      <w:r>
        <w:rPr>
          <w:rFonts w:eastAsia="Times New Roman"/>
          <w:color w:val="000000"/>
          <w:sz w:val="20"/>
          <w:szCs w:val="20"/>
        </w:rPr>
        <w:t xml:space="preserve"> accordance with Basel III requirements, the program establishes practices for assessing the operational risk profile and executing key control processes for operational risks. These risks include topics such as internal and external fraud, cyber and techn</w:t>
      </w:r>
      <w:r>
        <w:rPr>
          <w:rFonts w:eastAsia="Times New Roman"/>
          <w:color w:val="000000"/>
          <w:sz w:val="20"/>
          <w:szCs w:val="20"/>
        </w:rPr>
        <w:t>ology risk, data management, model risk, third party management and business continuity. Operational Risk Management enforces these practices and delivers reporting of operational risk results to senior business leaders, the executive committee and the Boa</w:t>
      </w:r>
      <w:r>
        <w:rPr>
          <w:rFonts w:eastAsia="Times New Roman"/>
          <w:color w:val="000000"/>
          <w:sz w:val="20"/>
          <w:szCs w:val="20"/>
        </w:rPr>
        <w:t>rd of Directors.</w:t>
      </w:r>
    </w:p>
    <w:p w:rsidR="00000000" w:rsidRDefault="00E0782F">
      <w:pPr>
        <w:jc w:val="both"/>
        <w:divId w:val="75058144"/>
        <w:rPr>
          <w:rFonts w:eastAsia="Times New Roman"/>
        </w:rPr>
      </w:pPr>
      <w:r>
        <w:rPr>
          <w:rFonts w:eastAsia="Times New Roman"/>
          <w:b/>
          <w:bCs/>
          <w:i/>
          <w:iCs/>
          <w:color w:val="000000"/>
          <w:sz w:val="20"/>
          <w:szCs w:val="20"/>
        </w:rPr>
        <w:t>Reputation Risk Management</w:t>
      </w:r>
    </w:p>
    <w:p w:rsidR="00000000" w:rsidRDefault="00E0782F">
      <w:pPr>
        <w:jc w:val="both"/>
        <w:divId w:val="1785029074"/>
        <w:rPr>
          <w:rFonts w:eastAsia="Times New Roman"/>
        </w:rPr>
      </w:pPr>
      <w:r>
        <w:rPr>
          <w:rFonts w:eastAsia="Times New Roman"/>
          <w:color w:val="000000"/>
          <w:sz w:val="20"/>
          <w:szCs w:val="20"/>
        </w:rPr>
        <w:t>We recognize that reputation risk is of particular concern for financial institutions and, increasingly, technology companies, in the current environment. Areas of concern have expanded to include company policie</w:t>
      </w:r>
      <w:r>
        <w:rPr>
          <w:rFonts w:eastAsia="Times New Roman"/>
          <w:color w:val="000000"/>
          <w:sz w:val="20"/>
          <w:szCs w:val="20"/>
        </w:rPr>
        <w:t>s, practices and values and, with the growing use of social and digital platforms, public corporations face a new level of scrutiny and channels for activism and advocacy. The heightened expectations of internal and external stakeholders have made corporat</w:t>
      </w:r>
      <w:r>
        <w:rPr>
          <w:rFonts w:eastAsia="Times New Roman"/>
          <w:color w:val="000000"/>
          <w:sz w:val="20"/>
          <w:szCs w:val="20"/>
        </w:rPr>
        <w:t>e culture, values and conduct pressure points for individuals and advocates voicing concerns or seeking change. We manage both strategic and tactical reputation issues and build our relationships with government officials, media, community and consumer adv</w:t>
      </w:r>
      <w:r>
        <w:rPr>
          <w:rFonts w:eastAsia="Times New Roman"/>
          <w:color w:val="000000"/>
          <w:sz w:val="20"/>
          <w:szCs w:val="20"/>
        </w:rPr>
        <w:t>ocates, customers and other constituencies to help strengthen the reputations of both our Company and industry. Our actions include implementing pro-customer practices in our business and serving low to moderate income communities in our market area consis</w:t>
      </w:r>
      <w:r>
        <w:rPr>
          <w:rFonts w:eastAsia="Times New Roman"/>
          <w:color w:val="000000"/>
          <w:sz w:val="20"/>
          <w:szCs w:val="20"/>
        </w:rPr>
        <w:t>tent with a quality bank and an innovative technology leader. The Executive Vice President of External Affairs is responsible for managing our overall reputation risk program. Day-to-day activities are controlled by the frameworks set forth in our Reputati</w:t>
      </w:r>
      <w:r>
        <w:rPr>
          <w:rFonts w:eastAsia="Times New Roman"/>
          <w:color w:val="000000"/>
          <w:sz w:val="20"/>
          <w:szCs w:val="20"/>
        </w:rPr>
        <w:t>on Risk Management Policy and other risk management policies.</w:t>
      </w:r>
    </w:p>
    <w:p w:rsidR="00000000" w:rsidRDefault="00E0782F">
      <w:pPr>
        <w:jc w:val="both"/>
        <w:divId w:val="1664702569"/>
        <w:rPr>
          <w:rFonts w:eastAsia="Times New Roman"/>
        </w:rPr>
      </w:pPr>
      <w:r>
        <w:rPr>
          <w:rFonts w:eastAsia="Times New Roman"/>
          <w:b/>
          <w:bCs/>
          <w:i/>
          <w:iCs/>
          <w:color w:val="000000"/>
          <w:sz w:val="20"/>
          <w:szCs w:val="20"/>
        </w:rPr>
        <w:t>Strategic Risk Management</w:t>
      </w:r>
    </w:p>
    <w:p w:rsidR="00000000" w:rsidRDefault="00E0782F">
      <w:pPr>
        <w:jc w:val="both"/>
        <w:divId w:val="1307856800"/>
        <w:rPr>
          <w:rFonts w:eastAsia="Times New Roman"/>
        </w:rPr>
      </w:pPr>
      <w:r>
        <w:rPr>
          <w:rFonts w:eastAsia="Times New Roman"/>
          <w:color w:val="000000"/>
          <w:sz w:val="20"/>
          <w:szCs w:val="20"/>
        </w:rPr>
        <w:t>We monitor external market and industry developments to identify potential areas of strategic opportunity or risk. These items provide input for development of the Comp</w:t>
      </w:r>
      <w:r>
        <w:rPr>
          <w:rFonts w:eastAsia="Times New Roman"/>
          <w:color w:val="000000"/>
          <w:sz w:val="20"/>
          <w:szCs w:val="20"/>
        </w:rPr>
        <w:t>any’s strategy led by the Chief Executive Officer and other senior executives. Through the ongoing development and vetting of the corporate strategy, the Chief Risk Officer identifies and assesses risks associated with the strategy across all risk categori</w:t>
      </w:r>
      <w:r>
        <w:rPr>
          <w:rFonts w:eastAsia="Times New Roman"/>
          <w:color w:val="000000"/>
          <w:sz w:val="20"/>
          <w:szCs w:val="20"/>
        </w:rPr>
        <w:t>es and monitors them throughout the year.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3443681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3443681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3443681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8" style="width:0;height:1.5pt" o:hralign="center" o:hrstd="t" o:hr="t" fillcolor="#a0a0a0" stroked="f"/>
        </w:pict>
      </w:r>
    </w:p>
    <w:p w:rsidR="00000000" w:rsidRDefault="00E0782F">
      <w:pPr>
        <w:ind w:hanging="360"/>
        <w:jc w:val="both"/>
        <w:divId w:val="474370007"/>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30649993"/>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3064999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CREDIT RISK PROFILE</w:t>
            </w:r>
          </w:p>
        </w:tc>
      </w:tr>
    </w:tbl>
    <w:p w:rsidR="00000000" w:rsidRDefault="00E0782F">
      <w:pPr>
        <w:jc w:val="both"/>
        <w:divId w:val="1916863439"/>
        <w:rPr>
          <w:rFonts w:eastAsia="Times New Roman"/>
        </w:rPr>
      </w:pPr>
      <w:r>
        <w:rPr>
          <w:rFonts w:eastAsia="Times New Roman"/>
          <w:color w:val="000000"/>
          <w:sz w:val="20"/>
          <w:szCs w:val="20"/>
        </w:rPr>
        <w:t xml:space="preserve">Our loan portfolio accounts for the substantial majority of our credit risk exposure. Our lending activities are governed under our credit policy and are subject to independent review and approval. Below we provide information about the composition of our </w:t>
      </w:r>
      <w:r>
        <w:rPr>
          <w:rFonts w:eastAsia="Times New Roman"/>
          <w:color w:val="000000"/>
          <w:sz w:val="20"/>
          <w:szCs w:val="20"/>
        </w:rPr>
        <w:t>loan portfolio, key concentrations and credit performance metrics.</w:t>
      </w:r>
    </w:p>
    <w:p w:rsidR="00000000" w:rsidRDefault="00E0782F">
      <w:pPr>
        <w:jc w:val="both"/>
        <w:divId w:val="596601150"/>
        <w:rPr>
          <w:rFonts w:eastAsia="Times New Roman"/>
        </w:rPr>
      </w:pPr>
      <w:r>
        <w:rPr>
          <w:rFonts w:eastAsia="Times New Roman"/>
          <w:color w:val="000000"/>
          <w:sz w:val="20"/>
          <w:szCs w:val="20"/>
        </w:rPr>
        <w:t>We also engage in certain non-lending activities that may give rise to ongoing credit and counterparty settlement risk, including purchasing securities for our investment securities portfol</w:t>
      </w:r>
      <w:r>
        <w:rPr>
          <w:rFonts w:eastAsia="Times New Roman"/>
          <w:color w:val="000000"/>
          <w:sz w:val="20"/>
          <w:szCs w:val="20"/>
        </w:rPr>
        <w:t>io, entering into derivative transactions to manage our market risk exposure and to accommodate customers, extending short-term advances on syndication activity including bridge financing transactions we have underwritten, depositing certain operational ca</w:t>
      </w:r>
      <w:r>
        <w:rPr>
          <w:rFonts w:eastAsia="Times New Roman"/>
          <w:color w:val="000000"/>
          <w:sz w:val="20"/>
          <w:szCs w:val="20"/>
        </w:rPr>
        <w:t>sh balances in other financial institutions, executing certain foreign exchange transactions and extending customer overdrafts. We provide additional information related to our investment securities portfolio under “MD&amp;A—Consolidated Balance Sheets Analysi</w:t>
      </w:r>
      <w:r>
        <w:rPr>
          <w:rFonts w:eastAsia="Times New Roman"/>
          <w:color w:val="000000"/>
          <w:sz w:val="20"/>
          <w:szCs w:val="20"/>
        </w:rPr>
        <w:t>s—Investment Securities” and credit risk related to derivative transactions in “Note 9—Derivative Instruments and Hedging Activities.”</w:t>
      </w:r>
    </w:p>
    <w:p w:rsidR="00000000" w:rsidRDefault="00E0782F">
      <w:pPr>
        <w:divId w:val="177236849"/>
        <w:rPr>
          <w:rFonts w:eastAsia="Times New Roman"/>
        </w:rPr>
      </w:pPr>
      <w:r>
        <w:rPr>
          <w:rFonts w:eastAsia="Times New Roman"/>
          <w:b/>
          <w:bCs/>
          <w:color w:val="000000"/>
          <w:sz w:val="20"/>
          <w:szCs w:val="20"/>
        </w:rPr>
        <w:t xml:space="preserve">Primary Loan Products </w:t>
      </w:r>
    </w:p>
    <w:p w:rsidR="00000000" w:rsidRDefault="00E0782F">
      <w:pPr>
        <w:jc w:val="both"/>
        <w:divId w:val="1678070820"/>
        <w:rPr>
          <w:rFonts w:eastAsia="Times New Roman"/>
        </w:rPr>
      </w:pPr>
      <w:r>
        <w:rPr>
          <w:rFonts w:eastAsia="Times New Roman"/>
          <w:color w:val="000000"/>
          <w:sz w:val="20"/>
          <w:szCs w:val="20"/>
        </w:rPr>
        <w:t xml:space="preserve">We provide a variety of lending products. Our primary loan products include credit cards, auto loans and commercial lending products. We sold all of our consumer home loan portfolio and the related servicing during 2018. </w:t>
      </w:r>
    </w:p>
    <w:p w:rsidR="00000000" w:rsidRDefault="00E0782F">
      <w:pPr>
        <w:ind w:hanging="360"/>
        <w:jc w:val="both"/>
        <w:divId w:val="362754435"/>
        <w:rPr>
          <w:rFonts w:eastAsia="Times New Roman"/>
        </w:rPr>
      </w:pPr>
      <w:r>
        <w:rPr>
          <w:rFonts w:eastAsia="Times New Roman"/>
          <w:color w:val="000000"/>
          <w:sz w:val="20"/>
          <w:szCs w:val="20"/>
        </w:rPr>
        <w:t>•</w:t>
      </w:r>
      <w:r>
        <w:rPr>
          <w:rFonts w:eastAsia="Times New Roman"/>
          <w:i/>
          <w:iCs/>
          <w:color w:val="000000"/>
          <w:sz w:val="20"/>
          <w:szCs w:val="20"/>
        </w:rPr>
        <w:t>Credit cards:</w:t>
      </w:r>
      <w:r>
        <w:rPr>
          <w:rFonts w:eastAsia="Times New Roman"/>
          <w:color w:val="000000"/>
          <w:sz w:val="20"/>
          <w:szCs w:val="20"/>
        </w:rPr>
        <w:t xml:space="preserve"> We originate both p</w:t>
      </w:r>
      <w:r>
        <w:rPr>
          <w:rFonts w:eastAsia="Times New Roman"/>
          <w:color w:val="000000"/>
          <w:sz w:val="20"/>
          <w:szCs w:val="20"/>
        </w:rPr>
        <w:t>rime and subprime credit cards through a variety of channels. Our credit cards generally have variable interest rates. Credit card accounts are primarily underwritten using an automated underwriting system based on predictive models that we have developed.</w:t>
      </w:r>
      <w:r>
        <w:rPr>
          <w:rFonts w:eastAsia="Times New Roman"/>
          <w:color w:val="000000"/>
          <w:sz w:val="20"/>
          <w:szCs w:val="20"/>
        </w:rPr>
        <w:t xml:space="preserve"> The underwriting criteria, which are customized for individual products and marketing programs, are established based on an analysis of the net present value of expected revenues, expenses and losses, subject to further analysis using a variety of stress </w:t>
      </w:r>
      <w:r>
        <w:rPr>
          <w:rFonts w:eastAsia="Times New Roman"/>
          <w:color w:val="000000"/>
          <w:sz w:val="20"/>
          <w:szCs w:val="20"/>
        </w:rPr>
        <w:t>conditions. Underwriting decisions are generally based on credit bureau information, including payment history, debt burden and credit scores, such as FICO scores, and on other factors, such as applicant income. We maintain a credit card securitization pro</w:t>
      </w:r>
      <w:r>
        <w:rPr>
          <w:rFonts w:eastAsia="Times New Roman"/>
          <w:color w:val="000000"/>
          <w:sz w:val="20"/>
          <w:szCs w:val="20"/>
        </w:rPr>
        <w:t>gram and selectively sell charged-off credit card loans.</w:t>
      </w:r>
    </w:p>
    <w:p w:rsidR="00000000" w:rsidRDefault="00E0782F">
      <w:pPr>
        <w:ind w:hanging="360"/>
        <w:jc w:val="both"/>
        <w:divId w:val="299918877"/>
        <w:rPr>
          <w:rFonts w:eastAsia="Times New Roman"/>
        </w:rPr>
      </w:pPr>
      <w:r>
        <w:rPr>
          <w:rFonts w:eastAsia="Times New Roman"/>
          <w:color w:val="000000"/>
          <w:sz w:val="20"/>
          <w:szCs w:val="20"/>
        </w:rPr>
        <w:t>•</w:t>
      </w:r>
      <w:r>
        <w:rPr>
          <w:rFonts w:eastAsia="Times New Roman"/>
          <w:i/>
          <w:iCs/>
          <w:color w:val="000000"/>
          <w:sz w:val="20"/>
          <w:szCs w:val="20"/>
        </w:rPr>
        <w:t>Auto:</w:t>
      </w:r>
      <w:r>
        <w:rPr>
          <w:rFonts w:eastAsia="Times New Roman"/>
          <w:color w:val="000000"/>
          <w:sz w:val="20"/>
          <w:szCs w:val="20"/>
        </w:rPr>
        <w:t xml:space="preserve"> We originate both prime and subprime auto loans through a network of auto dealers and direct marketing. Our auto loans generally have fixed interest rates and loan terms of 75 months or less, </w:t>
      </w:r>
      <w:r>
        <w:rPr>
          <w:rFonts w:eastAsia="Times New Roman"/>
          <w:color w:val="000000"/>
          <w:sz w:val="20"/>
          <w:szCs w:val="20"/>
        </w:rPr>
        <w:t>but can go up to 84 months. Loan size limits are customized by program and are generally less than $75,000. Similar to credit card accounts, the underwriting criteria are customized for individual products and marketing programs and based on analysis of ne</w:t>
      </w:r>
      <w:r>
        <w:rPr>
          <w:rFonts w:eastAsia="Times New Roman"/>
          <w:color w:val="000000"/>
          <w:sz w:val="20"/>
          <w:szCs w:val="20"/>
        </w:rPr>
        <w:t>t present value of expected revenues, expenses and losses, and are subject to maintaining resilience under a variety of stress conditions. Underwriting decisions are generally based on an applicant’s income, estimated net disposable income, and credit bure</w:t>
      </w:r>
      <w:r>
        <w:rPr>
          <w:rFonts w:eastAsia="Times New Roman"/>
          <w:color w:val="000000"/>
          <w:sz w:val="20"/>
          <w:szCs w:val="20"/>
        </w:rPr>
        <w:t>au information including FICO scores, along with collateral characteristics such as loan-to-value (“LTV”) ratio. We maintain an auto securitization program.</w:t>
      </w:r>
    </w:p>
    <w:p w:rsidR="00000000" w:rsidRDefault="00E0782F">
      <w:pPr>
        <w:ind w:hanging="360"/>
        <w:jc w:val="both"/>
        <w:divId w:val="360518073"/>
        <w:rPr>
          <w:rFonts w:eastAsia="Times New Roman"/>
        </w:rPr>
      </w:pPr>
      <w:r>
        <w:rPr>
          <w:rFonts w:eastAsia="Times New Roman"/>
          <w:i/>
          <w:iCs/>
          <w:color w:val="000000"/>
          <w:sz w:val="20"/>
          <w:szCs w:val="20"/>
        </w:rPr>
        <w:t>•Commercial:</w:t>
      </w:r>
      <w:r>
        <w:rPr>
          <w:rFonts w:eastAsia="Times New Roman"/>
          <w:color w:val="000000"/>
          <w:sz w:val="20"/>
          <w:szCs w:val="20"/>
        </w:rPr>
        <w:t xml:space="preserve"> We offer a range of commercial lending products, including loans secured by commercial</w:t>
      </w:r>
      <w:r>
        <w:rPr>
          <w:rFonts w:eastAsia="Times New Roman"/>
          <w:color w:val="000000"/>
          <w:sz w:val="20"/>
          <w:szCs w:val="20"/>
        </w:rPr>
        <w:t xml:space="preserve"> real estate and loans to middle market commercial and industrial companies. Our commercial loans may have a fixed or variable interest rate; however, the majority of our commercial loans have variable rates. Our underwriting standards require an analysis </w:t>
      </w:r>
      <w:r>
        <w:rPr>
          <w:rFonts w:eastAsia="Times New Roman"/>
          <w:color w:val="000000"/>
          <w:sz w:val="20"/>
          <w:szCs w:val="20"/>
        </w:rPr>
        <w:t xml:space="preserve">of the borrower’s financial condition and prospects, as well as an assessment of the industry in which the borrower operates. Where relevant, we evaluate and appraise underlying collateral and guarantees. We maintain underwriting guidelines and limits for </w:t>
      </w:r>
      <w:r>
        <w:rPr>
          <w:rFonts w:eastAsia="Times New Roman"/>
          <w:color w:val="000000"/>
          <w:sz w:val="20"/>
          <w:szCs w:val="20"/>
        </w:rPr>
        <w:t>major types of borrowers and loan products that specify, where applicable, guidelines for debt service coverage, leverage, LTV ratio and standard covenants and conditions. We assign a risk rating and establish a monitoring schedule for loans based on the r</w:t>
      </w:r>
      <w:r>
        <w:rPr>
          <w:rFonts w:eastAsia="Times New Roman"/>
          <w:color w:val="000000"/>
          <w:sz w:val="20"/>
          <w:szCs w:val="20"/>
        </w:rPr>
        <w:t>isk profile of the borrower, industry segment, source of repayment, the underlying collateral and guarantees, if any, and current market conditions. Although we generally retain the commercial loans we underwrite, we may syndicate positions for risk mitiga</w:t>
      </w:r>
      <w:r>
        <w:rPr>
          <w:rFonts w:eastAsia="Times New Roman"/>
          <w:color w:val="000000"/>
          <w:sz w:val="20"/>
          <w:szCs w:val="20"/>
        </w:rPr>
        <w:t>tion purposes, including bridge financing transactions we have underwritten. In addition, we originate and service multifamily commercial real estate loans which are sold to government-sponsored enterprises.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18257305"/>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11825730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11825730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09" style="width:0;height:1.5pt" o:hralign="center" o:hrstd="t" o:hr="t" fillcolor="#a0a0a0" stroked="f"/>
        </w:pict>
      </w:r>
    </w:p>
    <w:p w:rsidR="00000000" w:rsidRDefault="00E0782F">
      <w:pPr>
        <w:ind w:hanging="360"/>
        <w:jc w:val="both"/>
        <w:divId w:val="118347116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2045133734"/>
        <w:rPr>
          <w:rFonts w:eastAsia="Times New Roman"/>
        </w:rPr>
      </w:pPr>
      <w:r>
        <w:rPr>
          <w:rFonts w:eastAsia="Times New Roman"/>
          <w:b/>
          <w:bCs/>
          <w:color w:val="000000"/>
          <w:sz w:val="20"/>
          <w:szCs w:val="20"/>
        </w:rPr>
        <w:t>Portfolio Composition and Maturity Profile of Loans Held for Investment</w:t>
      </w:r>
    </w:p>
    <w:p w:rsidR="00000000" w:rsidRDefault="00E0782F">
      <w:pPr>
        <w:jc w:val="both"/>
        <w:divId w:val="1551721559"/>
        <w:rPr>
          <w:rFonts w:eastAsia="Times New Roman"/>
        </w:rPr>
      </w:pPr>
      <w:r>
        <w:rPr>
          <w:rFonts w:eastAsia="Times New Roman"/>
          <w:color w:val="000000"/>
          <w:sz w:val="20"/>
          <w:szCs w:val="20"/>
        </w:rPr>
        <w:t>Our loan portf</w:t>
      </w:r>
      <w:r>
        <w:rPr>
          <w:rFonts w:eastAsia="Times New Roman"/>
          <w:color w:val="000000"/>
          <w:sz w:val="20"/>
          <w:szCs w:val="20"/>
        </w:rPr>
        <w:t>olio consists of loans held for investment, including loans held in our consolidated trusts, and loans held for sale. The information presented in this section excludes loans held for sale, which totaled $2.7 billion and $400 million as of December 31, 202</w:t>
      </w:r>
      <w:r>
        <w:rPr>
          <w:rFonts w:eastAsia="Times New Roman"/>
          <w:color w:val="000000"/>
          <w:sz w:val="20"/>
          <w:szCs w:val="20"/>
        </w:rPr>
        <w:t>0 and 2019, respectively. Concurrent with our adoption of the CECL standard in the first quarter of 2020, we reclassified our finance charge and fee reserve to our allowance for credit losses, with a corresponding increase to credit card loans held for inv</w:t>
      </w:r>
      <w:r>
        <w:rPr>
          <w:rFonts w:eastAsia="Times New Roman"/>
          <w:color w:val="000000"/>
          <w:sz w:val="20"/>
          <w:szCs w:val="20"/>
        </w:rPr>
        <w:t>estment.</w:t>
      </w:r>
    </w:p>
    <w:p w:rsidR="00000000" w:rsidRDefault="00E0782F">
      <w:pPr>
        <w:jc w:val="both"/>
        <w:divId w:val="106391634"/>
        <w:rPr>
          <w:rFonts w:eastAsia="Times New Roman"/>
        </w:rPr>
      </w:pPr>
      <w:r>
        <w:rPr>
          <w:rFonts w:eastAsia="Times New Roman"/>
          <w:color w:val="000000"/>
          <w:sz w:val="20"/>
          <w:szCs w:val="20"/>
        </w:rPr>
        <w:t xml:space="preserve">Table 16 presents the composition of our portfolio of loans held for investment by portfolio segment as of December 31, 2020 and 2019. </w:t>
      </w:r>
    </w:p>
    <w:p w:rsidR="00000000" w:rsidRDefault="00E0782F">
      <w:pPr>
        <w:divId w:val="1219822579"/>
        <w:rPr>
          <w:rFonts w:eastAsia="Times New Roman"/>
        </w:rPr>
      </w:pPr>
      <w:r>
        <w:rPr>
          <w:rFonts w:eastAsia="Times New Roman"/>
          <w:b/>
          <w:bCs/>
          <w:color w:val="000000"/>
          <w:sz w:val="18"/>
          <w:szCs w:val="18"/>
        </w:rPr>
        <w:t xml:space="preserve">Table 16: Portfolio Composition of Loans Held for Investment </w:t>
      </w:r>
    </w:p>
    <w:tbl>
      <w:tblPr>
        <w:tblW w:w="4992" w:type="pct"/>
        <w:tblCellMar>
          <w:top w:w="15" w:type="dxa"/>
          <w:left w:w="15" w:type="dxa"/>
          <w:bottom w:w="15" w:type="dxa"/>
          <w:right w:w="15" w:type="dxa"/>
        </w:tblCellMar>
        <w:tblLook w:val="04A0" w:firstRow="1" w:lastRow="0" w:firstColumn="1" w:lastColumn="0" w:noHBand="0" w:noVBand="1"/>
      </w:tblPr>
      <w:tblGrid>
        <w:gridCol w:w="39"/>
        <w:gridCol w:w="4757"/>
        <w:gridCol w:w="38"/>
        <w:gridCol w:w="36"/>
        <w:gridCol w:w="36"/>
        <w:gridCol w:w="36"/>
        <w:gridCol w:w="110"/>
        <w:gridCol w:w="630"/>
        <w:gridCol w:w="36"/>
        <w:gridCol w:w="36"/>
        <w:gridCol w:w="36"/>
        <w:gridCol w:w="36"/>
        <w:gridCol w:w="51"/>
        <w:gridCol w:w="482"/>
        <w:gridCol w:w="200"/>
        <w:gridCol w:w="36"/>
        <w:gridCol w:w="36"/>
        <w:gridCol w:w="36"/>
        <w:gridCol w:w="110"/>
        <w:gridCol w:w="630"/>
        <w:gridCol w:w="36"/>
        <w:gridCol w:w="36"/>
        <w:gridCol w:w="36"/>
        <w:gridCol w:w="36"/>
        <w:gridCol w:w="51"/>
        <w:gridCol w:w="485"/>
        <w:gridCol w:w="170"/>
        <w:gridCol w:w="36"/>
      </w:tblGrid>
      <w:tr w:rsidR="00000000">
        <w:trPr>
          <w:divId w:val="566110484"/>
        </w:trPr>
        <w:tc>
          <w:tcPr>
            <w:tcW w:w="50" w:type="pct"/>
            <w:vAlign w:val="center"/>
            <w:hideMark/>
          </w:tcPr>
          <w:p w:rsidR="00000000" w:rsidRDefault="00E0782F">
            <w:pPr>
              <w:rPr>
                <w:rFonts w:eastAsia="Times New Roman"/>
              </w:rPr>
            </w:pPr>
          </w:p>
        </w:tc>
        <w:tc>
          <w:tcPr>
            <w:tcW w:w="292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6611048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E0782F">
            <w:pPr>
              <w:jc w:val="center"/>
              <w:rPr>
                <w:rFonts w:eastAsia="Times New Roman"/>
              </w:rPr>
            </w:pPr>
          </w:p>
        </w:tc>
      </w:tr>
      <w:tr w:rsidR="00000000">
        <w:trPr>
          <w:divId w:val="56611048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vAlign w:val="center"/>
            <w:hideMark/>
          </w:tcPr>
          <w:p w:rsidR="00000000" w:rsidRDefault="00E0782F">
            <w:pPr>
              <w:jc w:val="center"/>
              <w:rPr>
                <w:rFonts w:eastAsia="Times New Roman"/>
              </w:rPr>
            </w:pPr>
          </w:p>
        </w:tc>
      </w:tr>
      <w:tr w:rsidR="00000000">
        <w:trPr>
          <w:divId w:val="5661104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661104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98,504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118,606 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jc w:val="right"/>
              <w:rPr>
                <w:rFonts w:eastAsia="Times New Roman"/>
              </w:rPr>
            </w:pPr>
          </w:p>
        </w:tc>
      </w:tr>
      <w:tr w:rsidR="00000000">
        <w:trPr>
          <w:divId w:val="5661104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128,236 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661104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65,762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60,362 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shd w:val="clear" w:color="auto" w:fill="CCEEFF"/>
            <w:tcMar>
              <w:top w:w="30" w:type="dxa"/>
              <w:left w:w="20" w:type="dxa"/>
              <w:bottom w:w="30" w:type="dxa"/>
              <w:right w:w="20" w:type="dxa"/>
            </w:tcMar>
            <w:vAlign w:val="center"/>
            <w:hideMark/>
          </w:tcPr>
          <w:p w:rsidR="00000000" w:rsidRDefault="00E0782F">
            <w:pPr>
              <w:divId w:val="392311966"/>
              <w:rPr>
                <w:rFonts w:eastAsia="Times New Roman"/>
              </w:rPr>
            </w:pPr>
            <w:r>
              <w:rPr>
                <w:rFonts w:eastAsia="Times New Roman"/>
                <w:color w:val="000000"/>
                <w:sz w:val="18"/>
                <w:szCs w:val="18"/>
              </w:rPr>
              <w:t>Retail bankin</w:t>
            </w:r>
            <w:r>
              <w:rPr>
                <w:rFonts w:eastAsia="Times New Roman"/>
                <w:color w:val="000000"/>
                <w:sz w:val="18"/>
                <w:szCs w:val="18"/>
              </w:rPr>
              <w:t>g</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63,065 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shd w:val="clear" w:color="auto" w:fill="CCEEFF"/>
            <w:tcMar>
              <w:top w:w="30" w:type="dxa"/>
              <w:left w:w="20" w:type="dxa"/>
              <w:bottom w:w="30" w:type="dxa"/>
              <w:right w:w="20" w:type="dxa"/>
            </w:tcMar>
            <w:vAlign w:val="center"/>
            <w:hideMark/>
          </w:tcPr>
          <w:p w:rsidR="00000000" w:rsidRDefault="00E0782F">
            <w:pPr>
              <w:divId w:val="616763392"/>
              <w:rPr>
                <w:rFonts w:eastAsia="Times New Roman"/>
              </w:rPr>
            </w:pPr>
            <w:r>
              <w:rPr>
                <w:rFonts w:eastAsia="Times New Roman"/>
                <w:b/>
                <w:bCs/>
                <w:color w:val="000000"/>
                <w:sz w:val="18"/>
                <w:szCs w:val="18"/>
              </w:rPr>
              <w:t>Commercial Banking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661104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30,245 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44,263 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6611048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6611048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r>
      <w:tr w:rsidR="00000000">
        <w:trPr>
          <w:divId w:val="56611048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jc w:val="right"/>
              <w:rPr>
                <w:rFonts w:eastAsia="Times New Roman"/>
              </w:rPr>
            </w:pPr>
          </w:p>
        </w:tc>
      </w:tr>
    </w:tbl>
    <w:p w:rsidR="00000000" w:rsidRDefault="00E0782F">
      <w:pPr>
        <w:divId w:val="1980259690"/>
        <w:rPr>
          <w:rFonts w:eastAsia="Times New Roman"/>
        </w:rPr>
      </w:pPr>
      <w:r>
        <w:rPr>
          <w:rFonts w:eastAsia="Times New Roman"/>
          <w:color w:val="000000"/>
          <w:sz w:val="20"/>
          <w:szCs w:val="20"/>
        </w:rPr>
        <w:t>__________</w:t>
      </w:r>
    </w:p>
    <w:p w:rsidR="00000000" w:rsidRDefault="00E0782F">
      <w:pPr>
        <w:ind w:hanging="360"/>
        <w:jc w:val="both"/>
        <w:divId w:val="131479180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PPP loans of $919 mill</w:t>
      </w:r>
      <w:r>
        <w:rPr>
          <w:rFonts w:eastAsia="Times New Roman"/>
          <w:color w:val="000000"/>
          <w:sz w:val="16"/>
          <w:szCs w:val="16"/>
        </w:rPr>
        <w:t>ion and $238 million in our retail and commercial loan portfolios, respectively, as of December 31, 2020. See “MD&amp;A—Credit Risk Profile—COVID-19 Customer Assistance Programs and Loan Modifications” for more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62968441"/>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6296844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6296844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0" style="width:0;height:1.5pt" o:hralign="center" o:hrstd="t" o:hr="t" fillcolor="#a0a0a0" stroked="f"/>
        </w:pict>
      </w:r>
    </w:p>
    <w:p w:rsidR="00000000" w:rsidRDefault="00E0782F">
      <w:pPr>
        <w:ind w:hanging="360"/>
        <w:jc w:val="both"/>
        <w:divId w:val="207644266"/>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98904964"/>
        <w:rPr>
          <w:rFonts w:eastAsia="Times New Roman"/>
        </w:rPr>
      </w:pPr>
      <w:r>
        <w:rPr>
          <w:rFonts w:eastAsia="Times New Roman"/>
          <w:color w:val="000000"/>
          <w:sz w:val="20"/>
          <w:szCs w:val="20"/>
        </w:rPr>
        <w:t>Table 17 presents the maturities of our loans held for investment portfolio as of Dece</w:t>
      </w:r>
      <w:r>
        <w:rPr>
          <w:rFonts w:eastAsia="Times New Roman"/>
          <w:color w:val="000000"/>
          <w:sz w:val="20"/>
          <w:szCs w:val="20"/>
        </w:rPr>
        <w:t>mber 31, 2020.</w:t>
      </w:r>
    </w:p>
    <w:p w:rsidR="00000000" w:rsidRDefault="00E0782F">
      <w:pPr>
        <w:divId w:val="587617164"/>
        <w:rPr>
          <w:rFonts w:eastAsia="Times New Roman"/>
        </w:rPr>
      </w:pPr>
      <w:r>
        <w:rPr>
          <w:rFonts w:eastAsia="Times New Roman"/>
          <w:b/>
          <w:bCs/>
          <w:color w:val="000000"/>
          <w:sz w:val="18"/>
          <w:szCs w:val="18"/>
        </w:rPr>
        <w:t>Table 17: Loan Maturity Schedule</w:t>
      </w:r>
    </w:p>
    <w:tbl>
      <w:tblPr>
        <w:tblW w:w="4992" w:type="pct"/>
        <w:tblCellMar>
          <w:top w:w="15" w:type="dxa"/>
          <w:left w:w="15" w:type="dxa"/>
          <w:bottom w:w="15" w:type="dxa"/>
          <w:right w:w="15" w:type="dxa"/>
        </w:tblCellMar>
        <w:tblLook w:val="04A0" w:firstRow="1" w:lastRow="0" w:firstColumn="1" w:lastColumn="0" w:noHBand="0" w:noVBand="1"/>
      </w:tblPr>
      <w:tblGrid>
        <w:gridCol w:w="39"/>
        <w:gridCol w:w="4690"/>
        <w:gridCol w:w="38"/>
        <w:gridCol w:w="36"/>
        <w:gridCol w:w="36"/>
        <w:gridCol w:w="36"/>
        <w:gridCol w:w="110"/>
        <w:gridCol w:w="630"/>
        <w:gridCol w:w="36"/>
        <w:gridCol w:w="36"/>
        <w:gridCol w:w="36"/>
        <w:gridCol w:w="36"/>
        <w:gridCol w:w="111"/>
        <w:gridCol w:w="642"/>
        <w:gridCol w:w="36"/>
        <w:gridCol w:w="36"/>
        <w:gridCol w:w="36"/>
        <w:gridCol w:w="36"/>
        <w:gridCol w:w="111"/>
        <w:gridCol w:w="606"/>
        <w:gridCol w:w="36"/>
        <w:gridCol w:w="36"/>
        <w:gridCol w:w="36"/>
        <w:gridCol w:w="36"/>
        <w:gridCol w:w="110"/>
        <w:gridCol w:w="630"/>
        <w:gridCol w:w="36"/>
      </w:tblGrid>
      <w:tr w:rsidR="00000000">
        <w:trPr>
          <w:divId w:val="69929850"/>
        </w:trPr>
        <w:tc>
          <w:tcPr>
            <w:tcW w:w="50" w:type="pct"/>
            <w:vAlign w:val="center"/>
            <w:hideMark/>
          </w:tcPr>
          <w:p w:rsidR="00000000" w:rsidRDefault="00E0782F">
            <w:pPr>
              <w:rPr>
                <w:rFonts w:eastAsia="Times New Roman"/>
              </w:rPr>
            </w:pPr>
          </w:p>
        </w:tc>
        <w:tc>
          <w:tcPr>
            <w:tcW w:w="304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992985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6992985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Due Up to</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&gt; 1 Year</w:t>
            </w:r>
            <w:r>
              <w:rPr>
                <w:rFonts w:eastAsia="Times New Roman"/>
                <w:b/>
                <w:bCs/>
                <w:color w:val="000000"/>
                <w:sz w:val="16"/>
                <w:szCs w:val="16"/>
              </w:rPr>
              <w:br/>
              <w:t>to 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&gt; 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6992985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Fixed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9929850"/>
        </w:trPr>
        <w:tc>
          <w:tcPr>
            <w:tcW w:w="0" w:type="auto"/>
            <w:gridSpan w:val="3"/>
            <w:shd w:val="clear" w:color="auto" w:fill="FFFFFF"/>
            <w:tcMar>
              <w:top w:w="30" w:type="dxa"/>
              <w:left w:w="20" w:type="dxa"/>
              <w:bottom w:w="30" w:type="dxa"/>
              <w:right w:w="20" w:type="dxa"/>
            </w:tcMar>
            <w:vAlign w:val="center"/>
            <w:hideMark/>
          </w:tcPr>
          <w:p w:rsidR="00000000" w:rsidRDefault="00E0782F">
            <w:pPr>
              <w:divId w:val="1303927434"/>
              <w:rPr>
                <w:rFonts w:eastAsia="Times New Roman"/>
              </w:rPr>
            </w:pPr>
            <w:r>
              <w:rPr>
                <w:rFonts w:eastAsia="Times New Roman"/>
                <w:color w:val="000000"/>
                <w:sz w:val="18"/>
                <w:szCs w:val="18"/>
              </w:rPr>
              <w:t>Credit car</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11,294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11,940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40,176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27,263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68,150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15,228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992985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fixed-rate loans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2,727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56,884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35,707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95,318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Variable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9929850"/>
        </w:trPr>
        <w:tc>
          <w:tcPr>
            <w:tcW w:w="0" w:type="auto"/>
            <w:gridSpan w:val="3"/>
            <w:shd w:val="clear" w:color="auto" w:fill="CCEEFF"/>
            <w:tcMar>
              <w:top w:w="30" w:type="dxa"/>
              <w:left w:w="20" w:type="dxa"/>
              <w:bottom w:w="30" w:type="dxa"/>
              <w:right w:w="20" w:type="dxa"/>
            </w:tcMar>
            <w:vAlign w:val="center"/>
            <w:hideMark/>
          </w:tcPr>
          <w:p w:rsidR="00000000" w:rsidRDefault="00E0782F">
            <w:pPr>
              <w:divId w:val="1958177439"/>
              <w:rPr>
                <w:rFonts w:eastAsia="Times New Roman"/>
              </w:rPr>
            </w:pPr>
            <w:r>
              <w:rPr>
                <w:rFonts w:eastAsia="Times New Roman"/>
                <w:color w:val="000000"/>
                <w:sz w:val="18"/>
                <w:szCs w:val="18"/>
              </w:rPr>
              <w:t>Credit car</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95,015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95,016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14,006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38,299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60,552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992985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variable-rate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109,732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38,322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156,306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92985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loans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112,459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95,206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43,959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442728044"/>
        <w:rPr>
          <w:rFonts w:eastAsia="Times New Roman"/>
        </w:rPr>
      </w:pPr>
      <w:r>
        <w:rPr>
          <w:rFonts w:eastAsia="Times New Roman"/>
          <w:color w:val="000000"/>
          <w:sz w:val="20"/>
          <w:szCs w:val="20"/>
        </w:rPr>
        <w:t>__________</w:t>
      </w:r>
    </w:p>
    <w:p w:rsidR="00000000" w:rsidRDefault="00E0782F">
      <w:pPr>
        <w:ind w:hanging="360"/>
        <w:jc w:val="both"/>
        <w:divId w:val="173280140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Due</w:t>
      </w:r>
      <w:r>
        <w:rPr>
          <w:rFonts w:eastAsia="Times New Roman"/>
          <w:color w:val="000000"/>
          <w:sz w:val="16"/>
          <w:szCs w:val="16"/>
        </w:rPr>
        <w:t xml:space="preserve"> to the revolving nature of credit card loans, we report the majority of our variable-rate credit card loans as due in one year or less. We report fixed-rate credit card loans with introductory rates that expire after a certain period of time as due in one</w:t>
      </w:r>
      <w:r>
        <w:rPr>
          <w:rFonts w:eastAsia="Times New Roman"/>
          <w:color w:val="000000"/>
          <w:sz w:val="16"/>
          <w:szCs w:val="16"/>
        </w:rPr>
        <w:t xml:space="preserve"> year or less. We assume that the rest of our remaining fixed-rate credit card loans will mature within one to three years.</w:t>
      </w:r>
    </w:p>
    <w:p w:rsidR="00000000" w:rsidRDefault="00E0782F">
      <w:pPr>
        <w:divId w:val="1800143104"/>
        <w:rPr>
          <w:rFonts w:eastAsia="Times New Roman"/>
        </w:rPr>
      </w:pPr>
      <w:r>
        <w:rPr>
          <w:rFonts w:eastAsia="Times New Roman"/>
          <w:b/>
          <w:bCs/>
          <w:color w:val="000000"/>
          <w:sz w:val="20"/>
          <w:szCs w:val="20"/>
        </w:rPr>
        <w:t>Geographic Composition</w:t>
      </w:r>
    </w:p>
    <w:p w:rsidR="00000000" w:rsidRDefault="00E0782F">
      <w:pPr>
        <w:jc w:val="both"/>
        <w:divId w:val="1670325415"/>
        <w:rPr>
          <w:rFonts w:eastAsia="Times New Roman"/>
        </w:rPr>
      </w:pPr>
      <w:r>
        <w:rPr>
          <w:rFonts w:eastAsia="Times New Roman"/>
          <w:color w:val="000000"/>
          <w:sz w:val="20"/>
          <w:szCs w:val="20"/>
        </w:rPr>
        <w:t>We market our credit card products throughout the United States, Canada and the United Kingdom. Our credit ca</w:t>
      </w:r>
      <w:r>
        <w:rPr>
          <w:rFonts w:eastAsia="Times New Roman"/>
          <w:color w:val="000000"/>
          <w:sz w:val="20"/>
          <w:szCs w:val="20"/>
        </w:rPr>
        <w:t>rd loan portfolio is geographically diversified due to our product and marketing approach. The table below presents the geographic profile of our credit card loan portfolio as of December 31, 2020 and 2019.</w:t>
      </w:r>
    </w:p>
    <w:p w:rsidR="00000000" w:rsidRDefault="00E0782F">
      <w:pPr>
        <w:divId w:val="602154483"/>
        <w:rPr>
          <w:rFonts w:eastAsia="Times New Roman"/>
        </w:rPr>
      </w:pPr>
      <w:r>
        <w:rPr>
          <w:rFonts w:eastAsia="Times New Roman"/>
          <w:b/>
          <w:bCs/>
          <w:color w:val="000000"/>
          <w:sz w:val="18"/>
          <w:szCs w:val="18"/>
        </w:rPr>
        <w:t>Table 18: Credit Card Portfolio by Geographic Reg</w:t>
      </w:r>
      <w:r>
        <w:rPr>
          <w:rFonts w:eastAsia="Times New Roman"/>
          <w:b/>
          <w:bCs/>
          <w:color w:val="000000"/>
          <w:sz w:val="18"/>
          <w:szCs w:val="18"/>
        </w:rPr>
        <w:t xml:space="preserve">ion </w:t>
      </w:r>
    </w:p>
    <w:tbl>
      <w:tblPr>
        <w:tblW w:w="4992" w:type="pct"/>
        <w:tblCellMar>
          <w:top w:w="15" w:type="dxa"/>
          <w:left w:w="15" w:type="dxa"/>
          <w:bottom w:w="15" w:type="dxa"/>
          <w:right w:w="15" w:type="dxa"/>
        </w:tblCellMar>
        <w:tblLook w:val="04A0" w:firstRow="1" w:lastRow="0" w:firstColumn="1" w:lastColumn="0" w:noHBand="0" w:noVBand="1"/>
      </w:tblPr>
      <w:tblGrid>
        <w:gridCol w:w="41"/>
        <w:gridCol w:w="4777"/>
        <w:gridCol w:w="39"/>
        <w:gridCol w:w="36"/>
        <w:gridCol w:w="36"/>
        <w:gridCol w:w="36"/>
        <w:gridCol w:w="110"/>
        <w:gridCol w:w="630"/>
        <w:gridCol w:w="36"/>
        <w:gridCol w:w="36"/>
        <w:gridCol w:w="36"/>
        <w:gridCol w:w="36"/>
        <w:gridCol w:w="51"/>
        <w:gridCol w:w="489"/>
        <w:gridCol w:w="200"/>
        <w:gridCol w:w="36"/>
        <w:gridCol w:w="36"/>
        <w:gridCol w:w="36"/>
        <w:gridCol w:w="110"/>
        <w:gridCol w:w="630"/>
        <w:gridCol w:w="36"/>
        <w:gridCol w:w="36"/>
        <w:gridCol w:w="36"/>
        <w:gridCol w:w="36"/>
        <w:gridCol w:w="51"/>
        <w:gridCol w:w="491"/>
        <w:gridCol w:w="170"/>
      </w:tblGrid>
      <w:tr w:rsidR="00000000">
        <w:trPr>
          <w:divId w:val="1061371633"/>
        </w:trPr>
        <w:tc>
          <w:tcPr>
            <w:tcW w:w="50" w:type="pct"/>
            <w:vAlign w:val="center"/>
            <w:hideMark/>
          </w:tcPr>
          <w:p w:rsidR="00000000" w:rsidRDefault="00E0782F">
            <w:pPr>
              <w:rPr>
                <w:rFonts w:eastAsia="Times New Roman"/>
              </w:rPr>
            </w:pPr>
          </w:p>
        </w:tc>
        <w:tc>
          <w:tcPr>
            <w:tcW w:w="292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61371633"/>
        </w:trPr>
        <w:tc>
          <w:tcPr>
            <w:tcW w:w="0" w:type="auto"/>
            <w:gridSpan w:val="3"/>
            <w:tcMar>
              <w:top w:w="0" w:type="dxa"/>
              <w:left w:w="245"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06137163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r>
      <w:tr w:rsidR="00000000">
        <w:trPr>
          <w:divId w:val="10613716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Domestic 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137163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California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9,943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12,538 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06137163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6,910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7,941 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Pennsylvania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Illinois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3,915 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Georgia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Michigan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46,047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54,840 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98,504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118,606 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137163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Canada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United Kingdom</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8,452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137163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1" style="width:0;height:1.5pt" o:hralign="center" o:hrstd="t" o:hr="t" fillcolor="#a0a0a0" stroked="f"/>
        </w:pict>
      </w:r>
    </w:p>
    <w:p w:rsidR="00000000" w:rsidRDefault="00E0782F">
      <w:pPr>
        <w:ind w:hanging="360"/>
        <w:jc w:val="both"/>
        <w:divId w:val="186825724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247354057"/>
        <w:rPr>
          <w:rFonts w:eastAsia="Times New Roman"/>
        </w:rPr>
      </w:pPr>
      <w:r>
        <w:rPr>
          <w:rFonts w:eastAsia="Times New Roman"/>
          <w:color w:val="000000"/>
          <w:sz w:val="20"/>
          <w:szCs w:val="20"/>
        </w:rPr>
        <w:t xml:space="preserve">Our auto loan portfolio is geographically diversified in the United States due to our </w:t>
      </w:r>
      <w:r>
        <w:rPr>
          <w:rFonts w:eastAsia="Times New Roman"/>
          <w:color w:val="000000"/>
          <w:sz w:val="20"/>
          <w:szCs w:val="20"/>
        </w:rPr>
        <w:t>product and marketing approach. Retail banking includes small business loans and other consumer lending products originated through our branch network. The table below presents the geographic profile of our auto loan and retail banking portfolios as of Dec</w:t>
      </w:r>
      <w:r>
        <w:rPr>
          <w:rFonts w:eastAsia="Times New Roman"/>
          <w:color w:val="000000"/>
          <w:sz w:val="20"/>
          <w:szCs w:val="20"/>
        </w:rPr>
        <w:t>ember 31, 2020 and 2019.</w:t>
      </w:r>
    </w:p>
    <w:p w:rsidR="00000000" w:rsidRDefault="00E0782F">
      <w:pPr>
        <w:divId w:val="172769943"/>
        <w:rPr>
          <w:rFonts w:eastAsia="Times New Roman"/>
        </w:rPr>
      </w:pPr>
      <w:r>
        <w:rPr>
          <w:rFonts w:eastAsia="Times New Roman"/>
          <w:b/>
          <w:bCs/>
          <w:color w:val="000000"/>
          <w:sz w:val="18"/>
          <w:szCs w:val="18"/>
        </w:rPr>
        <w:t xml:space="preserve">Table 19: Consumer Banking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40"/>
        <w:gridCol w:w="4789"/>
        <w:gridCol w:w="39"/>
        <w:gridCol w:w="36"/>
        <w:gridCol w:w="36"/>
        <w:gridCol w:w="36"/>
        <w:gridCol w:w="110"/>
        <w:gridCol w:w="561"/>
        <w:gridCol w:w="36"/>
        <w:gridCol w:w="36"/>
        <w:gridCol w:w="36"/>
        <w:gridCol w:w="36"/>
        <w:gridCol w:w="51"/>
        <w:gridCol w:w="547"/>
        <w:gridCol w:w="200"/>
        <w:gridCol w:w="36"/>
        <w:gridCol w:w="36"/>
        <w:gridCol w:w="36"/>
        <w:gridCol w:w="110"/>
        <w:gridCol w:w="574"/>
        <w:gridCol w:w="36"/>
        <w:gridCol w:w="36"/>
        <w:gridCol w:w="36"/>
        <w:gridCol w:w="36"/>
        <w:gridCol w:w="51"/>
        <w:gridCol w:w="547"/>
        <w:gridCol w:w="170"/>
      </w:tblGrid>
      <w:tr w:rsidR="00000000">
        <w:trPr>
          <w:divId w:val="102263234"/>
        </w:trPr>
        <w:tc>
          <w:tcPr>
            <w:tcW w:w="50" w:type="pct"/>
            <w:vAlign w:val="center"/>
            <w:hideMark/>
          </w:tcPr>
          <w:p w:rsidR="00000000" w:rsidRDefault="00E0782F">
            <w:pPr>
              <w:rPr>
                <w:rFonts w:eastAsia="Times New Roman"/>
              </w:rPr>
            </w:pPr>
          </w:p>
        </w:tc>
        <w:tc>
          <w:tcPr>
            <w:tcW w:w="293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226323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0226323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r>
      <w:tr w:rsidR="00000000">
        <w:trPr>
          <w:divId w:val="10226323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Auto: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Texas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California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Florida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Georgia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2,989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2,757 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Ohio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Pennsylvania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Illinois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North Carolina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31,399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28,714 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65,762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New York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Louisiana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Texas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Maryland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New Jersey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Virginia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retail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226323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63,065 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jc w:val="both"/>
        <w:divId w:val="1572695617"/>
        <w:rPr>
          <w:rFonts w:eastAsia="Times New Roman"/>
        </w:rPr>
      </w:pPr>
      <w:r>
        <w:rPr>
          <w:rFonts w:eastAsia="Times New Roman"/>
          <w:color w:val="000000"/>
          <w:sz w:val="20"/>
          <w:szCs w:val="20"/>
        </w:rPr>
        <w:t>We originate commercial loans in most regions of the United States.</w:t>
      </w:r>
      <w:r>
        <w:rPr>
          <w:rFonts w:eastAsia="Times New Roman"/>
          <w:color w:val="000000"/>
          <w:sz w:val="20"/>
          <w:szCs w:val="20"/>
        </w:rPr>
        <w:t xml:space="preserve"> The table below presents the geographic profile of our commercial loan portfolio by segment as of December 31, 2020 and 2019.</w:t>
      </w:r>
    </w:p>
    <w:p w:rsidR="00000000" w:rsidRDefault="00E0782F">
      <w:pPr>
        <w:divId w:val="1404912388"/>
        <w:rPr>
          <w:rFonts w:eastAsia="Times New Roman"/>
        </w:rPr>
      </w:pPr>
      <w:r>
        <w:rPr>
          <w:rFonts w:eastAsia="Times New Roman"/>
          <w:b/>
          <w:bCs/>
          <w:color w:val="000000"/>
          <w:sz w:val="18"/>
          <w:szCs w:val="18"/>
        </w:rPr>
        <w:t xml:space="preserve">Table 20: Commercial Banking Portfolio by Geographic Region </w:t>
      </w:r>
    </w:p>
    <w:tbl>
      <w:tblPr>
        <w:tblW w:w="4992" w:type="pct"/>
        <w:tblCellMar>
          <w:top w:w="15" w:type="dxa"/>
          <w:left w:w="15" w:type="dxa"/>
          <w:bottom w:w="15" w:type="dxa"/>
          <w:right w:w="15" w:type="dxa"/>
        </w:tblCellMar>
        <w:tblLook w:val="04A0" w:firstRow="1" w:lastRow="0" w:firstColumn="1" w:lastColumn="0" w:noHBand="0" w:noVBand="1"/>
      </w:tblPr>
      <w:tblGrid>
        <w:gridCol w:w="94"/>
        <w:gridCol w:w="2142"/>
        <w:gridCol w:w="36"/>
        <w:gridCol w:w="36"/>
        <w:gridCol w:w="36"/>
        <w:gridCol w:w="36"/>
        <w:gridCol w:w="111"/>
        <w:gridCol w:w="809"/>
        <w:gridCol w:w="36"/>
        <w:gridCol w:w="36"/>
        <w:gridCol w:w="36"/>
        <w:gridCol w:w="36"/>
        <w:gridCol w:w="43"/>
        <w:gridCol w:w="520"/>
        <w:gridCol w:w="200"/>
        <w:gridCol w:w="36"/>
        <w:gridCol w:w="36"/>
        <w:gridCol w:w="36"/>
        <w:gridCol w:w="111"/>
        <w:gridCol w:w="809"/>
        <w:gridCol w:w="36"/>
        <w:gridCol w:w="36"/>
        <w:gridCol w:w="36"/>
        <w:gridCol w:w="36"/>
        <w:gridCol w:w="43"/>
        <w:gridCol w:w="520"/>
        <w:gridCol w:w="200"/>
        <w:gridCol w:w="36"/>
        <w:gridCol w:w="36"/>
        <w:gridCol w:w="36"/>
        <w:gridCol w:w="36"/>
        <w:gridCol w:w="36"/>
        <w:gridCol w:w="36"/>
        <w:gridCol w:w="36"/>
        <w:gridCol w:w="36"/>
        <w:gridCol w:w="36"/>
        <w:gridCol w:w="111"/>
        <w:gridCol w:w="809"/>
        <w:gridCol w:w="36"/>
        <w:gridCol w:w="36"/>
        <w:gridCol w:w="36"/>
        <w:gridCol w:w="36"/>
        <w:gridCol w:w="43"/>
        <w:gridCol w:w="520"/>
        <w:gridCol w:w="200"/>
      </w:tblGrid>
      <w:tr w:rsidR="00000000">
        <w:trPr>
          <w:divId w:val="754060609"/>
        </w:trPr>
        <w:tc>
          <w:tcPr>
            <w:tcW w:w="50" w:type="pct"/>
            <w:vAlign w:val="center"/>
            <w:hideMark/>
          </w:tcPr>
          <w:p w:rsidR="00000000" w:rsidRDefault="00E0782F">
            <w:pPr>
              <w:rPr>
                <w:rFonts w:eastAsia="Times New Roman"/>
              </w:rPr>
            </w:pPr>
          </w:p>
        </w:tc>
        <w:tc>
          <w:tcPr>
            <w:tcW w:w="11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5406060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75406060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Multifamily</w:t>
            </w:r>
            <w:r>
              <w:rPr>
                <w:rFonts w:eastAsia="Times New Roman"/>
                <w:b/>
                <w:bCs/>
                <w:color w:val="000000"/>
                <w:sz w:val="16"/>
                <w:szCs w:val="16"/>
              </w:rPr>
              <w:br/>
              <w:t>Real Estate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Industrial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Commercial</w:t>
            </w:r>
            <w:r>
              <w:rPr>
                <w:rFonts w:eastAsia="Times New Roman"/>
                <w:b/>
                <w:bCs/>
                <w:color w:val="000000"/>
                <w:sz w:val="16"/>
                <w:szCs w:val="16"/>
              </w:rPr>
              <w:br/>
              <w:t>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w:t>
            </w:r>
            <w:r>
              <w:rPr>
                <w:rFonts w:eastAsia="Times New Roman"/>
                <w:b/>
                <w:bCs/>
                <w:color w:val="000000"/>
                <w:sz w:val="16"/>
                <w:szCs w:val="16"/>
              </w:rPr>
              <w:t>l</w:t>
            </w:r>
            <w:r>
              <w:rPr>
                <w:rFonts w:eastAsia="Times New Roman"/>
                <w:b/>
                <w:bCs/>
                <w:color w:val="000000"/>
                <w:sz w:val="10"/>
                <w:szCs w:val="10"/>
              </w:rPr>
              <w:t> </w:t>
            </w:r>
          </w:p>
        </w:tc>
      </w:tr>
      <w:tr w:rsidR="00000000">
        <w:trPr>
          <w:divId w:val="7540606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87892309"/>
              <w:rPr>
                <w:rFonts w:eastAsia="Times New Roman"/>
              </w:rPr>
            </w:pPr>
            <w:r>
              <w:rPr>
                <w:rFonts w:eastAsia="Times New Roman"/>
                <w:b/>
                <w:bCs/>
                <w:color w:val="000000"/>
                <w:sz w:val="18"/>
                <w:szCs w:val="18"/>
              </w:rPr>
              <w:t>Geographic concentration</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5406060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Northeast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17,306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8,995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26,301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r>
      <w:tr w:rsidR="00000000">
        <w:trPr>
          <w:divId w:val="75406060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Mid-Atlantic</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406060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South</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14,974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406060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14,902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21,137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406060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2" style="width:0;height:1.5pt" o:hralign="center" o:hrstd="t" o:hr="t" fillcolor="#a0a0a0" stroked="f"/>
        </w:pict>
      </w:r>
    </w:p>
    <w:p w:rsidR="00000000" w:rsidRDefault="00E0782F">
      <w:pPr>
        <w:ind w:hanging="360"/>
        <w:jc w:val="both"/>
        <w:divId w:val="1443719690"/>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94"/>
        <w:gridCol w:w="2142"/>
        <w:gridCol w:w="36"/>
        <w:gridCol w:w="36"/>
        <w:gridCol w:w="36"/>
        <w:gridCol w:w="36"/>
        <w:gridCol w:w="111"/>
        <w:gridCol w:w="809"/>
        <w:gridCol w:w="36"/>
        <w:gridCol w:w="36"/>
        <w:gridCol w:w="36"/>
        <w:gridCol w:w="36"/>
        <w:gridCol w:w="43"/>
        <w:gridCol w:w="550"/>
        <w:gridCol w:w="170"/>
        <w:gridCol w:w="36"/>
        <w:gridCol w:w="36"/>
        <w:gridCol w:w="36"/>
        <w:gridCol w:w="111"/>
        <w:gridCol w:w="809"/>
        <w:gridCol w:w="36"/>
        <w:gridCol w:w="36"/>
        <w:gridCol w:w="36"/>
        <w:gridCol w:w="36"/>
        <w:gridCol w:w="43"/>
        <w:gridCol w:w="550"/>
        <w:gridCol w:w="170"/>
        <w:gridCol w:w="36"/>
        <w:gridCol w:w="36"/>
        <w:gridCol w:w="36"/>
        <w:gridCol w:w="36"/>
        <w:gridCol w:w="36"/>
        <w:gridCol w:w="36"/>
        <w:gridCol w:w="36"/>
        <w:gridCol w:w="36"/>
        <w:gridCol w:w="36"/>
        <w:gridCol w:w="111"/>
        <w:gridCol w:w="809"/>
        <w:gridCol w:w="36"/>
        <w:gridCol w:w="36"/>
        <w:gridCol w:w="36"/>
        <w:gridCol w:w="36"/>
        <w:gridCol w:w="43"/>
        <w:gridCol w:w="550"/>
        <w:gridCol w:w="170"/>
      </w:tblGrid>
      <w:tr w:rsidR="00000000">
        <w:trPr>
          <w:divId w:val="1350721684"/>
        </w:trPr>
        <w:tc>
          <w:tcPr>
            <w:tcW w:w="50" w:type="pct"/>
            <w:vAlign w:val="center"/>
            <w:hideMark/>
          </w:tcPr>
          <w:p w:rsidR="00000000" w:rsidRDefault="00E0782F">
            <w:pPr>
              <w:ind w:hanging="360"/>
              <w:jc w:val="both"/>
              <w:rPr>
                <w:rFonts w:eastAsia="Times New Roman"/>
              </w:rPr>
            </w:pPr>
          </w:p>
        </w:tc>
        <w:tc>
          <w:tcPr>
            <w:tcW w:w="11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35072168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35072168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Multifamily</w:t>
            </w:r>
            <w:r>
              <w:rPr>
                <w:rFonts w:eastAsia="Times New Roman"/>
                <w:b/>
                <w:bCs/>
                <w:color w:val="000000"/>
                <w:sz w:val="16"/>
                <w:szCs w:val="16"/>
              </w:rPr>
              <w:br/>
              <w:t>Real Estate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and</w:t>
            </w:r>
            <w:r>
              <w:rPr>
                <w:rFonts w:eastAsia="Times New Roman"/>
                <w:b/>
                <w:bCs/>
                <w:color w:val="000000"/>
                <w:sz w:val="16"/>
                <w:szCs w:val="16"/>
              </w:rPr>
              <w:br/>
              <w:t>Industrial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Commercial</w:t>
            </w:r>
            <w:r>
              <w:rPr>
                <w:rFonts w:eastAsia="Times New Roman"/>
                <w:b/>
                <w:bCs/>
                <w:color w:val="000000"/>
                <w:sz w:val="16"/>
                <w:szCs w:val="16"/>
              </w:rPr>
              <w:br/>
              <w:t>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Tota</w:t>
            </w:r>
            <w:r>
              <w:rPr>
                <w:rFonts w:eastAsia="Times New Roman"/>
                <w:b/>
                <w:bCs/>
                <w:color w:val="000000"/>
                <w:sz w:val="16"/>
                <w:szCs w:val="16"/>
              </w:rPr>
              <w:t>l</w:t>
            </w:r>
            <w:r>
              <w:rPr>
                <w:rFonts w:eastAsia="Times New Roman"/>
                <w:b/>
                <w:bCs/>
                <w:color w:val="000000"/>
                <w:sz w:val="10"/>
                <w:szCs w:val="10"/>
              </w:rPr>
              <w:t> </w:t>
            </w:r>
          </w:p>
        </w:tc>
      </w:tr>
      <w:tr w:rsidR="00000000">
        <w:trPr>
          <w:divId w:val="13507216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46881770"/>
              <w:rPr>
                <w:rFonts w:eastAsia="Times New Roman"/>
              </w:rPr>
            </w:pPr>
            <w:r>
              <w:rPr>
                <w:rFonts w:eastAsia="Times New Roman"/>
                <w:b/>
                <w:bCs/>
                <w:color w:val="000000"/>
                <w:sz w:val="18"/>
                <w:szCs w:val="18"/>
              </w:rPr>
              <w:t>Geographic concentration</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3507216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Northeast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17,139 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7,899 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25,038 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3507216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Mid-Atlantic</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5,927 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507216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South</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4,087 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16,403 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20,490 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507216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14,034 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20,029 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35072168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1000962958"/>
        <w:rPr>
          <w:rFonts w:eastAsia="Times New Roman"/>
        </w:rPr>
      </w:pPr>
      <w:r>
        <w:rPr>
          <w:rFonts w:eastAsia="Times New Roman"/>
          <w:color w:val="000000"/>
          <w:sz w:val="20"/>
          <w:szCs w:val="20"/>
        </w:rPr>
        <w:t>__________</w:t>
      </w:r>
    </w:p>
    <w:p w:rsidR="00000000" w:rsidRDefault="00E0782F">
      <w:pPr>
        <w:ind w:hanging="360"/>
        <w:jc w:val="both"/>
        <w:divId w:val="41289571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Geographic concentration is generally determined by the location of the borrower’s business or the location of the c</w:t>
      </w:r>
      <w:r>
        <w:rPr>
          <w:rFonts w:eastAsia="Times New Roman"/>
          <w:color w:val="000000"/>
          <w:sz w:val="16"/>
          <w:szCs w:val="16"/>
        </w:rPr>
        <w:t>ollateral associated with the loan. Northeast consists of CT, MA, ME, NH, NJ, NY, PA and VT. Mid-Atlantic consists of DC, DE, MD, VA and WV. South consists of AL, AR, FL, GA, KY, LA, MO, MS, NC, SC, TN and TX.</w:t>
      </w:r>
    </w:p>
    <w:p w:rsidR="00000000" w:rsidRDefault="00E0782F">
      <w:pPr>
        <w:divId w:val="1425498674"/>
        <w:rPr>
          <w:rFonts w:eastAsia="Times New Roman"/>
        </w:rPr>
      </w:pPr>
      <w:r>
        <w:rPr>
          <w:rFonts w:eastAsia="Times New Roman"/>
          <w:b/>
          <w:bCs/>
          <w:color w:val="000000"/>
          <w:sz w:val="20"/>
          <w:szCs w:val="20"/>
        </w:rPr>
        <w:t>Commercial Loans by Industry</w:t>
      </w:r>
    </w:p>
    <w:p w:rsidR="00000000" w:rsidRDefault="00E0782F">
      <w:pPr>
        <w:jc w:val="both"/>
        <w:divId w:val="1305742628"/>
        <w:rPr>
          <w:rFonts w:eastAsia="Times New Roman"/>
        </w:rPr>
      </w:pPr>
      <w:r>
        <w:rPr>
          <w:rFonts w:eastAsia="Times New Roman"/>
          <w:color w:val="000000"/>
          <w:sz w:val="20"/>
          <w:szCs w:val="20"/>
        </w:rPr>
        <w:t>Table 21 summariz</w:t>
      </w:r>
      <w:r>
        <w:rPr>
          <w:rFonts w:eastAsia="Times New Roman"/>
          <w:color w:val="000000"/>
          <w:sz w:val="20"/>
          <w:szCs w:val="20"/>
        </w:rPr>
        <w:t xml:space="preserve">es our commercial loans held for investment portfolio by industry classification as of December 31, 2020 and 2019. Industry classifications below are based on our interpretation of the North American Industry Classification System codes as they pertain to </w:t>
      </w:r>
      <w:r>
        <w:rPr>
          <w:rFonts w:eastAsia="Times New Roman"/>
          <w:color w:val="000000"/>
          <w:sz w:val="20"/>
          <w:szCs w:val="20"/>
        </w:rPr>
        <w:t xml:space="preserve">each individual loan. </w:t>
      </w:r>
    </w:p>
    <w:p w:rsidR="00000000" w:rsidRDefault="00E0782F">
      <w:pPr>
        <w:divId w:val="597372030"/>
        <w:rPr>
          <w:rFonts w:eastAsia="Times New Roman"/>
        </w:rPr>
      </w:pPr>
      <w:r>
        <w:rPr>
          <w:rFonts w:eastAsia="Times New Roman"/>
          <w:b/>
          <w:bCs/>
          <w:color w:val="000000"/>
          <w:sz w:val="18"/>
          <w:szCs w:val="18"/>
        </w:rPr>
        <w:t>Table 21: Commercial Loans by Industry</w:t>
      </w:r>
    </w:p>
    <w:tbl>
      <w:tblPr>
        <w:tblW w:w="4992" w:type="pct"/>
        <w:tblCellMar>
          <w:top w:w="15" w:type="dxa"/>
          <w:left w:w="15" w:type="dxa"/>
          <w:bottom w:w="15" w:type="dxa"/>
          <w:right w:w="15" w:type="dxa"/>
        </w:tblCellMar>
        <w:tblLook w:val="04A0" w:firstRow="1" w:lastRow="0" w:firstColumn="1" w:lastColumn="0" w:noHBand="0" w:noVBand="1"/>
      </w:tblPr>
      <w:tblGrid>
        <w:gridCol w:w="39"/>
        <w:gridCol w:w="6060"/>
        <w:gridCol w:w="38"/>
        <w:gridCol w:w="36"/>
        <w:gridCol w:w="36"/>
        <w:gridCol w:w="36"/>
        <w:gridCol w:w="63"/>
        <w:gridCol w:w="721"/>
        <w:gridCol w:w="200"/>
        <w:gridCol w:w="36"/>
        <w:gridCol w:w="36"/>
        <w:gridCol w:w="36"/>
        <w:gridCol w:w="63"/>
        <w:gridCol w:w="723"/>
        <w:gridCol w:w="170"/>
      </w:tblGrid>
      <w:tr w:rsidR="00000000">
        <w:trPr>
          <w:divId w:val="971062296"/>
        </w:trPr>
        <w:tc>
          <w:tcPr>
            <w:tcW w:w="50" w:type="pct"/>
            <w:vAlign w:val="center"/>
            <w:hideMark/>
          </w:tcPr>
          <w:p w:rsidR="00000000" w:rsidRDefault="00E0782F">
            <w:pPr>
              <w:rPr>
                <w:rFonts w:eastAsia="Times New Roman"/>
              </w:rPr>
            </w:pPr>
          </w:p>
        </w:tc>
        <w:tc>
          <w:tcPr>
            <w:tcW w:w="370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7106229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9710622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9710622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Finance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Healthcare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Business services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Educational services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Public administration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Oil and gas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trade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Construction and land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710622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3" style="width:0;height:1.5pt" o:hralign="center" o:hrstd="t" o:hr="t" fillcolor="#a0a0a0" stroked="f"/>
        </w:pict>
      </w:r>
    </w:p>
    <w:p w:rsidR="00000000" w:rsidRDefault="00E0782F">
      <w:pPr>
        <w:ind w:hanging="360"/>
        <w:jc w:val="both"/>
        <w:divId w:val="114211736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979916965"/>
        <w:rPr>
          <w:rFonts w:eastAsia="Times New Roman"/>
        </w:rPr>
      </w:pPr>
      <w:r>
        <w:rPr>
          <w:rFonts w:eastAsia="Times New Roman"/>
          <w:b/>
          <w:bCs/>
          <w:color w:val="000000"/>
          <w:sz w:val="20"/>
          <w:szCs w:val="20"/>
        </w:rPr>
        <w:t>Credit Risk Measurement</w:t>
      </w:r>
    </w:p>
    <w:p w:rsidR="00000000" w:rsidRDefault="00E0782F">
      <w:pPr>
        <w:jc w:val="both"/>
        <w:divId w:val="842016682"/>
        <w:rPr>
          <w:rFonts w:eastAsia="Times New Roman"/>
        </w:rPr>
      </w:pPr>
      <w:r>
        <w:rPr>
          <w:rFonts w:eastAsia="Times New Roman"/>
          <w:color w:val="000000"/>
          <w:sz w:val="20"/>
          <w:szCs w:val="20"/>
        </w:rPr>
        <w:t>We closely monitor economic conditions and loan performance tr</w:t>
      </w:r>
      <w:r>
        <w:rPr>
          <w:rFonts w:eastAsia="Times New Roman"/>
          <w:color w:val="000000"/>
          <w:sz w:val="20"/>
          <w:szCs w:val="20"/>
        </w:rPr>
        <w:t>ends to assess and manage our exposure to credit risk. Trends in delinquency rates are the key credit quality indicator for our credit card and retail banking loan portfolios as changes in delinquency rates can provide an early warning of changes in potent</w:t>
      </w:r>
      <w:r>
        <w:rPr>
          <w:rFonts w:eastAsia="Times New Roman"/>
          <w:color w:val="000000"/>
          <w:sz w:val="20"/>
          <w:szCs w:val="20"/>
        </w:rPr>
        <w:t>ial future credit losses. The key indicator we monitor when assessing the credit quality and risk of our auto loan portfolio is borrower credit scores as they provide insight into borrower risk profiles, which give indications of potential future credit lo</w:t>
      </w:r>
      <w:r>
        <w:rPr>
          <w:rFonts w:eastAsia="Times New Roman"/>
          <w:color w:val="000000"/>
          <w:sz w:val="20"/>
          <w:szCs w:val="20"/>
        </w:rPr>
        <w:t>sses. The key credit quality indicator for our commercial loan portfolios is our internal risk ratings as we generally classify loans that have been delinquent for an extended period of time and other loans with significant risk of loss as nonperforming. I</w:t>
      </w:r>
      <w:r>
        <w:rPr>
          <w:rFonts w:eastAsia="Times New Roman"/>
          <w:color w:val="000000"/>
          <w:sz w:val="20"/>
          <w:szCs w:val="20"/>
        </w:rPr>
        <w:t xml:space="preserve">n addition to these credit quality indicators, we also manage and monitor other credit quality metrics such as level of nonperforming loans and net charge-off rates. </w:t>
      </w:r>
    </w:p>
    <w:p w:rsidR="00000000" w:rsidRDefault="00E0782F">
      <w:pPr>
        <w:jc w:val="both"/>
        <w:divId w:val="1093820721"/>
        <w:rPr>
          <w:rFonts w:eastAsia="Times New Roman"/>
        </w:rPr>
      </w:pPr>
      <w:r>
        <w:rPr>
          <w:rFonts w:eastAsia="Times New Roman"/>
          <w:color w:val="000000"/>
          <w:sz w:val="20"/>
          <w:szCs w:val="20"/>
        </w:rPr>
        <w:t>We underwrite most consumer loans using proprietary models, which typically include credi</w:t>
      </w:r>
      <w:r>
        <w:rPr>
          <w:rFonts w:eastAsia="Times New Roman"/>
          <w:color w:val="000000"/>
          <w:sz w:val="20"/>
          <w:szCs w:val="20"/>
        </w:rPr>
        <w:t>t bureau data, such as borrower credit scores, application information and, where applicable, collateral and deal structure data. We continuously adjust our management of credit lines and collection strategies based on customer behavior and risk profile ch</w:t>
      </w:r>
      <w:r>
        <w:rPr>
          <w:rFonts w:eastAsia="Times New Roman"/>
          <w:color w:val="000000"/>
          <w:sz w:val="20"/>
          <w:szCs w:val="20"/>
        </w:rPr>
        <w:t>anges. We also use borrower credit scores for subprime classification, for competitive benchmarking and, in some cases, to drive product segmentation decisions. </w:t>
      </w:r>
    </w:p>
    <w:p w:rsidR="00000000" w:rsidRDefault="00E0782F">
      <w:pPr>
        <w:jc w:val="both"/>
        <w:divId w:val="932126825"/>
        <w:rPr>
          <w:rFonts w:eastAsia="Times New Roman"/>
        </w:rPr>
      </w:pPr>
      <w:r>
        <w:rPr>
          <w:rFonts w:eastAsia="Times New Roman"/>
          <w:color w:val="000000"/>
          <w:sz w:val="20"/>
          <w:szCs w:val="20"/>
        </w:rPr>
        <w:t>Table 22 provides details on the credit scores of our domestic credit card and auto loan portf</w:t>
      </w:r>
      <w:r>
        <w:rPr>
          <w:rFonts w:eastAsia="Times New Roman"/>
          <w:color w:val="000000"/>
          <w:sz w:val="20"/>
          <w:szCs w:val="20"/>
        </w:rPr>
        <w:t>olios as of December 31, 2020 and 2019.</w:t>
      </w:r>
    </w:p>
    <w:p w:rsidR="00000000" w:rsidRDefault="00E0782F">
      <w:pPr>
        <w:divId w:val="1964918715"/>
        <w:rPr>
          <w:rFonts w:eastAsia="Times New Roman"/>
        </w:rPr>
      </w:pPr>
      <w:r>
        <w:rPr>
          <w:rFonts w:eastAsia="Times New Roman"/>
          <w:b/>
          <w:bCs/>
          <w:color w:val="000000"/>
          <w:sz w:val="18"/>
          <w:szCs w:val="18"/>
        </w:rPr>
        <w:t>Table 22: Credit Score Distribution</w:t>
      </w:r>
    </w:p>
    <w:tbl>
      <w:tblPr>
        <w:tblW w:w="4992" w:type="pct"/>
        <w:tblCellMar>
          <w:top w:w="15" w:type="dxa"/>
          <w:left w:w="15" w:type="dxa"/>
          <w:bottom w:w="15" w:type="dxa"/>
          <w:right w:w="15" w:type="dxa"/>
        </w:tblCellMar>
        <w:tblLook w:val="04A0" w:firstRow="1" w:lastRow="0" w:firstColumn="1" w:lastColumn="0" w:noHBand="0" w:noVBand="1"/>
      </w:tblPr>
      <w:tblGrid>
        <w:gridCol w:w="38"/>
        <w:gridCol w:w="6106"/>
        <w:gridCol w:w="37"/>
        <w:gridCol w:w="36"/>
        <w:gridCol w:w="36"/>
        <w:gridCol w:w="36"/>
        <w:gridCol w:w="69"/>
        <w:gridCol w:w="658"/>
        <w:gridCol w:w="200"/>
        <w:gridCol w:w="36"/>
        <w:gridCol w:w="36"/>
        <w:gridCol w:w="36"/>
        <w:gridCol w:w="70"/>
        <w:gridCol w:w="657"/>
        <w:gridCol w:w="170"/>
        <w:gridCol w:w="36"/>
        <w:gridCol w:w="36"/>
      </w:tblGrid>
      <w:tr w:rsidR="00000000">
        <w:trPr>
          <w:divId w:val="39986796"/>
        </w:trPr>
        <w:tc>
          <w:tcPr>
            <w:tcW w:w="50" w:type="pct"/>
            <w:vAlign w:val="center"/>
            <w:hideMark/>
          </w:tcPr>
          <w:p w:rsidR="00000000" w:rsidRDefault="00E0782F">
            <w:pPr>
              <w:rPr>
                <w:rFonts w:eastAsia="Times New Roman"/>
              </w:rPr>
            </w:pPr>
          </w:p>
        </w:tc>
        <w:tc>
          <w:tcPr>
            <w:tcW w:w="38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(Percentage of portfolio)</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1539851643"/>
              <w:rPr>
                <w:rFonts w:eastAsia="Times New Roman"/>
              </w:rPr>
            </w:pPr>
            <w:r>
              <w:rPr>
                <w:rFonts w:eastAsia="Times New Roman"/>
                <w:b/>
                <w:bCs/>
                <w:color w:val="000000"/>
                <w:sz w:val="18"/>
                <w:szCs w:val="18"/>
              </w:rPr>
              <w:t>Domestic credit card—Refreshed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660 or below</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CCEEFF"/>
            <w:tcMar>
              <w:top w:w="30" w:type="dxa"/>
              <w:left w:w="20" w:type="dxa"/>
              <w:bottom w:w="30" w:type="dxa"/>
              <w:right w:w="20" w:type="dxa"/>
            </w:tcMar>
            <w:vAlign w:val="center"/>
            <w:hideMark/>
          </w:tcPr>
          <w:p w:rsidR="00000000" w:rsidRDefault="00E0782F">
            <w:pPr>
              <w:divId w:val="433674750"/>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621 - 660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399867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r>
    </w:tbl>
    <w:p w:rsidR="00000000" w:rsidRDefault="00E0782F">
      <w:pPr>
        <w:divId w:val="285628378"/>
        <w:rPr>
          <w:rFonts w:eastAsia="Times New Roman"/>
        </w:rPr>
      </w:pPr>
      <w:r>
        <w:rPr>
          <w:rFonts w:eastAsia="Times New Roman"/>
          <w:color w:val="000000"/>
          <w:sz w:val="20"/>
          <w:szCs w:val="20"/>
        </w:rPr>
        <w:t>__________</w:t>
      </w:r>
    </w:p>
    <w:p w:rsidR="00000000" w:rsidRDefault="00E0782F">
      <w:pPr>
        <w:ind w:hanging="360"/>
        <w:jc w:val="both"/>
        <w:divId w:val="160283305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color w:val="000000"/>
          <w:sz w:val="16"/>
          <w:szCs w:val="16"/>
        </w:rPr>
        <w:t>hereafter. We approximate non-FICO credit scores to comparable FICO scores for consistency purposes. Balances for which no credit score is available or the credit score is invalid are included in the 660 or below category.</w:t>
      </w:r>
    </w:p>
    <w:p w:rsidR="00000000" w:rsidRDefault="00E0782F">
      <w:pPr>
        <w:ind w:hanging="360"/>
        <w:jc w:val="both"/>
        <w:divId w:val="134358189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Percentages represent period-e</w:t>
      </w:r>
      <w:r>
        <w:rPr>
          <w:rFonts w:eastAsia="Times New Roman"/>
          <w:color w:val="000000"/>
          <w:sz w:val="16"/>
          <w:szCs w:val="16"/>
        </w:rPr>
        <w:t>nd loans held for investment in each credit score category. Auto credit scores generally represent average FICO scores obtained from three credit bureaus at the time of application and are not refreshed thereafter. Balances for which no credit score is ava</w:t>
      </w:r>
      <w:r>
        <w:rPr>
          <w:rFonts w:eastAsia="Times New Roman"/>
          <w:color w:val="000000"/>
          <w:sz w:val="16"/>
          <w:szCs w:val="16"/>
        </w:rPr>
        <w:t>ilable or the credit score is invalid are included in the 620 or below category.</w:t>
      </w:r>
    </w:p>
    <w:p w:rsidR="00000000" w:rsidRDefault="00E0782F">
      <w:pPr>
        <w:jc w:val="both"/>
        <w:divId w:val="1919709920"/>
        <w:rPr>
          <w:rFonts w:eastAsia="Times New Roman"/>
        </w:rPr>
      </w:pPr>
      <w:r>
        <w:rPr>
          <w:rFonts w:eastAsia="Times New Roman"/>
          <w:color w:val="000000"/>
          <w:sz w:val="20"/>
          <w:szCs w:val="20"/>
        </w:rPr>
        <w:t xml:space="preserve">We present information in the section below on the credit performance of our loan portfolio, including the key metrics we use in tracking changes in the credit quality of our loan portfolio. See “Note 3—Loans” for additional credit quality information and </w:t>
      </w:r>
      <w:r>
        <w:rPr>
          <w:rFonts w:eastAsia="Times New Roman"/>
          <w:color w:val="000000"/>
          <w:sz w:val="20"/>
          <w:szCs w:val="20"/>
        </w:rPr>
        <w:t>see “Note 1—Summary of Significant Accounting Policies” for information on our accounting policies for delinquent and nonperforming loans, charge-offs and TDRs for each of our loan categories.</w:t>
      </w:r>
    </w:p>
    <w:p w:rsidR="00000000" w:rsidRDefault="00E0782F">
      <w:pPr>
        <w:divId w:val="321786457"/>
        <w:rPr>
          <w:rFonts w:eastAsia="Times New Roman"/>
        </w:rPr>
      </w:pPr>
      <w:r>
        <w:rPr>
          <w:rFonts w:eastAsia="Times New Roman"/>
          <w:b/>
          <w:bCs/>
          <w:i/>
          <w:iCs/>
          <w:color w:val="000000"/>
          <w:sz w:val="20"/>
          <w:szCs w:val="20"/>
        </w:rPr>
        <w:t>Delinquency Rates</w:t>
      </w:r>
    </w:p>
    <w:p w:rsidR="00000000" w:rsidRDefault="00E0782F">
      <w:pPr>
        <w:jc w:val="both"/>
        <w:divId w:val="1718814544"/>
        <w:rPr>
          <w:rFonts w:eastAsia="Times New Roman"/>
        </w:rPr>
      </w:pPr>
      <w:r>
        <w:rPr>
          <w:rFonts w:eastAsia="Times New Roman"/>
          <w:color w:val="000000"/>
          <w:sz w:val="20"/>
          <w:szCs w:val="20"/>
        </w:rPr>
        <w:t xml:space="preserve">We consider the entire balance of an account </w:t>
      </w:r>
      <w:r>
        <w:rPr>
          <w:rFonts w:eastAsia="Times New Roman"/>
          <w:color w:val="000000"/>
          <w:sz w:val="20"/>
          <w:szCs w:val="20"/>
        </w:rPr>
        <w:t>to be delinquent if the minimum required payment is not received by the customer’s due date, measured at each balance sheet date. Our 30+ day delinquency metrics include all loans held for investment that are 30 or more days past due, whereas our 30+ day p</w:t>
      </w:r>
      <w:r>
        <w:rPr>
          <w:rFonts w:eastAsia="Times New Roman"/>
          <w:color w:val="000000"/>
          <w:sz w:val="20"/>
          <w:szCs w:val="20"/>
        </w:rPr>
        <w:t xml:space="preserve">erforming delinquency metrics include loans that are 30 or more days past due but are currently classified as performing and accruing interest. The 30+ day delinquency and 30+ day performing delinquency metrics are the same for domestic credit card loans, </w:t>
      </w:r>
      <w:r>
        <w:rPr>
          <w:rFonts w:eastAsia="Times New Roman"/>
          <w:color w:val="000000"/>
          <w:sz w:val="20"/>
          <w:szCs w:val="20"/>
        </w:rPr>
        <w:t>as we continue to classify these loans as performing until the account is charged off, typically when the account is 180 days past due. See “Note 1—Summary of Significant Accounting Policies” for information on our policies for classifying loans as nonperf</w:t>
      </w:r>
      <w:r>
        <w:rPr>
          <w:rFonts w:eastAsia="Times New Roman"/>
          <w:color w:val="000000"/>
          <w:sz w:val="20"/>
          <w:szCs w:val="20"/>
        </w:rPr>
        <w:t xml:space="preserve">orming for each of our loan categories. We provide additional information on our credit quality metrics in “MD&amp;A—Business Segment Financial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7690968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7690968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7690968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4" style="width:0;height:1.5pt" o:hralign="center" o:hrstd="t" o:hr="t" fillcolor="#a0a0a0" stroked="f"/>
        </w:pict>
      </w:r>
    </w:p>
    <w:p w:rsidR="00000000" w:rsidRDefault="00E0782F">
      <w:pPr>
        <w:ind w:hanging="360"/>
        <w:jc w:val="both"/>
        <w:divId w:val="168247081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247617554"/>
        <w:rPr>
          <w:rFonts w:eastAsia="Times New Roman"/>
        </w:rPr>
      </w:pPr>
      <w:r>
        <w:rPr>
          <w:rFonts w:eastAsia="Times New Roman"/>
          <w:color w:val="000000"/>
          <w:sz w:val="20"/>
          <w:szCs w:val="20"/>
        </w:rPr>
        <w:t xml:space="preserve">Performance.” </w:t>
      </w:r>
      <w:r>
        <w:rPr>
          <w:rFonts w:eastAsia="Times New Roman"/>
          <w:color w:val="000000"/>
          <w:sz w:val="20"/>
          <w:szCs w:val="20"/>
        </w:rPr>
        <w:t>Amounts as of December 31, 2020 include the impacts of COVID-19 customer assistance programs where applicable. See “MD&amp;A—Credit Risk Profile—COVID-19 Customer Assistance Programs and Loan Modifications” for more information</w:t>
      </w:r>
      <w:r>
        <w:rPr>
          <w:rFonts w:eastAsia="Times New Roman"/>
          <w:color w:val="000000"/>
          <w:sz w:val="16"/>
          <w:szCs w:val="16"/>
        </w:rPr>
        <w:t>.</w:t>
      </w:r>
    </w:p>
    <w:p w:rsidR="00000000" w:rsidRDefault="00E0782F">
      <w:pPr>
        <w:jc w:val="both"/>
        <w:divId w:val="1026831504"/>
        <w:rPr>
          <w:rFonts w:eastAsia="Times New Roman"/>
        </w:rPr>
      </w:pPr>
      <w:r>
        <w:rPr>
          <w:rFonts w:eastAsia="Times New Roman"/>
          <w:color w:val="000000"/>
          <w:sz w:val="20"/>
          <w:szCs w:val="20"/>
        </w:rPr>
        <w:t>Table 23 presents our 30+ day p</w:t>
      </w:r>
      <w:r>
        <w:rPr>
          <w:rFonts w:eastAsia="Times New Roman"/>
          <w:color w:val="000000"/>
          <w:sz w:val="20"/>
          <w:szCs w:val="20"/>
        </w:rPr>
        <w:t>erforming delinquency rates and 30+ day delinquency rates of our portfolio of loans held for investment, by portfolio segment, as of December 31, 2020 and 2019.</w:t>
      </w:r>
    </w:p>
    <w:p w:rsidR="00000000" w:rsidRDefault="00E0782F">
      <w:pPr>
        <w:divId w:val="490370570"/>
        <w:rPr>
          <w:rFonts w:eastAsia="Times New Roman"/>
        </w:rPr>
      </w:pPr>
      <w:r>
        <w:rPr>
          <w:rFonts w:eastAsia="Times New Roman"/>
          <w:b/>
          <w:bCs/>
          <w:color w:val="000000"/>
          <w:sz w:val="18"/>
          <w:szCs w:val="18"/>
        </w:rPr>
        <w:t>Table 23: 30+ Day Delinquencies</w:t>
      </w:r>
    </w:p>
    <w:tbl>
      <w:tblPr>
        <w:tblW w:w="4978" w:type="pct"/>
        <w:tblCellMar>
          <w:top w:w="15" w:type="dxa"/>
          <w:left w:w="15" w:type="dxa"/>
          <w:bottom w:w="15" w:type="dxa"/>
          <w:right w:w="15" w:type="dxa"/>
        </w:tblCellMar>
        <w:tblLook w:val="04A0" w:firstRow="1" w:lastRow="0" w:firstColumn="1" w:lastColumn="0" w:noHBand="0" w:noVBand="1"/>
      </w:tblPr>
      <w:tblGrid>
        <w:gridCol w:w="39"/>
        <w:gridCol w:w="2092"/>
        <w:gridCol w:w="38"/>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200"/>
        <w:gridCol w:w="36"/>
        <w:gridCol w:w="36"/>
        <w:gridCol w:w="36"/>
        <w:gridCol w:w="112"/>
        <w:gridCol w:w="508"/>
        <w:gridCol w:w="38"/>
        <w:gridCol w:w="37"/>
        <w:gridCol w:w="36"/>
        <w:gridCol w:w="36"/>
        <w:gridCol w:w="67"/>
        <w:gridCol w:w="398"/>
        <w:gridCol w:w="170"/>
        <w:gridCol w:w="36"/>
        <w:gridCol w:w="36"/>
        <w:gridCol w:w="36"/>
        <w:gridCol w:w="112"/>
        <w:gridCol w:w="508"/>
        <w:gridCol w:w="38"/>
        <w:gridCol w:w="37"/>
        <w:gridCol w:w="36"/>
        <w:gridCol w:w="36"/>
        <w:gridCol w:w="67"/>
        <w:gridCol w:w="398"/>
        <w:gridCol w:w="170"/>
      </w:tblGrid>
      <w:tr w:rsidR="00000000">
        <w:trPr>
          <w:divId w:val="219244504"/>
        </w:trPr>
        <w:tc>
          <w:tcPr>
            <w:tcW w:w="50" w:type="pct"/>
            <w:vAlign w:val="center"/>
            <w:hideMark/>
          </w:tcPr>
          <w:p w:rsidR="00000000" w:rsidRDefault="00E0782F">
            <w:pPr>
              <w:rPr>
                <w:rFonts w:eastAsia="Times New Roman"/>
              </w:rPr>
            </w:pPr>
          </w:p>
        </w:tc>
        <w:tc>
          <w:tcPr>
            <w:tcW w:w="183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1924450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21924450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30+ Day Delinquencies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30+ Day Performing Delinquencies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30+ Day Delinquencies</w:t>
            </w:r>
          </w:p>
        </w:tc>
      </w:tr>
      <w:tr w:rsidR="00000000">
        <w:trPr>
          <w:divId w:val="21924450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2192445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21924450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1924450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924450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924450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1924450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924450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924450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4,182 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924450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1924450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924450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0.55 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924450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924450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924450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21924450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576932498"/>
        <w:rPr>
          <w:rFonts w:eastAsia="Times New Roman"/>
        </w:rPr>
      </w:pPr>
      <w:r>
        <w:rPr>
          <w:rFonts w:eastAsia="Times New Roman"/>
          <w:color w:val="000000"/>
          <w:sz w:val="20"/>
          <w:szCs w:val="20"/>
        </w:rPr>
        <w:t>__________</w:t>
      </w:r>
    </w:p>
    <w:p w:rsidR="00000000" w:rsidRDefault="00E0782F">
      <w:pPr>
        <w:ind w:hanging="360"/>
        <w:jc w:val="both"/>
        <w:divId w:val="110757825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Delinquency rates are calculated </w:t>
      </w:r>
      <w:r>
        <w:rPr>
          <w:rFonts w:eastAsia="Times New Roman"/>
          <w:color w:val="000000"/>
          <w:sz w:val="16"/>
          <w:szCs w:val="16"/>
        </w:rPr>
        <w:t>by dividing delinquency amounts by period-end loans held for investment for each specified loan category.</w:t>
      </w:r>
    </w:p>
    <w:p w:rsidR="00000000" w:rsidRDefault="00E0782F">
      <w:pPr>
        <w:jc w:val="both"/>
        <w:divId w:val="1835337327"/>
        <w:rPr>
          <w:rFonts w:eastAsia="Times New Roman"/>
        </w:rPr>
      </w:pPr>
      <w:r>
        <w:rPr>
          <w:rFonts w:eastAsia="Times New Roman"/>
          <w:color w:val="000000"/>
          <w:sz w:val="20"/>
          <w:szCs w:val="20"/>
        </w:rPr>
        <w:t>Table 24 presents our 30+ day delinquent loans, by aging and geography, as of December 31, 2020 and 2019.</w:t>
      </w:r>
    </w:p>
    <w:p w:rsidR="00000000" w:rsidRDefault="00E0782F">
      <w:pPr>
        <w:divId w:val="1755080603"/>
        <w:rPr>
          <w:rFonts w:eastAsia="Times New Roman"/>
        </w:rPr>
      </w:pPr>
      <w:r>
        <w:rPr>
          <w:rFonts w:eastAsia="Times New Roman"/>
          <w:b/>
          <w:bCs/>
          <w:color w:val="000000"/>
          <w:sz w:val="18"/>
          <w:szCs w:val="18"/>
        </w:rPr>
        <w:t>Table 24: Aging and Geography of 30+ Day Del</w:t>
      </w:r>
      <w:r>
        <w:rPr>
          <w:rFonts w:eastAsia="Times New Roman"/>
          <w:b/>
          <w:bCs/>
          <w:color w:val="000000"/>
          <w:sz w:val="18"/>
          <w:szCs w:val="18"/>
        </w:rPr>
        <w:t>inquent Loans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4449"/>
        <w:gridCol w:w="38"/>
        <w:gridCol w:w="36"/>
        <w:gridCol w:w="36"/>
        <w:gridCol w:w="36"/>
        <w:gridCol w:w="111"/>
        <w:gridCol w:w="658"/>
        <w:gridCol w:w="37"/>
        <w:gridCol w:w="36"/>
        <w:gridCol w:w="36"/>
        <w:gridCol w:w="36"/>
        <w:gridCol w:w="46"/>
        <w:gridCol w:w="635"/>
        <w:gridCol w:w="200"/>
        <w:gridCol w:w="36"/>
        <w:gridCol w:w="36"/>
        <w:gridCol w:w="36"/>
        <w:gridCol w:w="111"/>
        <w:gridCol w:w="659"/>
        <w:gridCol w:w="37"/>
        <w:gridCol w:w="36"/>
        <w:gridCol w:w="36"/>
        <w:gridCol w:w="36"/>
        <w:gridCol w:w="46"/>
        <w:gridCol w:w="638"/>
        <w:gridCol w:w="170"/>
      </w:tblGrid>
      <w:tr w:rsidR="00000000">
        <w:trPr>
          <w:divId w:val="694578059"/>
        </w:trPr>
        <w:tc>
          <w:tcPr>
            <w:tcW w:w="50" w:type="pct"/>
            <w:vAlign w:val="center"/>
            <w:hideMark/>
          </w:tcPr>
          <w:p w:rsidR="00000000" w:rsidRDefault="00E0782F">
            <w:pPr>
              <w:rPr>
                <w:rFonts w:eastAsia="Times New Roman"/>
              </w:rPr>
            </w:pPr>
          </w:p>
        </w:tc>
        <w:tc>
          <w:tcPr>
            <w:tcW w:w="27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94578059"/>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69457805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69457805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9457805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 – 59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69457805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60 – 89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4578059"/>
        </w:trPr>
        <w:tc>
          <w:tcPr>
            <w:tcW w:w="0" w:type="auto"/>
            <w:gridSpan w:val="3"/>
            <w:shd w:val="clear" w:color="auto" w:fill="FFFFFF"/>
            <w:tcMar>
              <w:top w:w="30" w:type="dxa"/>
              <w:left w:w="20" w:type="dxa"/>
              <w:bottom w:w="30" w:type="dxa"/>
              <w:right w:w="20" w:type="dxa"/>
            </w:tcMar>
            <w:vAlign w:val="center"/>
            <w:hideMark/>
          </w:tcPr>
          <w:p w:rsidR="00000000" w:rsidRDefault="00E0782F">
            <w:pPr>
              <w:divId w:val="1081758443"/>
              <w:rPr>
                <w:rFonts w:eastAsia="Times New Roman"/>
              </w:rPr>
            </w:pPr>
            <w:r>
              <w:rPr>
                <w:rFonts w:eastAsia="Times New Roman"/>
                <w:color w:val="000000"/>
                <w:sz w:val="18"/>
                <w:szCs w:val="18"/>
                <w:u w:val="single"/>
              </w:rPr>
              <w:t>&gt;</w:t>
            </w:r>
            <w:r>
              <w:rPr>
                <w:rFonts w:eastAsia="Times New Roman"/>
                <w:color w:val="000000"/>
                <w:sz w:val="18"/>
                <w:szCs w:val="18"/>
              </w:rPr>
              <w:t xml:space="preserve"> 90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2,966 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457805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69457805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Geographic region: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9457805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9,594 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69457805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9457805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694578059"/>
        </w:trPr>
        <w:tc>
          <w:tcPr>
            <w:tcW w:w="0" w:type="auto"/>
            <w:gridSpan w:val="3"/>
            <w:vAlign w:val="center"/>
            <w:hideMark/>
          </w:tcPr>
          <w:p w:rsidR="00000000" w:rsidRDefault="00E0782F">
            <w:pPr>
              <w:jc w:val="right"/>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1263300087"/>
        <w:rPr>
          <w:rFonts w:eastAsia="Times New Roman"/>
        </w:rPr>
      </w:pPr>
      <w:r>
        <w:rPr>
          <w:rFonts w:eastAsia="Times New Roman"/>
          <w:color w:val="000000"/>
          <w:sz w:val="20"/>
          <w:szCs w:val="20"/>
        </w:rPr>
        <w:t>__________</w:t>
      </w:r>
    </w:p>
    <w:p w:rsidR="00000000" w:rsidRDefault="00E0782F">
      <w:pPr>
        <w:ind w:hanging="360"/>
        <w:jc w:val="both"/>
        <w:divId w:val="123700808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Delinquency rates are calculated by dividing delinquency amounts by total period-end loans held for investment.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62843483"/>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6284348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6284348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89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5" style="width:0;height:1.5pt" o:hralign="center" o:hrstd="t" o:hr="t" fillcolor="#a0a0a0" stroked="f"/>
        </w:pict>
      </w:r>
    </w:p>
    <w:p w:rsidR="00000000" w:rsidRDefault="00E0782F">
      <w:pPr>
        <w:ind w:hanging="360"/>
        <w:jc w:val="both"/>
        <w:divId w:val="103908483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2026862205"/>
        <w:rPr>
          <w:rFonts w:eastAsia="Times New Roman"/>
        </w:rPr>
      </w:pPr>
      <w:r>
        <w:rPr>
          <w:rFonts w:eastAsia="Times New Roman"/>
          <w:color w:val="000000"/>
          <w:sz w:val="20"/>
          <w:szCs w:val="20"/>
        </w:rPr>
        <w:t>Table 25 summarizes loans that were 90+ days delinquent as to interest or principal, a</w:t>
      </w:r>
      <w:r>
        <w:rPr>
          <w:rFonts w:eastAsia="Times New Roman"/>
          <w:color w:val="000000"/>
          <w:sz w:val="20"/>
          <w:szCs w:val="20"/>
        </w:rPr>
        <w:t xml:space="preserve">nd still accruing interest as of December 31, 2020 and 2019. These loans consist primarily of credit card accounts between 90 days and 179 days past due. As permitted by regulatory guidance issued by the Federal Financial Institutions Examination Council, </w:t>
      </w:r>
      <w:r>
        <w:rPr>
          <w:rFonts w:eastAsia="Times New Roman"/>
          <w:color w:val="000000"/>
          <w:sz w:val="20"/>
          <w:szCs w:val="20"/>
        </w:rPr>
        <w:t>we continue to accrue interest and fees on domestic credit card loans through the date of charge off, which is typically in the period the account becomes 180 days past due.</w:t>
      </w:r>
    </w:p>
    <w:p w:rsidR="00000000" w:rsidRDefault="00E0782F">
      <w:pPr>
        <w:divId w:val="1330787451"/>
        <w:rPr>
          <w:rFonts w:eastAsia="Times New Roman"/>
        </w:rPr>
      </w:pPr>
      <w:r>
        <w:rPr>
          <w:rFonts w:eastAsia="Times New Roman"/>
          <w:b/>
          <w:bCs/>
          <w:color w:val="000000"/>
          <w:sz w:val="18"/>
          <w:szCs w:val="18"/>
        </w:rPr>
        <w:t>Table 25: 90+ Day Delinquent Loans Accruing Interest</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448"/>
        <w:gridCol w:w="38"/>
        <w:gridCol w:w="36"/>
        <w:gridCol w:w="36"/>
        <w:gridCol w:w="36"/>
        <w:gridCol w:w="111"/>
        <w:gridCol w:w="658"/>
        <w:gridCol w:w="37"/>
        <w:gridCol w:w="36"/>
        <w:gridCol w:w="36"/>
        <w:gridCol w:w="36"/>
        <w:gridCol w:w="46"/>
        <w:gridCol w:w="635"/>
        <w:gridCol w:w="200"/>
        <w:gridCol w:w="36"/>
        <w:gridCol w:w="36"/>
        <w:gridCol w:w="36"/>
        <w:gridCol w:w="111"/>
        <w:gridCol w:w="659"/>
        <w:gridCol w:w="37"/>
        <w:gridCol w:w="36"/>
        <w:gridCol w:w="36"/>
        <w:gridCol w:w="36"/>
        <w:gridCol w:w="46"/>
        <w:gridCol w:w="638"/>
        <w:gridCol w:w="170"/>
      </w:tblGrid>
      <w:tr w:rsidR="00000000">
        <w:trPr>
          <w:divId w:val="1010371537"/>
        </w:trPr>
        <w:tc>
          <w:tcPr>
            <w:tcW w:w="50" w:type="pct"/>
            <w:vAlign w:val="center"/>
            <w:hideMark/>
          </w:tcPr>
          <w:p w:rsidR="00000000" w:rsidRDefault="00E0782F">
            <w:pPr>
              <w:rPr>
                <w:rFonts w:eastAsia="Times New Roman"/>
              </w:rPr>
            </w:pPr>
          </w:p>
        </w:tc>
        <w:tc>
          <w:tcPr>
            <w:tcW w:w="27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10371537"/>
        </w:trPr>
        <w:tc>
          <w:tcPr>
            <w:tcW w:w="0" w:type="auto"/>
            <w:gridSpan w:val="3"/>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01037153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0103715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Loan category: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1037153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010371537"/>
        </w:trPr>
        <w:tc>
          <w:tcPr>
            <w:tcW w:w="0" w:type="auto"/>
            <w:gridSpan w:val="3"/>
            <w:vAlign w:val="center"/>
            <w:hideMark/>
          </w:tcPr>
          <w:p w:rsidR="00000000" w:rsidRDefault="00E0782F">
            <w:pPr>
              <w:jc w:val="right"/>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1037153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037153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1,302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037153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Geographic region: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1037153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01037153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037153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368019086"/>
        <w:rPr>
          <w:rFonts w:eastAsia="Times New Roman"/>
        </w:rPr>
      </w:pPr>
      <w:r>
        <w:rPr>
          <w:rFonts w:eastAsia="Times New Roman"/>
          <w:color w:val="000000"/>
          <w:sz w:val="20"/>
          <w:szCs w:val="20"/>
        </w:rPr>
        <w:t>__________</w:t>
      </w:r>
    </w:p>
    <w:p w:rsidR="00000000" w:rsidRDefault="00E0782F">
      <w:pPr>
        <w:ind w:hanging="360"/>
        <w:jc w:val="both"/>
        <w:divId w:val="15402871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w:t>
      </w:r>
      <w:r>
        <w:rPr>
          <w:rFonts w:eastAsia="Times New Roman"/>
          <w:color w:val="000000"/>
          <w:sz w:val="16"/>
          <w:szCs w:val="16"/>
        </w:rPr>
        <w:t>elinquency rates are calculated by dividing delinquency amounts by period-end loans held for investment for each specified loan category.</w:t>
      </w:r>
    </w:p>
    <w:p w:rsidR="00000000" w:rsidRDefault="00E0782F">
      <w:pPr>
        <w:divId w:val="274555771"/>
        <w:rPr>
          <w:rFonts w:eastAsia="Times New Roman"/>
        </w:rPr>
      </w:pPr>
      <w:r>
        <w:rPr>
          <w:rFonts w:eastAsia="Times New Roman"/>
          <w:b/>
          <w:bCs/>
          <w:i/>
          <w:iCs/>
          <w:color w:val="000000"/>
          <w:sz w:val="20"/>
          <w:szCs w:val="20"/>
        </w:rPr>
        <w:t>Nonperforming Loans and Nonperforming Assets</w:t>
      </w:r>
    </w:p>
    <w:p w:rsidR="00000000" w:rsidRDefault="00E0782F">
      <w:pPr>
        <w:jc w:val="both"/>
        <w:divId w:val="316763355"/>
        <w:rPr>
          <w:rFonts w:eastAsia="Times New Roman"/>
        </w:rPr>
      </w:pPr>
      <w:r>
        <w:rPr>
          <w:rFonts w:eastAsia="Times New Roman"/>
          <w:color w:val="000000"/>
          <w:sz w:val="20"/>
          <w:szCs w:val="20"/>
        </w:rPr>
        <w:t>Nonperforming assets consist of nonperforming loans, repossessed assets a</w:t>
      </w:r>
      <w:r>
        <w:rPr>
          <w:rFonts w:eastAsia="Times New Roman"/>
          <w:color w:val="000000"/>
          <w:sz w:val="20"/>
          <w:szCs w:val="20"/>
        </w:rPr>
        <w:t>nd other foreclosed assets. Nonperforming loans include loans that have been placed on nonaccrual status. See “Note 1—Summary of Significant Accounting Policies” for information on our policies for classifying loans as nonperforming for each of our loan ca</w:t>
      </w:r>
      <w:r>
        <w:rPr>
          <w:rFonts w:eastAsia="Times New Roman"/>
          <w:color w:val="000000"/>
          <w:sz w:val="20"/>
          <w:szCs w:val="20"/>
        </w:rPr>
        <w:t>tegories.</w:t>
      </w:r>
    </w:p>
    <w:p w:rsidR="00000000" w:rsidRDefault="00E0782F">
      <w:pPr>
        <w:jc w:val="both"/>
        <w:divId w:val="1013874164"/>
        <w:rPr>
          <w:rFonts w:eastAsia="Times New Roman"/>
        </w:rPr>
      </w:pPr>
      <w:r>
        <w:rPr>
          <w:rFonts w:eastAsia="Times New Roman"/>
          <w:color w:val="000000"/>
          <w:sz w:val="20"/>
          <w:szCs w:val="20"/>
        </w:rPr>
        <w:t>Table 26 presents our nonperforming loans, by portfolio segment, and other nonperforming assets as of December 31, 2020 and 2019. We do not classify loans held for sale as nonperforming. We provide additional information on our credit quality met</w:t>
      </w:r>
      <w:r>
        <w:rPr>
          <w:rFonts w:eastAsia="Times New Roman"/>
          <w:color w:val="000000"/>
          <w:sz w:val="20"/>
          <w:szCs w:val="20"/>
        </w:rPr>
        <w:t>rics in “MD&amp;A—Business Segment Financial Performance.”</w:t>
      </w:r>
    </w:p>
    <w:p w:rsidR="00000000" w:rsidRDefault="00E0782F">
      <w:pPr>
        <w:divId w:val="557009511"/>
        <w:rPr>
          <w:rFonts w:eastAsia="Times New Roman"/>
        </w:rPr>
      </w:pPr>
      <w:r>
        <w:rPr>
          <w:rFonts w:eastAsia="Times New Roman"/>
          <w:b/>
          <w:bCs/>
          <w:color w:val="000000"/>
          <w:sz w:val="18"/>
          <w:szCs w:val="18"/>
        </w:rPr>
        <w:t>Table 26: Nonperforming Loans and Other Nonperforming Asset</w:t>
      </w:r>
      <w:r>
        <w:rPr>
          <w:rFonts w:eastAsia="Times New Roman"/>
          <w:b/>
          <w:bCs/>
          <w:color w:val="000000"/>
          <w:sz w:val="18"/>
          <w:szCs w:val="18"/>
        </w:rPr>
        <w:t>s</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6"/>
        <w:gridCol w:w="37"/>
        <w:gridCol w:w="36"/>
        <w:gridCol w:w="36"/>
        <w:gridCol w:w="36"/>
        <w:gridCol w:w="111"/>
        <w:gridCol w:w="608"/>
        <w:gridCol w:w="37"/>
        <w:gridCol w:w="36"/>
        <w:gridCol w:w="36"/>
        <w:gridCol w:w="36"/>
        <w:gridCol w:w="40"/>
        <w:gridCol w:w="592"/>
        <w:gridCol w:w="201"/>
        <w:gridCol w:w="36"/>
        <w:gridCol w:w="36"/>
        <w:gridCol w:w="36"/>
        <w:gridCol w:w="111"/>
        <w:gridCol w:w="610"/>
        <w:gridCol w:w="37"/>
        <w:gridCol w:w="36"/>
        <w:gridCol w:w="36"/>
        <w:gridCol w:w="36"/>
        <w:gridCol w:w="40"/>
        <w:gridCol w:w="596"/>
        <w:gridCol w:w="170"/>
      </w:tblGrid>
      <w:tr w:rsidR="00000000">
        <w:trPr>
          <w:divId w:val="727994604"/>
        </w:trPr>
        <w:tc>
          <w:tcPr>
            <w:tcW w:w="50" w:type="pct"/>
            <w:vAlign w:val="center"/>
            <w:hideMark/>
          </w:tcPr>
          <w:p w:rsidR="00000000" w:rsidRDefault="00E0782F">
            <w:pPr>
              <w:rPr>
                <w:rFonts w:eastAsia="Times New Roman"/>
              </w:rPr>
            </w:pPr>
          </w:p>
        </w:tc>
        <w:tc>
          <w:tcPr>
            <w:tcW w:w="28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27994604"/>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72799460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Rate</w:t>
            </w:r>
          </w:p>
        </w:tc>
      </w:tr>
      <w:tr w:rsidR="00000000">
        <w:trPr>
          <w:divId w:val="72799460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2128309169"/>
              <w:rPr>
                <w:rFonts w:eastAsia="Times New Roman"/>
              </w:rPr>
            </w:pPr>
            <w:r>
              <w:rPr>
                <w:rFonts w:eastAsia="Times New Roman"/>
                <w:b/>
                <w:bCs/>
                <w:color w:val="000000"/>
                <w:sz w:val="18"/>
                <w:szCs w:val="18"/>
              </w:rPr>
              <w:t>Nonperforming loans held for investment</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2799460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2799460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72799460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2799460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2799460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2799460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2799460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27994604"/>
        </w:trPr>
        <w:tc>
          <w:tcPr>
            <w:tcW w:w="0" w:type="auto"/>
            <w:gridSpan w:val="3"/>
            <w:shd w:val="clear" w:color="auto" w:fill="CCEEFF"/>
            <w:tcMar>
              <w:top w:w="30" w:type="dxa"/>
              <w:left w:w="20" w:type="dxa"/>
              <w:bottom w:w="30" w:type="dxa"/>
              <w:right w:w="20" w:type="dxa"/>
            </w:tcMar>
            <w:vAlign w:val="center"/>
            <w:hideMark/>
          </w:tcPr>
          <w:p w:rsidR="00000000" w:rsidRDefault="00E0782F">
            <w:pPr>
              <w:divId w:val="269554064"/>
              <w:rPr>
                <w:rFonts w:eastAsia="Times New Roman"/>
              </w:rPr>
            </w:pPr>
            <w:r>
              <w:rPr>
                <w:rFonts w:eastAsia="Times New Roman"/>
                <w:color w:val="000000"/>
                <w:sz w:val="18"/>
                <w:szCs w:val="18"/>
              </w:rPr>
              <w:t>Total nonperforming loans held for investmen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2799460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2799460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27994604"/>
        </w:trPr>
        <w:tc>
          <w:tcPr>
            <w:tcW w:w="0" w:type="auto"/>
            <w:gridSpan w:val="3"/>
            <w:shd w:val="clear" w:color="auto" w:fill="FFFFFF"/>
            <w:tcMar>
              <w:top w:w="30" w:type="dxa"/>
              <w:left w:w="20" w:type="dxa"/>
              <w:bottom w:w="30" w:type="dxa"/>
              <w:right w:w="20" w:type="dxa"/>
            </w:tcMar>
            <w:vAlign w:val="center"/>
            <w:hideMark/>
          </w:tcPr>
          <w:p w:rsidR="00000000" w:rsidRDefault="00E0782F">
            <w:pPr>
              <w:divId w:val="1548957842"/>
              <w:rPr>
                <w:rFonts w:eastAsia="Times New Roman"/>
              </w:rPr>
            </w:pPr>
            <w:r>
              <w:rPr>
                <w:rFonts w:eastAsia="Times New Roman"/>
                <w:color w:val="000000"/>
                <w:sz w:val="18"/>
                <w:szCs w:val="18"/>
              </w:rPr>
              <w:t>Other nonperforming asset</w:t>
            </w:r>
            <w:r>
              <w:rPr>
                <w:rFonts w:eastAsia="Times New Roman"/>
                <w:color w:val="000000"/>
                <w:sz w:val="18"/>
                <w:szCs w:val="18"/>
              </w:rPr>
              <w:t>s</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2799460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nonperforming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2080251745"/>
        <w:rPr>
          <w:rFonts w:eastAsia="Times New Roman"/>
        </w:rPr>
      </w:pPr>
      <w:r>
        <w:rPr>
          <w:rFonts w:eastAsia="Times New Roman"/>
          <w:color w:val="000000"/>
          <w:sz w:val="20"/>
          <w:szCs w:val="20"/>
        </w:rPr>
        <w:t>__________</w:t>
      </w:r>
    </w:p>
    <w:p w:rsidR="00000000" w:rsidRDefault="00E0782F">
      <w:pPr>
        <w:ind w:hanging="360"/>
        <w:jc w:val="both"/>
        <w:divId w:val="142121472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recognized interest income for loans classified as nonperforming of $39 million and $63 million in 2020 and 2019, respectively. Interest income foregone related to nonperforming </w:t>
      </w:r>
      <w:r>
        <w:rPr>
          <w:rFonts w:eastAsia="Times New Roman"/>
          <w:color w:val="000000"/>
          <w:sz w:val="16"/>
          <w:szCs w:val="16"/>
        </w:rPr>
        <w:t xml:space="preserve">loans was $49 million and $60 million in 2020 and 2019, respectively. Foregone interest income represents the amount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25520558"/>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32552055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32552055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6" style="width:0;height:1.5pt" o:hralign="center" o:hrstd="t" o:hr="t" fillcolor="#a0a0a0" stroked="f"/>
        </w:pict>
      </w:r>
    </w:p>
    <w:p w:rsidR="00000000" w:rsidRDefault="00E0782F">
      <w:pPr>
        <w:ind w:hanging="360"/>
        <w:jc w:val="both"/>
        <w:divId w:val="147425243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914852010"/>
        <w:rPr>
          <w:rFonts w:eastAsia="Times New Roman"/>
        </w:rPr>
      </w:pPr>
      <w:r>
        <w:rPr>
          <w:rFonts w:eastAsia="Times New Roman"/>
          <w:color w:val="000000"/>
          <w:sz w:val="16"/>
          <w:szCs w:val="16"/>
        </w:rPr>
        <w:t>of interest income in excess of recognized interest income that would have been recorded during the period for nonperforming loans as of the end of the period had the loans performed according to their contractual terms.</w:t>
      </w:r>
    </w:p>
    <w:p w:rsidR="00000000" w:rsidRDefault="00E0782F">
      <w:pPr>
        <w:ind w:hanging="360"/>
        <w:jc w:val="both"/>
        <w:divId w:val="160487710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Nonperforming loan rates are cal</w:t>
      </w:r>
      <w:r>
        <w:rPr>
          <w:rFonts w:eastAsia="Times New Roman"/>
          <w:color w:val="000000"/>
          <w:sz w:val="16"/>
          <w:szCs w:val="16"/>
        </w:rPr>
        <w:t>culated based on nonperforming loans for each category divided by period-end total loans held for investment for each respective category.</w:t>
      </w:r>
    </w:p>
    <w:p w:rsidR="00000000" w:rsidRDefault="00E0782F">
      <w:pPr>
        <w:ind w:hanging="360"/>
        <w:jc w:val="both"/>
        <w:divId w:val="18660115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Excluding the impact of domestic credit card loans, nonperforming loans as a percentage of total loans held for in</w:t>
      </w:r>
      <w:r>
        <w:rPr>
          <w:rFonts w:eastAsia="Times New Roman"/>
          <w:color w:val="000000"/>
          <w:sz w:val="16"/>
          <w:szCs w:val="16"/>
        </w:rPr>
        <w:t>vestment was 0.65% and 0.67% as of December 31, 2020 and 2019, respectively.</w:t>
      </w:r>
    </w:p>
    <w:p w:rsidR="00000000" w:rsidRDefault="00E0782F">
      <w:pPr>
        <w:ind w:hanging="360"/>
        <w:jc w:val="both"/>
        <w:divId w:val="1609505411"/>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The denominators used in calculating nonperforming asset rates consist of total loans held for investment and other nonperforming assets. </w:t>
      </w:r>
    </w:p>
    <w:p w:rsidR="00000000" w:rsidRDefault="00E0782F">
      <w:pPr>
        <w:divId w:val="594898583"/>
        <w:rPr>
          <w:rFonts w:eastAsia="Times New Roman"/>
        </w:rPr>
      </w:pPr>
      <w:r>
        <w:rPr>
          <w:rFonts w:eastAsia="Times New Roman"/>
          <w:b/>
          <w:bCs/>
          <w:i/>
          <w:iCs/>
          <w:color w:val="000000"/>
          <w:sz w:val="20"/>
          <w:szCs w:val="20"/>
        </w:rPr>
        <w:t>Net Charge-Offs</w:t>
      </w:r>
    </w:p>
    <w:p w:rsidR="00000000" w:rsidRDefault="00E0782F">
      <w:pPr>
        <w:jc w:val="both"/>
        <w:divId w:val="1069613455"/>
        <w:rPr>
          <w:rFonts w:eastAsia="Times New Roman"/>
        </w:rPr>
      </w:pPr>
      <w:r>
        <w:rPr>
          <w:rFonts w:eastAsia="Times New Roman"/>
          <w:color w:val="000000"/>
          <w:sz w:val="20"/>
          <w:szCs w:val="20"/>
        </w:rPr>
        <w:t>Net charge-offs consi</w:t>
      </w:r>
      <w:r>
        <w:rPr>
          <w:rFonts w:eastAsia="Times New Roman"/>
          <w:color w:val="000000"/>
          <w:sz w:val="20"/>
          <w:szCs w:val="20"/>
        </w:rPr>
        <w:t>st of the amortized cost basis, excluding accrued interest, of loans held for investment that we determine to be uncollectible, net of recovered amounts. We charge off loans as a reduction to the allowance for credit losses when we determine the loan is un</w:t>
      </w:r>
      <w:r>
        <w:rPr>
          <w:rFonts w:eastAsia="Times New Roman"/>
          <w:color w:val="000000"/>
          <w:sz w:val="20"/>
          <w:szCs w:val="20"/>
        </w:rPr>
        <w:t xml:space="preserve">collectible and record subsequent recoveries of previously charged off amounts as increases to the allowance for credit losses. Uncollectible finance charges and fees are reversed through revenue and certain fraud losses are recorded in other non-interest </w:t>
      </w:r>
      <w:r>
        <w:rPr>
          <w:rFonts w:eastAsia="Times New Roman"/>
          <w:color w:val="000000"/>
          <w:sz w:val="20"/>
          <w:szCs w:val="20"/>
        </w:rPr>
        <w:t>expense. Generally, costs to recover charged-off loans are recorded as collection expenses as incurred and included in our consolidated statements of income as a component of other non-interest expense. Our charge-off policy for loans varies based on the l</w:t>
      </w:r>
      <w:r>
        <w:rPr>
          <w:rFonts w:eastAsia="Times New Roman"/>
          <w:color w:val="000000"/>
          <w:sz w:val="20"/>
          <w:szCs w:val="20"/>
        </w:rPr>
        <w:t>oan type. See “Note 1—Summary of Significant Accounting Policies” for information on our charge-off policy for each of our loan categories.</w:t>
      </w:r>
    </w:p>
    <w:p w:rsidR="00000000" w:rsidRDefault="00E0782F">
      <w:pPr>
        <w:jc w:val="both"/>
        <w:divId w:val="1570918755"/>
        <w:rPr>
          <w:rFonts w:eastAsia="Times New Roman"/>
        </w:rPr>
      </w:pPr>
      <w:r>
        <w:rPr>
          <w:rFonts w:eastAsia="Times New Roman"/>
          <w:color w:val="000000"/>
          <w:sz w:val="20"/>
          <w:szCs w:val="20"/>
        </w:rPr>
        <w:t>Table 27 presents our net charge-off amounts and rates, by portfolio segment, in 2020, 2019 and 2018.</w:t>
      </w:r>
    </w:p>
    <w:p w:rsidR="00000000" w:rsidRDefault="00E0782F">
      <w:pPr>
        <w:divId w:val="1955869999"/>
        <w:rPr>
          <w:rFonts w:eastAsia="Times New Roman"/>
        </w:rPr>
      </w:pPr>
      <w:r>
        <w:rPr>
          <w:rFonts w:eastAsia="Times New Roman"/>
          <w:b/>
          <w:bCs/>
          <w:color w:val="000000"/>
          <w:sz w:val="18"/>
          <w:szCs w:val="18"/>
        </w:rPr>
        <w:t xml:space="preserve">Table 27: Net </w:t>
      </w:r>
      <w:r>
        <w:rPr>
          <w:rFonts w:eastAsia="Times New Roman"/>
          <w:b/>
          <w:bCs/>
          <w:color w:val="000000"/>
          <w:sz w:val="18"/>
          <w:szCs w:val="18"/>
        </w:rPr>
        <w:t>Charge-Offs (Recoveries)</w:t>
      </w:r>
    </w:p>
    <w:tbl>
      <w:tblPr>
        <w:tblW w:w="5000" w:type="pct"/>
        <w:tblCellMar>
          <w:top w:w="15" w:type="dxa"/>
          <w:left w:w="15" w:type="dxa"/>
          <w:bottom w:w="15" w:type="dxa"/>
          <w:right w:w="15" w:type="dxa"/>
        </w:tblCellMar>
        <w:tblLook w:val="04A0" w:firstRow="1" w:lastRow="0" w:firstColumn="1" w:lastColumn="0" w:noHBand="0" w:noVBand="1"/>
      </w:tblPr>
      <w:tblGrid>
        <w:gridCol w:w="39"/>
        <w:gridCol w:w="2744"/>
        <w:gridCol w:w="38"/>
        <w:gridCol w:w="36"/>
        <w:gridCol w:w="36"/>
        <w:gridCol w:w="36"/>
        <w:gridCol w:w="36"/>
        <w:gridCol w:w="36"/>
        <w:gridCol w:w="36"/>
        <w:gridCol w:w="36"/>
        <w:gridCol w:w="120"/>
        <w:gridCol w:w="120"/>
        <w:gridCol w:w="120"/>
        <w:gridCol w:w="46"/>
        <w:gridCol w:w="110"/>
        <w:gridCol w:w="630"/>
        <w:gridCol w:w="36"/>
        <w:gridCol w:w="36"/>
        <w:gridCol w:w="36"/>
        <w:gridCol w:w="36"/>
        <w:gridCol w:w="62"/>
        <w:gridCol w:w="409"/>
        <w:gridCol w:w="200"/>
        <w:gridCol w:w="36"/>
        <w:gridCol w:w="36"/>
        <w:gridCol w:w="36"/>
        <w:gridCol w:w="110"/>
        <w:gridCol w:w="630"/>
        <w:gridCol w:w="36"/>
        <w:gridCol w:w="36"/>
        <w:gridCol w:w="36"/>
        <w:gridCol w:w="36"/>
        <w:gridCol w:w="62"/>
        <w:gridCol w:w="409"/>
        <w:gridCol w:w="170"/>
        <w:gridCol w:w="36"/>
        <w:gridCol w:w="36"/>
        <w:gridCol w:w="36"/>
        <w:gridCol w:w="110"/>
        <w:gridCol w:w="630"/>
        <w:gridCol w:w="36"/>
        <w:gridCol w:w="36"/>
        <w:gridCol w:w="36"/>
        <w:gridCol w:w="36"/>
        <w:gridCol w:w="63"/>
        <w:gridCol w:w="414"/>
        <w:gridCol w:w="170"/>
      </w:tblGrid>
      <w:tr w:rsidR="00000000">
        <w:trPr>
          <w:divId w:val="1144851276"/>
        </w:trPr>
        <w:tc>
          <w:tcPr>
            <w:tcW w:w="50" w:type="pct"/>
            <w:vAlign w:val="center"/>
            <w:hideMark/>
          </w:tcPr>
          <w:p w:rsidR="00000000" w:rsidRDefault="00E0782F">
            <w:pPr>
              <w:rPr>
                <w:rFonts w:eastAsia="Times New Roman"/>
              </w:rPr>
            </w:pPr>
          </w:p>
        </w:tc>
        <w:tc>
          <w:tcPr>
            <w:tcW w:w="24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44851276"/>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Rat</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4,818 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14485127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4,270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5,149 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Home Loan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448512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net 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48512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253,335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247,450 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242,118 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bl>
    <w:p w:rsidR="00000000" w:rsidRDefault="00E0782F">
      <w:pPr>
        <w:divId w:val="1664314844"/>
        <w:rPr>
          <w:rFonts w:eastAsia="Times New Roman"/>
        </w:rPr>
      </w:pPr>
      <w:r>
        <w:rPr>
          <w:rFonts w:eastAsia="Times New Roman"/>
          <w:color w:val="000000"/>
          <w:sz w:val="20"/>
          <w:szCs w:val="20"/>
        </w:rPr>
        <w:t>__________</w:t>
      </w:r>
    </w:p>
    <w:p w:rsidR="00000000" w:rsidRDefault="00E0782F">
      <w:pPr>
        <w:ind w:hanging="360"/>
        <w:jc w:val="both"/>
        <w:divId w:val="91019178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Net charge-off (recovery) rates are calculated by dividing net charge-offs (recoveries) by average loans held for investment for the period</w:t>
      </w:r>
      <w:r>
        <w:rPr>
          <w:rFonts w:eastAsia="Times New Roman"/>
          <w:color w:val="000000"/>
          <w:sz w:val="16"/>
          <w:szCs w:val="16"/>
        </w:rPr>
        <w:t xml:space="preserve"> for each loan category.</w:t>
      </w:r>
    </w:p>
    <w:p w:rsidR="00000000" w:rsidRDefault="00E0782F">
      <w:pPr>
        <w:ind w:hanging="360"/>
        <w:jc w:val="both"/>
        <w:divId w:val="129540620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87574395"/>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8757439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8757439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7" style="width:0;height:1.5pt" o:hralign="center" o:hrstd="t" o:hr="t" fillcolor="#a0a0a0" stroked="f"/>
        </w:pict>
      </w:r>
    </w:p>
    <w:p w:rsidR="00000000" w:rsidRDefault="00E0782F">
      <w:pPr>
        <w:ind w:hanging="360"/>
        <w:jc w:val="both"/>
        <w:divId w:val="182393481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688681677"/>
        <w:rPr>
          <w:rFonts w:eastAsia="Times New Roman"/>
        </w:rPr>
      </w:pPr>
      <w:r>
        <w:rPr>
          <w:rFonts w:eastAsia="Times New Roman"/>
          <w:b/>
          <w:bCs/>
          <w:color w:val="000000"/>
          <w:sz w:val="20"/>
          <w:szCs w:val="20"/>
        </w:rPr>
        <w:t xml:space="preserve">COVID-19 Customer Assistance Programs and Loan Modifications </w:t>
      </w:r>
    </w:p>
    <w:p w:rsidR="00000000" w:rsidRDefault="00E0782F">
      <w:pPr>
        <w:jc w:val="both"/>
        <w:divId w:val="1590771557"/>
        <w:rPr>
          <w:rFonts w:eastAsia="Times New Roman"/>
        </w:rPr>
      </w:pPr>
      <w:r>
        <w:rPr>
          <w:rFonts w:eastAsia="Times New Roman"/>
          <w:color w:val="000000"/>
          <w:sz w:val="20"/>
          <w:szCs w:val="20"/>
        </w:rPr>
        <w:t>In response to the COVID-19 pandemic, the Federal Banking Agencies supported banking organizations that are taking actions to assist customers in a prudent, safe and sound manner, including thro</w:t>
      </w:r>
      <w:r>
        <w:rPr>
          <w:rFonts w:eastAsia="Times New Roman"/>
          <w:color w:val="000000"/>
          <w:sz w:val="20"/>
          <w:szCs w:val="20"/>
        </w:rPr>
        <w:t>ugh loan modifications. As part of our response to the COVID-19 pandemic, we began offering programs to accommodate customer hardship across our lines of business in the first quarter of 2020, with the largest programs offered to our Auto and Domestic Card</w:t>
      </w:r>
      <w:r>
        <w:rPr>
          <w:rFonts w:eastAsia="Times New Roman"/>
          <w:color w:val="000000"/>
          <w:sz w:val="20"/>
          <w:szCs w:val="20"/>
        </w:rPr>
        <w:t xml:space="preserve"> customers. Our COVID-19 programs were designed to be short-term accommodations so that we could provide our customers with prompt relief. Information about the customer accommodation programs we offered during 2020 is below, along with the impacts of enro</w:t>
      </w:r>
      <w:r>
        <w:rPr>
          <w:rFonts w:eastAsia="Times New Roman"/>
          <w:color w:val="000000"/>
          <w:sz w:val="20"/>
          <w:szCs w:val="20"/>
        </w:rPr>
        <w:t xml:space="preserve">llment on accrual and delinquency status. </w:t>
      </w:r>
    </w:p>
    <w:p w:rsidR="00000000" w:rsidRDefault="00E0782F">
      <w:pPr>
        <w:jc w:val="both"/>
        <w:divId w:val="682319498"/>
        <w:rPr>
          <w:rFonts w:eastAsia="Times New Roman"/>
        </w:rPr>
      </w:pPr>
      <w:r>
        <w:rPr>
          <w:rFonts w:eastAsia="Times New Roman"/>
          <w:color w:val="000000"/>
          <w:sz w:val="20"/>
          <w:szCs w:val="20"/>
        </w:rPr>
        <w:t>Additional guidance issued by the Federal Banking Agencies and contained in the CARES Act provides banking organizations with TDR relief for modifications of current borrowers impacted by the COVID-19 pandemic. In</w:t>
      </w:r>
      <w:r>
        <w:rPr>
          <w:rFonts w:eastAsia="Times New Roman"/>
          <w:color w:val="000000"/>
          <w:sz w:val="20"/>
          <w:szCs w:val="20"/>
        </w:rPr>
        <w:t xml:space="preserve"> adherence with the guidance, we assessed all loan modifications introduced to current borrowers in response to the COVID-19 pandemic through December 31, 2020, that would have been designated as TDRs under our existing policies, and followed guidance that</w:t>
      </w:r>
      <w:r>
        <w:rPr>
          <w:rFonts w:eastAsia="Times New Roman"/>
          <w:color w:val="000000"/>
          <w:sz w:val="20"/>
          <w:szCs w:val="20"/>
        </w:rPr>
        <w:t xml:space="preserve"> any such eligible loan modifications made on a temporary and good faith basis are not considered TDRs. Through December 31, 2020, approximately 80% of enrollments in our customer accommodation programs have been for only 1-2 months, which would generally </w:t>
      </w:r>
      <w:r>
        <w:rPr>
          <w:rFonts w:eastAsia="Times New Roman"/>
          <w:color w:val="000000"/>
          <w:sz w:val="20"/>
          <w:szCs w:val="20"/>
        </w:rPr>
        <w:t>not have resulted in TDR classification under our existing policies as the concession granted was insignificant.</w:t>
      </w:r>
    </w:p>
    <w:p w:rsidR="00000000" w:rsidRDefault="00E0782F">
      <w:pPr>
        <w:jc w:val="both"/>
        <w:divId w:val="176118451"/>
        <w:rPr>
          <w:rFonts w:eastAsia="Times New Roman"/>
        </w:rPr>
      </w:pPr>
      <w:r>
        <w:rPr>
          <w:rFonts w:eastAsia="Times New Roman"/>
          <w:color w:val="000000"/>
          <w:sz w:val="20"/>
          <w:szCs w:val="20"/>
        </w:rPr>
        <w:t xml:space="preserve">We consider the impact of all loan modifications, including those offered via our COVID-19 programs, when estimating the credit quality of our </w:t>
      </w:r>
      <w:r>
        <w:rPr>
          <w:rFonts w:eastAsia="Times New Roman"/>
          <w:color w:val="000000"/>
          <w:sz w:val="20"/>
          <w:szCs w:val="20"/>
        </w:rPr>
        <w:t>loan portfolio and establishing allowance levels. For our Commercial Banking customers, enrollment in a customer assistance program is also considered in the assignment of an internal risk rating.</w:t>
      </w:r>
    </w:p>
    <w:p w:rsidR="00000000" w:rsidRDefault="00E0782F">
      <w:pPr>
        <w:divId w:val="931203018"/>
        <w:rPr>
          <w:rFonts w:eastAsia="Times New Roman"/>
        </w:rPr>
      </w:pPr>
      <w:r>
        <w:rPr>
          <w:rFonts w:eastAsia="Times New Roman"/>
          <w:b/>
          <w:bCs/>
          <w:i/>
          <w:iCs/>
          <w:color w:val="000000"/>
          <w:sz w:val="20"/>
          <w:szCs w:val="20"/>
        </w:rPr>
        <w:t>Auto Customer Assistance Program</w:t>
      </w:r>
    </w:p>
    <w:p w:rsidR="00000000" w:rsidRDefault="00E0782F">
      <w:pPr>
        <w:jc w:val="both"/>
        <w:divId w:val="1412967830"/>
        <w:rPr>
          <w:rFonts w:eastAsia="Times New Roman"/>
        </w:rPr>
      </w:pPr>
      <w:r>
        <w:rPr>
          <w:rFonts w:eastAsia="Times New Roman"/>
          <w:color w:val="000000"/>
          <w:sz w:val="20"/>
          <w:szCs w:val="20"/>
        </w:rPr>
        <w:t>Within our auto business, we generally offered customers a 1-2 month payment extension, with an option to renew, and fee waivers. Auto loans enrolled in short-term payment extensions continue to accrue interest. The contractual term of the loan is extended</w:t>
      </w:r>
      <w:r>
        <w:rPr>
          <w:rFonts w:eastAsia="Times New Roman"/>
          <w:color w:val="000000"/>
          <w:sz w:val="20"/>
          <w:szCs w:val="20"/>
        </w:rPr>
        <w:t xml:space="preserve"> by the length of the short-term payment extension and the delinquency status is updated to reflect the revised terms of the loan. For customers that were delinquent at the time of enrollment, their delinquency status is reduced commensurate with the lengt</w:t>
      </w:r>
      <w:r>
        <w:rPr>
          <w:rFonts w:eastAsia="Times New Roman"/>
          <w:color w:val="000000"/>
          <w:sz w:val="20"/>
          <w:szCs w:val="20"/>
        </w:rPr>
        <w:t>h of the short-term payment extension. For most of 2020, relief was limited to a maximum of six monthly payments. In December 2020, the limit was reduced to a maximum of four monthly payments when temporary payment reduction programs were made available to</w:t>
      </w:r>
      <w:r>
        <w:rPr>
          <w:rFonts w:eastAsia="Times New Roman"/>
          <w:color w:val="000000"/>
          <w:sz w:val="20"/>
          <w:szCs w:val="20"/>
        </w:rPr>
        <w:t xml:space="preserve"> customers. </w:t>
      </w:r>
    </w:p>
    <w:p w:rsidR="00000000" w:rsidRDefault="00E0782F">
      <w:pPr>
        <w:jc w:val="both"/>
        <w:divId w:val="1809393043"/>
        <w:rPr>
          <w:rFonts w:eastAsia="Times New Roman"/>
        </w:rPr>
      </w:pPr>
      <w:r>
        <w:rPr>
          <w:rFonts w:eastAsia="Times New Roman"/>
          <w:color w:val="000000"/>
          <w:sz w:val="20"/>
          <w:szCs w:val="20"/>
        </w:rPr>
        <w:t>Through December 31, 2020, a total of 17.8% of accounts representing $12.3 billion of loans outstanding have received a short-term payment extension at any time through this program (including those who are no longer enrolled). Approximately 7</w:t>
      </w:r>
      <w:r>
        <w:rPr>
          <w:rFonts w:eastAsia="Times New Roman"/>
          <w:color w:val="000000"/>
          <w:sz w:val="20"/>
          <w:szCs w:val="20"/>
        </w:rPr>
        <w:t>3% of these customers were current at the time of their first enrollment. As of December 31, 2020, approximately 0.6% of accounts, representing $437 million of loans outstanding, were enrolled and had been approved to skip their upcoming payment. Approxima</w:t>
      </w:r>
      <w:r>
        <w:rPr>
          <w:rFonts w:eastAsia="Times New Roman"/>
          <w:color w:val="000000"/>
          <w:sz w:val="20"/>
          <w:szCs w:val="20"/>
        </w:rPr>
        <w:t>tely 81% of total cumulative enrollments, representing $10.3 billion of loans outstanding, were current as of December 31, 2020.</w:t>
      </w:r>
    </w:p>
    <w:p w:rsidR="00000000" w:rsidRDefault="00E0782F">
      <w:pPr>
        <w:divId w:val="444662035"/>
        <w:rPr>
          <w:rFonts w:eastAsia="Times New Roman"/>
        </w:rPr>
      </w:pPr>
      <w:r>
        <w:rPr>
          <w:rFonts w:eastAsia="Times New Roman"/>
          <w:b/>
          <w:bCs/>
          <w:i/>
          <w:iCs/>
          <w:color w:val="000000"/>
          <w:sz w:val="20"/>
          <w:szCs w:val="20"/>
        </w:rPr>
        <w:t>Domestic Card Customer Assistance Program</w:t>
      </w:r>
    </w:p>
    <w:p w:rsidR="00000000" w:rsidRDefault="00E0782F">
      <w:pPr>
        <w:jc w:val="both"/>
        <w:divId w:val="1222598999"/>
        <w:rPr>
          <w:rFonts w:eastAsia="Times New Roman"/>
        </w:rPr>
      </w:pPr>
      <w:r>
        <w:rPr>
          <w:rFonts w:eastAsia="Times New Roman"/>
          <w:color w:val="000000"/>
          <w:sz w:val="20"/>
          <w:szCs w:val="20"/>
        </w:rPr>
        <w:t xml:space="preserve">Within our domestic credit card business, customers were offered a one-month payment </w:t>
      </w:r>
      <w:r>
        <w:rPr>
          <w:rFonts w:eastAsia="Times New Roman"/>
          <w:color w:val="000000"/>
          <w:sz w:val="20"/>
          <w:szCs w:val="20"/>
        </w:rPr>
        <w:t>deferral, with the option to renew, and fee waivers. Card loans enrolled in the deferral program continue to accrue interest. Their delinquency status was generally frozen at the time of enrollment and, upon exiting the program, resumed the delinquency sta</w:t>
      </w:r>
      <w:r>
        <w:rPr>
          <w:rFonts w:eastAsia="Times New Roman"/>
          <w:color w:val="000000"/>
          <w:sz w:val="20"/>
          <w:szCs w:val="20"/>
        </w:rPr>
        <w:t xml:space="preserve">tus at the time of enrollment. </w:t>
      </w:r>
    </w:p>
    <w:p w:rsidR="00000000" w:rsidRDefault="00E0782F">
      <w:pPr>
        <w:jc w:val="both"/>
        <w:divId w:val="1728532967"/>
        <w:rPr>
          <w:rFonts w:eastAsia="Times New Roman"/>
        </w:rPr>
      </w:pPr>
      <w:r>
        <w:rPr>
          <w:rFonts w:eastAsia="Times New Roman"/>
          <w:color w:val="000000"/>
          <w:sz w:val="20"/>
          <w:szCs w:val="20"/>
        </w:rPr>
        <w:t xml:space="preserve">Through December 31, 2020, excluding certain retail partnership portfolios, a total of 2.9% of active accounts representing $3.9 billion of loans outstanding have received a payment deferral at any time through this program </w:t>
      </w:r>
      <w:r>
        <w:rPr>
          <w:rFonts w:eastAsia="Times New Roman"/>
          <w:color w:val="000000"/>
          <w:sz w:val="20"/>
          <w:szCs w:val="20"/>
        </w:rPr>
        <w:t>(including those who are no longer enrolled as of December 31, 2020). Approximately 91% of these customers were current at the time of their first enrollment. As of December 31, 2020, approximately 0.1% of active accounts, representing $135 million of loan</w:t>
      </w:r>
      <w:r>
        <w:rPr>
          <w:rFonts w:eastAsia="Times New Roman"/>
          <w:color w:val="000000"/>
          <w:sz w:val="20"/>
          <w:szCs w:val="20"/>
        </w:rPr>
        <w:t xml:space="preserve">s outstanding, were enrolled and had been approved to skip their upcoming payment. Approximately 83% of total cumulative enrollments, representing $3.1 billion of loans outstanding, were current as of December 31, 2020. </w:t>
      </w:r>
    </w:p>
    <w:p w:rsidR="00000000" w:rsidRDefault="00E0782F">
      <w:pPr>
        <w:divId w:val="570046603"/>
        <w:rPr>
          <w:rFonts w:eastAsia="Times New Roman"/>
        </w:rPr>
      </w:pPr>
      <w:r>
        <w:rPr>
          <w:rFonts w:eastAsia="Times New Roman"/>
          <w:b/>
          <w:bCs/>
          <w:i/>
          <w:iCs/>
          <w:color w:val="000000"/>
          <w:sz w:val="20"/>
          <w:szCs w:val="20"/>
        </w:rPr>
        <w:t>Temporary Payment Reduction Program</w:t>
      </w:r>
      <w:r>
        <w:rPr>
          <w:rFonts w:eastAsia="Times New Roman"/>
          <w:b/>
          <w:bCs/>
          <w:i/>
          <w:iCs/>
          <w:color w:val="000000"/>
          <w:sz w:val="20"/>
          <w:szCs w:val="20"/>
        </w:rPr>
        <w:t>s</w:t>
      </w:r>
    </w:p>
    <w:p w:rsidR="00000000" w:rsidRDefault="00E0782F">
      <w:pPr>
        <w:jc w:val="both"/>
        <w:divId w:val="1091050098"/>
        <w:rPr>
          <w:rFonts w:eastAsia="Times New Roman"/>
        </w:rPr>
      </w:pPr>
      <w:r>
        <w:rPr>
          <w:rFonts w:eastAsia="Times New Roman"/>
          <w:color w:val="000000"/>
          <w:sz w:val="20"/>
          <w:szCs w:val="20"/>
        </w:rPr>
        <w:t>As the COVID-19 pandemic has progressed, we have continued to work with customers to understand their needs. In response to those efforts, temporary payment reduction programs, ranging from 6-9 months, were made available to auto and domestic card custom</w:t>
      </w:r>
      <w:r>
        <w:rPr>
          <w:rFonts w:eastAsia="Times New Roman"/>
          <w:color w:val="000000"/>
          <w:sz w:val="20"/>
          <w:szCs w:val="20"/>
        </w:rPr>
        <w:t xml:space="preserve">ers in the fourth quarter of 2020. As of December 31, 2020, less than 0.1% of accounts were enrolled in these programs.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4445615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4445615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4445615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8" style="width:0;height:1.5pt" o:hralign="center" o:hrstd="t" o:hr="t" fillcolor="#a0a0a0" stroked="f"/>
        </w:pict>
      </w:r>
    </w:p>
    <w:p w:rsidR="00000000" w:rsidRDefault="00E0782F">
      <w:pPr>
        <w:ind w:hanging="360"/>
        <w:jc w:val="both"/>
        <w:divId w:val="284964527"/>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450705616"/>
        <w:rPr>
          <w:rFonts w:eastAsia="Times New Roman"/>
        </w:rPr>
      </w:pPr>
      <w:r>
        <w:rPr>
          <w:rFonts w:eastAsia="Times New Roman"/>
          <w:b/>
          <w:bCs/>
          <w:i/>
          <w:iCs/>
          <w:color w:val="000000"/>
          <w:sz w:val="20"/>
          <w:szCs w:val="20"/>
        </w:rPr>
        <w:t>Other Customer Assistance Programs</w:t>
      </w:r>
    </w:p>
    <w:p w:rsidR="00000000" w:rsidRDefault="00E0782F">
      <w:pPr>
        <w:jc w:val="both"/>
        <w:divId w:val="334692558"/>
        <w:rPr>
          <w:rFonts w:eastAsia="Times New Roman"/>
        </w:rPr>
      </w:pPr>
      <w:r>
        <w:rPr>
          <w:rFonts w:eastAsia="Times New Roman"/>
          <w:color w:val="000000"/>
          <w:sz w:val="20"/>
          <w:szCs w:val="20"/>
        </w:rPr>
        <w:t xml:space="preserve">While the vast majority of enrollments were in our </w:t>
      </w:r>
      <w:r>
        <w:rPr>
          <w:rFonts w:eastAsia="Times New Roman"/>
          <w:color w:val="000000"/>
          <w:sz w:val="20"/>
          <w:szCs w:val="20"/>
        </w:rPr>
        <w:t>auto and domestic card business, hardship accommodations were also made available to our international credit card, small business banking, and commercial banking customers. For our commercial banking customers, our offerings are more customized, but gener</w:t>
      </w:r>
      <w:r>
        <w:rPr>
          <w:rFonts w:eastAsia="Times New Roman"/>
          <w:color w:val="000000"/>
          <w:sz w:val="20"/>
          <w:szCs w:val="20"/>
        </w:rPr>
        <w:t xml:space="preserve">ally include short-term payment deferrals. We also offered PPP loans to our eligible small business banking and commercial banking clients. </w:t>
      </w:r>
    </w:p>
    <w:p w:rsidR="00000000" w:rsidRDefault="00E0782F">
      <w:pPr>
        <w:divId w:val="1986229382"/>
        <w:rPr>
          <w:rFonts w:eastAsia="Times New Roman"/>
        </w:rPr>
      </w:pPr>
      <w:r>
        <w:rPr>
          <w:rFonts w:eastAsia="Times New Roman"/>
          <w:b/>
          <w:bCs/>
          <w:color w:val="000000"/>
          <w:sz w:val="20"/>
          <w:szCs w:val="20"/>
        </w:rPr>
        <w:t>Troubled Debt Restructurings</w:t>
      </w:r>
    </w:p>
    <w:p w:rsidR="00000000" w:rsidRDefault="00E0782F">
      <w:pPr>
        <w:jc w:val="both"/>
        <w:divId w:val="1673145681"/>
        <w:rPr>
          <w:rFonts w:eastAsia="Times New Roman"/>
        </w:rPr>
      </w:pPr>
      <w:r>
        <w:rPr>
          <w:rFonts w:eastAsia="Times New Roman"/>
          <w:color w:val="000000"/>
          <w:sz w:val="20"/>
          <w:szCs w:val="20"/>
        </w:rPr>
        <w:t xml:space="preserve">As part of our loss mitigation efforts, we may provide short-term (three to twelve months) or long-term (greater than twelve months) modifications to a borrower experiencing financial difficulty to improve long-term collectability of the loan and to avoid </w:t>
      </w:r>
      <w:r>
        <w:rPr>
          <w:rFonts w:eastAsia="Times New Roman"/>
          <w:color w:val="000000"/>
          <w:sz w:val="20"/>
          <w:szCs w:val="20"/>
        </w:rPr>
        <w:t>the need for repossession or foreclosure of collateral.</w:t>
      </w:r>
    </w:p>
    <w:p w:rsidR="00000000" w:rsidRDefault="00E0782F">
      <w:pPr>
        <w:jc w:val="both"/>
        <w:divId w:val="57023471"/>
        <w:rPr>
          <w:rFonts w:eastAsia="Times New Roman"/>
        </w:rPr>
      </w:pPr>
      <w:r>
        <w:rPr>
          <w:rFonts w:eastAsia="Times New Roman"/>
          <w:color w:val="000000"/>
          <w:sz w:val="20"/>
          <w:szCs w:val="20"/>
        </w:rPr>
        <w:t>Table 28 presents our amortized cost of loans modified in TDRs as of December 31, 2020 and 2019, which excludes loan modifications that do not meet the definition of a TDR and loans that received reli</w:t>
      </w:r>
      <w:r>
        <w:rPr>
          <w:rFonts w:eastAsia="Times New Roman"/>
          <w:color w:val="000000"/>
          <w:sz w:val="20"/>
          <w:szCs w:val="20"/>
        </w:rPr>
        <w:t>ef under the guidance issued by the Federal Banking Agencies and contained in the CARES Act in response to the COVID-19 pandemic.</w:t>
      </w:r>
    </w:p>
    <w:p w:rsidR="00000000" w:rsidRDefault="00E0782F">
      <w:pPr>
        <w:divId w:val="586697771"/>
        <w:rPr>
          <w:rFonts w:eastAsia="Times New Roman"/>
        </w:rPr>
      </w:pPr>
      <w:r>
        <w:rPr>
          <w:rFonts w:eastAsia="Times New Roman"/>
          <w:b/>
          <w:bCs/>
          <w:color w:val="000000"/>
          <w:sz w:val="18"/>
          <w:szCs w:val="18"/>
        </w:rPr>
        <w:t>Table 28: Troubled Debt Restructurings</w:t>
      </w:r>
    </w:p>
    <w:tbl>
      <w:tblPr>
        <w:tblW w:w="4992" w:type="pct"/>
        <w:tblCellMar>
          <w:top w:w="15" w:type="dxa"/>
          <w:left w:w="15" w:type="dxa"/>
          <w:bottom w:w="15" w:type="dxa"/>
          <w:right w:w="15" w:type="dxa"/>
        </w:tblCellMar>
        <w:tblLook w:val="04A0" w:firstRow="1" w:lastRow="0" w:firstColumn="1" w:lastColumn="0" w:noHBand="0" w:noVBand="1"/>
      </w:tblPr>
      <w:tblGrid>
        <w:gridCol w:w="41"/>
        <w:gridCol w:w="4089"/>
        <w:gridCol w:w="39"/>
        <w:gridCol w:w="36"/>
        <w:gridCol w:w="36"/>
        <w:gridCol w:w="36"/>
        <w:gridCol w:w="111"/>
        <w:gridCol w:w="539"/>
        <w:gridCol w:w="37"/>
        <w:gridCol w:w="36"/>
        <w:gridCol w:w="36"/>
        <w:gridCol w:w="36"/>
        <w:gridCol w:w="94"/>
        <w:gridCol w:w="880"/>
        <w:gridCol w:w="200"/>
        <w:gridCol w:w="36"/>
        <w:gridCol w:w="36"/>
        <w:gridCol w:w="36"/>
        <w:gridCol w:w="111"/>
        <w:gridCol w:w="539"/>
        <w:gridCol w:w="37"/>
        <w:gridCol w:w="36"/>
        <w:gridCol w:w="36"/>
        <w:gridCol w:w="36"/>
        <w:gridCol w:w="94"/>
        <w:gridCol w:w="880"/>
        <w:gridCol w:w="170"/>
      </w:tblGrid>
      <w:tr w:rsidR="00000000">
        <w:trPr>
          <w:divId w:val="289558631"/>
        </w:trPr>
        <w:tc>
          <w:tcPr>
            <w:tcW w:w="50" w:type="pct"/>
            <w:vAlign w:val="center"/>
            <w:hideMark/>
          </w:tcPr>
          <w:p w:rsidR="00000000" w:rsidRDefault="00E0782F">
            <w:pPr>
              <w:rPr>
                <w:rFonts w:eastAsia="Times New Roman"/>
              </w:rPr>
            </w:pPr>
          </w:p>
        </w:tc>
        <w:tc>
          <w:tcPr>
            <w:tcW w:w="26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89558631"/>
        </w:trPr>
        <w:tc>
          <w:tcPr>
            <w:tcW w:w="0" w:type="auto"/>
            <w:gridSpan w:val="3"/>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289558631"/>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 Modifications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 Modifications</w:t>
            </w:r>
          </w:p>
        </w:tc>
      </w:tr>
      <w:tr w:rsidR="00000000">
        <w:trPr>
          <w:divId w:val="28955863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89558631"/>
        </w:trPr>
        <w:tc>
          <w:tcPr>
            <w:tcW w:w="0" w:type="auto"/>
            <w:gridSpan w:val="3"/>
            <w:shd w:val="clear" w:color="auto" w:fill="FFFF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89558631"/>
        </w:trPr>
        <w:tc>
          <w:tcPr>
            <w:tcW w:w="0" w:type="auto"/>
            <w:gridSpan w:val="3"/>
            <w:shd w:val="clear" w:color="auto" w:fill="CCEE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10.4</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8955863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34.9</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8955863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8955863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8955863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8955863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8955863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8955863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8955863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Status of TDRs: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8955863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Performing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8955863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Nonperforming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8955863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2,084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jc w:val="both"/>
        <w:divId w:val="729112453"/>
        <w:rPr>
          <w:rFonts w:eastAsia="Times New Roman"/>
        </w:rPr>
      </w:pPr>
      <w:r>
        <w:rPr>
          <w:rFonts w:eastAsia="Times New Roman"/>
          <w:color w:val="000000"/>
          <w:sz w:val="20"/>
          <w:szCs w:val="20"/>
        </w:rPr>
        <w:t>In our Credit Card business, the majority of our credit card loans modified in TDRs involve reducing the interest rate on the account and placing the customer on a fixed payment plan not exceeding 60 months. The effective interest rate in effect imm</w:t>
      </w:r>
      <w:r>
        <w:rPr>
          <w:rFonts w:eastAsia="Times New Roman"/>
          <w:color w:val="000000"/>
          <w:sz w:val="20"/>
          <w:szCs w:val="20"/>
        </w:rPr>
        <w:t>ediately prior to the loan modification is used as the effective interest rate for purposes of measuring impairment using the present value of expected cash flows. If the customer does not comply with the modified payment terms, then the credit card loan a</w:t>
      </w:r>
      <w:r>
        <w:rPr>
          <w:rFonts w:eastAsia="Times New Roman"/>
          <w:color w:val="000000"/>
          <w:sz w:val="20"/>
          <w:szCs w:val="20"/>
        </w:rPr>
        <w:t>greement may revert to its original payment terms, generally resulting in any loan outstanding reflected in the appropriate delinquency category and charged off in accordance with our standard charge-off policy.</w:t>
      </w:r>
    </w:p>
    <w:p w:rsidR="00000000" w:rsidRDefault="00E0782F">
      <w:pPr>
        <w:jc w:val="both"/>
        <w:divId w:val="500971176"/>
        <w:rPr>
          <w:rFonts w:eastAsia="Times New Roman"/>
        </w:rPr>
      </w:pPr>
      <w:r>
        <w:rPr>
          <w:rFonts w:eastAsia="Times New Roman"/>
          <w:color w:val="000000"/>
          <w:sz w:val="20"/>
          <w:szCs w:val="20"/>
        </w:rPr>
        <w:t>In our Consumer Banking business, the majori</w:t>
      </w:r>
      <w:r>
        <w:rPr>
          <w:rFonts w:eastAsia="Times New Roman"/>
          <w:color w:val="000000"/>
          <w:sz w:val="20"/>
          <w:szCs w:val="20"/>
        </w:rPr>
        <w:t>ty of our loans modified in TDRs receive an extension, an interest rate reduction or principal reduction, or a combination of these concessions. In addition, TDRs also occur in connection with bankruptcy of the borrower. In certain bankruptcy discharges, t</w:t>
      </w:r>
      <w:r>
        <w:rPr>
          <w:rFonts w:eastAsia="Times New Roman"/>
          <w:color w:val="000000"/>
          <w:sz w:val="20"/>
          <w:szCs w:val="20"/>
        </w:rPr>
        <w:t>he loan is written down to the collateral value and the charged off amount is reported as principal reduction. Impairment is determined using the present value of expected cash flows or a collateral evaluation for certain auto loans where the collateral va</w:t>
      </w:r>
      <w:r>
        <w:rPr>
          <w:rFonts w:eastAsia="Times New Roman"/>
          <w:color w:val="000000"/>
          <w:sz w:val="20"/>
          <w:szCs w:val="20"/>
        </w:rPr>
        <w:t>lue is lower than the amortized cost.</w:t>
      </w:r>
    </w:p>
    <w:p w:rsidR="00000000" w:rsidRDefault="00E0782F">
      <w:pPr>
        <w:jc w:val="both"/>
        <w:divId w:val="1490823679"/>
        <w:rPr>
          <w:rFonts w:eastAsia="Times New Roman"/>
        </w:rPr>
      </w:pPr>
      <w:r>
        <w:rPr>
          <w:rFonts w:eastAsia="Times New Roman"/>
          <w:color w:val="000000"/>
          <w:sz w:val="20"/>
          <w:szCs w:val="20"/>
        </w:rPr>
        <w:t>In our Commercial Banking business, the majority of loans modified in TDRs receive an extension, with a portion of these loans receiving an interest rate reduction or a gross balance reduction. The impairment on modifi</w:t>
      </w:r>
      <w:r>
        <w:rPr>
          <w:rFonts w:eastAsia="Times New Roman"/>
          <w:color w:val="000000"/>
          <w:sz w:val="20"/>
          <w:szCs w:val="20"/>
        </w:rPr>
        <w:t>ed commercial loans is generally determined based on the underlying collateral value.</w:t>
      </w:r>
    </w:p>
    <w:p w:rsidR="00000000" w:rsidRDefault="00E0782F">
      <w:pPr>
        <w:jc w:val="both"/>
        <w:divId w:val="731659401"/>
        <w:rPr>
          <w:rFonts w:eastAsia="Times New Roman"/>
        </w:rPr>
      </w:pPr>
      <w:r>
        <w:rPr>
          <w:rFonts w:eastAsia="Times New Roman"/>
          <w:color w:val="000000"/>
          <w:sz w:val="20"/>
          <w:szCs w:val="20"/>
        </w:rPr>
        <w:t xml:space="preserve">We provide additional information on modified loans accounted for as TDRs, including the performance of those loans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5733422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5733422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5733422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19" style="width:0;height:1.5pt" o:hralign="center" o:hrstd="t" o:hr="t" fillcolor="#a0a0a0" stroked="f"/>
        </w:pict>
      </w:r>
    </w:p>
    <w:p w:rsidR="00000000" w:rsidRDefault="00E0782F">
      <w:pPr>
        <w:ind w:hanging="360"/>
        <w:jc w:val="both"/>
        <w:divId w:val="10743721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939991990"/>
        <w:rPr>
          <w:rFonts w:eastAsia="Times New Roman"/>
        </w:rPr>
      </w:pPr>
      <w:r>
        <w:rPr>
          <w:rFonts w:eastAsia="Times New Roman"/>
          <w:color w:val="000000"/>
          <w:sz w:val="20"/>
          <w:szCs w:val="20"/>
        </w:rPr>
        <w:t>subsequent to modification, in “Note 3—Loans.”</w:t>
      </w:r>
    </w:p>
    <w:p w:rsidR="00000000" w:rsidRDefault="00E0782F">
      <w:pPr>
        <w:divId w:val="58600742"/>
        <w:rPr>
          <w:rFonts w:eastAsia="Times New Roman"/>
        </w:rPr>
      </w:pPr>
      <w:r>
        <w:rPr>
          <w:rFonts w:eastAsia="Times New Roman"/>
          <w:b/>
          <w:bCs/>
          <w:color w:val="000000"/>
          <w:sz w:val="20"/>
          <w:szCs w:val="20"/>
        </w:rPr>
        <w:t>Allowance for Credit Losses and Reserve</w:t>
      </w:r>
      <w:r>
        <w:rPr>
          <w:rFonts w:eastAsia="Times New Roman"/>
          <w:b/>
          <w:bCs/>
          <w:color w:val="000000"/>
          <w:sz w:val="20"/>
          <w:szCs w:val="20"/>
        </w:rPr>
        <w:t xml:space="preserve"> for Unfunded Lending Commitments</w:t>
      </w:r>
    </w:p>
    <w:p w:rsidR="00000000" w:rsidRDefault="00E0782F">
      <w:pPr>
        <w:jc w:val="both"/>
        <w:divId w:val="501050452"/>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sheet date. Expected recoveries of amounts p</w:t>
      </w:r>
      <w:r>
        <w:rPr>
          <w:rFonts w:eastAsia="Times New Roman"/>
          <w:color w:val="000000"/>
          <w:sz w:val="20"/>
          <w:szCs w:val="20"/>
        </w:rPr>
        <w:t xml:space="preserve">reviously charged off or expected to be charged off are recognized within the allowance. We also estimate expected credit losses related to unfunded lending commitments that are not unconditionally cancellable. The provision for losses on unfunded lending </w:t>
      </w:r>
      <w:r>
        <w:rPr>
          <w:rFonts w:eastAsia="Times New Roman"/>
          <w:color w:val="000000"/>
          <w:sz w:val="20"/>
          <w:szCs w:val="20"/>
        </w:rPr>
        <w:t>commitments is included in the provision for credit losses in our consolidated statements of income and the related reserve for unfunded lending commitments is included in other liabilities on our consolidated balance sheets. We provide additional informat</w:t>
      </w:r>
      <w:r>
        <w:rPr>
          <w:rFonts w:eastAsia="Times New Roman"/>
          <w:color w:val="000000"/>
          <w:sz w:val="20"/>
          <w:szCs w:val="20"/>
        </w:rPr>
        <w:t xml:space="preserve">ion on the methodologies and key assumptions used in determining our allowance for credit losses in “Note 1—Summary of Significant Accounting Policies.” </w:t>
      </w:r>
    </w:p>
    <w:p w:rsidR="00000000" w:rsidRDefault="00E0782F">
      <w:pPr>
        <w:jc w:val="both"/>
        <w:divId w:val="2829406"/>
        <w:rPr>
          <w:rFonts w:eastAsia="Times New Roman"/>
        </w:rPr>
      </w:pPr>
      <w:r>
        <w:rPr>
          <w:rFonts w:eastAsia="Times New Roman"/>
          <w:color w:val="000000"/>
          <w:sz w:val="20"/>
          <w:szCs w:val="20"/>
        </w:rPr>
        <w:t>Table 29 presents changes in our allowance for credit losses and reserve for unfunded lending commitme</w:t>
      </w:r>
      <w:r>
        <w:rPr>
          <w:rFonts w:eastAsia="Times New Roman"/>
          <w:color w:val="000000"/>
          <w:sz w:val="20"/>
          <w:szCs w:val="20"/>
        </w:rPr>
        <w:t>nts for 2020 and 2019, and details by portfolio segment for the provision for credit losses, charge-offs and recoveries. The cumulative effects from the adoption of the CECL standard and the change to include our finance charge and fee reserve in the allow</w:t>
      </w:r>
      <w:r>
        <w:rPr>
          <w:rFonts w:eastAsia="Times New Roman"/>
          <w:color w:val="000000"/>
          <w:sz w:val="20"/>
          <w:szCs w:val="20"/>
        </w:rPr>
        <w:t>ance for credit losses are included in Table 29 and Table 30 below.</w:t>
      </w:r>
    </w:p>
    <w:tbl>
      <w:tblPr>
        <w:tblW w:w="5000" w:type="pct"/>
        <w:tblCellMar>
          <w:top w:w="15" w:type="dxa"/>
          <w:left w:w="15" w:type="dxa"/>
          <w:bottom w:w="15" w:type="dxa"/>
          <w:right w:w="15" w:type="dxa"/>
        </w:tblCellMar>
        <w:tblLook w:val="04A0" w:firstRow="1" w:lastRow="0" w:firstColumn="1" w:lastColumn="0" w:noHBand="0" w:noVBand="1"/>
      </w:tblPr>
      <w:tblGrid>
        <w:gridCol w:w="54"/>
        <w:gridCol w:w="3143"/>
        <w:gridCol w:w="36"/>
        <w:gridCol w:w="36"/>
        <w:gridCol w:w="36"/>
        <w:gridCol w:w="36"/>
        <w:gridCol w:w="36"/>
        <w:gridCol w:w="402"/>
        <w:gridCol w:w="36"/>
        <w:gridCol w:w="36"/>
        <w:gridCol w:w="36"/>
        <w:gridCol w:w="36"/>
        <w:gridCol w:w="36"/>
        <w:gridCol w:w="555"/>
        <w:gridCol w:w="36"/>
        <w:gridCol w:w="36"/>
        <w:gridCol w:w="36"/>
        <w:gridCol w:w="36"/>
        <w:gridCol w:w="36"/>
        <w:gridCol w:w="365"/>
        <w:gridCol w:w="36"/>
        <w:gridCol w:w="36"/>
        <w:gridCol w:w="36"/>
        <w:gridCol w:w="36"/>
        <w:gridCol w:w="36"/>
        <w:gridCol w:w="319"/>
        <w:gridCol w:w="36"/>
        <w:gridCol w:w="36"/>
        <w:gridCol w:w="36"/>
        <w:gridCol w:w="36"/>
        <w:gridCol w:w="36"/>
        <w:gridCol w:w="365"/>
        <w:gridCol w:w="36"/>
        <w:gridCol w:w="36"/>
        <w:gridCol w:w="36"/>
        <w:gridCol w:w="36"/>
        <w:gridCol w:w="36"/>
        <w:gridCol w:w="483"/>
        <w:gridCol w:w="36"/>
        <w:gridCol w:w="36"/>
        <w:gridCol w:w="36"/>
        <w:gridCol w:w="36"/>
        <w:gridCol w:w="36"/>
        <w:gridCol w:w="558"/>
        <w:gridCol w:w="36"/>
        <w:gridCol w:w="36"/>
        <w:gridCol w:w="36"/>
        <w:gridCol w:w="36"/>
        <w:gridCol w:w="36"/>
        <w:gridCol w:w="36"/>
        <w:gridCol w:w="36"/>
        <w:gridCol w:w="36"/>
        <w:gridCol w:w="36"/>
        <w:gridCol w:w="36"/>
        <w:gridCol w:w="36"/>
        <w:gridCol w:w="370"/>
        <w:gridCol w:w="36"/>
      </w:tblGrid>
      <w:tr w:rsidR="00000000">
        <w:trPr>
          <w:divId w:val="1727219043"/>
        </w:trPr>
        <w:tc>
          <w:tcPr>
            <w:tcW w:w="50" w:type="pct"/>
            <w:vAlign w:val="center"/>
            <w:hideMark/>
          </w:tcPr>
          <w:p w:rsidR="00000000" w:rsidRDefault="00E0782F">
            <w:pPr>
              <w:jc w:val="both"/>
              <w:rPr>
                <w:rFonts w:eastAsia="Times New Roman"/>
              </w:rPr>
            </w:pPr>
          </w:p>
        </w:tc>
        <w:tc>
          <w:tcPr>
            <w:tcW w:w="19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727219043"/>
          <w:trHeight w:val="60"/>
        </w:trPr>
        <w:tc>
          <w:tcPr>
            <w:tcW w:w="0" w:type="auto"/>
            <w:gridSpan w:val="51"/>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272190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divId w:val="31360314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0668017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0668017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0668017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0" style="width:0;height:1.5pt" o:hralign="center" o:hrstd="t" o:hr="t" fillcolor="#a0a0a0" stroked="f"/>
        </w:pict>
      </w:r>
    </w:p>
    <w:p w:rsidR="00000000" w:rsidRDefault="00E0782F">
      <w:pPr>
        <w:ind w:hanging="360"/>
        <w:jc w:val="both"/>
        <w:divId w:val="184019635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865216441"/>
        <w:rPr>
          <w:rFonts w:eastAsia="Times New Roman"/>
        </w:rPr>
      </w:pPr>
      <w:r>
        <w:rPr>
          <w:rFonts w:eastAsia="Times New Roman"/>
          <w:b/>
          <w:bCs/>
          <w:color w:val="000000"/>
          <w:sz w:val="18"/>
          <w:szCs w:val="18"/>
        </w:rPr>
        <w:t>Table 29: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54"/>
        <w:gridCol w:w="3143"/>
        <w:gridCol w:w="36"/>
        <w:gridCol w:w="36"/>
        <w:gridCol w:w="36"/>
        <w:gridCol w:w="36"/>
        <w:gridCol w:w="36"/>
        <w:gridCol w:w="402"/>
        <w:gridCol w:w="36"/>
        <w:gridCol w:w="36"/>
        <w:gridCol w:w="36"/>
        <w:gridCol w:w="36"/>
        <w:gridCol w:w="36"/>
        <w:gridCol w:w="555"/>
        <w:gridCol w:w="36"/>
        <w:gridCol w:w="36"/>
        <w:gridCol w:w="36"/>
        <w:gridCol w:w="36"/>
        <w:gridCol w:w="36"/>
        <w:gridCol w:w="365"/>
        <w:gridCol w:w="36"/>
        <w:gridCol w:w="36"/>
        <w:gridCol w:w="36"/>
        <w:gridCol w:w="36"/>
        <w:gridCol w:w="36"/>
        <w:gridCol w:w="319"/>
        <w:gridCol w:w="36"/>
        <w:gridCol w:w="36"/>
        <w:gridCol w:w="36"/>
        <w:gridCol w:w="36"/>
        <w:gridCol w:w="36"/>
        <w:gridCol w:w="365"/>
        <w:gridCol w:w="36"/>
        <w:gridCol w:w="36"/>
        <w:gridCol w:w="36"/>
        <w:gridCol w:w="36"/>
        <w:gridCol w:w="36"/>
        <w:gridCol w:w="483"/>
        <w:gridCol w:w="36"/>
        <w:gridCol w:w="36"/>
        <w:gridCol w:w="36"/>
        <w:gridCol w:w="36"/>
        <w:gridCol w:w="36"/>
        <w:gridCol w:w="558"/>
        <w:gridCol w:w="36"/>
        <w:gridCol w:w="36"/>
        <w:gridCol w:w="36"/>
        <w:gridCol w:w="36"/>
        <w:gridCol w:w="36"/>
        <w:gridCol w:w="36"/>
        <w:gridCol w:w="36"/>
        <w:gridCol w:w="36"/>
        <w:gridCol w:w="36"/>
        <w:gridCol w:w="36"/>
        <w:gridCol w:w="36"/>
        <w:gridCol w:w="370"/>
        <w:gridCol w:w="36"/>
      </w:tblGrid>
      <w:tr w:rsidR="00000000">
        <w:trPr>
          <w:divId w:val="1532575446"/>
        </w:trPr>
        <w:tc>
          <w:tcPr>
            <w:tcW w:w="50" w:type="pct"/>
            <w:vAlign w:val="center"/>
            <w:hideMark/>
          </w:tcPr>
          <w:p w:rsidR="00000000" w:rsidRDefault="00E0782F">
            <w:pPr>
              <w:rPr>
                <w:rFonts w:eastAsia="Times New Roman"/>
              </w:rPr>
            </w:pPr>
          </w:p>
        </w:tc>
        <w:tc>
          <w:tcPr>
            <w:tcW w:w="19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32575446"/>
          <w:trHeight w:val="60"/>
        </w:trPr>
        <w:tc>
          <w:tcPr>
            <w:tcW w:w="0" w:type="auto"/>
            <w:gridSpan w:val="51"/>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3257544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234"/>
        <w:gridCol w:w="144"/>
        <w:gridCol w:w="144"/>
        <w:gridCol w:w="144"/>
        <w:gridCol w:w="144"/>
        <w:gridCol w:w="144"/>
        <w:gridCol w:w="441"/>
        <w:gridCol w:w="144"/>
        <w:gridCol w:w="144"/>
        <w:gridCol w:w="144"/>
        <w:gridCol w:w="144"/>
        <w:gridCol w:w="144"/>
        <w:gridCol w:w="599"/>
        <w:gridCol w:w="144"/>
        <w:gridCol w:w="144"/>
        <w:gridCol w:w="144"/>
        <w:gridCol w:w="144"/>
        <w:gridCol w:w="144"/>
        <w:gridCol w:w="405"/>
        <w:gridCol w:w="144"/>
        <w:gridCol w:w="144"/>
        <w:gridCol w:w="144"/>
        <w:gridCol w:w="144"/>
        <w:gridCol w:w="144"/>
        <w:gridCol w:w="357"/>
        <w:gridCol w:w="144"/>
        <w:gridCol w:w="144"/>
        <w:gridCol w:w="144"/>
        <w:gridCol w:w="144"/>
        <w:gridCol w:w="144"/>
        <w:gridCol w:w="405"/>
        <w:gridCol w:w="144"/>
        <w:gridCol w:w="144"/>
        <w:gridCol w:w="144"/>
        <w:gridCol w:w="144"/>
        <w:gridCol w:w="144"/>
        <w:gridCol w:w="526"/>
        <w:gridCol w:w="144"/>
        <w:gridCol w:w="144"/>
        <w:gridCol w:w="144"/>
        <w:gridCol w:w="144"/>
        <w:gridCol w:w="144"/>
        <w:gridCol w:w="599"/>
        <w:gridCol w:w="144"/>
        <w:gridCol w:w="144"/>
        <w:gridCol w:w="144"/>
        <w:gridCol w:w="144"/>
        <w:gridCol w:w="160"/>
        <w:gridCol w:w="160"/>
        <w:gridCol w:w="160"/>
        <w:gridCol w:w="480"/>
        <w:gridCol w:w="480"/>
        <w:gridCol w:w="480"/>
        <w:gridCol w:w="144"/>
        <w:gridCol w:w="418"/>
        <w:gridCol w:w="144"/>
      </w:tblGrid>
      <w:tr w:rsidR="00000000">
        <w:tc>
          <w:tcPr>
            <w:tcW w:w="50" w:type="pct"/>
            <w:vAlign w:val="center"/>
            <w:hideMark/>
          </w:tcPr>
          <w:p w:rsidR="00000000" w:rsidRDefault="00E0782F">
            <w:pPr>
              <w:rPr>
                <w:rFonts w:eastAsia="Times New Roman"/>
              </w:rPr>
            </w:pPr>
          </w:p>
        </w:tc>
        <w:tc>
          <w:tcPr>
            <w:tcW w:w="19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3"/>
                <w:szCs w:val="13"/>
              </w:rPr>
              <w:t>Credit Card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3"/>
                <w:szCs w:val="13"/>
              </w:rPr>
              <w:t>Consumer 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3"/>
                <w:szCs w:val="13"/>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Domestic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International Card Businesses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Total Credit Card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Auto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Retail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Total Consumer 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Commercial 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3"/>
                <w:szCs w:val="13"/>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Allowance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2018</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990 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7,220 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(6,189)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(6,711)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(1,829)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(1,917)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(8,809)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divId w:val="581648469"/>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2,557 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(4,818)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(5,149)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(876)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Provision for loan and lease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4,671 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4,992 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Allowance build (release)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divId w:val="533227879"/>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5,395 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7,208 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Combined allowance and reserve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5,395 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7,343 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4,997 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5,395 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7,208 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2,237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2,241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2,845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divId w:val="729573664"/>
              <w:rPr>
                <w:rFonts w:eastAsia="Times New Roman"/>
              </w:rPr>
            </w:pPr>
            <w:r>
              <w:rPr>
                <w:rFonts w:eastAsia="Times New Roman"/>
                <w:color w:val="000000"/>
                <w:sz w:val="16"/>
                <w:szCs w:val="16"/>
              </w:rPr>
              <w:t>Finance charge and fee reserve reclassificatio</w:t>
            </w:r>
            <w:r>
              <w:rPr>
                <w:rFonts w:eastAsia="Times New Roman"/>
                <w:color w:val="000000"/>
                <w:sz w:val="16"/>
                <w:szCs w:val="16"/>
              </w:rPr>
              <w:t>n</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439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7,673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8,098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1,461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1,540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877</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10,515</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divId w:val="248733593"/>
              <w:rPr>
                <w:rFonts w:eastAsia="Times New Roman"/>
              </w:rPr>
            </w:pPr>
            <w:r>
              <w:rPr>
                <w:rFonts w:eastAsia="Times New Roman"/>
                <w:color w:val="000000"/>
                <w:sz w:val="16"/>
                <w:szCs w:val="16"/>
              </w:rPr>
              <w:t>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(5,318)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(431)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(5,749)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(1,464)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(1,534)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(7,677)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divId w:val="594478667"/>
              <w:rPr>
                <w:rFonts w:eastAsia="Times New Roman"/>
              </w:rPr>
            </w:pPr>
            <w:r>
              <w:rPr>
                <w:rFonts w:eastAsia="Times New Roman"/>
                <w:color w:val="000000"/>
                <w:sz w:val="16"/>
                <w:szCs w:val="16"/>
              </w:rPr>
              <w:t>Recoverie</w:t>
            </w:r>
            <w:r>
              <w:rPr>
                <w:rFonts w:eastAsia="Times New Roman"/>
                <w:color w:val="000000"/>
                <w:sz w:val="16"/>
                <w:szCs w:val="16"/>
              </w:rPr>
              <w:t>s</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1,316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942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956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2,452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(4,002)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(4,270)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(522)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(578)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(5,225)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6,979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348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7,327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1,753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1,158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10,238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Allowance build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2,977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3,057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1,154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1,175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781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5,013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divId w:val="68501768"/>
              <w:rPr>
                <w:rFonts w:eastAsia="Times New Roman"/>
              </w:rPr>
            </w:pPr>
            <w:r>
              <w:rPr>
                <w:rFonts w:eastAsia="Times New Roman"/>
                <w:color w:val="000000"/>
                <w:sz w:val="16"/>
                <w:szCs w:val="16"/>
              </w:rPr>
              <w:t>Other change</w:t>
            </w:r>
            <w:r>
              <w:rPr>
                <w:rFonts w:eastAsia="Times New Roman"/>
                <w:color w:val="000000"/>
                <w:sz w:val="16"/>
                <w:szCs w:val="16"/>
              </w:rPr>
              <w:t>s</w:t>
            </w:r>
            <w:r>
              <w:rPr>
                <w:rFonts w:eastAsia="Times New Roman"/>
                <w:color w:val="000000"/>
                <w:sz w:val="10"/>
                <w:szCs w:val="10"/>
              </w:rPr>
              <w:t>(2</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10,650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541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11,191</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2,615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1,658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15,564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172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172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Provision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195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195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Combined allowance and reserve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10,650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541</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5"/>
                <w:szCs w:val="15"/>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5"/>
                <w:szCs w:val="15"/>
              </w:rPr>
              <w:t>11,191</w:t>
            </w:r>
            <w:r>
              <w:rPr>
                <w:rFonts w:eastAsia="Times New Roman"/>
                <w:color w:val="000000"/>
                <w:sz w:val="15"/>
                <w:szCs w:val="15"/>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2,615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2,715</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1,853</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15,759</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1516191795"/>
        <w:rPr>
          <w:rFonts w:eastAsia="Times New Roman"/>
        </w:rPr>
      </w:pPr>
      <w:r>
        <w:rPr>
          <w:rFonts w:eastAsia="Times New Roman"/>
          <w:color w:val="000000"/>
          <w:sz w:val="20"/>
          <w:szCs w:val="20"/>
        </w:rPr>
        <w:t>__________</w:t>
      </w:r>
    </w:p>
    <w:p w:rsidR="00000000" w:rsidRDefault="00E0782F">
      <w:pPr>
        <w:ind w:hanging="360"/>
        <w:jc w:val="both"/>
        <w:divId w:val="211524437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behavior and risk profile and include direct customer communications, repossession of collateral, the periodic sale of charged off loans as well as a</w:t>
      </w:r>
      <w:r>
        <w:rPr>
          <w:rFonts w:eastAsia="Times New Roman"/>
          <w:color w:val="000000"/>
          <w:sz w:val="16"/>
          <w:szCs w:val="16"/>
        </w:rPr>
        <w:t>dditional strategies, such as litigation.</w:t>
      </w:r>
    </w:p>
    <w:p w:rsidR="00000000" w:rsidRDefault="00E0782F">
      <w:pPr>
        <w:ind w:hanging="360"/>
        <w:jc w:val="both"/>
        <w:divId w:val="18044166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Represents foreign currency translation adjustments.</w:t>
      </w:r>
    </w:p>
    <w:p w:rsidR="00000000" w:rsidRDefault="00E0782F">
      <w:pPr>
        <w:ind w:hanging="360"/>
        <w:jc w:val="both"/>
        <w:divId w:val="163941456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Concurrent with our adoption of the CECL standard in the first quarter of 2020, we reclassified our finance charge and fee reserve to our allowance for cre</w:t>
      </w:r>
      <w:r>
        <w:rPr>
          <w:rFonts w:eastAsia="Times New Roman"/>
          <w:color w:val="000000"/>
          <w:sz w:val="16"/>
          <w:szCs w:val="16"/>
        </w:rPr>
        <w:t>dit losses, with a corresponding increase to credit card loans held for investment.</w:t>
      </w:r>
    </w:p>
    <w:p w:rsidR="00000000" w:rsidRDefault="00E0782F">
      <w:pPr>
        <w:ind w:hanging="360"/>
        <w:jc w:val="both"/>
        <w:divId w:val="102067003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90043545"/>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9004354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9004354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1" style="width:0;height:1.5pt" o:hralign="center" o:hrstd="t" o:hr="t" fillcolor="#a0a0a0" stroked="f"/>
        </w:pict>
      </w:r>
    </w:p>
    <w:p w:rsidR="00000000" w:rsidRDefault="00E0782F">
      <w:pPr>
        <w:ind w:hanging="360"/>
        <w:jc w:val="both"/>
        <w:divId w:val="106915605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3963850"/>
        <w:rPr>
          <w:rFonts w:eastAsia="Times New Roman"/>
        </w:rPr>
      </w:pPr>
      <w:r>
        <w:rPr>
          <w:rFonts w:eastAsia="Times New Roman"/>
          <w:color w:val="000000"/>
          <w:sz w:val="20"/>
          <w:szCs w:val="20"/>
        </w:rPr>
        <w:t xml:space="preserve">Allowance coverage ratios are calculated based on the allowance for credit losses for </w:t>
      </w:r>
      <w:r>
        <w:rPr>
          <w:rFonts w:eastAsia="Times New Roman"/>
          <w:color w:val="000000"/>
          <w:sz w:val="20"/>
          <w:szCs w:val="20"/>
        </w:rPr>
        <w:t xml:space="preserve">each specified portfolio segment divided by period-end loans held for investment within the specified loan category, as defined below. Table 30 presents the allowance coverage ratios as of December 31, 2020 and 2019. </w:t>
      </w:r>
    </w:p>
    <w:p w:rsidR="00000000" w:rsidRDefault="00E0782F">
      <w:pPr>
        <w:divId w:val="780151186"/>
        <w:rPr>
          <w:rFonts w:eastAsia="Times New Roman"/>
        </w:rPr>
      </w:pPr>
      <w:r>
        <w:rPr>
          <w:rFonts w:eastAsia="Times New Roman"/>
          <w:b/>
          <w:bCs/>
          <w:color w:val="000000"/>
          <w:sz w:val="18"/>
          <w:szCs w:val="18"/>
        </w:rPr>
        <w:t>Table 30: Allowance Coverage Ratios</w:t>
      </w:r>
    </w:p>
    <w:tbl>
      <w:tblPr>
        <w:tblW w:w="4985" w:type="pct"/>
        <w:tblCellMar>
          <w:top w:w="15" w:type="dxa"/>
          <w:left w:w="15" w:type="dxa"/>
          <w:bottom w:w="15" w:type="dxa"/>
          <w:right w:w="15" w:type="dxa"/>
        </w:tblCellMar>
        <w:tblLook w:val="04A0" w:firstRow="1" w:lastRow="0" w:firstColumn="1" w:lastColumn="0" w:noHBand="0" w:noVBand="1"/>
      </w:tblPr>
      <w:tblGrid>
        <w:gridCol w:w="39"/>
        <w:gridCol w:w="2540"/>
        <w:gridCol w:w="38"/>
        <w:gridCol w:w="36"/>
        <w:gridCol w:w="36"/>
        <w:gridCol w:w="36"/>
        <w:gridCol w:w="111"/>
        <w:gridCol w:w="658"/>
        <w:gridCol w:w="36"/>
        <w:gridCol w:w="36"/>
        <w:gridCol w:w="36"/>
        <w:gridCol w:w="36"/>
        <w:gridCol w:w="111"/>
        <w:gridCol w:w="627"/>
        <w:gridCol w:w="36"/>
        <w:gridCol w:w="36"/>
        <w:gridCol w:w="36"/>
        <w:gridCol w:w="36"/>
        <w:gridCol w:w="86"/>
        <w:gridCol w:w="658"/>
        <w:gridCol w:w="200"/>
        <w:gridCol w:w="36"/>
        <w:gridCol w:w="36"/>
        <w:gridCol w:w="36"/>
        <w:gridCol w:w="111"/>
        <w:gridCol w:w="658"/>
        <w:gridCol w:w="36"/>
        <w:gridCol w:w="36"/>
        <w:gridCol w:w="36"/>
        <w:gridCol w:w="36"/>
        <w:gridCol w:w="111"/>
        <w:gridCol w:w="627"/>
        <w:gridCol w:w="36"/>
        <w:gridCol w:w="36"/>
        <w:gridCol w:w="36"/>
        <w:gridCol w:w="36"/>
        <w:gridCol w:w="86"/>
        <w:gridCol w:w="658"/>
        <w:gridCol w:w="170"/>
      </w:tblGrid>
      <w:tr w:rsidR="00000000">
        <w:trPr>
          <w:divId w:val="935820811"/>
        </w:trPr>
        <w:tc>
          <w:tcPr>
            <w:tcW w:w="50" w:type="pct"/>
            <w:vAlign w:val="center"/>
            <w:hideMark/>
          </w:tcPr>
          <w:p w:rsidR="00000000" w:rsidRDefault="00E0782F">
            <w:pPr>
              <w:rPr>
                <w:rFonts w:eastAsia="Times New Roman"/>
              </w:rPr>
            </w:pPr>
          </w:p>
        </w:tc>
        <w:tc>
          <w:tcPr>
            <w:tcW w:w="208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35820811"/>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935820811"/>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Allowance for Credit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Allowance Coverage Ratio</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Allowance for Loan and Lease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Allowance Coverage Ratio</w:t>
            </w:r>
          </w:p>
        </w:tc>
      </w:tr>
      <w:tr w:rsidR="00000000">
        <w:trPr>
          <w:divId w:val="93582081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11,191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426.80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93582081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78.85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4,627 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3582081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254.97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173.20 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3582081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15,564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265,809 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73762357"/>
        <w:rPr>
          <w:rFonts w:eastAsia="Times New Roman"/>
        </w:rPr>
      </w:pPr>
      <w:r>
        <w:rPr>
          <w:rFonts w:eastAsia="Times New Roman"/>
          <w:color w:val="000000"/>
          <w:sz w:val="20"/>
          <w:szCs w:val="20"/>
        </w:rPr>
        <w:t>__________</w:t>
      </w:r>
    </w:p>
    <w:p w:rsidR="00000000" w:rsidRDefault="00E0782F">
      <w:pPr>
        <w:ind w:hanging="360"/>
        <w:jc w:val="both"/>
        <w:divId w:val="208248337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Represents period-end 30+ day delinquent loans for our credit card and consumer banking loan portfolios, nonperforming loans for our commercial </w:t>
      </w:r>
      <w:r>
        <w:rPr>
          <w:rFonts w:eastAsia="Times New Roman"/>
          <w:color w:val="000000"/>
          <w:sz w:val="16"/>
          <w:szCs w:val="16"/>
          <w:shd w:val="clear" w:color="auto" w:fill="FFFFFF"/>
        </w:rPr>
        <w:t>banking loan portfolio and total loans held for investment for the total ratio.</w:t>
      </w:r>
    </w:p>
    <w:p w:rsidR="00000000" w:rsidRDefault="00E0782F">
      <w:pPr>
        <w:jc w:val="both"/>
        <w:divId w:val="492070394"/>
        <w:rPr>
          <w:rFonts w:eastAsia="Times New Roman"/>
        </w:rPr>
      </w:pPr>
      <w:r>
        <w:rPr>
          <w:rFonts w:eastAsia="Times New Roman"/>
          <w:color w:val="000000"/>
          <w:sz w:val="20"/>
          <w:szCs w:val="20"/>
          <w:shd w:val="clear" w:color="auto" w:fill="FFFFFF"/>
        </w:rPr>
        <w:t xml:space="preserve">Our allowance for credit </w:t>
      </w:r>
      <w:r>
        <w:rPr>
          <w:rFonts w:eastAsia="Times New Roman"/>
          <w:color w:val="000000"/>
          <w:sz w:val="20"/>
          <w:szCs w:val="20"/>
        </w:rPr>
        <w:t xml:space="preserve">losses </w:t>
      </w:r>
      <w:r>
        <w:rPr>
          <w:rFonts w:eastAsia="Times New Roman"/>
          <w:color w:val="000000"/>
          <w:sz w:val="20"/>
          <w:szCs w:val="20"/>
        </w:rPr>
        <w:t>increased by $8.4 billion to $15.6 billion, and our allowance coverage ratio increased by 348 basis points to 6.19% as of December 31, 2020</w:t>
      </w:r>
      <w:r>
        <w:rPr>
          <w:rFonts w:eastAsia="Times New Roman"/>
          <w:color w:val="000000"/>
          <w:sz w:val="20"/>
          <w:szCs w:val="20"/>
          <w:shd w:val="clear" w:color="auto" w:fill="FFFFFF"/>
        </w:rPr>
        <w:t xml:space="preserve"> fro</w:t>
      </w:r>
      <w:r>
        <w:rPr>
          <w:rFonts w:eastAsia="Times New Roman"/>
          <w:color w:val="000000"/>
          <w:sz w:val="20"/>
          <w:szCs w:val="20"/>
        </w:rPr>
        <w:t>m 2019, driven by the allowance builds in the first and second quarters of 2020 from expectations of economic wor</w:t>
      </w:r>
      <w:r>
        <w:rPr>
          <w:rFonts w:eastAsia="Times New Roman"/>
          <w:color w:val="000000"/>
          <w:sz w:val="20"/>
          <w:szCs w:val="20"/>
        </w:rPr>
        <w:t>sening as a result of the COVID-19 pandemic as well as the adoption of the CECL standard in the first quarter of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600333396"/>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0033339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LIQUIDITY RISK PROFILE</w:t>
            </w:r>
          </w:p>
        </w:tc>
      </w:tr>
    </w:tbl>
    <w:p w:rsidR="00000000" w:rsidRDefault="00E0782F">
      <w:pPr>
        <w:jc w:val="both"/>
        <w:divId w:val="695278648"/>
        <w:rPr>
          <w:rFonts w:eastAsia="Times New Roman"/>
        </w:rPr>
      </w:pPr>
      <w:r>
        <w:rPr>
          <w:rFonts w:eastAsia="Times New Roman"/>
          <w:color w:val="000000"/>
          <w:sz w:val="20"/>
          <w:szCs w:val="20"/>
        </w:rPr>
        <w:t>We have established liquidity practices that are intended to ensure that we have sufficient asset-based liquidity to cover our funding requirements and maintain adequate reserves to withstand the potential impact of deposit attrition or diminished liquidit</w:t>
      </w:r>
      <w:r>
        <w:rPr>
          <w:rFonts w:eastAsia="Times New Roman"/>
          <w:color w:val="000000"/>
          <w:sz w:val="20"/>
          <w:szCs w:val="20"/>
        </w:rPr>
        <w:t xml:space="preserve">y in the funding markets. In addition to our cash and cash equivalents, we maintain reserves in the form of investment securities and certain loans that are either readily-marketable or pledgeable. </w:t>
      </w:r>
    </w:p>
    <w:p w:rsidR="00000000" w:rsidRDefault="00E0782F">
      <w:pPr>
        <w:jc w:val="both"/>
        <w:divId w:val="724530464"/>
        <w:rPr>
          <w:rFonts w:eastAsia="Times New Roman"/>
        </w:rPr>
      </w:pPr>
      <w:r>
        <w:rPr>
          <w:rFonts w:eastAsia="Times New Roman"/>
          <w:color w:val="000000"/>
          <w:sz w:val="20"/>
          <w:szCs w:val="20"/>
        </w:rPr>
        <w:t xml:space="preserve">Table 31 below presents the composition of our liquidity </w:t>
      </w:r>
      <w:r>
        <w:rPr>
          <w:rFonts w:eastAsia="Times New Roman"/>
          <w:color w:val="000000"/>
          <w:sz w:val="20"/>
          <w:szCs w:val="20"/>
        </w:rPr>
        <w:t>reserves as of December 31, 2020 and 2019.</w:t>
      </w:r>
    </w:p>
    <w:p w:rsidR="00000000" w:rsidRDefault="00E0782F">
      <w:pPr>
        <w:divId w:val="14767516"/>
        <w:rPr>
          <w:rFonts w:eastAsia="Times New Roman"/>
        </w:rPr>
      </w:pPr>
      <w:r>
        <w:rPr>
          <w:rFonts w:eastAsia="Times New Roman"/>
          <w:b/>
          <w:bCs/>
          <w:color w:val="000000"/>
          <w:sz w:val="18"/>
          <w:szCs w:val="18"/>
        </w:rPr>
        <w:t>Table 31: Liquidity Reserves</w:t>
      </w:r>
    </w:p>
    <w:tbl>
      <w:tblPr>
        <w:tblW w:w="5000" w:type="pct"/>
        <w:tblCellMar>
          <w:top w:w="15" w:type="dxa"/>
          <w:left w:w="15" w:type="dxa"/>
          <w:bottom w:w="15" w:type="dxa"/>
          <w:right w:w="15" w:type="dxa"/>
        </w:tblCellMar>
        <w:tblLook w:val="04A0" w:firstRow="1" w:lastRow="0" w:firstColumn="1" w:lastColumn="0" w:noHBand="0" w:noVBand="1"/>
      </w:tblPr>
      <w:tblGrid>
        <w:gridCol w:w="41"/>
        <w:gridCol w:w="5557"/>
        <w:gridCol w:w="37"/>
        <w:gridCol w:w="36"/>
        <w:gridCol w:w="36"/>
        <w:gridCol w:w="36"/>
        <w:gridCol w:w="110"/>
        <w:gridCol w:w="1081"/>
        <w:gridCol w:w="36"/>
        <w:gridCol w:w="36"/>
        <w:gridCol w:w="36"/>
        <w:gridCol w:w="36"/>
        <w:gridCol w:w="111"/>
        <w:gridCol w:w="1081"/>
        <w:gridCol w:w="36"/>
      </w:tblGrid>
      <w:tr w:rsidR="00000000">
        <w:trPr>
          <w:divId w:val="1703699955"/>
        </w:trPr>
        <w:tc>
          <w:tcPr>
            <w:tcW w:w="50" w:type="pct"/>
            <w:vAlign w:val="center"/>
            <w:hideMark/>
          </w:tcPr>
          <w:p w:rsidR="00000000" w:rsidRDefault="00E0782F">
            <w:pPr>
              <w:rPr>
                <w:rFonts w:eastAsia="Times New Roman"/>
              </w:rPr>
            </w:pPr>
          </w:p>
        </w:tc>
        <w:tc>
          <w:tcPr>
            <w:tcW w:w="33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70369995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7036999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40,509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03699955"/>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03699955"/>
        </w:trPr>
        <w:tc>
          <w:tcPr>
            <w:tcW w:w="0" w:type="auto"/>
            <w:gridSpan w:val="3"/>
            <w:shd w:val="clear" w:color="auto" w:fill="FFFFFF"/>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color w:val="000000"/>
                <w:sz w:val="18"/>
                <w:szCs w:val="18"/>
              </w:rPr>
              <w:t>Investment securities available for sale, at fair value</w:t>
            </w:r>
          </w:p>
        </w:tc>
        <w:tc>
          <w:tcPr>
            <w:tcW w:w="0" w:type="auto"/>
            <w:gridSpan w:val="3"/>
            <w:shd w:val="clear" w:color="auto" w:fill="FFFFFF"/>
            <w:tcMar>
              <w:top w:w="0" w:type="dxa"/>
              <w:left w:w="20" w:type="dxa"/>
              <w:bottom w:w="0" w:type="dxa"/>
              <w:right w:w="20" w:type="dxa"/>
            </w:tcMar>
            <w:vAlign w:val="center"/>
            <w:hideMark/>
          </w:tcPr>
          <w:p w:rsidR="00000000" w:rsidRDefault="00E0782F">
            <w:pPr>
              <w:jc w:val="both"/>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100,445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79,213 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03699955"/>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036999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7036999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FHLB borrowing capacity secured by loans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10,162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10,835 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036999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Outstanding FHLB advances and letters of credit secured by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036999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Investment securities encumbered for Public Funds and others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(7,052)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(5,688)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036999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liquidity reserves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143,992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90,557 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1276208340"/>
        <w:rPr>
          <w:rFonts w:eastAsia="Times New Roman"/>
        </w:rPr>
      </w:pPr>
      <w:r>
        <w:rPr>
          <w:rFonts w:eastAsia="Times New Roman"/>
          <w:color w:val="000000"/>
          <w:sz w:val="20"/>
          <w:szCs w:val="20"/>
        </w:rPr>
        <w:t>Our liquidity reserves increased by $53.4 billion to $144.0 billion as of December 31, 2020 from December 31, 2019 primarily driven by increases in our cash balances from deposit growth and in our investment securities. See “MD&amp;A—Risk Management” for addit</w:t>
      </w:r>
      <w:r>
        <w:rPr>
          <w:rFonts w:eastAsia="Times New Roman"/>
          <w:color w:val="000000"/>
          <w:sz w:val="20"/>
          <w:szCs w:val="20"/>
        </w:rPr>
        <w:t>ional information on our management of liquidity risk.</w:t>
      </w:r>
    </w:p>
    <w:p w:rsidR="00000000" w:rsidRDefault="00E0782F">
      <w:pPr>
        <w:divId w:val="1235242792"/>
        <w:rPr>
          <w:rFonts w:eastAsia="Times New Roman"/>
        </w:rPr>
      </w:pPr>
      <w:r>
        <w:rPr>
          <w:rFonts w:eastAsia="Times New Roman"/>
          <w:b/>
          <w:bCs/>
          <w:color w:val="000000"/>
          <w:sz w:val="20"/>
          <w:szCs w:val="20"/>
        </w:rPr>
        <w:t>Liquidity Coverage Ratio</w:t>
      </w:r>
    </w:p>
    <w:p w:rsidR="00000000" w:rsidRDefault="00E0782F">
      <w:pPr>
        <w:jc w:val="both"/>
        <w:divId w:val="1179345399"/>
        <w:rPr>
          <w:rFonts w:eastAsia="Times New Roman"/>
        </w:rPr>
      </w:pPr>
      <w:r>
        <w:rPr>
          <w:rFonts w:eastAsia="Times New Roman"/>
          <w:color w:val="000000"/>
          <w:sz w:val="20"/>
          <w:szCs w:val="20"/>
        </w:rPr>
        <w:t>We are subject to the LCR Rule as implemented by the Federal Reserve and OCC. The LCR Rule requires us to calculate our LCR daily. It also requires the Company to publicly disclose, on a quarterly basis, its LCR, certain related quantitative liquidity metr</w:t>
      </w:r>
      <w:r>
        <w:rPr>
          <w:rFonts w:eastAsia="Times New Roman"/>
          <w:color w:val="000000"/>
          <w:sz w:val="20"/>
          <w:szCs w:val="20"/>
        </w:rPr>
        <w:t>ics, and a qualitative discussion of its LCR. Our average LCR during the fourth quarter of 2020 was 145%, which exceeded the LCR Rule requirement of 100%. The calculation and the underlying components are based on our interpretations, expectations and assu</w:t>
      </w:r>
      <w:r>
        <w:rPr>
          <w:rFonts w:eastAsia="Times New Roman"/>
          <w:color w:val="000000"/>
          <w:sz w:val="20"/>
          <w:szCs w:val="20"/>
        </w:rPr>
        <w:t>mptions of relevant regulations, as well as interpretations provided by our regulators, and are subject to change based on changes to future regulations and interpretations. See “Part I—Item 1. Business—Supervision and Regulation” for additional informatio</w:t>
      </w:r>
      <w:r>
        <w:rPr>
          <w:rFonts w:eastAsia="Times New Roman"/>
          <w:color w:val="000000"/>
          <w:sz w:val="20"/>
          <w:szCs w:val="20"/>
        </w:rPr>
        <w:t>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1211954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12119544"/>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1211954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2" style="width:0;height:1.5pt" o:hralign="center" o:hrstd="t" o:hr="t" fillcolor="#a0a0a0" stroked="f"/>
        </w:pict>
      </w:r>
    </w:p>
    <w:p w:rsidR="00000000" w:rsidRDefault="00E0782F">
      <w:pPr>
        <w:ind w:hanging="360"/>
        <w:jc w:val="both"/>
        <w:divId w:val="1325088037"/>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825008623"/>
        <w:rPr>
          <w:rFonts w:eastAsia="Times New Roman"/>
        </w:rPr>
      </w:pPr>
      <w:r>
        <w:rPr>
          <w:rFonts w:eastAsia="Times New Roman"/>
          <w:b/>
          <w:bCs/>
          <w:color w:val="000000"/>
          <w:sz w:val="20"/>
          <w:szCs w:val="20"/>
        </w:rPr>
        <w:t>Borrowing Capacity</w:t>
      </w:r>
    </w:p>
    <w:p w:rsidR="00000000" w:rsidRDefault="00E0782F">
      <w:pPr>
        <w:jc w:val="both"/>
        <w:divId w:val="1419400417"/>
        <w:rPr>
          <w:rFonts w:eastAsia="Times New Roman"/>
        </w:rPr>
      </w:pPr>
      <w:r>
        <w:rPr>
          <w:rFonts w:eastAsia="Times New Roman"/>
          <w:color w:val="000000"/>
          <w:sz w:val="20"/>
          <w:szCs w:val="20"/>
        </w:rPr>
        <w:t xml:space="preserve">We maintain a shelf registration with the SEC so that we may periodically offer and sell an indeterminate aggregate amount of senior or subordinated debt securities, preferred stock, depositary shares, common stock, purchase contracts, warrants and units. </w:t>
      </w:r>
      <w:r>
        <w:rPr>
          <w:rFonts w:eastAsia="Times New Roman"/>
          <w:color w:val="000000"/>
          <w:sz w:val="20"/>
          <w:szCs w:val="20"/>
        </w:rPr>
        <w:t xml:space="preserve">There is no limit under this shelf registration to the amount or number of such securities that we may offer and sell, subject to market conditions. In addition, we also maintain a shelf registration that allows us to periodically offer and sell up to $25 </w:t>
      </w:r>
      <w:r>
        <w:rPr>
          <w:rFonts w:eastAsia="Times New Roman"/>
          <w:color w:val="000000"/>
          <w:sz w:val="20"/>
          <w:szCs w:val="20"/>
        </w:rPr>
        <w:t>billion of securitized debt obligations from our credit card loan securitization trust and a shelf registration that allows us to periodically offer and sell up to $20 billion from our auto loan securitization trusts.</w:t>
      </w:r>
    </w:p>
    <w:p w:rsidR="00000000" w:rsidRDefault="00E0782F">
      <w:pPr>
        <w:jc w:val="both"/>
        <w:divId w:val="1848859889"/>
        <w:rPr>
          <w:rFonts w:eastAsia="Times New Roman"/>
        </w:rPr>
      </w:pPr>
      <w:r>
        <w:rPr>
          <w:rFonts w:eastAsia="Times New Roman"/>
          <w:color w:val="000000"/>
          <w:sz w:val="20"/>
          <w:szCs w:val="20"/>
        </w:rPr>
        <w:t>In addition to our issuance capacity u</w:t>
      </w:r>
      <w:r>
        <w:rPr>
          <w:rFonts w:eastAsia="Times New Roman"/>
          <w:color w:val="000000"/>
          <w:sz w:val="20"/>
          <w:szCs w:val="20"/>
        </w:rPr>
        <w:t>nder the shelf registration statements, we also have access to FHLB advances and the Federal Reserve Discount Window. The ability to borrow utilizing these sources is based on membership status and the amount is dependent upon the Banks’ ability to post co</w:t>
      </w:r>
      <w:r>
        <w:rPr>
          <w:rFonts w:eastAsia="Times New Roman"/>
          <w:color w:val="000000"/>
          <w:sz w:val="20"/>
          <w:szCs w:val="20"/>
        </w:rPr>
        <w:t>llateral. As of December 31, 2020, we pledged both loans and securities to the FHLB to secure a maximum borrowing capacity of $19.6 billion, of which only $72 million was used. Our FHLB membership is supported by our investment in FHLB stock of $30 million</w:t>
      </w:r>
      <w:r>
        <w:rPr>
          <w:rFonts w:eastAsia="Times New Roman"/>
          <w:color w:val="000000"/>
          <w:sz w:val="20"/>
          <w:szCs w:val="20"/>
        </w:rPr>
        <w:t xml:space="preserve"> and $328 million as of December 31, 2020 and 2019, respectively, which was determined in part based on our outstanding advances. As of December 31, 2020, we pledged loans to secure a borrowing capacity of $20.0 billion under the Federal Reserve Discount W</w:t>
      </w:r>
      <w:r>
        <w:rPr>
          <w:rFonts w:eastAsia="Times New Roman"/>
          <w:color w:val="000000"/>
          <w:sz w:val="20"/>
          <w:szCs w:val="20"/>
        </w:rPr>
        <w:t>indow. Our membership with the Federal Reserve is supported by our investment in Federal Reserve stock, which totaled $1.3 billion as of both December 31, 2020 and 2019.</w:t>
      </w:r>
    </w:p>
    <w:p w:rsidR="00000000" w:rsidRDefault="00E0782F">
      <w:pPr>
        <w:divId w:val="824469442"/>
        <w:rPr>
          <w:rFonts w:eastAsia="Times New Roman"/>
        </w:rPr>
      </w:pPr>
      <w:r>
        <w:rPr>
          <w:rFonts w:eastAsia="Times New Roman"/>
          <w:b/>
          <w:bCs/>
          <w:color w:val="000000"/>
          <w:sz w:val="20"/>
          <w:szCs w:val="20"/>
        </w:rPr>
        <w:t>Funding</w:t>
      </w:r>
    </w:p>
    <w:p w:rsidR="00000000" w:rsidRDefault="00E0782F">
      <w:pPr>
        <w:jc w:val="both"/>
        <w:divId w:val="392051062"/>
        <w:rPr>
          <w:rFonts w:eastAsia="Times New Roman"/>
        </w:rPr>
      </w:pPr>
      <w:r>
        <w:rPr>
          <w:rFonts w:eastAsia="Times New Roman"/>
          <w:color w:val="000000"/>
          <w:sz w:val="20"/>
          <w:szCs w:val="20"/>
        </w:rPr>
        <w:t>Our primary source of funding comes from deposits, as they are a stable and re</w:t>
      </w:r>
      <w:r>
        <w:rPr>
          <w:rFonts w:eastAsia="Times New Roman"/>
          <w:color w:val="000000"/>
          <w:sz w:val="20"/>
          <w:szCs w:val="20"/>
        </w:rPr>
        <w:t>latively low cost source of funding. In addition to deposits, we raise funding through the issuance of senior and subordinated notes and securitized debt obligations, federal funds purchased, securities loaned or sold under agreements to repurchase and FHL</w:t>
      </w:r>
      <w:r>
        <w:rPr>
          <w:rFonts w:eastAsia="Times New Roman"/>
          <w:color w:val="000000"/>
          <w:sz w:val="20"/>
          <w:szCs w:val="20"/>
        </w:rPr>
        <w:t>B advances secured by certain portions of our loan and securities portfolios. A key objective in our use of these markets is to maintain access to a diversified mix of wholesale funding sources. See “MD&amp;A—Consolidated Balance Sheets Analysis—Funding Source</w:t>
      </w:r>
      <w:r>
        <w:rPr>
          <w:rFonts w:eastAsia="Times New Roman"/>
          <w:color w:val="000000"/>
          <w:sz w:val="20"/>
          <w:szCs w:val="20"/>
        </w:rPr>
        <w:t>s Composition” for additional information on our primary sources of funding.</w:t>
      </w:r>
    </w:p>
    <w:p w:rsidR="00000000" w:rsidRDefault="00E0782F">
      <w:pPr>
        <w:divId w:val="2095206600"/>
        <w:rPr>
          <w:rFonts w:eastAsia="Times New Roman"/>
        </w:rPr>
      </w:pPr>
      <w:r>
        <w:rPr>
          <w:rFonts w:eastAsia="Times New Roman"/>
          <w:b/>
          <w:bCs/>
          <w:i/>
          <w:iCs/>
          <w:color w:val="000000"/>
          <w:sz w:val="20"/>
          <w:szCs w:val="20"/>
        </w:rPr>
        <w:t>Deposits</w:t>
      </w:r>
    </w:p>
    <w:p w:rsidR="00000000" w:rsidRDefault="00E0782F">
      <w:pPr>
        <w:jc w:val="both"/>
        <w:divId w:val="569313393"/>
        <w:rPr>
          <w:rFonts w:eastAsia="Times New Roman"/>
        </w:rPr>
      </w:pPr>
      <w:r>
        <w:rPr>
          <w:rFonts w:eastAsia="Times New Roman"/>
          <w:color w:val="000000"/>
          <w:sz w:val="20"/>
          <w:szCs w:val="20"/>
        </w:rPr>
        <w:t>Table 32 provides a comparison of average balances, interest expense and average deposit interest rates for the years ended December 31, 2020, 2019 and 2018.</w:t>
      </w:r>
    </w:p>
    <w:p w:rsidR="00000000" w:rsidRDefault="00E0782F">
      <w:pPr>
        <w:divId w:val="1781997828"/>
        <w:rPr>
          <w:rFonts w:eastAsia="Times New Roman"/>
        </w:rPr>
      </w:pPr>
      <w:r>
        <w:rPr>
          <w:rFonts w:eastAsia="Times New Roman"/>
          <w:b/>
          <w:bCs/>
          <w:color w:val="000000"/>
          <w:sz w:val="18"/>
          <w:szCs w:val="18"/>
        </w:rPr>
        <w:t>Table 32: De</w:t>
      </w:r>
      <w:r>
        <w:rPr>
          <w:rFonts w:eastAsia="Times New Roman"/>
          <w:b/>
          <w:bCs/>
          <w:color w:val="000000"/>
          <w:sz w:val="18"/>
          <w:szCs w:val="18"/>
        </w:rPr>
        <w:t>posits Composition and Average Deposit Interest Rates</w:t>
      </w:r>
    </w:p>
    <w:tbl>
      <w:tblPr>
        <w:tblW w:w="4985" w:type="pct"/>
        <w:tblCellMar>
          <w:top w:w="15" w:type="dxa"/>
          <w:left w:w="15" w:type="dxa"/>
          <w:bottom w:w="15" w:type="dxa"/>
          <w:right w:w="15" w:type="dxa"/>
        </w:tblCellMar>
        <w:tblLook w:val="04A0" w:firstRow="1" w:lastRow="0" w:firstColumn="1" w:lastColumn="0" w:noHBand="0" w:noVBand="1"/>
      </w:tblPr>
      <w:tblGrid>
        <w:gridCol w:w="56"/>
        <w:gridCol w:w="2848"/>
        <w:gridCol w:w="36"/>
        <w:gridCol w:w="36"/>
        <w:gridCol w:w="36"/>
        <w:gridCol w:w="36"/>
        <w:gridCol w:w="36"/>
        <w:gridCol w:w="708"/>
        <w:gridCol w:w="36"/>
        <w:gridCol w:w="36"/>
        <w:gridCol w:w="36"/>
        <w:gridCol w:w="36"/>
        <w:gridCol w:w="36"/>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tblGrid>
      <w:tr w:rsidR="00000000">
        <w:trPr>
          <w:divId w:val="115299670"/>
        </w:trPr>
        <w:tc>
          <w:tcPr>
            <w:tcW w:w="50" w:type="pct"/>
            <w:vAlign w:val="center"/>
            <w:hideMark/>
          </w:tcPr>
          <w:p w:rsidR="00000000" w:rsidRDefault="00E0782F">
            <w:pPr>
              <w:rPr>
                <w:rFonts w:eastAsia="Times New Roman"/>
              </w:rPr>
            </w:pPr>
          </w:p>
        </w:tc>
        <w:tc>
          <w:tcPr>
            <w:tcW w:w="17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5299670"/>
          <w:trHeight w:val="60"/>
        </w:trPr>
        <w:tc>
          <w:tcPr>
            <w:tcW w:w="0" w:type="auto"/>
            <w:gridSpan w:val="39"/>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529967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190"/>
        <w:gridCol w:w="144"/>
        <w:gridCol w:w="144"/>
        <w:gridCol w:w="144"/>
        <w:gridCol w:w="144"/>
        <w:gridCol w:w="144"/>
        <w:gridCol w:w="575"/>
        <w:gridCol w:w="144"/>
        <w:gridCol w:w="144"/>
        <w:gridCol w:w="144"/>
        <w:gridCol w:w="144"/>
        <w:gridCol w:w="144"/>
        <w:gridCol w:w="479"/>
        <w:gridCol w:w="144"/>
        <w:gridCol w:w="144"/>
        <w:gridCol w:w="144"/>
        <w:gridCol w:w="144"/>
        <w:gridCol w:w="144"/>
        <w:gridCol w:w="490"/>
        <w:gridCol w:w="144"/>
        <w:gridCol w:w="144"/>
        <w:gridCol w:w="144"/>
        <w:gridCol w:w="144"/>
        <w:gridCol w:w="144"/>
        <w:gridCol w:w="575"/>
        <w:gridCol w:w="144"/>
        <w:gridCol w:w="144"/>
        <w:gridCol w:w="144"/>
        <w:gridCol w:w="144"/>
        <w:gridCol w:w="144"/>
        <w:gridCol w:w="479"/>
        <w:gridCol w:w="144"/>
        <w:gridCol w:w="144"/>
        <w:gridCol w:w="144"/>
        <w:gridCol w:w="144"/>
        <w:gridCol w:w="144"/>
        <w:gridCol w:w="490"/>
        <w:gridCol w:w="144"/>
        <w:gridCol w:w="144"/>
        <w:gridCol w:w="144"/>
        <w:gridCol w:w="144"/>
        <w:gridCol w:w="144"/>
        <w:gridCol w:w="575"/>
        <w:gridCol w:w="144"/>
        <w:gridCol w:w="144"/>
        <w:gridCol w:w="144"/>
        <w:gridCol w:w="144"/>
        <w:gridCol w:w="144"/>
        <w:gridCol w:w="479"/>
        <w:gridCol w:w="144"/>
        <w:gridCol w:w="144"/>
        <w:gridCol w:w="144"/>
        <w:gridCol w:w="144"/>
        <w:gridCol w:w="144"/>
        <w:gridCol w:w="490"/>
        <w:gridCol w:w="144"/>
      </w:tblGrid>
      <w:tr w:rsidR="00000000">
        <w:tc>
          <w:tcPr>
            <w:tcW w:w="50" w:type="pct"/>
            <w:vAlign w:val="center"/>
            <w:hideMark/>
          </w:tcPr>
          <w:p w:rsidR="00000000" w:rsidRDefault="00E0782F">
            <w:pPr>
              <w:rPr>
                <w:rFonts w:eastAsia="Times New Roman"/>
              </w:rPr>
            </w:pPr>
          </w:p>
        </w:tc>
        <w:tc>
          <w:tcPr>
            <w:tcW w:w="132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51"/>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2018</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w:t>
            </w:r>
            <w:r>
              <w:rPr>
                <w:rFonts w:eastAsia="Times New Roman"/>
                <w:b/>
                <w:bCs/>
                <w:color w:val="000000"/>
                <w:sz w:val="16"/>
                <w:szCs w:val="16"/>
              </w:rPr>
              <w:br/>
              <w:t>Interest Rate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w:t>
            </w:r>
            <w:r>
              <w:rPr>
                <w:rFonts w:eastAsia="Times New Roman"/>
                <w:b/>
                <w:bCs/>
                <w:color w:val="000000"/>
                <w:sz w:val="16"/>
                <w:szCs w:val="16"/>
              </w:rPr>
              <w:br/>
              <w:t>Interest Rate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Balance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w:t>
            </w:r>
            <w:r>
              <w:rPr>
                <w:rFonts w:eastAsia="Times New Roman"/>
                <w:b/>
                <w:bCs/>
                <w:color w:val="000000"/>
                <w:sz w:val="16"/>
                <w:szCs w:val="16"/>
              </w:rPr>
              <w:br/>
              <w:t>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w:t>
            </w:r>
            <w:r>
              <w:rPr>
                <w:rFonts w:eastAsia="Times New Roman"/>
                <w:b/>
                <w:bCs/>
                <w:color w:val="000000"/>
                <w:sz w:val="16"/>
                <w:szCs w:val="16"/>
              </w:rPr>
              <w:br/>
              <w:t>Deposit</w:t>
            </w:r>
            <w:r>
              <w:rPr>
                <w:rFonts w:eastAsia="Times New Roman"/>
                <w:b/>
                <w:bCs/>
                <w:color w:val="000000"/>
                <w:sz w:val="16"/>
                <w:szCs w:val="16"/>
              </w:rPr>
              <w:br/>
            </w:r>
            <w:r>
              <w:rPr>
                <w:rFonts w:eastAsia="Times New Roman"/>
                <w:b/>
                <w:bCs/>
                <w:color w:val="000000"/>
                <w:sz w:val="16"/>
                <w:szCs w:val="16"/>
              </w:rPr>
              <w:t>Interest Rate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2003310331"/>
              <w:rPr>
                <w:rFonts w:eastAsia="Times New Roman"/>
              </w:rPr>
            </w:pPr>
            <w:r>
              <w:rPr>
                <w:rFonts w:eastAsia="Times New Roman"/>
                <w:color w:val="000000"/>
                <w:sz w:val="18"/>
                <w:szCs w:val="18"/>
              </w:rPr>
              <w:t>Interest-bearing checking account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37,136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34,343 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814953705"/>
              <w:rPr>
                <w:rFonts w:eastAsia="Times New Roman"/>
              </w:rPr>
            </w:pPr>
            <w:r>
              <w:rPr>
                <w:rFonts w:eastAsia="Times New Roman"/>
                <w:color w:val="000000"/>
                <w:sz w:val="18"/>
                <w:szCs w:val="18"/>
              </w:rPr>
              <w:t>Saving deposit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184,466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154,910 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2,048 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149,443 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1,603 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Time deposits less than $100,000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27,202 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746 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25,535 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interest-bearing core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247,855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216,455 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213,821 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Time deposits of $100,000 or more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15,424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15,154 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337 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7,672 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Foreign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263,279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231,609 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3,420 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221,760 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2,598 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542207288"/>
        <w:rPr>
          <w:rFonts w:eastAsia="Times New Roman"/>
        </w:rPr>
      </w:pPr>
      <w:r>
        <w:rPr>
          <w:rFonts w:eastAsia="Times New Roman"/>
          <w:color w:val="000000"/>
          <w:sz w:val="20"/>
          <w:szCs w:val="20"/>
        </w:rPr>
        <w:t>__________</w:t>
      </w:r>
    </w:p>
    <w:p w:rsidR="00000000" w:rsidRDefault="00E0782F">
      <w:pPr>
        <w:ind w:hanging="360"/>
        <w:jc w:val="both"/>
        <w:divId w:val="62588917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negotiable order of withdrawal accounts.</w:t>
      </w:r>
    </w:p>
    <w:p w:rsidR="00000000" w:rsidRDefault="00E0782F">
      <w:pPr>
        <w:ind w:hanging="360"/>
        <w:jc w:val="both"/>
        <w:divId w:val="25035306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money market deposit accounts.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32099150"/>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3209915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3209915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3" style="width:0;height:1.5pt" o:hralign="center" o:hrstd="t" o:hr="t" fillcolor="#a0a0a0" stroked="f"/>
        </w:pict>
      </w:r>
    </w:p>
    <w:p w:rsidR="00000000" w:rsidRDefault="00E0782F">
      <w:pPr>
        <w:ind w:hanging="360"/>
        <w:jc w:val="both"/>
        <w:divId w:val="54417278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622728751"/>
        <w:rPr>
          <w:rFonts w:eastAsia="Times New Roman"/>
        </w:rPr>
      </w:pPr>
      <w:r>
        <w:rPr>
          <w:rFonts w:eastAsia="Times New Roman"/>
          <w:color w:val="000000"/>
          <w:sz w:val="20"/>
          <w:szCs w:val="20"/>
        </w:rPr>
        <w:t>The FDIC limits the acceptance of brokered deposits to well-capitalized insured depository institutions and, with a waiver from the FDIC, to adequately-capitalized institutions. COBNA and CONA were well-capitalized, as defined under the federal banking reg</w:t>
      </w:r>
      <w:r>
        <w:rPr>
          <w:rFonts w:eastAsia="Times New Roman"/>
          <w:color w:val="000000"/>
          <w:sz w:val="20"/>
          <w:szCs w:val="20"/>
        </w:rPr>
        <w:t>ulatory guidelines, as of December 31, 2020 and 2019, respectively. See “Part I—Item 1. Business—Supervision and Regulation” for additional information. We provide additional information on the composition of deposits in “MD&amp;A—Consolidated Balance Sheets A</w:t>
      </w:r>
      <w:r>
        <w:rPr>
          <w:rFonts w:eastAsia="Times New Roman"/>
          <w:color w:val="000000"/>
          <w:sz w:val="20"/>
          <w:szCs w:val="20"/>
        </w:rPr>
        <w:t>nalysis—Funding Sources Composition” and in “Note 8—Deposits and Borrowings.”</w:t>
      </w:r>
    </w:p>
    <w:tbl>
      <w:tblPr>
        <w:tblW w:w="4985" w:type="pct"/>
        <w:tblCellMar>
          <w:top w:w="15" w:type="dxa"/>
          <w:left w:w="15" w:type="dxa"/>
          <w:bottom w:w="15" w:type="dxa"/>
          <w:right w:w="15" w:type="dxa"/>
        </w:tblCellMar>
        <w:tblLook w:val="04A0" w:firstRow="1" w:lastRow="0" w:firstColumn="1" w:lastColumn="0" w:noHBand="0" w:noVBand="1"/>
      </w:tblPr>
      <w:tblGrid>
        <w:gridCol w:w="56"/>
        <w:gridCol w:w="2848"/>
        <w:gridCol w:w="36"/>
        <w:gridCol w:w="36"/>
        <w:gridCol w:w="36"/>
        <w:gridCol w:w="36"/>
        <w:gridCol w:w="36"/>
        <w:gridCol w:w="708"/>
        <w:gridCol w:w="36"/>
        <w:gridCol w:w="36"/>
        <w:gridCol w:w="36"/>
        <w:gridCol w:w="36"/>
        <w:gridCol w:w="36"/>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gridCol w:w="36"/>
        <w:gridCol w:w="36"/>
        <w:gridCol w:w="36"/>
        <w:gridCol w:w="38"/>
        <w:gridCol w:w="709"/>
        <w:gridCol w:w="36"/>
      </w:tblGrid>
      <w:tr w:rsidR="00000000">
        <w:trPr>
          <w:divId w:val="74934863"/>
        </w:trPr>
        <w:tc>
          <w:tcPr>
            <w:tcW w:w="50" w:type="pct"/>
            <w:vAlign w:val="center"/>
            <w:hideMark/>
          </w:tcPr>
          <w:p w:rsidR="00000000" w:rsidRDefault="00E0782F">
            <w:pPr>
              <w:jc w:val="both"/>
              <w:rPr>
                <w:rFonts w:eastAsia="Times New Roman"/>
              </w:rPr>
            </w:pPr>
          </w:p>
        </w:tc>
        <w:tc>
          <w:tcPr>
            <w:tcW w:w="17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4934863"/>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493486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divId w:val="1864707490"/>
        <w:rPr>
          <w:rFonts w:eastAsia="Times New Roman"/>
        </w:rPr>
      </w:pPr>
      <w:r>
        <w:rPr>
          <w:rFonts w:eastAsia="Times New Roman"/>
          <w:color w:val="000000"/>
          <w:sz w:val="20"/>
          <w:szCs w:val="20"/>
        </w:rPr>
        <w:t xml:space="preserve">Table 33 presents the contractual maturities of large-denomination domestic time deposits of $100,000 or more as of December 31, 2020 and 2019. Our funding and liquidity management activities factor into the expected maturities of these deposits. </w:t>
      </w:r>
    </w:p>
    <w:p w:rsidR="00000000" w:rsidRDefault="00E0782F">
      <w:pPr>
        <w:divId w:val="724648244"/>
        <w:rPr>
          <w:rFonts w:eastAsia="Times New Roman"/>
        </w:rPr>
      </w:pPr>
      <w:r>
        <w:rPr>
          <w:rFonts w:eastAsia="Times New Roman"/>
          <w:b/>
          <w:bCs/>
          <w:color w:val="000000"/>
          <w:sz w:val="18"/>
          <w:szCs w:val="18"/>
        </w:rPr>
        <w:t>Table 33</w:t>
      </w:r>
      <w:r>
        <w:rPr>
          <w:rFonts w:eastAsia="Times New Roman"/>
          <w:b/>
          <w:bCs/>
          <w:color w:val="000000"/>
          <w:sz w:val="18"/>
          <w:szCs w:val="18"/>
        </w:rPr>
        <w:t>: Maturities of Large-Denomination Domestic Time Deposits—$100,000 or More</w:t>
      </w:r>
    </w:p>
    <w:tbl>
      <w:tblPr>
        <w:tblW w:w="4978" w:type="pct"/>
        <w:tblCellMar>
          <w:top w:w="15" w:type="dxa"/>
          <w:left w:w="15" w:type="dxa"/>
          <w:bottom w:w="15" w:type="dxa"/>
          <w:right w:w="15" w:type="dxa"/>
        </w:tblCellMar>
        <w:tblLook w:val="04A0" w:firstRow="1" w:lastRow="0" w:firstColumn="1" w:lastColumn="0" w:noHBand="0" w:noVBand="1"/>
      </w:tblPr>
      <w:tblGrid>
        <w:gridCol w:w="37"/>
        <w:gridCol w:w="5080"/>
        <w:gridCol w:w="36"/>
        <w:gridCol w:w="36"/>
        <w:gridCol w:w="36"/>
        <w:gridCol w:w="36"/>
        <w:gridCol w:w="110"/>
        <w:gridCol w:w="540"/>
        <w:gridCol w:w="36"/>
        <w:gridCol w:w="36"/>
        <w:gridCol w:w="36"/>
        <w:gridCol w:w="36"/>
        <w:gridCol w:w="57"/>
        <w:gridCol w:w="414"/>
        <w:gridCol w:w="200"/>
        <w:gridCol w:w="36"/>
        <w:gridCol w:w="36"/>
        <w:gridCol w:w="36"/>
        <w:gridCol w:w="110"/>
        <w:gridCol w:w="540"/>
        <w:gridCol w:w="36"/>
        <w:gridCol w:w="36"/>
        <w:gridCol w:w="36"/>
        <w:gridCol w:w="36"/>
        <w:gridCol w:w="57"/>
        <w:gridCol w:w="414"/>
        <w:gridCol w:w="170"/>
      </w:tblGrid>
      <w:tr w:rsidR="00000000">
        <w:trPr>
          <w:divId w:val="938831480"/>
        </w:trPr>
        <w:tc>
          <w:tcPr>
            <w:tcW w:w="50" w:type="pct"/>
            <w:vAlign w:val="center"/>
            <w:hideMark/>
          </w:tcPr>
          <w:p w:rsidR="00000000" w:rsidRDefault="00E0782F">
            <w:pPr>
              <w:rPr>
                <w:rFonts w:eastAsia="Times New Roman"/>
              </w:rPr>
            </w:pPr>
          </w:p>
        </w:tc>
        <w:tc>
          <w:tcPr>
            <w:tcW w:w="312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3883148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w:t>
            </w:r>
          </w:p>
        </w:tc>
      </w:tr>
      <w:tr w:rsidR="00000000">
        <w:trPr>
          <w:divId w:val="93883148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r>
      <w:tr w:rsidR="00000000">
        <w:trPr>
          <w:divId w:val="93883148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r>
      <w:tr w:rsidR="00000000">
        <w:trPr>
          <w:divId w:val="93883148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Up to three months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4,285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37.3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r>
      <w:tr w:rsidR="00000000">
        <w:trPr>
          <w:divId w:val="938831480"/>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&gt; 3 months to 6 months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3,953 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22.6 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38831480"/>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&gt; 6 months to 12 months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6,139 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35.2 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38831480"/>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&gt; 12 months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3,564 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38831480"/>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11,482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131560159"/>
        <w:rPr>
          <w:rFonts w:eastAsia="Times New Roman"/>
        </w:rPr>
      </w:pPr>
      <w:r>
        <w:rPr>
          <w:rFonts w:eastAsia="Times New Roman"/>
          <w:b/>
          <w:bCs/>
          <w:i/>
          <w:iCs/>
          <w:color w:val="000000"/>
          <w:sz w:val="20"/>
          <w:szCs w:val="20"/>
        </w:rPr>
        <w:t>Short-Term Borrowings and Long-Term Debt</w:t>
      </w:r>
    </w:p>
    <w:p w:rsidR="00000000" w:rsidRDefault="00E0782F">
      <w:pPr>
        <w:jc w:val="both"/>
        <w:divId w:val="154348554"/>
        <w:rPr>
          <w:rFonts w:eastAsia="Times New Roman"/>
        </w:rPr>
      </w:pPr>
      <w:r>
        <w:rPr>
          <w:rFonts w:eastAsia="Times New Roman"/>
          <w:color w:val="000000"/>
          <w:sz w:val="20"/>
          <w:szCs w:val="20"/>
        </w:rPr>
        <w:t xml:space="preserve">We access the capital markets to meet our funding needs through the issuance of senior and subordinated notes, securitized debt obligations and federal funds purchased and securities loaned or sold under agreements </w:t>
      </w:r>
      <w:r>
        <w:rPr>
          <w:rFonts w:eastAsia="Times New Roman"/>
          <w:color w:val="000000"/>
          <w:sz w:val="20"/>
          <w:szCs w:val="20"/>
        </w:rPr>
        <w:t xml:space="preserve">to repurchase. In addition, we may utilize short-term and long-term FHLB advances secured by certain of our investment securities, multifamily real estate loans and commercial real estate loans. </w:t>
      </w:r>
    </w:p>
    <w:p w:rsidR="00000000" w:rsidRDefault="00E0782F">
      <w:pPr>
        <w:jc w:val="both"/>
        <w:divId w:val="498496862"/>
        <w:rPr>
          <w:rFonts w:eastAsia="Times New Roman"/>
        </w:rPr>
      </w:pPr>
      <w:r>
        <w:rPr>
          <w:rFonts w:eastAsia="Times New Roman"/>
          <w:color w:val="000000"/>
          <w:sz w:val="20"/>
          <w:szCs w:val="20"/>
        </w:rPr>
        <w:t>Our short-term borrowings include those borrowings with an o</w:t>
      </w:r>
      <w:r>
        <w:rPr>
          <w:rFonts w:eastAsia="Times New Roman"/>
          <w:color w:val="000000"/>
          <w:sz w:val="20"/>
          <w:szCs w:val="20"/>
        </w:rPr>
        <w:t>riginal contractual maturity of one year or less and do not include the current portion of long-term debt. The short-term borrowings, which consist of short-term FHLB advances and federal funds purchased, securities loaned or sold under agreements to repur</w:t>
      </w:r>
      <w:r>
        <w:rPr>
          <w:rFonts w:eastAsia="Times New Roman"/>
          <w:color w:val="000000"/>
          <w:sz w:val="20"/>
          <w:szCs w:val="20"/>
        </w:rPr>
        <w:t>chase, decreased by $6.6 billion to $668 million as of December 31, 2020 from December 31, 2019 driven by maturities of our short-term FHLB advances.</w:t>
      </w:r>
    </w:p>
    <w:p w:rsidR="00000000" w:rsidRDefault="00E0782F">
      <w:pPr>
        <w:jc w:val="both"/>
        <w:divId w:val="1272318399"/>
        <w:rPr>
          <w:rFonts w:eastAsia="Times New Roman"/>
        </w:rPr>
      </w:pPr>
      <w:r>
        <w:rPr>
          <w:rFonts w:eastAsia="Times New Roman"/>
          <w:color w:val="000000"/>
          <w:sz w:val="20"/>
          <w:szCs w:val="20"/>
        </w:rPr>
        <w:t>Our long-term debt, which primarily consists of securitized debt obligations and senior and subordinated n</w:t>
      </w:r>
      <w:r>
        <w:rPr>
          <w:rFonts w:eastAsia="Times New Roman"/>
          <w:color w:val="000000"/>
          <w:sz w:val="20"/>
          <w:szCs w:val="20"/>
        </w:rPr>
        <w:t>otes, decreased by $8.5 billion to $39.9 billion as of December 31, 2020 from December 31, 2019 primarily due to the repurchase of a portion of our senior unsecured debt and net maturities in our credit card securitization program. We provide more informat</w:t>
      </w:r>
      <w:r>
        <w:rPr>
          <w:rFonts w:eastAsia="Times New Roman"/>
          <w:color w:val="000000"/>
          <w:sz w:val="20"/>
          <w:szCs w:val="20"/>
        </w:rPr>
        <w:t>ion on our securitization activity in “Note 5—Variable Interest Entities and Securitizations.”</w:t>
      </w:r>
    </w:p>
    <w:p w:rsidR="00000000" w:rsidRDefault="00E0782F">
      <w:pPr>
        <w:jc w:val="both"/>
        <w:divId w:val="2094888722"/>
        <w:rPr>
          <w:rFonts w:eastAsia="Times New Roman"/>
        </w:rPr>
      </w:pPr>
      <w:r>
        <w:rPr>
          <w:rFonts w:eastAsia="Times New Roman"/>
          <w:color w:val="000000"/>
          <w:sz w:val="20"/>
          <w:szCs w:val="20"/>
        </w:rPr>
        <w:t>The following table summarizes issuances of securitized debt obligations, senior and subordinated notes and FHLB advances and their respective maturities or rede</w:t>
      </w:r>
      <w:r>
        <w:rPr>
          <w:rFonts w:eastAsia="Times New Roman"/>
          <w:color w:val="000000"/>
          <w:sz w:val="20"/>
          <w:szCs w:val="20"/>
        </w:rPr>
        <w:t>mptions for the years ended December 31, 2020, 2019 and 2018.</w:t>
      </w:r>
    </w:p>
    <w:p w:rsidR="00000000" w:rsidRDefault="00E0782F">
      <w:pPr>
        <w:divId w:val="99839414"/>
        <w:rPr>
          <w:rFonts w:eastAsia="Times New Roman"/>
        </w:rPr>
      </w:pPr>
      <w:r>
        <w:rPr>
          <w:rFonts w:eastAsia="Times New Roman"/>
          <w:b/>
          <w:bCs/>
          <w:color w:val="000000"/>
          <w:sz w:val="18"/>
          <w:szCs w:val="18"/>
        </w:rPr>
        <w:t>Table 34: Long-Term Funding</w:t>
      </w:r>
    </w:p>
    <w:tbl>
      <w:tblPr>
        <w:tblW w:w="4992" w:type="pct"/>
        <w:tblCellMar>
          <w:top w:w="15" w:type="dxa"/>
          <w:left w:w="15" w:type="dxa"/>
          <w:bottom w:w="15" w:type="dxa"/>
          <w:right w:w="15" w:type="dxa"/>
        </w:tblCellMar>
        <w:tblLook w:val="04A0" w:firstRow="1" w:lastRow="0" w:firstColumn="1" w:lastColumn="0" w:noHBand="0" w:noVBand="1"/>
      </w:tblPr>
      <w:tblGrid>
        <w:gridCol w:w="57"/>
        <w:gridCol w:w="3857"/>
        <w:gridCol w:w="36"/>
        <w:gridCol w:w="36"/>
        <w:gridCol w:w="36"/>
        <w:gridCol w:w="36"/>
        <w:gridCol w:w="38"/>
        <w:gridCol w:w="903"/>
        <w:gridCol w:w="36"/>
        <w:gridCol w:w="36"/>
        <w:gridCol w:w="36"/>
        <w:gridCol w:w="36"/>
        <w:gridCol w:w="38"/>
        <w:gridCol w:w="903"/>
        <w:gridCol w:w="36"/>
        <w:gridCol w:w="36"/>
        <w:gridCol w:w="36"/>
        <w:gridCol w:w="36"/>
        <w:gridCol w:w="38"/>
        <w:gridCol w:w="903"/>
        <w:gridCol w:w="36"/>
        <w:gridCol w:w="36"/>
        <w:gridCol w:w="36"/>
        <w:gridCol w:w="36"/>
        <w:gridCol w:w="39"/>
        <w:gridCol w:w="905"/>
        <w:gridCol w:w="36"/>
      </w:tblGrid>
      <w:tr w:rsidR="00000000">
        <w:trPr>
          <w:divId w:val="1003511189"/>
        </w:trPr>
        <w:tc>
          <w:tcPr>
            <w:tcW w:w="50" w:type="pct"/>
            <w:vAlign w:val="center"/>
            <w:hideMark/>
          </w:tcPr>
          <w:p w:rsidR="00000000" w:rsidRDefault="00E0782F">
            <w:pPr>
              <w:rPr>
                <w:rFonts w:eastAsia="Times New Roman"/>
              </w:rPr>
            </w:pPr>
          </w:p>
        </w:tc>
        <w:tc>
          <w:tcPr>
            <w:tcW w:w="233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6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03511189"/>
          <w:trHeight w:val="60"/>
        </w:trPr>
        <w:tc>
          <w:tcPr>
            <w:tcW w:w="0" w:type="auto"/>
            <w:gridSpan w:val="27"/>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0351118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0351118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0351118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351118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351118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351118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351118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37"/>
        <w:gridCol w:w="144"/>
        <w:gridCol w:w="144"/>
        <w:gridCol w:w="144"/>
        <w:gridCol w:w="144"/>
        <w:gridCol w:w="144"/>
        <w:gridCol w:w="672"/>
        <w:gridCol w:w="144"/>
        <w:gridCol w:w="144"/>
        <w:gridCol w:w="144"/>
        <w:gridCol w:w="144"/>
        <w:gridCol w:w="144"/>
        <w:gridCol w:w="782"/>
        <w:gridCol w:w="144"/>
        <w:gridCol w:w="144"/>
        <w:gridCol w:w="144"/>
        <w:gridCol w:w="144"/>
        <w:gridCol w:w="144"/>
        <w:gridCol w:w="782"/>
        <w:gridCol w:w="144"/>
        <w:gridCol w:w="144"/>
        <w:gridCol w:w="144"/>
        <w:gridCol w:w="144"/>
        <w:gridCol w:w="144"/>
        <w:gridCol w:w="782"/>
        <w:gridCol w:w="144"/>
        <w:gridCol w:w="144"/>
        <w:gridCol w:w="144"/>
        <w:gridCol w:w="144"/>
        <w:gridCol w:w="144"/>
        <w:gridCol w:w="782"/>
        <w:gridCol w:w="144"/>
        <w:gridCol w:w="144"/>
        <w:gridCol w:w="144"/>
        <w:gridCol w:w="144"/>
        <w:gridCol w:w="144"/>
        <w:gridCol w:w="782"/>
        <w:gridCol w:w="144"/>
      </w:tblGrid>
      <w:tr w:rsidR="00000000">
        <w:tc>
          <w:tcPr>
            <w:tcW w:w="50" w:type="pct"/>
            <w:vAlign w:val="center"/>
            <w:hideMark/>
          </w:tcPr>
          <w:p w:rsidR="00000000" w:rsidRDefault="00E0782F">
            <w:pPr>
              <w:rPr>
                <w:rFonts w:eastAsia="Times New Roman"/>
              </w:rPr>
            </w:pPr>
          </w:p>
        </w:tc>
        <w:tc>
          <w:tcPr>
            <w:tcW w:w="164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Issuances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Maturities/Redemptions</w:t>
            </w:r>
          </w:p>
        </w:tc>
      </w:tr>
      <w:tr w:rsidR="00000000">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2018</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6,868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8,092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FHLB advances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9,108 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10,834 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14,960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16,836 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center"/>
        <w:divId w:val="812989927"/>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12989927"/>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12989927"/>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1298992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4" style="width:0;height:1.5pt" o:hralign="center" o:hrstd="t" o:hr="t" fillcolor="#a0a0a0" stroked="f"/>
        </w:pict>
      </w:r>
    </w:p>
    <w:p w:rsidR="00000000" w:rsidRDefault="00E0782F">
      <w:pPr>
        <w:ind w:hanging="360"/>
        <w:jc w:val="both"/>
        <w:divId w:val="116150470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954335340"/>
        <w:rPr>
          <w:rFonts w:eastAsia="Times New Roman"/>
        </w:rPr>
      </w:pPr>
      <w:r>
        <w:rPr>
          <w:rFonts w:eastAsia="Times New Roman"/>
          <w:b/>
          <w:bCs/>
          <w:color w:val="000000"/>
          <w:sz w:val="20"/>
          <w:szCs w:val="20"/>
        </w:rPr>
        <w:t>Credit Ratings</w:t>
      </w:r>
    </w:p>
    <w:p w:rsidR="00000000" w:rsidRDefault="00E0782F">
      <w:pPr>
        <w:jc w:val="both"/>
        <w:divId w:val="756249745"/>
        <w:rPr>
          <w:rFonts w:eastAsia="Times New Roman"/>
        </w:rPr>
      </w:pPr>
      <w:r>
        <w:rPr>
          <w:rFonts w:eastAsia="Times New Roman"/>
          <w:color w:val="000000"/>
          <w:sz w:val="20"/>
          <w:szCs w:val="20"/>
        </w:rPr>
        <w:t>Our credit ratings impact our ability to access capital markets and our</w:t>
      </w:r>
      <w:r>
        <w:rPr>
          <w:rFonts w:eastAsia="Times New Roman"/>
          <w:color w:val="000000"/>
          <w:sz w:val="20"/>
          <w:szCs w:val="20"/>
        </w:rPr>
        <w:t xml:space="preserve"> borrowing costs. Rating agencies base their ratings on numerous factors, including liquidity, capital adequacy, asset quality, quality of earnings and the probability of systemic support. Significant changes in these factors could result in different rati</w:t>
      </w:r>
      <w:r>
        <w:rPr>
          <w:rFonts w:eastAsia="Times New Roman"/>
          <w:color w:val="000000"/>
          <w:sz w:val="20"/>
          <w:szCs w:val="20"/>
        </w:rPr>
        <w:t>ngs.</w:t>
      </w:r>
    </w:p>
    <w:p w:rsidR="00000000" w:rsidRDefault="00E0782F">
      <w:pPr>
        <w:jc w:val="both"/>
        <w:divId w:val="102967940"/>
        <w:rPr>
          <w:rFonts w:eastAsia="Times New Roman"/>
        </w:rPr>
      </w:pPr>
      <w:r>
        <w:rPr>
          <w:rFonts w:eastAsia="Times New Roman"/>
          <w:color w:val="000000"/>
          <w:sz w:val="20"/>
          <w:szCs w:val="20"/>
        </w:rPr>
        <w:t>Table 35 provides a summary of the credit ratings for the senior unsecured long-term debt of Capital One Financial Corporation, COBNA and CONA as of December 31, 2020 and 2019.</w:t>
      </w:r>
    </w:p>
    <w:p w:rsidR="00000000" w:rsidRDefault="00E0782F">
      <w:pPr>
        <w:divId w:val="701369506"/>
        <w:rPr>
          <w:rFonts w:eastAsia="Times New Roman"/>
        </w:rPr>
      </w:pPr>
      <w:r>
        <w:rPr>
          <w:rFonts w:eastAsia="Times New Roman"/>
          <w:b/>
          <w:bCs/>
          <w:color w:val="000000"/>
          <w:sz w:val="18"/>
          <w:szCs w:val="18"/>
        </w:rPr>
        <w:t>Table 35: Senior Unsecured Long-Term Debt Credit Ratings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2930"/>
        <w:gridCol w:w="36"/>
        <w:gridCol w:w="36"/>
        <w:gridCol w:w="36"/>
        <w:gridCol w:w="36"/>
        <w:gridCol w:w="92"/>
        <w:gridCol w:w="793"/>
        <w:gridCol w:w="37"/>
        <w:gridCol w:w="37"/>
        <w:gridCol w:w="37"/>
        <w:gridCol w:w="37"/>
        <w:gridCol w:w="64"/>
        <w:gridCol w:w="579"/>
        <w:gridCol w:w="36"/>
        <w:gridCol w:w="36"/>
        <w:gridCol w:w="36"/>
        <w:gridCol w:w="36"/>
        <w:gridCol w:w="53"/>
        <w:gridCol w:w="631"/>
        <w:gridCol w:w="36"/>
        <w:gridCol w:w="36"/>
        <w:gridCol w:w="36"/>
        <w:gridCol w:w="36"/>
        <w:gridCol w:w="92"/>
        <w:gridCol w:w="793"/>
        <w:gridCol w:w="37"/>
        <w:gridCol w:w="37"/>
        <w:gridCol w:w="37"/>
        <w:gridCol w:w="37"/>
        <w:gridCol w:w="64"/>
        <w:gridCol w:w="583"/>
        <w:gridCol w:w="36"/>
        <w:gridCol w:w="36"/>
        <w:gridCol w:w="36"/>
        <w:gridCol w:w="36"/>
        <w:gridCol w:w="53"/>
        <w:gridCol w:w="632"/>
        <w:gridCol w:w="36"/>
      </w:tblGrid>
      <w:tr w:rsidR="00000000">
        <w:trPr>
          <w:divId w:val="507253451"/>
        </w:trPr>
        <w:tc>
          <w:tcPr>
            <w:tcW w:w="50" w:type="pct"/>
            <w:vAlign w:val="center"/>
            <w:hideMark/>
          </w:tcPr>
          <w:p w:rsidR="00000000" w:rsidRDefault="00E0782F">
            <w:pPr>
              <w:rPr>
                <w:rFonts w:eastAsia="Times New Roman"/>
              </w:rPr>
            </w:pPr>
          </w:p>
        </w:tc>
        <w:tc>
          <w:tcPr>
            <w:tcW w:w="178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07253451"/>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507253451"/>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CONA</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Capital One</w:t>
            </w:r>
            <w:r>
              <w:rPr>
                <w:rFonts w:eastAsia="Times New Roman"/>
                <w:b/>
                <w:bCs/>
                <w:color w:val="000000"/>
                <w:sz w:val="16"/>
                <w:szCs w:val="16"/>
              </w:rPr>
              <w:br/>
              <w:t>Financial</w:t>
            </w:r>
            <w:r>
              <w:rPr>
                <w:rFonts w:eastAsia="Times New Roman"/>
                <w:b/>
                <w:bCs/>
                <w:color w:val="000000"/>
                <w:sz w:val="16"/>
                <w:szCs w:val="16"/>
              </w:rPr>
              <w:br/>
              <w:t>Corporation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COBNA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CONA</w:t>
            </w:r>
          </w:p>
        </w:tc>
      </w:tr>
      <w:tr w:rsidR="00000000">
        <w:trPr>
          <w:divId w:val="5072534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Moody’s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Baa1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Baa1</w:t>
            </w:r>
          </w:p>
        </w:tc>
      </w:tr>
      <w:tr w:rsidR="00000000">
        <w:trPr>
          <w:divId w:val="5072534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S&amp;P</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BBB+</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BBB+</w:t>
            </w:r>
          </w:p>
        </w:tc>
      </w:tr>
      <w:tr w:rsidR="00000000">
        <w:trPr>
          <w:divId w:val="5072534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Fitch</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A-</w:t>
            </w:r>
          </w:p>
        </w:tc>
      </w:tr>
    </w:tbl>
    <w:p w:rsidR="00000000" w:rsidRDefault="00E0782F">
      <w:pPr>
        <w:jc w:val="both"/>
        <w:divId w:val="270165764"/>
        <w:rPr>
          <w:rFonts w:eastAsia="Times New Roman"/>
        </w:rPr>
      </w:pPr>
      <w:r>
        <w:rPr>
          <w:rFonts w:eastAsia="Times New Roman"/>
          <w:color w:val="000000"/>
          <w:sz w:val="20"/>
          <w:szCs w:val="20"/>
          <w:shd w:val="clear" w:color="auto" w:fill="FFFFFF"/>
        </w:rPr>
        <w:t>As of February</w:t>
      </w:r>
      <w:r>
        <w:rPr>
          <w:rFonts w:eastAsia="Times New Roman"/>
          <w:color w:val="000000"/>
          <w:sz w:val="20"/>
          <w:szCs w:val="20"/>
        </w:rPr>
        <w:t xml:space="preserve"> 18, 2021,</w:t>
      </w:r>
      <w:r>
        <w:rPr>
          <w:rFonts w:eastAsia="Times New Roman"/>
          <w:color w:val="000000"/>
          <w:sz w:val="20"/>
          <w:szCs w:val="20"/>
          <w:shd w:val="clear" w:color="auto" w:fill="FFFFFF"/>
        </w:rPr>
        <w:t xml:space="preserve"> Moody’s Investors Service (“Moody’s”), Standard &amp; Poor’s (“S&amp;P”), and Fitch Ratings (“Fitch”) have our credit ratings on a </w:t>
      </w:r>
      <w:r>
        <w:rPr>
          <w:rFonts w:eastAsia="Times New Roman"/>
          <w:color w:val="000000"/>
          <w:sz w:val="20"/>
          <w:szCs w:val="20"/>
        </w:rPr>
        <w:t>negative outlook.</w:t>
      </w:r>
    </w:p>
    <w:p w:rsidR="00000000" w:rsidRDefault="00E0782F">
      <w:pPr>
        <w:jc w:val="both"/>
        <w:divId w:val="417101823"/>
        <w:rPr>
          <w:rFonts w:eastAsia="Times New Roman"/>
        </w:rPr>
      </w:pPr>
      <w:r>
        <w:rPr>
          <w:rFonts w:eastAsia="Times New Roman"/>
          <w:b/>
          <w:bCs/>
          <w:color w:val="000000"/>
          <w:sz w:val="20"/>
          <w:szCs w:val="20"/>
        </w:rPr>
        <w:t>Contractual Obligations</w:t>
      </w:r>
    </w:p>
    <w:p w:rsidR="00000000" w:rsidRDefault="00E0782F">
      <w:pPr>
        <w:jc w:val="both"/>
        <w:divId w:val="377126194"/>
        <w:rPr>
          <w:rFonts w:eastAsia="Times New Roman"/>
        </w:rPr>
      </w:pPr>
      <w:r>
        <w:rPr>
          <w:rFonts w:eastAsia="Times New Roman"/>
          <w:color w:val="000000"/>
          <w:sz w:val="20"/>
          <w:szCs w:val="20"/>
        </w:rPr>
        <w:t>In the normal course of business, we enter into var</w:t>
      </w:r>
      <w:r>
        <w:rPr>
          <w:rFonts w:eastAsia="Times New Roman"/>
          <w:color w:val="000000"/>
          <w:sz w:val="20"/>
          <w:szCs w:val="20"/>
        </w:rPr>
        <w:t>ious contractual obligations that may require future cash payments that affect our short-term and long-term liquidity and capital resource needs. Our future cash outflows primarily relate to deposits, borrowings and operating leases. Table 36 summarizes, b</w:t>
      </w:r>
      <w:r>
        <w:rPr>
          <w:rFonts w:eastAsia="Times New Roman"/>
          <w:color w:val="000000"/>
          <w:sz w:val="20"/>
          <w:szCs w:val="20"/>
        </w:rPr>
        <w:t>y remaining contractual maturity, our significant contractual cash obligations as of December 31, 2020. The actual timing and amounts of future cash payments may differ from the amounts presented below due to a number of factors, such as discretionary debt</w:t>
      </w:r>
      <w:r>
        <w:rPr>
          <w:rFonts w:eastAsia="Times New Roman"/>
          <w:color w:val="000000"/>
          <w:sz w:val="20"/>
          <w:szCs w:val="20"/>
        </w:rPr>
        <w:t xml:space="preserve"> repurchases. Table 36 excludes short-term obligations such as trade payables, commitments to fund certain equity investments, obligations for pension and post-retirement benefit plans, and representation and warranty reserves, which are discussed in more </w:t>
      </w:r>
      <w:r>
        <w:rPr>
          <w:rFonts w:eastAsia="Times New Roman"/>
          <w:color w:val="000000"/>
          <w:sz w:val="20"/>
          <w:szCs w:val="20"/>
        </w:rPr>
        <w:t>detail in “Note 5—Variable Interest Entities and Securitizations,” “Note 14—Employee Benefit Plans” and “Note 18—Commitments, Contingencies, Guarantees and Others.”</w:t>
      </w:r>
    </w:p>
    <w:p w:rsidR="00000000" w:rsidRDefault="00E0782F">
      <w:pPr>
        <w:divId w:val="369915622"/>
        <w:rPr>
          <w:rFonts w:eastAsia="Times New Roman"/>
        </w:rPr>
      </w:pPr>
      <w:r>
        <w:rPr>
          <w:rFonts w:eastAsia="Times New Roman"/>
          <w:b/>
          <w:bCs/>
          <w:color w:val="000000"/>
          <w:sz w:val="18"/>
          <w:szCs w:val="18"/>
        </w:rPr>
        <w:t>Table 36: Contractual Obligations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4170"/>
        <w:gridCol w:w="40"/>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1"/>
        <w:gridCol w:w="599"/>
        <w:gridCol w:w="36"/>
        <w:gridCol w:w="36"/>
        <w:gridCol w:w="36"/>
        <w:gridCol w:w="36"/>
        <w:gridCol w:w="110"/>
        <w:gridCol w:w="540"/>
        <w:gridCol w:w="36"/>
      </w:tblGrid>
      <w:tr w:rsidR="00000000">
        <w:trPr>
          <w:divId w:val="2142258379"/>
        </w:trPr>
        <w:tc>
          <w:tcPr>
            <w:tcW w:w="50" w:type="pct"/>
            <w:vAlign w:val="center"/>
            <w:hideMark/>
          </w:tcPr>
          <w:p w:rsidR="00000000" w:rsidRDefault="00E0782F">
            <w:pPr>
              <w:rPr>
                <w:rFonts w:eastAsia="Times New Roman"/>
              </w:rPr>
            </w:pPr>
          </w:p>
        </w:tc>
        <w:tc>
          <w:tcPr>
            <w:tcW w:w="270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14225837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214225837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Up to </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&gt; 1 Years</w:t>
            </w:r>
            <w:r>
              <w:rPr>
                <w:rFonts w:eastAsia="Times New Roman"/>
                <w:b/>
                <w:bCs/>
                <w:color w:val="000000"/>
                <w:sz w:val="16"/>
                <w:szCs w:val="16"/>
              </w:rPr>
              <w:br/>
              <w:t>to 3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&gt; 3 Years</w:t>
            </w:r>
            <w:r>
              <w:rPr>
                <w:rFonts w:eastAsia="Times New Roman"/>
                <w:b/>
                <w:bCs/>
                <w:color w:val="000000"/>
                <w:sz w:val="16"/>
                <w:szCs w:val="16"/>
              </w:rPr>
              <w:br/>
              <w:t>to 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&gt; 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214225837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divId w:val="110712562"/>
              <w:rPr>
                <w:rFonts w:eastAsia="Times New Roman"/>
              </w:rPr>
            </w:pPr>
            <w:r>
              <w:rPr>
                <w:rFonts w:eastAsia="Times New Roman"/>
                <w:color w:val="000000"/>
                <w:sz w:val="18"/>
                <w:szCs w:val="18"/>
              </w:rPr>
              <w:t>Interest-bearing time deposit</w:t>
            </w:r>
            <w:r>
              <w:rPr>
                <w:rFonts w:eastAsia="Times New Roman"/>
                <w:color w:val="000000"/>
                <w:sz w:val="18"/>
                <w:szCs w:val="18"/>
              </w:rPr>
              <w:t>s</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21,381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8,659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2,581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32,747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FFFFFF"/>
            <w:tcMar>
              <w:top w:w="30" w:type="dxa"/>
              <w:left w:w="20" w:type="dxa"/>
              <w:bottom w:w="30" w:type="dxa"/>
              <w:right w:w="20" w:type="dxa"/>
            </w:tcMar>
            <w:vAlign w:val="bottom"/>
            <w:hideMark/>
          </w:tcPr>
          <w:p w:rsidR="00000000" w:rsidRDefault="00E0782F">
            <w:pPr>
              <w:divId w:val="441606731"/>
              <w:rPr>
                <w:rFonts w:eastAsia="Times New Roman"/>
              </w:rPr>
            </w:pPr>
            <w:r>
              <w:rPr>
                <w:rFonts w:eastAsia="Times New Roman"/>
                <w:color w:val="000000"/>
                <w:sz w:val="18"/>
                <w:szCs w:val="18"/>
              </w:rPr>
              <w:t>Securitized debt obligation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6,722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Other debt: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142258379"/>
        </w:trPr>
        <w:tc>
          <w:tcPr>
            <w:tcW w:w="0" w:type="auto"/>
            <w:gridSpan w:val="3"/>
            <w:shd w:val="clear" w:color="auto" w:fill="FFFF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CCEE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3,878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8,520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8,149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27,382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FFFF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Other borrowings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CCEEFF"/>
            <w:tcMar>
              <w:top w:w="30" w:type="dxa"/>
              <w:left w:w="20" w:type="dxa"/>
              <w:bottom w:w="30" w:type="dxa"/>
              <w:right w:w="20" w:type="dxa"/>
            </w:tcMar>
            <w:vAlign w:val="bottom"/>
            <w:hideMark/>
          </w:tcPr>
          <w:p w:rsidR="00000000" w:rsidRDefault="00E0782F">
            <w:pPr>
              <w:divId w:val="2060009559"/>
              <w:rPr>
                <w:rFonts w:eastAsia="Times New Roman"/>
              </w:rPr>
            </w:pPr>
            <w:r>
              <w:rPr>
                <w:rFonts w:eastAsia="Times New Roman"/>
                <w:color w:val="000000"/>
                <w:sz w:val="18"/>
                <w:szCs w:val="18"/>
              </w:rPr>
              <w:t>Total other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8,558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8,157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6,844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28,125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CCEEFF"/>
            <w:tcMar>
              <w:top w:w="30" w:type="dxa"/>
              <w:left w:w="20" w:type="dxa"/>
              <w:bottom w:w="30" w:type="dxa"/>
              <w:right w:w="20" w:type="dxa"/>
            </w:tcMar>
            <w:vAlign w:val="bottom"/>
            <w:hideMark/>
          </w:tcPr>
          <w:p w:rsidR="00000000" w:rsidRDefault="00E0782F">
            <w:pPr>
              <w:divId w:val="1719819596"/>
              <w:rPr>
                <w:rFonts w:eastAsia="Times New Roman"/>
              </w:rPr>
            </w:pPr>
            <w:r>
              <w:rPr>
                <w:rFonts w:eastAsia="Times New Roman"/>
                <w:color w:val="000000"/>
                <w:sz w:val="18"/>
                <w:szCs w:val="18"/>
              </w:rPr>
              <w:t>Purchase obligation</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1,640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42258379"/>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29,072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25,221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13,270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9,298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76,861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divId w:val="1026100769"/>
        <w:rPr>
          <w:rFonts w:eastAsia="Times New Roman"/>
        </w:rPr>
      </w:pPr>
      <w:r>
        <w:rPr>
          <w:rFonts w:eastAsia="Times New Roman"/>
          <w:color w:val="000000"/>
          <w:sz w:val="20"/>
          <w:szCs w:val="20"/>
        </w:rPr>
        <w:t>__________</w:t>
      </w:r>
    </w:p>
    <w:p w:rsidR="00000000" w:rsidRDefault="00E0782F">
      <w:pPr>
        <w:ind w:hanging="360"/>
        <w:jc w:val="both"/>
        <w:divId w:val="4029953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only those interest-bearing deposits which have a contractual maturity date.</w:t>
      </w:r>
    </w:p>
    <w:p w:rsidR="00000000" w:rsidRDefault="00E0782F">
      <w:pPr>
        <w:ind w:hanging="360"/>
        <w:jc w:val="both"/>
        <w:divId w:val="99309957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amounts represent the carrying value of the obligations and do not include amounts related to contractual interest obligations. Total contractual interest obliga</w:t>
      </w:r>
      <w:r>
        <w:rPr>
          <w:rFonts w:eastAsia="Times New Roman"/>
          <w:color w:val="000000"/>
          <w:sz w:val="16"/>
          <w:szCs w:val="16"/>
        </w:rPr>
        <w:t>tions were approximately $2.8 billion as of December 31, 2020, and represent forecasted net interest payments based on interest rates as of December 31, 2020. These forecasts use the contractual maturity date of each liability and include the impact of hed</w:t>
      </w:r>
      <w:r>
        <w:rPr>
          <w:rFonts w:eastAsia="Times New Roman"/>
          <w:color w:val="000000"/>
          <w:sz w:val="16"/>
          <w:szCs w:val="16"/>
        </w:rPr>
        <w:t>ges where applicable.</w:t>
      </w:r>
    </w:p>
    <w:p w:rsidR="00000000" w:rsidRDefault="00E0782F">
      <w:pPr>
        <w:ind w:hanging="360"/>
        <w:jc w:val="both"/>
        <w:divId w:val="76403180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substantial agreements to purchase goods or services that are enforceable and legally binding and specify all significant terms. Purchase obligations are included through the termination date of the agreements even if th</w:t>
      </w:r>
      <w:r>
        <w:rPr>
          <w:rFonts w:eastAsia="Times New Roman"/>
          <w:color w:val="000000"/>
          <w:sz w:val="16"/>
          <w:szCs w:val="16"/>
        </w:rPr>
        <w:t>e contract is renewable.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9326745"/>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9326745"/>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932674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99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5" style="width:0;height:1.5pt" o:hralign="center" o:hrstd="t" o:hr="t" fillcolor="#a0a0a0" stroked="f"/>
        </w:pict>
      </w:r>
    </w:p>
    <w:p w:rsidR="00000000" w:rsidRDefault="00E0782F">
      <w:pPr>
        <w:ind w:hanging="360"/>
        <w:jc w:val="both"/>
        <w:divId w:val="121092378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684869487"/>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8486948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MARKET RISK PROFILE</w:t>
            </w:r>
          </w:p>
        </w:tc>
      </w:tr>
    </w:tbl>
    <w:p w:rsidR="00000000" w:rsidRDefault="00E0782F">
      <w:pPr>
        <w:jc w:val="both"/>
        <w:divId w:val="2031107692"/>
        <w:rPr>
          <w:rFonts w:eastAsia="Times New Roman"/>
        </w:rPr>
      </w:pPr>
      <w:r>
        <w:rPr>
          <w:rFonts w:eastAsia="Times New Roman"/>
          <w:color w:val="000000"/>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eastAsia="Times New Roman"/>
          <w:color w:val="000000"/>
          <w:sz w:val="20"/>
          <w:szCs w:val="20"/>
        </w:rPr>
        <w:t>sk primarily from the following operations and activities:</w:t>
      </w:r>
    </w:p>
    <w:p w:rsidR="00000000" w:rsidRDefault="00E0782F">
      <w:pPr>
        <w:ind w:hanging="360"/>
        <w:jc w:val="both"/>
        <w:divId w:val="1346909066"/>
        <w:rPr>
          <w:rFonts w:eastAsia="Times New Roman"/>
        </w:rPr>
      </w:pPr>
      <w:r>
        <w:rPr>
          <w:rFonts w:eastAsia="Times New Roman"/>
          <w:color w:val="000000"/>
          <w:sz w:val="20"/>
          <w:szCs w:val="20"/>
        </w:rPr>
        <w:t>•Traditional banking activities of deposit gathering and lending;</w:t>
      </w:r>
    </w:p>
    <w:p w:rsidR="00000000" w:rsidRDefault="00E0782F">
      <w:pPr>
        <w:ind w:hanging="360"/>
        <w:jc w:val="both"/>
        <w:divId w:val="1367409195"/>
        <w:rPr>
          <w:rFonts w:eastAsia="Times New Roman"/>
        </w:rPr>
      </w:pPr>
      <w:r>
        <w:rPr>
          <w:rFonts w:eastAsia="Times New Roman"/>
          <w:color w:val="000000"/>
          <w:sz w:val="20"/>
          <w:szCs w:val="20"/>
        </w:rPr>
        <w:t>•Asset/liability management activities including the management of investment securities, short-term and long-term borrowings and d</w:t>
      </w:r>
      <w:r>
        <w:rPr>
          <w:rFonts w:eastAsia="Times New Roman"/>
          <w:color w:val="000000"/>
          <w:sz w:val="20"/>
          <w:szCs w:val="20"/>
        </w:rPr>
        <w:t>erivatives;</w:t>
      </w:r>
    </w:p>
    <w:p w:rsidR="00000000" w:rsidRDefault="00E0782F">
      <w:pPr>
        <w:ind w:hanging="360"/>
        <w:jc w:val="both"/>
        <w:divId w:val="1057167381"/>
        <w:rPr>
          <w:rFonts w:eastAsia="Times New Roman"/>
        </w:rPr>
      </w:pPr>
      <w:r>
        <w:rPr>
          <w:rFonts w:eastAsia="Times New Roman"/>
          <w:color w:val="000000"/>
          <w:sz w:val="20"/>
          <w:szCs w:val="20"/>
        </w:rPr>
        <w:t>•Foreign operations in the U.K. and Canada within our Credit Card business; and</w:t>
      </w:r>
    </w:p>
    <w:p w:rsidR="00000000" w:rsidRDefault="00E0782F">
      <w:pPr>
        <w:ind w:hanging="360"/>
        <w:jc w:val="both"/>
        <w:divId w:val="1727071996"/>
        <w:rPr>
          <w:rFonts w:eastAsia="Times New Roman"/>
        </w:rPr>
      </w:pPr>
      <w:r>
        <w:rPr>
          <w:rFonts w:eastAsia="Times New Roman"/>
          <w:color w:val="000000"/>
          <w:sz w:val="20"/>
          <w:szCs w:val="20"/>
        </w:rPr>
        <w:t>•Customer accommodation activities within our Commercial Banking business.</w:t>
      </w:r>
    </w:p>
    <w:p w:rsidR="00000000" w:rsidRDefault="00E0782F">
      <w:pPr>
        <w:jc w:val="both"/>
        <w:divId w:val="105778726"/>
        <w:rPr>
          <w:rFonts w:eastAsia="Times New Roman"/>
        </w:rPr>
      </w:pPr>
      <w:r>
        <w:rPr>
          <w:rFonts w:eastAsia="Times New Roman"/>
          <w:color w:val="000000"/>
          <w:sz w:val="20"/>
          <w:szCs w:val="20"/>
        </w:rPr>
        <w:t>We have enterprise-wide risk management policies and limits, approved by our Board of Dir</w:t>
      </w:r>
      <w:r>
        <w:rPr>
          <w:rFonts w:eastAsia="Times New Roman"/>
          <w:color w:val="000000"/>
          <w:sz w:val="20"/>
          <w:szCs w:val="20"/>
        </w:rPr>
        <w:t>ectors, which govern our market risk management activities. Our objective is to manage our exposure to market risk in accordance with these policies and limits based on prevailing market conditions and long-term expectations. We provide additional informat</w:t>
      </w:r>
      <w:r>
        <w:rPr>
          <w:rFonts w:eastAsia="Times New Roman"/>
          <w:color w:val="000000"/>
          <w:sz w:val="20"/>
          <w:szCs w:val="20"/>
        </w:rPr>
        <w:t>ion below about our primary sources of market risk, our market risk management strategies and the measures that we use to evaluate these exposures.</w:t>
      </w:r>
    </w:p>
    <w:p w:rsidR="00000000" w:rsidRDefault="00E0782F">
      <w:pPr>
        <w:divId w:val="1260914961"/>
        <w:rPr>
          <w:rFonts w:eastAsia="Times New Roman"/>
        </w:rPr>
      </w:pPr>
      <w:r>
        <w:rPr>
          <w:rFonts w:eastAsia="Times New Roman"/>
          <w:b/>
          <w:bCs/>
          <w:color w:val="000000"/>
          <w:sz w:val="20"/>
          <w:szCs w:val="20"/>
        </w:rPr>
        <w:t>Interest Rate Risk</w:t>
      </w:r>
    </w:p>
    <w:p w:rsidR="00000000" w:rsidRDefault="00E0782F">
      <w:pPr>
        <w:jc w:val="both"/>
        <w:divId w:val="1764261805"/>
        <w:rPr>
          <w:rFonts w:eastAsia="Times New Roman"/>
        </w:rPr>
      </w:pPr>
      <w:r>
        <w:rPr>
          <w:rFonts w:eastAsia="Times New Roman"/>
          <w:color w:val="000000"/>
          <w:sz w:val="20"/>
          <w:szCs w:val="20"/>
        </w:rPr>
        <w:t>Interest rate risk represents exposure to financial instruments whose values vary with th</w:t>
      </w:r>
      <w:r>
        <w:rPr>
          <w:rFonts w:eastAsia="Times New Roman"/>
          <w:color w:val="000000"/>
          <w:sz w:val="20"/>
          <w:szCs w:val="20"/>
        </w:rPr>
        <w:t xml:space="preserve">e level or volatility of interest rates. We are exposed to interest rate risk primarily from the differences in the timing between the maturities or re-pricing of assets and liabilities. We manage our interest rate risk primarily by entering into interest </w:t>
      </w:r>
      <w:r>
        <w:rPr>
          <w:rFonts w:eastAsia="Times New Roman"/>
          <w:color w:val="000000"/>
          <w:sz w:val="20"/>
          <w:szCs w:val="20"/>
        </w:rPr>
        <w:t xml:space="preserve">rate swaps and other derivative instruments, including caps, floors, options, futures and forward contracts. </w:t>
      </w:r>
    </w:p>
    <w:p w:rsidR="00000000" w:rsidRDefault="00E0782F">
      <w:pPr>
        <w:jc w:val="both"/>
        <w:divId w:val="1325620734"/>
        <w:rPr>
          <w:rFonts w:eastAsia="Times New Roman"/>
        </w:rPr>
      </w:pPr>
      <w:r>
        <w:rPr>
          <w:rFonts w:eastAsia="Times New Roman"/>
          <w:color w:val="000000"/>
          <w:sz w:val="20"/>
          <w:szCs w:val="20"/>
        </w:rPr>
        <w:t>We use various industry standard market risk measurement techniques and analyses to measure, assess and manage the impact of changes in interest r</w:t>
      </w:r>
      <w:r>
        <w:rPr>
          <w:rFonts w:eastAsia="Times New Roman"/>
          <w:color w:val="000000"/>
          <w:sz w:val="20"/>
          <w:szCs w:val="20"/>
        </w:rPr>
        <w:t>ates on our net interest income and our economic value of equity and changes in foreign exchange rates on our non-dollar-denominated funding and non-dollar equity investments in foreign operations.</w:t>
      </w:r>
    </w:p>
    <w:p w:rsidR="00000000" w:rsidRDefault="00E0782F">
      <w:pPr>
        <w:divId w:val="1863470238"/>
        <w:rPr>
          <w:rFonts w:eastAsia="Times New Roman"/>
        </w:rPr>
      </w:pPr>
      <w:r>
        <w:rPr>
          <w:rFonts w:eastAsia="Times New Roman"/>
          <w:b/>
          <w:bCs/>
          <w:i/>
          <w:iCs/>
          <w:color w:val="000000"/>
          <w:sz w:val="20"/>
          <w:szCs w:val="20"/>
        </w:rPr>
        <w:t>Net Interest Income Sensitivity</w:t>
      </w:r>
    </w:p>
    <w:p w:rsidR="00000000" w:rsidRDefault="00E0782F">
      <w:pPr>
        <w:jc w:val="both"/>
        <w:divId w:val="1827210836"/>
        <w:rPr>
          <w:rFonts w:eastAsia="Times New Roman"/>
        </w:rPr>
      </w:pPr>
      <w:r>
        <w:rPr>
          <w:rFonts w:eastAsia="Times New Roman"/>
          <w:color w:val="000000"/>
          <w:sz w:val="20"/>
          <w:szCs w:val="20"/>
        </w:rPr>
        <w:t>Our net interest income se</w:t>
      </w:r>
      <w:r>
        <w:rPr>
          <w:rFonts w:eastAsia="Times New Roman"/>
          <w:color w:val="000000"/>
          <w:sz w:val="20"/>
          <w:szCs w:val="20"/>
        </w:rPr>
        <w:t>nsitivity measure estimates the impact on our projected 12-month baseline interest rate-sensitive revenue resulting from movements in interest rates. Interest rate-sensitive revenue consists of net interest income and certain components of other non-intere</w:t>
      </w:r>
      <w:r>
        <w:rPr>
          <w:rFonts w:eastAsia="Times New Roman"/>
          <w:color w:val="000000"/>
          <w:sz w:val="20"/>
          <w:szCs w:val="20"/>
        </w:rPr>
        <w:t xml:space="preserve">st income significantly impacted by movements in interest rates, including changes in the fair value of freestanding interest rate derivatives. In addition to our existing assets and liabilities, we incorporate expected future business growth assumptions, </w:t>
      </w:r>
      <w:r>
        <w:rPr>
          <w:rFonts w:eastAsia="Times New Roman"/>
          <w:color w:val="000000"/>
          <w:sz w:val="20"/>
          <w:szCs w:val="20"/>
        </w:rPr>
        <w:t>such as loan and deposit growth and pricing, and plans for projected changes in our funding mix in our baseline forecast. In measuring the sensitivity of interest rate movements on our projected interest rate-sensitive revenue, we assume a hypothetical ins</w:t>
      </w:r>
      <w:r>
        <w:rPr>
          <w:rFonts w:eastAsia="Times New Roman"/>
          <w:color w:val="000000"/>
          <w:sz w:val="20"/>
          <w:szCs w:val="20"/>
        </w:rPr>
        <w:t>tantaneous parallel shift in the level of interest rates detailed in Table 37 below. At the current level of interest rates, our interest rate sensitive revenue is expected to increase in higher rate scenarios and decrease modestly in lower rate scenarios.</w:t>
      </w:r>
      <w:r>
        <w:rPr>
          <w:rFonts w:eastAsia="Times New Roman"/>
          <w:color w:val="000000"/>
          <w:sz w:val="20"/>
          <w:szCs w:val="20"/>
        </w:rPr>
        <w:t xml:space="preserve"> Our current sensitivity to upward shocks has increased as compared to December 31, 2019 mainly due to the decline in interest rates and the growth in deposits and cash. </w:t>
      </w:r>
    </w:p>
    <w:p w:rsidR="00000000" w:rsidRDefault="00E0782F">
      <w:pPr>
        <w:divId w:val="1454716940"/>
        <w:rPr>
          <w:rFonts w:eastAsia="Times New Roman"/>
        </w:rPr>
      </w:pPr>
      <w:r>
        <w:rPr>
          <w:rFonts w:eastAsia="Times New Roman"/>
          <w:b/>
          <w:bCs/>
          <w:i/>
          <w:iCs/>
          <w:color w:val="000000"/>
          <w:sz w:val="20"/>
          <w:szCs w:val="20"/>
        </w:rPr>
        <w:t>Economic Value of Equity</w:t>
      </w:r>
    </w:p>
    <w:p w:rsidR="00000000" w:rsidRDefault="00E0782F">
      <w:pPr>
        <w:jc w:val="both"/>
        <w:divId w:val="951133814"/>
        <w:rPr>
          <w:rFonts w:eastAsia="Times New Roman"/>
        </w:rPr>
      </w:pPr>
      <w:r>
        <w:rPr>
          <w:rFonts w:eastAsia="Times New Roman"/>
          <w:color w:val="000000"/>
          <w:sz w:val="20"/>
          <w:szCs w:val="20"/>
        </w:rPr>
        <w:t>Our economic value of equity sensitivity measure estimates t</w:t>
      </w:r>
      <w:r>
        <w:rPr>
          <w:rFonts w:eastAsia="Times New Roman"/>
          <w:color w:val="000000"/>
          <w:sz w:val="20"/>
          <w:szCs w:val="20"/>
        </w:rPr>
        <w:t>he impact on the net present value of our assets and liabilities, including derivative exposures, resulting from movements in interest rates. Our economic value of equity sensitivity measure is calculated based on our existing assets and liabilities, inclu</w:t>
      </w:r>
      <w:r>
        <w:rPr>
          <w:rFonts w:eastAsia="Times New Roman"/>
          <w:color w:val="000000"/>
          <w:sz w:val="20"/>
          <w:szCs w:val="20"/>
        </w:rPr>
        <w:t>ding derivatives, and does not incorporate business growth assumptions or projected balance sheet changes. Key assumptions used in the calculation include projecting rate sensitive prepayments for mortgage securities, loans and other assets, term structure</w:t>
      </w:r>
      <w:r>
        <w:rPr>
          <w:rFonts w:eastAsia="Times New Roman"/>
          <w:color w:val="000000"/>
          <w:sz w:val="20"/>
          <w:szCs w:val="20"/>
        </w:rPr>
        <w:t xml:space="preserve"> modeling of interest rates, discount spreads, and deposit volume and pricing assumptions. In measuring the sensitivity of interest rate movements on our economic value of equity, we assume a hypothetical instantaneous parallel shift in the level of intere</w:t>
      </w:r>
      <w:r>
        <w:rPr>
          <w:rFonts w:eastAsia="Times New Roman"/>
          <w:color w:val="000000"/>
          <w:sz w:val="20"/>
          <w:szCs w:val="20"/>
        </w:rPr>
        <w:t>st rates detailed in Table 37 below. Our current economic value of equity sensitivity profile demonstrates that our economic value of equity increases in higher rate scenarios and decreases in lower interest rate scenarios. Similar to the changes in net in</w:t>
      </w:r>
      <w:r>
        <w:rPr>
          <w:rFonts w:eastAsia="Times New Roman"/>
          <w:color w:val="000000"/>
          <w:sz w:val="20"/>
          <w:szCs w:val="20"/>
        </w:rPr>
        <w:t xml:space="preserve">terest income sensitivity, our current economic value of equity sensitivity to upward shocks has also increased as compared to December 31, 2019 mainly due to the decline in interest rates and the growth in deposits and cash.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2556449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2556449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2556449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6" style="width:0;height:1.5pt" o:hralign="center" o:hrstd="t" o:hr="t" fillcolor="#a0a0a0" stroked="f"/>
        </w:pict>
      </w:r>
    </w:p>
    <w:p w:rsidR="00000000" w:rsidRDefault="00E0782F">
      <w:pPr>
        <w:ind w:hanging="360"/>
        <w:jc w:val="both"/>
        <w:divId w:val="186436821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339820603"/>
        <w:rPr>
          <w:rFonts w:eastAsia="Times New Roman"/>
        </w:rPr>
      </w:pPr>
      <w:r>
        <w:rPr>
          <w:rFonts w:eastAsia="Times New Roman"/>
          <w:color w:val="000000"/>
          <w:sz w:val="20"/>
          <w:szCs w:val="20"/>
        </w:rPr>
        <w:t>Table 37 shows the estimated percentage impact on our projected baseline net interest income and economic value of equity calculated under the methodology described above as of December 31, 2020 and 2019. In instances where a declining interest rate scenar</w:t>
      </w:r>
      <w:r>
        <w:rPr>
          <w:rFonts w:eastAsia="Times New Roman"/>
          <w:color w:val="000000"/>
          <w:sz w:val="20"/>
          <w:szCs w:val="20"/>
        </w:rPr>
        <w:t>io would result in a rate less than 0%, we assume a rate of 0% for that scenario.</w:t>
      </w:r>
    </w:p>
    <w:p w:rsidR="00000000" w:rsidRDefault="00E0782F">
      <w:pPr>
        <w:divId w:val="1101146579"/>
        <w:rPr>
          <w:rFonts w:eastAsia="Times New Roman"/>
        </w:rPr>
      </w:pPr>
      <w:r>
        <w:rPr>
          <w:rFonts w:eastAsia="Times New Roman"/>
          <w:b/>
          <w:bCs/>
          <w:color w:val="000000"/>
          <w:sz w:val="18"/>
          <w:szCs w:val="18"/>
        </w:rPr>
        <w:t>Table 37: Interest Rate Sensitivity Analysis</w:t>
      </w:r>
    </w:p>
    <w:tbl>
      <w:tblPr>
        <w:tblW w:w="4992" w:type="pct"/>
        <w:tblCellMar>
          <w:top w:w="15" w:type="dxa"/>
          <w:left w:w="15" w:type="dxa"/>
          <w:bottom w:w="15" w:type="dxa"/>
          <w:right w:w="15" w:type="dxa"/>
        </w:tblCellMar>
        <w:tblLook w:val="04A0" w:firstRow="1" w:lastRow="0" w:firstColumn="1" w:lastColumn="0" w:noHBand="0" w:noVBand="1"/>
      </w:tblPr>
      <w:tblGrid>
        <w:gridCol w:w="37"/>
        <w:gridCol w:w="6180"/>
        <w:gridCol w:w="36"/>
        <w:gridCol w:w="36"/>
        <w:gridCol w:w="36"/>
        <w:gridCol w:w="36"/>
        <w:gridCol w:w="69"/>
        <w:gridCol w:w="658"/>
        <w:gridCol w:w="200"/>
        <w:gridCol w:w="36"/>
        <w:gridCol w:w="36"/>
        <w:gridCol w:w="36"/>
        <w:gridCol w:w="69"/>
        <w:gridCol w:w="658"/>
        <w:gridCol w:w="170"/>
      </w:tblGrid>
      <w:tr w:rsidR="00000000">
        <w:trPr>
          <w:divId w:val="1450785584"/>
        </w:trPr>
        <w:tc>
          <w:tcPr>
            <w:tcW w:w="50" w:type="pct"/>
            <w:vAlign w:val="center"/>
            <w:hideMark/>
          </w:tcPr>
          <w:p w:rsidR="00000000" w:rsidRDefault="00E0782F">
            <w:pPr>
              <w:rPr>
                <w:rFonts w:eastAsia="Times New Roman"/>
              </w:rPr>
            </w:pPr>
          </w:p>
        </w:tc>
        <w:tc>
          <w:tcPr>
            <w:tcW w:w="380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5078558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4507855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Estimated impact on projected baseline net 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507855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+200 basis points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E0782F">
            <w:pPr>
              <w:rPr>
                <w:rFonts w:eastAsia="Times New Roman"/>
              </w:rPr>
            </w:pPr>
            <w:r>
              <w:rPr>
                <w:rFonts w:eastAsia="Times New Roman"/>
                <w:color w:val="000000"/>
                <w:sz w:val="18"/>
                <w:szCs w:val="18"/>
              </w:rPr>
              <w:t>%</w:t>
            </w:r>
          </w:p>
        </w:tc>
      </w:tr>
      <w:tr w:rsidR="00000000">
        <w:trPr>
          <w:divId w:val="1450785584"/>
        </w:trPr>
        <w:tc>
          <w:tcPr>
            <w:tcW w:w="0" w:type="auto"/>
            <w:gridSpan w:val="3"/>
            <w:vAlign w:val="center"/>
            <w:hideMark/>
          </w:tcPr>
          <w:p w:rsidR="00000000" w:rsidRDefault="00E0782F">
            <w:pP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507855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+100 basis points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507855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507855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5078558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5078558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5078558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5078558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Estimated impact on economic value of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507855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+200 basis points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5078558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507855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+100 basis points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5078558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+50 basis points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5078558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–50 basis points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5078558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5078558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5078558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divId w:val="946930818"/>
        <w:rPr>
          <w:rFonts w:eastAsia="Times New Roman"/>
        </w:rPr>
      </w:pPr>
      <w:r>
        <w:rPr>
          <w:rFonts w:eastAsia="Times New Roman"/>
          <w:color w:val="000000"/>
          <w:sz w:val="20"/>
          <w:szCs w:val="20"/>
        </w:rPr>
        <w:t>In addition to these industry standard measures, we also consider the potential impact of alternative interest rate scenarios, such as stressed rate shocks as well as steepening and flattening yield curve scenarios in our internal interest rate risk manage</w:t>
      </w:r>
      <w:r>
        <w:rPr>
          <w:rFonts w:eastAsia="Times New Roman"/>
          <w:color w:val="000000"/>
          <w:sz w:val="20"/>
          <w:szCs w:val="20"/>
        </w:rPr>
        <w:t>ment decisions.</w:t>
      </w:r>
    </w:p>
    <w:p w:rsidR="00000000" w:rsidRDefault="00E0782F">
      <w:pPr>
        <w:divId w:val="1815487571"/>
        <w:rPr>
          <w:rFonts w:eastAsia="Times New Roman"/>
        </w:rPr>
      </w:pPr>
      <w:r>
        <w:rPr>
          <w:rFonts w:eastAsia="Times New Roman"/>
          <w:b/>
          <w:bCs/>
          <w:i/>
          <w:iCs/>
          <w:color w:val="000000"/>
          <w:sz w:val="20"/>
          <w:szCs w:val="20"/>
        </w:rPr>
        <w:t>Limitations of Market Risk Measures</w:t>
      </w:r>
    </w:p>
    <w:p w:rsidR="00000000" w:rsidRDefault="00E0782F">
      <w:pPr>
        <w:jc w:val="both"/>
        <w:divId w:val="401099375"/>
        <w:rPr>
          <w:rFonts w:eastAsia="Times New Roman"/>
        </w:rPr>
      </w:pPr>
      <w:r>
        <w:rPr>
          <w:rFonts w:eastAsia="Times New Roman"/>
          <w:color w:val="000000"/>
          <w:sz w:val="20"/>
          <w:szCs w:val="20"/>
        </w:rPr>
        <w:t>The interest rate risk models that we use in deriving these measures incorporate contractual information, internally-developed assumptions and proprietary modeling methodologies, which project borrower an</w:t>
      </w:r>
      <w:r>
        <w:rPr>
          <w:rFonts w:eastAsia="Times New Roman"/>
          <w:color w:val="000000"/>
          <w:sz w:val="20"/>
          <w:szCs w:val="20"/>
        </w:rPr>
        <w:t>d depositor behavior patterns in certain interest rate environments. Other market inputs, such as interest rates, market prices and interest rate volatility, are also critical components of our interest rate risk measures. We regularly evaluate, update and</w:t>
      </w:r>
      <w:r>
        <w:rPr>
          <w:rFonts w:eastAsia="Times New Roman"/>
          <w:color w:val="000000"/>
          <w:sz w:val="20"/>
          <w:szCs w:val="20"/>
        </w:rPr>
        <w:t xml:space="preserve"> enhance these assumptions, models and analytical tools as we believe appropriate to reflect our best assessment of the market environment and the expected behavior patterns of our existing assets and liabilities.</w:t>
      </w:r>
    </w:p>
    <w:p w:rsidR="00000000" w:rsidRDefault="00E0782F">
      <w:pPr>
        <w:jc w:val="both"/>
        <w:divId w:val="717969655"/>
        <w:rPr>
          <w:rFonts w:eastAsia="Times New Roman"/>
        </w:rPr>
      </w:pPr>
      <w:r>
        <w:rPr>
          <w:rFonts w:eastAsia="Times New Roman"/>
          <w:color w:val="000000"/>
          <w:sz w:val="20"/>
          <w:szCs w:val="20"/>
        </w:rPr>
        <w:t>There are inherent limitations in any meth</w:t>
      </w:r>
      <w:r>
        <w:rPr>
          <w:rFonts w:eastAsia="Times New Roman"/>
          <w:color w:val="000000"/>
          <w:sz w:val="20"/>
          <w:szCs w:val="20"/>
        </w:rPr>
        <w:t>odology used to estimate the exposure to changes in market interest rates. The sensitivity analysis described above contemplates only certain movements in interest rates and is performed at a particular point in time based on the existing balance sheet and</w:t>
      </w:r>
      <w:r>
        <w:rPr>
          <w:rFonts w:eastAsia="Times New Roman"/>
          <w:color w:val="000000"/>
          <w:sz w:val="20"/>
          <w:szCs w:val="20"/>
        </w:rPr>
        <w:t>, in some cases, expected future business growth and funding mix assumptions. The strategic actions that management may take to manage our balance sheet may differ significantly from our projections, which could cause our actual earnings and economic value</w:t>
      </w:r>
      <w:r>
        <w:rPr>
          <w:rFonts w:eastAsia="Times New Roman"/>
          <w:color w:val="000000"/>
          <w:sz w:val="20"/>
          <w:szCs w:val="20"/>
        </w:rPr>
        <w:t xml:space="preserve"> of equity sensitivities to differ substantially from the above sensitivity analysis.</w:t>
      </w:r>
    </w:p>
    <w:p w:rsidR="00000000" w:rsidRDefault="00E0782F">
      <w:pPr>
        <w:jc w:val="both"/>
        <w:divId w:val="254214286"/>
        <w:rPr>
          <w:rFonts w:eastAsia="Times New Roman"/>
        </w:rPr>
      </w:pPr>
      <w:r>
        <w:rPr>
          <w:rFonts w:eastAsia="Times New Roman"/>
          <w:color w:val="000000"/>
          <w:sz w:val="20"/>
          <w:szCs w:val="20"/>
        </w:rPr>
        <w:t xml:space="preserve">For further information on our interest rate exposures, see “Note 9—Derivative Instruments and Hedging Activities.” </w:t>
      </w:r>
    </w:p>
    <w:p w:rsidR="00000000" w:rsidRDefault="00E0782F">
      <w:pPr>
        <w:divId w:val="1041440577"/>
        <w:rPr>
          <w:rFonts w:eastAsia="Times New Roman"/>
        </w:rPr>
      </w:pPr>
      <w:r>
        <w:rPr>
          <w:rFonts w:eastAsia="Times New Roman"/>
          <w:b/>
          <w:bCs/>
          <w:color w:val="000000"/>
          <w:sz w:val="20"/>
          <w:szCs w:val="20"/>
        </w:rPr>
        <w:t>Foreign Exchange Risk</w:t>
      </w:r>
    </w:p>
    <w:p w:rsidR="00000000" w:rsidRDefault="00E0782F">
      <w:pPr>
        <w:jc w:val="both"/>
        <w:divId w:val="303778579"/>
        <w:rPr>
          <w:rFonts w:eastAsia="Times New Roman"/>
        </w:rPr>
      </w:pPr>
      <w:r>
        <w:rPr>
          <w:rFonts w:eastAsia="Times New Roman"/>
          <w:color w:val="000000"/>
          <w:sz w:val="20"/>
          <w:szCs w:val="20"/>
        </w:rPr>
        <w:t>Foreign exchange risk represent</w:t>
      </w:r>
      <w:r>
        <w:rPr>
          <w:rFonts w:eastAsia="Times New Roman"/>
          <w:color w:val="000000"/>
          <w:sz w:val="20"/>
          <w:szCs w:val="20"/>
        </w:rPr>
        <w:t>s exposure to changes in the values of current holdings and future cash flows denominated in other currencies. We are exposed to foreign exchange risk primarily from the intercompany funding denominated in pound sterling (“GBP”) and the Canadian dollar (“C</w:t>
      </w:r>
      <w:r>
        <w:rPr>
          <w:rFonts w:eastAsia="Times New Roman"/>
          <w:color w:val="000000"/>
          <w:sz w:val="20"/>
          <w:szCs w:val="20"/>
        </w:rPr>
        <w:t>AD”) that we provide to our businesses in the U.K. and Canada and net equity investments in those businesses. We are also exposed to foreign exchange risk due to changes in the dollar-denominated value of future earnings and cash flows from our foreign ope</w:t>
      </w:r>
      <w:r>
        <w:rPr>
          <w:rFonts w:eastAsia="Times New Roman"/>
          <w:color w:val="000000"/>
          <w:sz w:val="20"/>
          <w:szCs w:val="20"/>
        </w:rPr>
        <w:t>rations and from our Euro (“EUR”)-denominated borrowings.</w:t>
      </w:r>
    </w:p>
    <w:p w:rsidR="00000000" w:rsidRDefault="00E0782F">
      <w:pPr>
        <w:jc w:val="both"/>
        <w:divId w:val="899244093"/>
        <w:rPr>
          <w:rFonts w:eastAsia="Times New Roman"/>
        </w:rPr>
      </w:pPr>
      <w:r>
        <w:rPr>
          <w:rFonts w:eastAsia="Times New Roman"/>
          <w:color w:val="000000"/>
          <w:sz w:val="20"/>
          <w:szCs w:val="20"/>
        </w:rPr>
        <w:t>Our non-dollar denominated intercompany funding and EUR-denominated borrowings expose our earnings to foreign exchange transaction risk. We manage these transaction risks by using forward foreign cu</w:t>
      </w:r>
      <w:r>
        <w:rPr>
          <w:rFonts w:eastAsia="Times New Roman"/>
          <w:color w:val="000000"/>
          <w:sz w:val="20"/>
          <w:szCs w:val="20"/>
        </w:rPr>
        <w:t>rrency derivatives and cross-currency swaps to hedge our exposures. We measure our foreign exchange transaction risk exposures by applying a 1% U.S. dollar appreciation shock against the value of the non-dollar denominated intercompany funding and EUR-deno</w:t>
      </w:r>
      <w:r>
        <w:rPr>
          <w:rFonts w:eastAsia="Times New Roman"/>
          <w:color w:val="000000"/>
          <w:sz w:val="20"/>
          <w:szCs w:val="20"/>
        </w:rPr>
        <w:t>minated borrowings and their related hedges, which shows the impact to our earnings from foreign exchange risk. Our intercompany funding outstanding was 320 million GBP and 761 million GBP as of December 31, 2020 and 2019, respectively, and 5.3 billion CAD</w:t>
      </w:r>
      <w:r>
        <w:rPr>
          <w:rFonts w:eastAsia="Times New Roman"/>
          <w:color w:val="000000"/>
          <w:sz w:val="20"/>
          <w:szCs w:val="20"/>
        </w:rPr>
        <w:t xml:space="preserve"> and 6.6 billion CAD as of December 31, 2020 and 2019, respectively. Our EUR-denominated borrowings outstanding were 1.3 billion EUR and 1.2 billion EUR as of December 31, 2020 and 2019,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08353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08353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08353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7" style="width:0;height:1.5pt" o:hralign="center" o:hrstd="t" o:hr="t" fillcolor="#a0a0a0" stroked="f"/>
        </w:pict>
      </w:r>
    </w:p>
    <w:p w:rsidR="00000000" w:rsidRDefault="00E0782F">
      <w:pPr>
        <w:ind w:hanging="360"/>
        <w:jc w:val="both"/>
        <w:divId w:val="372924369"/>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657301824"/>
        <w:rPr>
          <w:rFonts w:eastAsia="Times New Roman"/>
        </w:rPr>
      </w:pPr>
      <w:r>
        <w:rPr>
          <w:rFonts w:eastAsia="Times New Roman"/>
          <w:color w:val="000000"/>
          <w:sz w:val="20"/>
          <w:szCs w:val="20"/>
        </w:rPr>
        <w:t>Our non-dollar equity investments in foreign operations expose our balance sheet to tr</w:t>
      </w:r>
      <w:r>
        <w:rPr>
          <w:rFonts w:eastAsia="Times New Roman"/>
          <w:color w:val="000000"/>
          <w:sz w:val="20"/>
          <w:szCs w:val="20"/>
        </w:rPr>
        <w:t>anslation risk in AOCI and our capital ratios. We manage our AOCI exposure by entering into foreign currency derivatives designated as net investment hedges. We measure these exposures by applying a 30% U.S. dollar appreciation shock, which we believe appr</w:t>
      </w:r>
      <w:r>
        <w:rPr>
          <w:rFonts w:eastAsia="Times New Roman"/>
          <w:color w:val="000000"/>
          <w:sz w:val="20"/>
          <w:szCs w:val="20"/>
        </w:rPr>
        <w:t>oximates a significant adverse shock over a one-year time horizon, against the value of the equity invested in our foreign operations net of related net investment hedges where applicable. Our gross equity exposures in our U.K. and Canadian operations were</w:t>
      </w:r>
      <w:r>
        <w:rPr>
          <w:rFonts w:eastAsia="Times New Roman"/>
          <w:color w:val="000000"/>
          <w:sz w:val="20"/>
          <w:szCs w:val="20"/>
        </w:rPr>
        <w:t xml:space="preserve"> 1.7 billion GBP and 1.6 billion GBP as of December 31, 2020 and 2019, respectively, and 1.5 billion CAD and 1.4 billion CAD as of December 31, 2020 and 2019, respectively.</w:t>
      </w:r>
    </w:p>
    <w:p w:rsidR="00000000" w:rsidRDefault="00E0782F">
      <w:pPr>
        <w:jc w:val="both"/>
        <w:divId w:val="306058875"/>
        <w:rPr>
          <w:rFonts w:eastAsia="Times New Roman"/>
        </w:rPr>
      </w:pPr>
      <w:r>
        <w:rPr>
          <w:rFonts w:eastAsia="Times New Roman"/>
          <w:color w:val="000000"/>
          <w:sz w:val="20"/>
          <w:szCs w:val="20"/>
        </w:rPr>
        <w:t>As a result of our derivative management activities, we believe our net exposure to</w:t>
      </w:r>
      <w:r>
        <w:rPr>
          <w:rFonts w:eastAsia="Times New Roman"/>
          <w:color w:val="000000"/>
          <w:sz w:val="20"/>
          <w:szCs w:val="20"/>
        </w:rPr>
        <w:t xml:space="preserve"> foreign exchange risk is minimal.</w:t>
      </w:r>
    </w:p>
    <w:p w:rsidR="00000000" w:rsidRDefault="00E0782F">
      <w:pPr>
        <w:divId w:val="144666653"/>
        <w:rPr>
          <w:rFonts w:eastAsia="Times New Roman"/>
        </w:rPr>
      </w:pPr>
      <w:r>
        <w:rPr>
          <w:rFonts w:eastAsia="Times New Roman"/>
          <w:b/>
          <w:bCs/>
          <w:color w:val="000000"/>
          <w:sz w:val="20"/>
          <w:szCs w:val="20"/>
        </w:rPr>
        <w:t xml:space="preserve">Risk related to Customer Accommodation Derivatives </w:t>
      </w:r>
    </w:p>
    <w:p w:rsidR="00000000" w:rsidRDefault="00E0782F">
      <w:pPr>
        <w:jc w:val="both"/>
        <w:divId w:val="789201862"/>
        <w:rPr>
          <w:rFonts w:eastAsia="Times New Roman"/>
        </w:rPr>
      </w:pPr>
      <w:r>
        <w:rPr>
          <w:rFonts w:eastAsia="Times New Roman"/>
          <w:color w:val="000000"/>
          <w:sz w:val="20"/>
          <w:szCs w:val="20"/>
        </w:rPr>
        <w:t>We offer interest rate, commodity and foreign currency derivatives as an accommodation to our customers within our Commercial Banking business. We offset the majority of the market risk of these customer accommodation derivatives by entering into offsettin</w:t>
      </w:r>
      <w:r>
        <w:rPr>
          <w:rFonts w:eastAsia="Times New Roman"/>
          <w:color w:val="000000"/>
          <w:sz w:val="20"/>
          <w:szCs w:val="20"/>
        </w:rPr>
        <w:t>g derivatives transactions with other counterparties. We use value-at-risk (“VaR”) as the primary method to measure the market risk in our customer accommodation derivative activities on a daily basis. VaR is a statistical risk measure used to estimate the</w:t>
      </w:r>
      <w:r>
        <w:rPr>
          <w:rFonts w:eastAsia="Times New Roman"/>
          <w:color w:val="000000"/>
          <w:sz w:val="20"/>
          <w:szCs w:val="20"/>
        </w:rPr>
        <w:t xml:space="preserve"> potential loss from movements observed in the recent market environment. We employ an historical simulation approach using the most recent 500 business days and use a 99 percent confidence level and a holding period of one business day. As a result of off</w:t>
      </w:r>
      <w:r>
        <w:rPr>
          <w:rFonts w:eastAsia="Times New Roman"/>
          <w:color w:val="000000"/>
          <w:sz w:val="20"/>
          <w:szCs w:val="20"/>
        </w:rPr>
        <w:t>setting our customer exposures with other counterparties, we believe that our net exposure to market risk in our customer accommodation derivatives is minimal. For further information on our risk related to customer accommodation derivatives, see “Note 9—D</w:t>
      </w:r>
      <w:r>
        <w:rPr>
          <w:rFonts w:eastAsia="Times New Roman"/>
          <w:color w:val="000000"/>
          <w:sz w:val="20"/>
          <w:szCs w:val="20"/>
        </w:rPr>
        <w:t>erivative Instruments and Hedging Activities.”</w:t>
      </w:r>
    </w:p>
    <w:p w:rsidR="00000000" w:rsidRDefault="00E0782F">
      <w:pPr>
        <w:divId w:val="744765502"/>
        <w:rPr>
          <w:rFonts w:eastAsia="Times New Roman"/>
        </w:rPr>
      </w:pPr>
      <w:r>
        <w:rPr>
          <w:rFonts w:eastAsia="Times New Roman"/>
          <w:b/>
          <w:bCs/>
          <w:color w:val="000000"/>
          <w:sz w:val="20"/>
          <w:szCs w:val="20"/>
        </w:rPr>
        <w:t>London Interbank Offered Rate (“LIBOR”) Transition</w:t>
      </w:r>
    </w:p>
    <w:p w:rsidR="00000000" w:rsidRDefault="00E0782F">
      <w:pPr>
        <w:jc w:val="both"/>
        <w:divId w:val="957489947"/>
        <w:rPr>
          <w:rFonts w:eastAsia="Times New Roman"/>
        </w:rPr>
      </w:pPr>
      <w:r>
        <w:rPr>
          <w:rFonts w:eastAsia="Times New Roman"/>
          <w:color w:val="000000"/>
          <w:sz w:val="20"/>
          <w:szCs w:val="20"/>
        </w:rPr>
        <w:t>On July 27, 2017, the U.K. Financial Conduct Authority, the regulator for the administration of LIBOR, announced that LIBOR would be transitioned as an intere</w:t>
      </w:r>
      <w:r>
        <w:rPr>
          <w:rFonts w:eastAsia="Times New Roman"/>
          <w:color w:val="000000"/>
          <w:sz w:val="20"/>
          <w:szCs w:val="20"/>
        </w:rPr>
        <w:t>st rate benchmark and that it will no longer compel banks to contribute LIBOR data beyond December 31, 2021. In the U.S., the Federal Reserve Board and the Federal Reserve Bank of New York established the Alternative Reference Rates Committee (“ARRC”), a g</w:t>
      </w:r>
      <w:r>
        <w:rPr>
          <w:rFonts w:eastAsia="Times New Roman"/>
          <w:color w:val="000000"/>
          <w:sz w:val="20"/>
          <w:szCs w:val="20"/>
        </w:rPr>
        <w:t>roup of private market participants and ex-officio members representing banking and financial sector regulators. The ARRC has recommended SOFR as the preferred alternative rate for certain U.S. dollar derivative and cash instruments. While the ARRC has rec</w:t>
      </w:r>
      <w:r>
        <w:rPr>
          <w:rFonts w:eastAsia="Times New Roman"/>
          <w:color w:val="000000"/>
          <w:sz w:val="20"/>
          <w:szCs w:val="20"/>
        </w:rPr>
        <w:t>ommended SOFR as the replacement rate for LIBOR, there is acknowledgment that the development of a credit-sensitive element could be a complement to SOFR. It is unclear as to the likelihood and timing, but such a development would have impacts to our trans</w:t>
      </w:r>
      <w:r>
        <w:rPr>
          <w:rFonts w:eastAsia="Times New Roman"/>
          <w:color w:val="000000"/>
          <w:sz w:val="20"/>
          <w:szCs w:val="20"/>
        </w:rPr>
        <w:t xml:space="preserve">ition efforts. </w:t>
      </w:r>
    </w:p>
    <w:p w:rsidR="00000000" w:rsidRDefault="00E0782F">
      <w:pPr>
        <w:jc w:val="both"/>
        <w:divId w:val="1637447155"/>
        <w:rPr>
          <w:rFonts w:eastAsia="Times New Roman"/>
        </w:rPr>
      </w:pPr>
      <w:r>
        <w:rPr>
          <w:rFonts w:eastAsia="Times New Roman"/>
          <w:color w:val="000000"/>
          <w:sz w:val="20"/>
          <w:szCs w:val="20"/>
        </w:rPr>
        <w:t>On November 30, 2020, the ICE Benchmark Administration (“IBA”), the administrator of LIBOR, announced that it will consult on its intention to cease publication of the 1-week and 2-month USD LIBOR settings immediately following the LIBOR pu</w:t>
      </w:r>
      <w:r>
        <w:rPr>
          <w:rFonts w:eastAsia="Times New Roman"/>
          <w:color w:val="000000"/>
          <w:sz w:val="20"/>
          <w:szCs w:val="20"/>
        </w:rPr>
        <w:t xml:space="preserve">blication on December 31, 2021, and the remaining USD LIBOR tenors (Overnight 1, 3, 6, and 12 months) immediately following the LIBOR publication on June 30, 2023. The continuation of USD LIBOR as a representative rate into mid-2023 allows many legacy USD </w:t>
      </w:r>
      <w:r>
        <w:rPr>
          <w:rFonts w:eastAsia="Times New Roman"/>
          <w:color w:val="000000"/>
          <w:sz w:val="20"/>
          <w:szCs w:val="20"/>
        </w:rPr>
        <w:t>LIBOR contracts to mature prior to cessation and should support customers’ and financial services firms’ building operational readiness to support new products and additional market developments. Responses were due on January 25, 2021 with a final decision</w:t>
      </w:r>
      <w:r>
        <w:rPr>
          <w:rFonts w:eastAsia="Times New Roman"/>
          <w:color w:val="000000"/>
          <w:sz w:val="20"/>
          <w:szCs w:val="20"/>
        </w:rPr>
        <w:t xml:space="preserve"> thereafter.</w:t>
      </w:r>
    </w:p>
    <w:p w:rsidR="00000000" w:rsidRDefault="00E0782F">
      <w:pPr>
        <w:jc w:val="both"/>
        <w:divId w:val="290525972"/>
        <w:rPr>
          <w:rFonts w:eastAsia="Times New Roman"/>
        </w:rPr>
      </w:pPr>
      <w:r>
        <w:rPr>
          <w:rFonts w:eastAsia="Times New Roman"/>
          <w:color w:val="000000"/>
          <w:sz w:val="20"/>
          <w:szCs w:val="20"/>
        </w:rPr>
        <w:t>We have exposures to LIBOR, including loans, derivative contracts, unsecured debt, securitizations, vendor agreements and other instruments with attributes that are either directly or indirectly dependent on LIBOR. To facilitate an orderly tra</w:t>
      </w:r>
      <w:r>
        <w:rPr>
          <w:rFonts w:eastAsia="Times New Roman"/>
          <w:color w:val="000000"/>
          <w:sz w:val="20"/>
          <w:szCs w:val="20"/>
        </w:rPr>
        <w:t>nsition from LIBOR, we have established a company-wide, cross-functional initiative to oversee and manage our transition away from LIBOR and other Interbank Offered Rates (“IBORs”) to alternative reference rates. We have made progress on our transition eff</w:t>
      </w:r>
      <w:r>
        <w:rPr>
          <w:rFonts w:eastAsia="Times New Roman"/>
          <w:color w:val="000000"/>
          <w:sz w:val="20"/>
          <w:szCs w:val="20"/>
        </w:rPr>
        <w:t>orts as we:</w:t>
      </w:r>
    </w:p>
    <w:p w:rsidR="00000000" w:rsidRDefault="00E0782F">
      <w:pPr>
        <w:ind w:hanging="360"/>
        <w:divId w:val="10039084"/>
        <w:rPr>
          <w:rFonts w:eastAsia="Times New Roman"/>
        </w:rPr>
      </w:pPr>
      <w:r>
        <w:rPr>
          <w:rFonts w:eastAsia="Times New Roman"/>
          <w:color w:val="000000"/>
          <w:sz w:val="20"/>
          <w:szCs w:val="20"/>
        </w:rPr>
        <w:t>•implemented a robust governance framework and transition planning;</w:t>
      </w:r>
    </w:p>
    <w:p w:rsidR="00000000" w:rsidRDefault="00E0782F">
      <w:pPr>
        <w:ind w:hanging="360"/>
        <w:divId w:val="909269493"/>
        <w:rPr>
          <w:rFonts w:eastAsia="Times New Roman"/>
        </w:rPr>
      </w:pPr>
      <w:r>
        <w:rPr>
          <w:rFonts w:eastAsia="Times New Roman"/>
          <w:color w:val="000000"/>
          <w:sz w:val="20"/>
          <w:szCs w:val="20"/>
        </w:rPr>
        <w:t xml:space="preserve">•completed an assessment of exposures and are developing exposure reporting for products, legal contracts, systems, models and processes; </w:t>
      </w:r>
    </w:p>
    <w:p w:rsidR="00000000" w:rsidRDefault="00E0782F">
      <w:pPr>
        <w:ind w:hanging="360"/>
        <w:divId w:val="578447534"/>
        <w:rPr>
          <w:rFonts w:eastAsia="Times New Roman"/>
        </w:rPr>
      </w:pPr>
      <w:r>
        <w:rPr>
          <w:rFonts w:eastAsia="Times New Roman"/>
          <w:color w:val="000000"/>
          <w:sz w:val="20"/>
          <w:szCs w:val="20"/>
        </w:rPr>
        <w:t>•included LIBOR transition language (</w:t>
      </w:r>
      <w:r>
        <w:rPr>
          <w:rFonts w:eastAsia="Times New Roman"/>
          <w:color w:val="000000"/>
          <w:sz w:val="20"/>
          <w:szCs w:val="20"/>
        </w:rPr>
        <w:t>“fallback language”) for certain new legal contracts and agreements;</w:t>
      </w:r>
    </w:p>
    <w:p w:rsidR="00000000" w:rsidRDefault="00E0782F">
      <w:pPr>
        <w:ind w:hanging="360"/>
        <w:divId w:val="258682558"/>
        <w:rPr>
          <w:rFonts w:eastAsia="Times New Roman"/>
        </w:rPr>
      </w:pPr>
      <w:r>
        <w:rPr>
          <w:rFonts w:eastAsia="Times New Roman"/>
          <w:color w:val="000000"/>
          <w:sz w:val="20"/>
          <w:szCs w:val="20"/>
        </w:rPr>
        <w:t>•started issuing securities and originating agency multifamily loans with SOFR-based features in 2020 to align with GSE new-issue requirements, and</w:t>
      </w:r>
    </w:p>
    <w:p w:rsidR="00000000" w:rsidRDefault="00E0782F">
      <w:pPr>
        <w:ind w:hanging="360"/>
        <w:divId w:val="1246769916"/>
        <w:rPr>
          <w:rFonts w:eastAsia="Times New Roman"/>
        </w:rPr>
      </w:pPr>
      <w:r>
        <w:rPr>
          <w:rFonts w:eastAsia="Times New Roman"/>
          <w:color w:val="000000"/>
          <w:sz w:val="20"/>
          <w:szCs w:val="20"/>
        </w:rPr>
        <w:t>•officially adhered to the Internationa</w:t>
      </w:r>
      <w:r>
        <w:rPr>
          <w:rFonts w:eastAsia="Times New Roman"/>
          <w:color w:val="000000"/>
          <w:sz w:val="20"/>
          <w:szCs w:val="20"/>
        </w:rPr>
        <w:t>l Swaps and Derivatives Association (“ISDA”) fallback protocol in January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632373562"/>
          <w:jc w:val="center"/>
        </w:trPr>
        <w:tc>
          <w:tcPr>
            <w:tcW w:w="50" w:type="pct"/>
            <w:vAlign w:val="center"/>
            <w:hideMark/>
          </w:tcPr>
          <w:p w:rsidR="00000000" w:rsidRDefault="00E0782F">
            <w:pPr>
              <w:ind w:hanging="360"/>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63237356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63237356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8" style="width:0;height:1.5pt" o:hralign="center" o:hrstd="t" o:hr="t" fillcolor="#a0a0a0" stroked="f"/>
        </w:pict>
      </w:r>
    </w:p>
    <w:p w:rsidR="00000000" w:rsidRDefault="00E0782F">
      <w:pPr>
        <w:ind w:hanging="360"/>
        <w:jc w:val="both"/>
        <w:divId w:val="28573934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037894308"/>
        <w:rPr>
          <w:rFonts w:eastAsia="Times New Roman"/>
        </w:rPr>
      </w:pPr>
      <w:r>
        <w:rPr>
          <w:rFonts w:eastAsia="Times New Roman"/>
          <w:color w:val="000000"/>
          <w:sz w:val="20"/>
          <w:szCs w:val="20"/>
        </w:rPr>
        <w:t>We also continue to focus our transition efforts on:</w:t>
      </w:r>
    </w:p>
    <w:p w:rsidR="00000000" w:rsidRDefault="00E0782F">
      <w:pPr>
        <w:ind w:hanging="360"/>
        <w:divId w:val="1356271938"/>
        <w:rPr>
          <w:rFonts w:eastAsia="Times New Roman"/>
        </w:rPr>
      </w:pPr>
      <w:r>
        <w:rPr>
          <w:rFonts w:eastAsia="Times New Roman"/>
          <w:color w:val="000000"/>
          <w:sz w:val="20"/>
          <w:szCs w:val="20"/>
        </w:rPr>
        <w:t xml:space="preserve">•monitoring market developments for the application of hardwired language from the ARRC; </w:t>
      </w:r>
    </w:p>
    <w:p w:rsidR="00000000" w:rsidRDefault="00E0782F">
      <w:pPr>
        <w:ind w:hanging="360"/>
        <w:divId w:val="722678169"/>
        <w:rPr>
          <w:rFonts w:eastAsia="Times New Roman"/>
        </w:rPr>
      </w:pPr>
      <w:r>
        <w:rPr>
          <w:rFonts w:eastAsia="Times New Roman"/>
          <w:color w:val="000000"/>
          <w:sz w:val="20"/>
          <w:szCs w:val="20"/>
        </w:rPr>
        <w:t xml:space="preserve">•engaging with industry experts to better understand the proposed IBA’s extension announcement and its impact on </w:t>
      </w:r>
      <w:r>
        <w:rPr>
          <w:rFonts w:eastAsia="Times New Roman"/>
          <w:color w:val="000000"/>
          <w:sz w:val="20"/>
          <w:szCs w:val="20"/>
        </w:rPr>
        <w:t>the markets and our transition plans;</w:t>
      </w:r>
    </w:p>
    <w:p w:rsidR="00000000" w:rsidRDefault="00E0782F">
      <w:pPr>
        <w:ind w:hanging="360"/>
        <w:divId w:val="1357467619"/>
        <w:rPr>
          <w:rFonts w:eastAsia="Times New Roman"/>
        </w:rPr>
      </w:pPr>
      <w:r>
        <w:rPr>
          <w:rFonts w:eastAsia="Times New Roman"/>
          <w:color w:val="000000"/>
          <w:sz w:val="20"/>
          <w:szCs w:val="20"/>
        </w:rPr>
        <w:t>•reviewing existing legal contracts and agreements and assessing fallback language impacts;</w:t>
      </w:r>
    </w:p>
    <w:p w:rsidR="00000000" w:rsidRDefault="00E0782F">
      <w:pPr>
        <w:ind w:hanging="360"/>
        <w:divId w:val="1367026625"/>
        <w:rPr>
          <w:rFonts w:eastAsia="Times New Roman"/>
        </w:rPr>
      </w:pPr>
      <w:r>
        <w:rPr>
          <w:rFonts w:eastAsia="Times New Roman"/>
          <w:color w:val="000000"/>
          <w:sz w:val="20"/>
          <w:szCs w:val="20"/>
        </w:rPr>
        <w:t>•monitoring and reducing our LIBOR exposure;</w:t>
      </w:r>
    </w:p>
    <w:p w:rsidR="00000000" w:rsidRDefault="00E0782F">
      <w:pPr>
        <w:ind w:hanging="360"/>
        <w:divId w:val="393284134"/>
        <w:rPr>
          <w:rFonts w:eastAsia="Times New Roman"/>
        </w:rPr>
      </w:pPr>
      <w:r>
        <w:rPr>
          <w:rFonts w:eastAsia="Times New Roman"/>
          <w:color w:val="000000"/>
          <w:sz w:val="20"/>
          <w:szCs w:val="20"/>
        </w:rPr>
        <w:t>•building internal operational readiness and risk management processes;</w:t>
      </w:r>
    </w:p>
    <w:p w:rsidR="00000000" w:rsidRDefault="00E0782F">
      <w:pPr>
        <w:ind w:hanging="360"/>
        <w:divId w:val="1842045146"/>
        <w:rPr>
          <w:rFonts w:eastAsia="Times New Roman"/>
        </w:rPr>
      </w:pPr>
      <w:r>
        <w:rPr>
          <w:rFonts w:eastAsia="Times New Roman"/>
          <w:color w:val="000000"/>
          <w:sz w:val="20"/>
          <w:szCs w:val="20"/>
        </w:rPr>
        <w:t>•implemen</w:t>
      </w:r>
      <w:r>
        <w:rPr>
          <w:rFonts w:eastAsia="Times New Roman"/>
          <w:color w:val="000000"/>
          <w:sz w:val="20"/>
          <w:szCs w:val="20"/>
        </w:rPr>
        <w:t>ting necessary updates to our infrastructure including systems, models, valuation tools and processes;</w:t>
      </w:r>
    </w:p>
    <w:p w:rsidR="00000000" w:rsidRDefault="00E0782F">
      <w:pPr>
        <w:ind w:hanging="360"/>
        <w:divId w:val="1064256026"/>
        <w:rPr>
          <w:rFonts w:eastAsia="Times New Roman"/>
        </w:rPr>
      </w:pPr>
      <w:r>
        <w:rPr>
          <w:rFonts w:eastAsia="Times New Roman"/>
          <w:color w:val="000000"/>
          <w:sz w:val="20"/>
          <w:szCs w:val="20"/>
        </w:rPr>
        <w:t xml:space="preserve">•engaging with our clients, industry working groups, and regulators; and </w:t>
      </w:r>
    </w:p>
    <w:p w:rsidR="00000000" w:rsidRDefault="00E0782F">
      <w:pPr>
        <w:ind w:hanging="360"/>
        <w:divId w:val="1976369860"/>
        <w:rPr>
          <w:rFonts w:eastAsia="Times New Roman"/>
        </w:rPr>
      </w:pPr>
      <w:r>
        <w:rPr>
          <w:rFonts w:eastAsia="Times New Roman"/>
          <w:color w:val="000000"/>
          <w:sz w:val="20"/>
          <w:szCs w:val="20"/>
        </w:rPr>
        <w:t>•monitoring developments associated with LIBOR alternatives and industry practi</w:t>
      </w:r>
      <w:r>
        <w:rPr>
          <w:rFonts w:eastAsia="Times New Roman"/>
          <w:color w:val="000000"/>
          <w:sz w:val="20"/>
          <w:szCs w:val="20"/>
        </w:rPr>
        <w:t>ces related to LIBOR-indexed instruments.</w:t>
      </w:r>
    </w:p>
    <w:p w:rsidR="00000000" w:rsidRDefault="00E0782F">
      <w:pPr>
        <w:jc w:val="both"/>
        <w:divId w:val="830829625"/>
        <w:rPr>
          <w:rFonts w:eastAsia="Times New Roman"/>
        </w:rPr>
      </w:pPr>
      <w:r>
        <w:rPr>
          <w:rFonts w:eastAsia="Times New Roman"/>
          <w:color w:val="000000"/>
          <w:sz w:val="20"/>
          <w:szCs w:val="20"/>
        </w:rPr>
        <w:t>For a further discussion of the various risks we face in connection with the expected replacement of LIBOR on our operations, see “Part I—Item 1A. Risk Factors—</w:t>
      </w:r>
      <w:r>
        <w:rPr>
          <w:rFonts w:eastAsia="Times New Roman"/>
          <w:i/>
          <w:iCs/>
          <w:color w:val="000000"/>
          <w:sz w:val="20"/>
          <w:szCs w:val="20"/>
        </w:rPr>
        <w:t>Uncertainty regarding, and transition away from, LIBOR may adversely affect our business.</w:t>
      </w:r>
      <w:r>
        <w:rPr>
          <w:rFonts w:eastAsia="Times New Roman"/>
          <w:color w:val="000000"/>
          <w:sz w:val="20"/>
          <w:szCs w:val="20"/>
        </w:rPr>
        <w: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2494115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24941150"/>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2494115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29" style="width:0;height:1.5pt" o:hralign="center" o:hrstd="t" o:hr="t" fillcolor="#a0a0a0" stroked="f"/>
        </w:pict>
      </w:r>
    </w:p>
    <w:p w:rsidR="00000000" w:rsidRDefault="00E0782F">
      <w:pPr>
        <w:ind w:hanging="360"/>
        <w:jc w:val="both"/>
        <w:divId w:val="160753723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57276640"/>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57276640"/>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SUPPLEMENTAL TABLES</w:t>
            </w:r>
          </w:p>
        </w:tc>
      </w:tr>
    </w:tbl>
    <w:p w:rsidR="00000000" w:rsidRDefault="00E0782F">
      <w:pPr>
        <w:divId w:val="1637494575"/>
        <w:rPr>
          <w:rFonts w:eastAsia="Times New Roman"/>
        </w:rPr>
      </w:pPr>
      <w:r>
        <w:rPr>
          <w:rFonts w:eastAsia="Times New Roman"/>
          <w:b/>
          <w:bCs/>
          <w:color w:val="000000"/>
          <w:sz w:val="18"/>
          <w:szCs w:val="18"/>
        </w:rPr>
        <w:t>Table A—</w:t>
      </w:r>
      <w:r>
        <w:rPr>
          <w:rFonts w:eastAsia="Times New Roman"/>
          <w:b/>
          <w:bCs/>
          <w:color w:val="000000"/>
          <w:sz w:val="18"/>
          <w:szCs w:val="18"/>
        </w:rPr>
        <w:t>Loans Held for Investment Portfolio Composition</w:t>
      </w:r>
      <w:r>
        <w:rPr>
          <w:rFonts w:eastAsia="Times New Roman"/>
          <w:b/>
          <w:bCs/>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0"/>
        <w:gridCol w:w="3794"/>
        <w:gridCol w:w="39"/>
        <w:gridCol w:w="36"/>
        <w:gridCol w:w="36"/>
        <w:gridCol w:w="36"/>
        <w:gridCol w:w="110"/>
        <w:gridCol w:w="630"/>
        <w:gridCol w:w="36"/>
        <w:gridCol w:w="36"/>
        <w:gridCol w:w="36"/>
        <w:gridCol w:w="36"/>
        <w:gridCol w:w="110"/>
        <w:gridCol w:w="630"/>
        <w:gridCol w:w="36"/>
        <w:gridCol w:w="36"/>
        <w:gridCol w:w="36"/>
        <w:gridCol w:w="36"/>
        <w:gridCol w:w="110"/>
        <w:gridCol w:w="630"/>
        <w:gridCol w:w="36"/>
        <w:gridCol w:w="36"/>
        <w:gridCol w:w="36"/>
        <w:gridCol w:w="36"/>
        <w:gridCol w:w="110"/>
        <w:gridCol w:w="630"/>
        <w:gridCol w:w="36"/>
        <w:gridCol w:w="36"/>
        <w:gridCol w:w="36"/>
        <w:gridCol w:w="36"/>
        <w:gridCol w:w="110"/>
        <w:gridCol w:w="630"/>
        <w:gridCol w:w="36"/>
      </w:tblGrid>
      <w:tr w:rsidR="00000000">
        <w:trPr>
          <w:divId w:val="1641694675"/>
        </w:trPr>
        <w:tc>
          <w:tcPr>
            <w:tcW w:w="50" w:type="pct"/>
            <w:vAlign w:val="center"/>
            <w:hideMark/>
          </w:tcPr>
          <w:p w:rsidR="00000000" w:rsidRDefault="00E0782F">
            <w:pPr>
              <w:rPr>
                <w:rFonts w:eastAsia="Times New Roman"/>
              </w:rPr>
            </w:pPr>
          </w:p>
        </w:tc>
        <w:tc>
          <w:tcPr>
            <w:tcW w:w="260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4169467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w:t>
            </w:r>
          </w:p>
        </w:tc>
      </w:tr>
      <w:tr w:rsidR="00000000">
        <w:trPr>
          <w:divId w:val="164169467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r>
      <w:tr w:rsidR="00000000">
        <w:trPr>
          <w:divId w:val="16416946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64169467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98,504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118,606 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107,350 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105,293 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97,120 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9,469 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8,432 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128,236 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116,361 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114,762 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105,552 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64169467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65,762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60,362 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56,341 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53,991 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47,916 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Home loan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17,633 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21,584 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63,065 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59,205 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75,078 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73,054 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64169467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30,245 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28,899 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26,150 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26,609 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41,091 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38,025 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39,824 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lending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69,990 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64,175 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66,433 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Small-ticket commercial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70,333 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64,575 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66,916 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4169467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loans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245,899 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254,473 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470323100"/>
        <w:rPr>
          <w:rFonts w:eastAsia="Times New Roman"/>
        </w:rPr>
      </w:pPr>
      <w:r>
        <w:rPr>
          <w:rFonts w:eastAsia="Times New Roman"/>
          <w:b/>
          <w:bCs/>
          <w:color w:val="000000"/>
          <w:sz w:val="18"/>
          <w:szCs w:val="18"/>
        </w:rPr>
        <w:t>Table B—Performing Delinquencies</w:t>
      </w:r>
      <w:r>
        <w:rPr>
          <w:rFonts w:eastAsia="Times New Roman"/>
          <w:color w:val="000000"/>
          <w:sz w:val="20"/>
          <w:szCs w:val="20"/>
        </w:rPr>
        <w:t xml:space="preserve"> </w:t>
      </w:r>
    </w:p>
    <w:tbl>
      <w:tblPr>
        <w:tblW w:w="4963" w:type="pct"/>
        <w:tblCellMar>
          <w:top w:w="15" w:type="dxa"/>
          <w:left w:w="15" w:type="dxa"/>
          <w:bottom w:w="15" w:type="dxa"/>
          <w:right w:w="15" w:type="dxa"/>
        </w:tblCellMar>
        <w:tblLook w:val="04A0" w:firstRow="1" w:lastRow="0" w:firstColumn="1" w:lastColumn="0" w:noHBand="0" w:noVBand="1"/>
      </w:tblPr>
      <w:tblGrid>
        <w:gridCol w:w="45"/>
        <w:gridCol w:w="1034"/>
        <w:gridCol w:w="39"/>
        <w:gridCol w:w="36"/>
        <w:gridCol w:w="36"/>
        <w:gridCol w:w="36"/>
        <w:gridCol w:w="100"/>
        <w:gridCol w:w="560"/>
        <w:gridCol w:w="36"/>
        <w:gridCol w:w="36"/>
        <w:gridCol w:w="36"/>
        <w:gridCol w:w="36"/>
        <w:gridCol w:w="65"/>
        <w:gridCol w:w="354"/>
        <w:gridCol w:w="180"/>
        <w:gridCol w:w="36"/>
        <w:gridCol w:w="36"/>
        <w:gridCol w:w="36"/>
        <w:gridCol w:w="100"/>
        <w:gridCol w:w="560"/>
        <w:gridCol w:w="36"/>
        <w:gridCol w:w="36"/>
        <w:gridCol w:w="36"/>
        <w:gridCol w:w="36"/>
        <w:gridCol w:w="65"/>
        <w:gridCol w:w="354"/>
        <w:gridCol w:w="154"/>
        <w:gridCol w:w="36"/>
        <w:gridCol w:w="36"/>
        <w:gridCol w:w="36"/>
        <w:gridCol w:w="100"/>
        <w:gridCol w:w="560"/>
        <w:gridCol w:w="36"/>
        <w:gridCol w:w="36"/>
        <w:gridCol w:w="36"/>
        <w:gridCol w:w="36"/>
        <w:gridCol w:w="65"/>
        <w:gridCol w:w="354"/>
        <w:gridCol w:w="154"/>
        <w:gridCol w:w="36"/>
        <w:gridCol w:w="36"/>
        <w:gridCol w:w="36"/>
        <w:gridCol w:w="100"/>
        <w:gridCol w:w="560"/>
        <w:gridCol w:w="36"/>
        <w:gridCol w:w="36"/>
        <w:gridCol w:w="36"/>
        <w:gridCol w:w="36"/>
        <w:gridCol w:w="65"/>
        <w:gridCol w:w="354"/>
        <w:gridCol w:w="154"/>
        <w:gridCol w:w="36"/>
        <w:gridCol w:w="36"/>
        <w:gridCol w:w="36"/>
        <w:gridCol w:w="100"/>
        <w:gridCol w:w="560"/>
        <w:gridCol w:w="36"/>
        <w:gridCol w:w="36"/>
        <w:gridCol w:w="36"/>
        <w:gridCol w:w="36"/>
        <w:gridCol w:w="66"/>
        <w:gridCol w:w="359"/>
        <w:gridCol w:w="154"/>
      </w:tblGrid>
      <w:tr w:rsidR="00000000">
        <w:trPr>
          <w:divId w:val="1105613560"/>
        </w:trPr>
        <w:tc>
          <w:tcPr>
            <w:tcW w:w="50" w:type="pct"/>
            <w:vAlign w:val="center"/>
            <w:hideMark/>
          </w:tcPr>
          <w:p w:rsidR="00000000" w:rsidRDefault="00E0782F">
            <w:pPr>
              <w:rPr>
                <w:rFonts w:eastAsia="Times New Roman"/>
              </w:rPr>
            </w:pPr>
          </w:p>
        </w:tc>
        <w:tc>
          <w:tcPr>
            <w:tcW w:w="11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05613560"/>
        </w:trPr>
        <w:tc>
          <w:tcPr>
            <w:tcW w:w="0" w:type="auto"/>
            <w:gridSpan w:val="3"/>
            <w:tcMar>
              <w:top w:w="30" w:type="dxa"/>
              <w:left w:w="20" w:type="dxa"/>
              <w:bottom w:w="30" w:type="dxa"/>
              <w:right w:w="20" w:type="dxa"/>
            </w:tcMar>
            <w:vAlign w:val="bottom"/>
            <w:hideMark/>
          </w:tcPr>
          <w:p w:rsidR="00000000" w:rsidRDefault="00E0782F">
            <w:pPr>
              <w:divId w:val="1529562551"/>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56"/>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December 31,</w:t>
            </w:r>
          </w:p>
        </w:tc>
        <w:tc>
          <w:tcPr>
            <w:tcW w:w="0" w:type="auto"/>
            <w:vAlign w:val="center"/>
            <w:hideMark/>
          </w:tcPr>
          <w:p w:rsidR="00000000" w:rsidRDefault="00E0782F">
            <w:pPr>
              <w:rPr>
                <w:rFonts w:eastAsia="Times New Roman"/>
                <w:sz w:val="20"/>
                <w:szCs w:val="20"/>
              </w:rPr>
            </w:pPr>
          </w:p>
        </w:tc>
      </w:tr>
      <w:tr w:rsidR="00000000">
        <w:trPr>
          <w:divId w:val="1105613560"/>
        </w:trPr>
        <w:tc>
          <w:tcPr>
            <w:tcW w:w="0" w:type="auto"/>
            <w:gridSpan w:val="3"/>
            <w:tcMar>
              <w:top w:w="30" w:type="dxa"/>
              <w:left w:w="20" w:type="dxa"/>
              <w:bottom w:w="30" w:type="dxa"/>
              <w:right w:w="20" w:type="dxa"/>
            </w:tcMar>
            <w:vAlign w:val="bottom"/>
            <w:hideMark/>
          </w:tcPr>
          <w:p w:rsidR="00000000" w:rsidRDefault="00E0782F">
            <w:pPr>
              <w:divId w:val="433980576"/>
              <w:rPr>
                <w:rFonts w:eastAsia="Times New Roman"/>
              </w:rPr>
            </w:pPr>
            <w:r>
              <w:rPr>
                <w:rFonts w:eastAsia="Times New Roman"/>
                <w:b/>
                <w:bCs/>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2016</w:t>
            </w:r>
          </w:p>
        </w:tc>
        <w:tc>
          <w:tcPr>
            <w:tcW w:w="0" w:type="auto"/>
            <w:vAlign w:val="center"/>
            <w:hideMark/>
          </w:tcPr>
          <w:p w:rsidR="00000000" w:rsidRDefault="00E0782F">
            <w:pPr>
              <w:rPr>
                <w:rFonts w:eastAsia="Times New Roman"/>
                <w:sz w:val="20"/>
                <w:szCs w:val="20"/>
              </w:rPr>
            </w:pPr>
          </w:p>
        </w:tc>
      </w:tr>
      <w:tr w:rsidR="00000000">
        <w:trPr>
          <w:divId w:val="1105613560"/>
        </w:trPr>
        <w:tc>
          <w:tcPr>
            <w:tcW w:w="0" w:type="auto"/>
            <w:gridSpan w:val="3"/>
            <w:tcMar>
              <w:top w:w="30" w:type="dxa"/>
              <w:left w:w="20" w:type="dxa"/>
              <w:bottom w:w="30" w:type="dxa"/>
              <w:right w:w="20" w:type="dxa"/>
            </w:tcMar>
            <w:vAlign w:val="bottom"/>
            <w:hideMark/>
          </w:tcPr>
          <w:p w:rsidR="00000000" w:rsidRDefault="00E0782F">
            <w:pPr>
              <w:divId w:val="141697676"/>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Loan</w:t>
            </w:r>
            <w:r>
              <w:rPr>
                <w:rFonts w:eastAsia="Times New Roman"/>
                <w:b/>
                <w:bCs/>
                <w:color w:val="000000"/>
                <w:sz w:val="14"/>
                <w:szCs w:val="14"/>
              </w:rPr>
              <w:t>s</w:t>
            </w:r>
            <w:r>
              <w:rPr>
                <w:rFonts w:eastAsia="Times New Roman"/>
                <w:b/>
                <w:bCs/>
                <w:color w:val="000000"/>
                <w:sz w:val="9"/>
                <w:szCs w:val="9"/>
              </w:rPr>
              <w:t>(1)(2</w:t>
            </w:r>
            <w:r>
              <w:rPr>
                <w:rFonts w:eastAsia="Times New Roman"/>
                <w:b/>
                <w:bCs/>
                <w:color w:val="000000"/>
                <w:sz w:val="9"/>
                <w:szCs w:val="9"/>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Rat</w:t>
            </w:r>
            <w:r>
              <w:rPr>
                <w:rFonts w:eastAsia="Times New Roman"/>
                <w:b/>
                <w:bCs/>
                <w:color w:val="000000"/>
                <w:sz w:val="14"/>
                <w:szCs w:val="14"/>
              </w:rPr>
              <w:t>e</w:t>
            </w:r>
            <w:r>
              <w:rPr>
                <w:rFonts w:eastAsia="Times New Roman"/>
                <w:b/>
                <w:bCs/>
                <w:color w:val="000000"/>
                <w:sz w:val="9"/>
                <w:szCs w:val="9"/>
              </w:rPr>
              <w:t>(3</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Loan</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Rat</w:t>
            </w:r>
            <w:r>
              <w:rPr>
                <w:rFonts w:eastAsia="Times New Roman"/>
                <w:b/>
                <w:bCs/>
                <w:color w:val="000000"/>
                <w:sz w:val="14"/>
                <w:szCs w:val="14"/>
              </w:rPr>
              <w:t>e</w:t>
            </w:r>
            <w:r>
              <w:rPr>
                <w:rFonts w:eastAsia="Times New Roman"/>
                <w:b/>
                <w:bCs/>
                <w:color w:val="000000"/>
                <w:sz w:val="9"/>
                <w:szCs w:val="9"/>
              </w:rPr>
              <w:t>(3</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Loan</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Rat</w:t>
            </w:r>
            <w:r>
              <w:rPr>
                <w:rFonts w:eastAsia="Times New Roman"/>
                <w:b/>
                <w:bCs/>
                <w:color w:val="000000"/>
                <w:sz w:val="14"/>
                <w:szCs w:val="14"/>
              </w:rPr>
              <w:t>e</w:t>
            </w:r>
            <w:r>
              <w:rPr>
                <w:rFonts w:eastAsia="Times New Roman"/>
                <w:b/>
                <w:bCs/>
                <w:color w:val="000000"/>
                <w:sz w:val="9"/>
                <w:szCs w:val="9"/>
              </w:rPr>
              <w:t>(3</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Loan</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Rat</w:t>
            </w:r>
            <w:r>
              <w:rPr>
                <w:rFonts w:eastAsia="Times New Roman"/>
                <w:b/>
                <w:bCs/>
                <w:color w:val="000000"/>
                <w:sz w:val="14"/>
                <w:szCs w:val="14"/>
              </w:rPr>
              <w:t>e</w:t>
            </w:r>
            <w:r>
              <w:rPr>
                <w:rFonts w:eastAsia="Times New Roman"/>
                <w:b/>
                <w:bCs/>
                <w:color w:val="000000"/>
                <w:sz w:val="9"/>
                <w:szCs w:val="9"/>
              </w:rPr>
              <w:t>(3</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Loan</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Rat</w:t>
            </w:r>
            <w:r>
              <w:rPr>
                <w:rFonts w:eastAsia="Times New Roman"/>
                <w:b/>
                <w:bCs/>
                <w:color w:val="000000"/>
                <w:sz w:val="14"/>
                <w:szCs w:val="14"/>
              </w:rPr>
              <w:t>e</w:t>
            </w:r>
            <w:r>
              <w:rPr>
                <w:rFonts w:eastAsia="Times New Roman"/>
                <w:b/>
                <w:bCs/>
                <w:color w:val="000000"/>
                <w:sz w:val="9"/>
                <w:szCs w:val="9"/>
              </w:rPr>
              <w:t>(3</w:t>
            </w:r>
            <w:r>
              <w:rPr>
                <w:rFonts w:eastAsia="Times New Roman"/>
                <w:b/>
                <w:bCs/>
                <w:color w:val="000000"/>
                <w:sz w:val="9"/>
                <w:szCs w:val="9"/>
              </w:rPr>
              <w:t>)</w:t>
            </w:r>
          </w:p>
        </w:tc>
        <w:tc>
          <w:tcPr>
            <w:tcW w:w="0" w:type="auto"/>
            <w:vAlign w:val="center"/>
            <w:hideMark/>
          </w:tcPr>
          <w:p w:rsidR="00000000" w:rsidRDefault="00E0782F">
            <w:pPr>
              <w:rPr>
                <w:rFonts w:eastAsia="Times New Roman"/>
                <w:sz w:val="20"/>
                <w:szCs w:val="20"/>
              </w:rPr>
            </w:pPr>
          </w:p>
        </w:tc>
      </w:tr>
      <w:tr w:rsidR="00000000">
        <w:trPr>
          <w:divId w:val="110561356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1906716252"/>
              <w:rPr>
                <w:rFonts w:eastAsia="Times New Roman"/>
              </w:rPr>
            </w:pPr>
            <w:r>
              <w:rPr>
                <w:rFonts w:eastAsia="Times New Roman"/>
                <w:b/>
                <w:bCs/>
                <w:color w:val="000000"/>
                <w:sz w:val="16"/>
                <w:szCs w:val="16"/>
              </w:rPr>
              <w:t>Delinquent loans: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1105613560"/>
        </w:trPr>
        <w:tc>
          <w:tcPr>
            <w:tcW w:w="0" w:type="auto"/>
            <w:gridSpan w:val="3"/>
            <w:shd w:val="clear" w:color="auto" w:fill="FFFFFF"/>
            <w:tcMar>
              <w:top w:w="30" w:type="dxa"/>
              <w:left w:w="20" w:type="dxa"/>
              <w:bottom w:w="30" w:type="dxa"/>
              <w:right w:w="20" w:type="dxa"/>
            </w:tcMar>
            <w:vAlign w:val="center"/>
            <w:hideMark/>
          </w:tcPr>
          <w:p w:rsidR="00000000" w:rsidRDefault="00E0782F">
            <w:pPr>
              <w:divId w:val="257568119"/>
              <w:rPr>
                <w:rFonts w:eastAsia="Times New Roman"/>
              </w:rPr>
            </w:pPr>
            <w:r>
              <w:rPr>
                <w:rFonts w:eastAsia="Times New Roman"/>
                <w:color w:val="000000"/>
                <w:sz w:val="16"/>
                <w:szCs w:val="16"/>
              </w:rPr>
              <w:t>30 – 59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3,307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1.31 %</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4,417 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4,255 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r>
      <w:tr w:rsidR="00E0782F">
        <w:trPr>
          <w:divId w:val="1105613560"/>
        </w:trPr>
        <w:tc>
          <w:tcPr>
            <w:tcW w:w="0" w:type="auto"/>
            <w:gridSpan w:val="3"/>
            <w:shd w:val="clear" w:color="auto" w:fill="CCEEFF"/>
            <w:tcMar>
              <w:top w:w="30" w:type="dxa"/>
              <w:left w:w="20" w:type="dxa"/>
              <w:bottom w:w="30" w:type="dxa"/>
              <w:right w:w="20" w:type="dxa"/>
            </w:tcMar>
            <w:vAlign w:val="center"/>
            <w:hideMark/>
          </w:tcPr>
          <w:p w:rsidR="00000000" w:rsidRDefault="00E0782F">
            <w:pPr>
              <w:divId w:val="881598772"/>
              <w:rPr>
                <w:rFonts w:eastAsia="Times New Roman"/>
              </w:rPr>
            </w:pPr>
            <w:r>
              <w:rPr>
                <w:rFonts w:eastAsia="Times New Roman"/>
                <w:color w:val="000000"/>
                <w:sz w:val="16"/>
                <w:szCs w:val="16"/>
              </w:rPr>
              <w:t>60 – 89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1,467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0.58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0.94 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2,406 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0.98 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2,086 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0.82 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0.75 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105613560"/>
        </w:trPr>
        <w:tc>
          <w:tcPr>
            <w:tcW w:w="0" w:type="auto"/>
            <w:gridSpan w:val="3"/>
            <w:shd w:val="clear" w:color="auto" w:fill="FFFFFF"/>
            <w:tcMar>
              <w:top w:w="30" w:type="dxa"/>
              <w:left w:w="20" w:type="dxa"/>
              <w:bottom w:w="30" w:type="dxa"/>
              <w:right w:w="20" w:type="dxa"/>
            </w:tcMar>
            <w:vAlign w:val="center"/>
            <w:hideMark/>
          </w:tcPr>
          <w:p w:rsidR="00000000" w:rsidRDefault="00E0782F">
            <w:pPr>
              <w:divId w:val="1452822647"/>
              <w:rPr>
                <w:rFonts w:eastAsia="Times New Roman"/>
              </w:rPr>
            </w:pPr>
            <w:r>
              <w:rPr>
                <w:rFonts w:eastAsia="Times New Roman"/>
                <w:color w:val="000000"/>
                <w:sz w:val="16"/>
                <w:szCs w:val="16"/>
              </w:rPr>
              <w:t>90 – 119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866 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105613560"/>
        </w:trPr>
        <w:tc>
          <w:tcPr>
            <w:tcW w:w="0" w:type="auto"/>
            <w:gridSpan w:val="3"/>
            <w:shd w:val="clear" w:color="auto" w:fill="CCEEFF"/>
            <w:tcMar>
              <w:top w:w="30" w:type="dxa"/>
              <w:left w:w="20" w:type="dxa"/>
              <w:bottom w:w="30" w:type="dxa"/>
              <w:right w:w="20" w:type="dxa"/>
            </w:tcMar>
            <w:vAlign w:val="center"/>
            <w:hideMark/>
          </w:tcPr>
          <w:p w:rsidR="00000000" w:rsidRDefault="00E0782F">
            <w:pPr>
              <w:divId w:val="207880525"/>
              <w:rPr>
                <w:rFonts w:eastAsia="Times New Roman"/>
              </w:rPr>
            </w:pPr>
            <w:r>
              <w:rPr>
                <w:rFonts w:eastAsia="Times New Roman"/>
                <w:color w:val="000000"/>
                <w:sz w:val="16"/>
                <w:szCs w:val="16"/>
              </w:rPr>
              <w:t>120 – 149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0.16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0.31 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105613560"/>
        </w:trPr>
        <w:tc>
          <w:tcPr>
            <w:tcW w:w="0" w:type="auto"/>
            <w:gridSpan w:val="3"/>
            <w:shd w:val="clear" w:color="auto" w:fill="FFFFFF"/>
            <w:tcMar>
              <w:top w:w="30" w:type="dxa"/>
              <w:left w:w="20" w:type="dxa"/>
              <w:bottom w:w="30" w:type="dxa"/>
              <w:right w:w="20" w:type="dxa"/>
            </w:tcMar>
            <w:vAlign w:val="center"/>
            <w:hideMark/>
          </w:tcPr>
          <w:p w:rsidR="00000000" w:rsidRDefault="00E0782F">
            <w:pPr>
              <w:divId w:val="1635059490"/>
              <w:rPr>
                <w:rFonts w:eastAsia="Times New Roman"/>
              </w:rPr>
            </w:pPr>
            <w:r>
              <w:rPr>
                <w:rFonts w:eastAsia="Times New Roman"/>
                <w:color w:val="000000"/>
                <w:sz w:val="16"/>
                <w:szCs w:val="16"/>
              </w:rPr>
              <w:t>150 or more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343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619 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10561356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6,076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2.41 %</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9,337 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8,895 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8,227 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r>
      <w:tr w:rsidR="00000000">
        <w:trPr>
          <w:divId w:val="110561356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By geographic area:</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110561356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Domestic</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5,855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9,002 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8,578 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7,883 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6,902 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r>
      <w:tr w:rsidR="00E0782F">
        <w:trPr>
          <w:divId w:val="110561356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International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0.09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10561356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6,076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6"/>
                <w:szCs w:val="16"/>
              </w:rPr>
              <w:t>2.41 %</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9,337 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8,895 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8,227 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w:t>
            </w:r>
          </w:p>
        </w:tc>
      </w:tr>
      <w:tr w:rsidR="00E0782F">
        <w:trPr>
          <w:divId w:val="110561356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251,624</w:t>
            </w: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265,809 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245,899 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254,473 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245,586 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bl>
    <w:p w:rsidR="00000000" w:rsidRDefault="00E0782F">
      <w:pPr>
        <w:divId w:val="331833736"/>
        <w:rPr>
          <w:rFonts w:eastAsia="Times New Roman"/>
        </w:rPr>
      </w:pPr>
      <w:r>
        <w:rPr>
          <w:rFonts w:eastAsia="Times New Roman"/>
          <w:color w:val="000000"/>
          <w:sz w:val="20"/>
          <w:szCs w:val="20"/>
        </w:rPr>
        <w:t xml:space="preserve">__________ </w:t>
      </w:r>
    </w:p>
    <w:p w:rsidR="00000000" w:rsidRDefault="00E0782F">
      <w:pPr>
        <w:ind w:hanging="360"/>
        <w:jc w:val="both"/>
        <w:divId w:val="127867925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Concurrent with our adoption of the CECL standard in the first quarter of 2020, we re</w:t>
      </w:r>
      <w:r>
        <w:rPr>
          <w:rFonts w:eastAsia="Times New Roman"/>
          <w:color w:val="000000"/>
          <w:sz w:val="16"/>
          <w:szCs w:val="16"/>
        </w:rPr>
        <w:t xml:space="preserve">classified our finance charge and fee reserve to our allowance for credit losses, with a corresponding increase to credit card loans held for investment. </w:t>
      </w:r>
    </w:p>
    <w:p w:rsidR="00000000" w:rsidRDefault="00E0782F">
      <w:pPr>
        <w:ind w:hanging="360"/>
        <w:jc w:val="both"/>
        <w:divId w:val="148854653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Performing TDRs totaled $1.7 billion, $1.3 billion, $1.4 billion, $1.9 billion and $1.6 billion as</w:t>
      </w:r>
      <w:r>
        <w:rPr>
          <w:rFonts w:eastAsia="Times New Roman"/>
          <w:color w:val="000000"/>
          <w:sz w:val="16"/>
          <w:szCs w:val="16"/>
        </w:rPr>
        <w:t xml:space="preserve"> of December 31, 2020, 2019, 2018, 2017 and 2016, respectively.</w:t>
      </w:r>
    </w:p>
    <w:p w:rsidR="00000000" w:rsidRDefault="00E0782F">
      <w:pPr>
        <w:ind w:hanging="360"/>
        <w:jc w:val="both"/>
        <w:divId w:val="172624784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Delinquency rates are calculated by dividing loans in each delinquency status category and geographic region as of the end of the period by the total loan portfolio.</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51894678"/>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5189467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5189467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0" style="width:0;height:1.5pt" o:hralign="center" o:hrstd="t" o:hr="t" fillcolor="#a0a0a0" stroked="f"/>
        </w:pict>
      </w:r>
    </w:p>
    <w:p w:rsidR="00000000" w:rsidRDefault="00E0782F">
      <w:pPr>
        <w:ind w:hanging="360"/>
        <w:jc w:val="both"/>
        <w:divId w:val="30601235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788770022"/>
        <w:rPr>
          <w:rFonts w:eastAsia="Times New Roman"/>
        </w:rPr>
      </w:pPr>
      <w:r>
        <w:rPr>
          <w:rFonts w:eastAsia="Times New Roman"/>
          <w:b/>
          <w:bCs/>
          <w:color w:val="000000"/>
          <w:sz w:val="18"/>
          <w:szCs w:val="18"/>
        </w:rPr>
        <w:t>Table C—Nonperforming Loans and Other Nonperforming Assets</w:t>
      </w:r>
      <w:r>
        <w:rPr>
          <w:rFonts w:eastAsia="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8"/>
        <w:gridCol w:w="4121"/>
        <w:gridCol w:w="37"/>
        <w:gridCol w:w="36"/>
        <w:gridCol w:w="36"/>
        <w:gridCol w:w="36"/>
        <w:gridCol w:w="110"/>
        <w:gridCol w:w="450"/>
        <w:gridCol w:w="200"/>
        <w:gridCol w:w="36"/>
        <w:gridCol w:w="36"/>
        <w:gridCol w:w="36"/>
        <w:gridCol w:w="110"/>
        <w:gridCol w:w="450"/>
        <w:gridCol w:w="170"/>
        <w:gridCol w:w="36"/>
        <w:gridCol w:w="36"/>
        <w:gridCol w:w="36"/>
        <w:gridCol w:w="110"/>
        <w:gridCol w:w="315"/>
        <w:gridCol w:w="170"/>
        <w:gridCol w:w="36"/>
        <w:gridCol w:w="36"/>
        <w:gridCol w:w="36"/>
        <w:gridCol w:w="110"/>
        <w:gridCol w:w="450"/>
        <w:gridCol w:w="170"/>
        <w:gridCol w:w="36"/>
        <w:gridCol w:w="36"/>
        <w:gridCol w:w="36"/>
        <w:gridCol w:w="110"/>
        <w:gridCol w:w="450"/>
        <w:gridCol w:w="170"/>
      </w:tblGrid>
      <w:tr w:rsidR="00000000">
        <w:trPr>
          <w:divId w:val="544290356"/>
        </w:trPr>
        <w:tc>
          <w:tcPr>
            <w:tcW w:w="50" w:type="pct"/>
            <w:vAlign w:val="center"/>
            <w:hideMark/>
          </w:tcPr>
          <w:p w:rsidR="00000000" w:rsidRDefault="00E0782F">
            <w:pPr>
              <w:rPr>
                <w:rFonts w:eastAsia="Times New Roman"/>
              </w:rPr>
            </w:pPr>
          </w:p>
        </w:tc>
        <w:tc>
          <w:tcPr>
            <w:tcW w:w="270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4429035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b/>
                <w:bCs/>
                <w:i/>
                <w:iCs/>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w:t>
            </w:r>
          </w:p>
        </w:tc>
      </w:tr>
      <w:tr w:rsidR="00000000">
        <w:trPr>
          <w:divId w:val="54429035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r>
      <w:tr w:rsidR="00000000">
        <w:trPr>
          <w:divId w:val="54429035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Nonperforming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4429035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4429035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4429035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Home loan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FFFFFF"/>
            <w:tcMar>
              <w:top w:w="30" w:type="dxa"/>
              <w:left w:w="20" w:type="dxa"/>
              <w:bottom w:w="30" w:type="dxa"/>
              <w:right w:w="20" w:type="dxa"/>
            </w:tcMar>
            <w:vAlign w:val="center"/>
            <w:hideMark/>
          </w:tcPr>
          <w:p w:rsidR="00000000" w:rsidRDefault="00E0782F">
            <w:pPr>
              <w:divId w:val="1864898025"/>
              <w:rPr>
                <w:rFonts w:eastAsia="Times New Roman"/>
              </w:rPr>
            </w:pPr>
            <w:r>
              <w:rPr>
                <w:rFonts w:eastAsia="Times New Roman"/>
                <w:color w:val="000000"/>
                <w:sz w:val="18"/>
                <w:szCs w:val="18"/>
              </w:rPr>
              <w:t>Retail bankin</w:t>
            </w:r>
            <w:r>
              <w:rPr>
                <w:rFonts w:eastAsia="Times New Roman"/>
                <w:color w:val="000000"/>
                <w:sz w:val="18"/>
                <w:szCs w:val="18"/>
              </w:rPr>
              <w:t>g</w:t>
            </w:r>
            <w:r>
              <w:rPr>
                <w:rFonts w:eastAsia="Times New Roman"/>
                <w:color w:val="000000"/>
                <w:sz w:val="12"/>
                <w:szCs w:val="12"/>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4429035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lending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Small-ticket commercial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nonperforming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4429035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4429035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4429035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nonperforming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nonperforming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44290356"/>
        </w:trPr>
        <w:tc>
          <w:tcPr>
            <w:tcW w:w="0" w:type="auto"/>
            <w:gridSpan w:val="3"/>
            <w:shd w:val="clear" w:color="auto" w:fill="FFFFFF"/>
            <w:tcMar>
              <w:top w:w="30" w:type="dxa"/>
              <w:left w:w="20" w:type="dxa"/>
              <w:bottom w:w="30" w:type="dxa"/>
              <w:right w:w="20" w:type="dxa"/>
            </w:tcMar>
            <w:vAlign w:val="center"/>
            <w:hideMark/>
          </w:tcPr>
          <w:p w:rsidR="00000000" w:rsidRDefault="00E0782F">
            <w:pPr>
              <w:divId w:val="149374049"/>
              <w:rPr>
                <w:rFonts w:eastAsia="Times New Roman"/>
              </w:rPr>
            </w:pPr>
            <w:r>
              <w:rPr>
                <w:rFonts w:eastAsia="Times New Roman"/>
                <w:color w:val="000000"/>
                <w:sz w:val="18"/>
                <w:szCs w:val="18"/>
              </w:rPr>
              <w:t>Total nonperforming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0.33 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0.65 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544290356"/>
        </w:trPr>
        <w:tc>
          <w:tcPr>
            <w:tcW w:w="0" w:type="auto"/>
            <w:gridSpan w:val="3"/>
            <w:shd w:val="clear" w:color="auto" w:fill="CCEEFF"/>
            <w:tcMar>
              <w:top w:w="30" w:type="dxa"/>
              <w:left w:w="20" w:type="dxa"/>
              <w:bottom w:w="30" w:type="dxa"/>
              <w:right w:w="20" w:type="dxa"/>
            </w:tcMar>
            <w:vAlign w:val="center"/>
            <w:hideMark/>
          </w:tcPr>
          <w:p w:rsidR="00000000" w:rsidRDefault="00E0782F">
            <w:pPr>
              <w:divId w:val="1279143170"/>
              <w:rPr>
                <w:rFonts w:eastAsia="Times New Roman"/>
              </w:rPr>
            </w:pPr>
            <w:r>
              <w:rPr>
                <w:rFonts w:eastAsia="Times New Roman"/>
                <w:color w:val="000000"/>
                <w:sz w:val="18"/>
                <w:szCs w:val="18"/>
              </w:rPr>
              <w:t>Total nonperforming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0.41 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323555543"/>
        <w:rPr>
          <w:rFonts w:eastAsia="Times New Roman"/>
        </w:rPr>
      </w:pPr>
      <w:r>
        <w:rPr>
          <w:rFonts w:eastAsia="Times New Roman"/>
          <w:color w:val="000000"/>
          <w:sz w:val="20"/>
          <w:szCs w:val="20"/>
        </w:rPr>
        <w:t>__________</w:t>
      </w:r>
    </w:p>
    <w:p w:rsidR="00000000" w:rsidRDefault="00E0782F">
      <w:pPr>
        <w:ind w:hanging="360"/>
        <w:jc w:val="both"/>
        <w:divId w:val="5342811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Nonperforming loan rate is calculated b</w:t>
      </w:r>
      <w:r>
        <w:rPr>
          <w:rFonts w:eastAsia="Times New Roman"/>
          <w:color w:val="000000"/>
          <w:sz w:val="16"/>
          <w:szCs w:val="16"/>
        </w:rPr>
        <w:t>ased on total nonperforming loans divided by period-end total loans held for investment.</w:t>
      </w:r>
    </w:p>
    <w:p w:rsidR="00000000" w:rsidRDefault="00E0782F">
      <w:pPr>
        <w:ind w:hanging="360"/>
        <w:jc w:val="both"/>
        <w:divId w:val="104799456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denominator used in calculating the total nonperforming assets ratio consists of total loans held for investment and total other nonperforming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01875452"/>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0187545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0187545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1" style="width:0;height:1.5pt" o:hralign="center" o:hrstd="t" o:hr="t" fillcolor="#a0a0a0" stroked="f"/>
        </w:pict>
      </w:r>
    </w:p>
    <w:p w:rsidR="00000000" w:rsidRDefault="00E0782F">
      <w:pPr>
        <w:ind w:hanging="360"/>
        <w:jc w:val="both"/>
        <w:divId w:val="1220629925"/>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809474103"/>
        <w:rPr>
          <w:rFonts w:eastAsia="Times New Roman"/>
        </w:rPr>
      </w:pPr>
      <w:r>
        <w:rPr>
          <w:rFonts w:eastAsia="Times New Roman"/>
          <w:b/>
          <w:bCs/>
          <w:color w:val="000000"/>
          <w:sz w:val="18"/>
          <w:szCs w:val="18"/>
        </w:rPr>
        <w:t>Table D—Net Charge-Offs</w:t>
      </w:r>
    </w:p>
    <w:tbl>
      <w:tblPr>
        <w:tblW w:w="5000" w:type="pct"/>
        <w:tblCellMar>
          <w:top w:w="15" w:type="dxa"/>
          <w:left w:w="15" w:type="dxa"/>
          <w:bottom w:w="15" w:type="dxa"/>
          <w:right w:w="15" w:type="dxa"/>
        </w:tblCellMar>
        <w:tblLook w:val="04A0" w:firstRow="1" w:lastRow="0" w:firstColumn="1" w:lastColumn="0" w:noHBand="0" w:noVBand="1"/>
      </w:tblPr>
      <w:tblGrid>
        <w:gridCol w:w="38"/>
        <w:gridCol w:w="3023"/>
        <w:gridCol w:w="37"/>
        <w:gridCol w:w="36"/>
        <w:gridCol w:w="36"/>
        <w:gridCol w:w="36"/>
        <w:gridCol w:w="110"/>
        <w:gridCol w:w="630"/>
        <w:gridCol w:w="200"/>
        <w:gridCol w:w="36"/>
        <w:gridCol w:w="36"/>
        <w:gridCol w:w="36"/>
        <w:gridCol w:w="111"/>
        <w:gridCol w:w="717"/>
        <w:gridCol w:w="170"/>
        <w:gridCol w:w="36"/>
        <w:gridCol w:w="36"/>
        <w:gridCol w:w="36"/>
        <w:gridCol w:w="110"/>
        <w:gridCol w:w="630"/>
        <w:gridCol w:w="170"/>
        <w:gridCol w:w="36"/>
        <w:gridCol w:w="36"/>
        <w:gridCol w:w="36"/>
        <w:gridCol w:w="110"/>
        <w:gridCol w:w="630"/>
        <w:gridCol w:w="170"/>
        <w:gridCol w:w="36"/>
        <w:gridCol w:w="36"/>
        <w:gridCol w:w="36"/>
        <w:gridCol w:w="110"/>
        <w:gridCol w:w="630"/>
        <w:gridCol w:w="170"/>
      </w:tblGrid>
      <w:tr w:rsidR="00000000">
        <w:trPr>
          <w:divId w:val="571505210"/>
        </w:trPr>
        <w:tc>
          <w:tcPr>
            <w:tcW w:w="50" w:type="pct"/>
            <w:vAlign w:val="center"/>
            <w:hideMark/>
          </w:tcPr>
          <w:p w:rsidR="00000000" w:rsidRDefault="00E0782F">
            <w:pPr>
              <w:rPr>
                <w:rFonts w:eastAsia="Times New Roman"/>
              </w:rPr>
            </w:pPr>
          </w:p>
        </w:tc>
        <w:tc>
          <w:tcPr>
            <w:tcW w:w="23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7150521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57150521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r>
      <w:tr w:rsidR="00000000">
        <w:trPr>
          <w:divId w:val="57150521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Average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253,335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247,450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242,118 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245,565 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233,272 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7150521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center"/>
            <w:hideMark/>
          </w:tcPr>
          <w:p w:rsidR="00000000" w:rsidRDefault="00E0782F">
            <w:pPr>
              <w:jc w:val="right"/>
              <w:rPr>
                <w:rFonts w:eastAsia="Times New Roman"/>
              </w:rPr>
            </w:pPr>
            <w:r>
              <w:rPr>
                <w:rFonts w:eastAsia="Times New Roman"/>
                <w:color w:val="000000"/>
                <w:sz w:val="18"/>
                <w:szCs w:val="18"/>
              </w:rPr>
              <w:t>6,252</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7150521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1036078793"/>
        <w:rPr>
          <w:rFonts w:eastAsia="Times New Roman"/>
        </w:rPr>
      </w:pPr>
      <w:r>
        <w:rPr>
          <w:rFonts w:eastAsia="Times New Roman"/>
          <w:b/>
          <w:bCs/>
          <w:color w:val="000000"/>
          <w:sz w:val="18"/>
          <w:szCs w:val="18"/>
        </w:rPr>
        <w:t>Table E—</w:t>
      </w:r>
      <w:r>
        <w:rPr>
          <w:rFonts w:eastAsia="Times New Roman"/>
          <w:b/>
          <w:bCs/>
          <w:color w:val="000000"/>
          <w:sz w:val="18"/>
          <w:szCs w:val="18"/>
        </w:rPr>
        <w:t xml:space="preserve">Summary of Allowance for Credit Losses and Reserve for Unfunded Lending Commitments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3676"/>
        <w:gridCol w:w="39"/>
        <w:gridCol w:w="36"/>
        <w:gridCol w:w="36"/>
        <w:gridCol w:w="36"/>
        <w:gridCol w:w="110"/>
        <w:gridCol w:w="540"/>
        <w:gridCol w:w="200"/>
        <w:gridCol w:w="36"/>
        <w:gridCol w:w="36"/>
        <w:gridCol w:w="36"/>
        <w:gridCol w:w="110"/>
        <w:gridCol w:w="492"/>
        <w:gridCol w:w="170"/>
        <w:gridCol w:w="36"/>
        <w:gridCol w:w="36"/>
        <w:gridCol w:w="36"/>
        <w:gridCol w:w="110"/>
        <w:gridCol w:w="516"/>
        <w:gridCol w:w="170"/>
        <w:gridCol w:w="36"/>
        <w:gridCol w:w="36"/>
        <w:gridCol w:w="36"/>
        <w:gridCol w:w="110"/>
        <w:gridCol w:w="516"/>
        <w:gridCol w:w="170"/>
        <w:gridCol w:w="36"/>
        <w:gridCol w:w="36"/>
        <w:gridCol w:w="36"/>
        <w:gridCol w:w="110"/>
        <w:gridCol w:w="517"/>
        <w:gridCol w:w="170"/>
      </w:tblGrid>
      <w:tr w:rsidR="00000000">
        <w:trPr>
          <w:divId w:val="45614427"/>
        </w:trPr>
        <w:tc>
          <w:tcPr>
            <w:tcW w:w="50" w:type="pct"/>
            <w:vAlign w:val="center"/>
            <w:hideMark/>
          </w:tcPr>
          <w:p w:rsidR="00000000" w:rsidRDefault="00E0782F">
            <w:pPr>
              <w:rPr>
                <w:rFonts w:eastAsia="Times New Roman"/>
              </w:rPr>
            </w:pPr>
          </w:p>
        </w:tc>
        <w:tc>
          <w:tcPr>
            <w:tcW w:w="23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561442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w:t>
            </w:r>
          </w:p>
        </w:tc>
      </w:tr>
      <w:tr w:rsidR="00000000">
        <w:trPr>
          <w:divId w:val="4561442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r>
      <w:tr w:rsidR="00000000">
        <w:trPr>
          <w:divId w:val="4561442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divId w:val="189421393"/>
              <w:rPr>
                <w:rFonts w:eastAsia="Times New Roman"/>
              </w:rPr>
            </w:pPr>
            <w:r>
              <w:rPr>
                <w:rFonts w:eastAsia="Times New Roman"/>
                <w:color w:val="000000"/>
                <w:sz w:val="18"/>
                <w:szCs w:val="18"/>
              </w:rPr>
              <w:t>Balance at beginning of perio</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10,515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561442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561442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(5,749)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(6,711)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(6,657)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(6,321)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(5,019)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(1,534)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(1,917)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(1,832)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(1,677)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(8,809)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(8,615)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(8,513)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(6,555)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Recoveries: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1,066 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970 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recoveries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2,557 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2,503 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10,238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build (release)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changes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15,564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divId w:val="1745180116"/>
              <w:rPr>
                <w:rFonts w:eastAsia="Times New Roman"/>
              </w:rPr>
            </w:pPr>
            <w:r>
              <w:rPr>
                <w:rFonts w:eastAsia="Times New Roman"/>
                <w:color w:val="000000"/>
                <w:sz w:val="18"/>
                <w:szCs w:val="18"/>
              </w:rPr>
              <w:t>Balance at beginning of perio</w:t>
            </w:r>
            <w:r>
              <w:rPr>
                <w:rFonts w:eastAsia="Times New Roman"/>
                <w:color w:val="000000"/>
                <w:sz w:val="18"/>
                <w:szCs w:val="18"/>
              </w:rPr>
              <w:t>d</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561442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Combined allowance and reserve at end of period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15,759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for credit losses as a percentage of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6.19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2.94 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Combined allowance and reserve by geographic distribution: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6,945 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15,759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Combined allowance and reserve by portfolio segment: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561442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11,191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5,648 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4,606 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561442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15,759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2071414573"/>
        <w:rPr>
          <w:rFonts w:eastAsia="Times New Roman"/>
        </w:rPr>
      </w:pPr>
      <w:r>
        <w:rPr>
          <w:rFonts w:eastAsia="Times New Roman"/>
          <w:color w:val="000000"/>
          <w:sz w:val="20"/>
          <w:szCs w:val="20"/>
        </w:rPr>
        <w:t>__________</w:t>
      </w:r>
    </w:p>
    <w:p w:rsidR="00000000" w:rsidRDefault="00E0782F">
      <w:pPr>
        <w:ind w:hanging="360"/>
        <w:jc w:val="both"/>
        <w:divId w:val="32960368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both the cumulative effects from adoption of the CECL standard of $2.8 billion and the reclassification of our finance charge and fee reserve of $462 million to our allowance for credit losses in the first quarter of 2020. </w:t>
      </w:r>
    </w:p>
    <w:p w:rsidR="00000000" w:rsidRDefault="00E0782F">
      <w:pPr>
        <w:ind w:hanging="360"/>
        <w:jc w:val="both"/>
        <w:divId w:val="173889220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Includes cumulative </w:t>
      </w:r>
      <w:r>
        <w:rPr>
          <w:rFonts w:eastAsia="Times New Roman"/>
          <w:color w:val="000000"/>
          <w:sz w:val="16"/>
          <w:szCs w:val="16"/>
        </w:rPr>
        <w:t>effects from adoption of the CECL standard of $37 million in the first quarter of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41899233"/>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4189923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4189923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2" style="width:0;height:1.5pt" o:hralign="center" o:hrstd="t" o:hr="t" fillcolor="#a0a0a0" stroked="f"/>
        </w:pict>
      </w:r>
    </w:p>
    <w:p w:rsidR="00000000" w:rsidRDefault="00E0782F">
      <w:pPr>
        <w:ind w:hanging="360"/>
        <w:jc w:val="both"/>
        <w:divId w:val="1881817736"/>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920218952"/>
        <w:rPr>
          <w:rFonts w:eastAsia="Times New Roman"/>
        </w:rPr>
      </w:pPr>
      <w:r>
        <w:rPr>
          <w:rFonts w:eastAsia="Times New Roman"/>
          <w:b/>
          <w:bCs/>
          <w:color w:val="000000"/>
          <w:sz w:val="20"/>
          <w:szCs w:val="20"/>
        </w:rPr>
        <w:t>Reconciliation of Non-GAAP Measures</w:t>
      </w:r>
    </w:p>
    <w:p w:rsidR="00000000" w:rsidRDefault="00E0782F">
      <w:pPr>
        <w:jc w:val="both"/>
        <w:divId w:val="313686907"/>
        <w:rPr>
          <w:rFonts w:eastAsia="Times New Roman"/>
        </w:rPr>
      </w:pPr>
      <w:r>
        <w:rPr>
          <w:rFonts w:eastAsia="Times New Roman"/>
          <w:color w:val="000000"/>
          <w:sz w:val="20"/>
          <w:szCs w:val="20"/>
        </w:rPr>
        <w:t>The following non-GAAP measures consist of TCE, ta</w:t>
      </w:r>
      <w:r>
        <w:rPr>
          <w:rFonts w:eastAsia="Times New Roman"/>
          <w:color w:val="000000"/>
          <w:sz w:val="20"/>
          <w:szCs w:val="20"/>
        </w:rPr>
        <w:t>ngible assets and metrics computed using these amounts, which include tangible book value per common share, return on average tangible assets, return on average TCE and TCE ratio. We consider these metrics to be key financial performance measures that mana</w:t>
      </w:r>
      <w:r>
        <w:rPr>
          <w:rFonts w:eastAsia="Times New Roman"/>
          <w:color w:val="000000"/>
          <w:sz w:val="20"/>
          <w:szCs w:val="20"/>
        </w:rPr>
        <w:t xml:space="preserve">gement uses in assessing capital adequacy and the level of returns generated. While these non-GAAP measures are widely used by investors, analysts and bank regulatory agencies to assess the capital position of financial services companies, they may not be </w:t>
      </w:r>
      <w:r>
        <w:rPr>
          <w:rFonts w:eastAsia="Times New Roman"/>
          <w:color w:val="000000"/>
          <w:sz w:val="20"/>
          <w:szCs w:val="20"/>
        </w:rPr>
        <w:t>comparable to similarly-titled measures reported by other companies. The following table presents reconciliations of these non-GAAP measures to the applicable amounts measured in accordance with GAAP.</w:t>
      </w:r>
    </w:p>
    <w:p w:rsidR="00000000" w:rsidRDefault="00E0782F">
      <w:pPr>
        <w:divId w:val="1362784141"/>
        <w:rPr>
          <w:rFonts w:eastAsia="Times New Roman"/>
        </w:rPr>
      </w:pPr>
      <w:r>
        <w:rPr>
          <w:rFonts w:eastAsia="Times New Roman"/>
          <w:b/>
          <w:bCs/>
          <w:color w:val="000000"/>
          <w:sz w:val="18"/>
          <w:szCs w:val="18"/>
        </w:rPr>
        <w:t>Table F—Reconciliation of Non-GAAP Measures</w:t>
      </w:r>
    </w:p>
    <w:tbl>
      <w:tblPr>
        <w:tblW w:w="4978" w:type="pct"/>
        <w:tblCellMar>
          <w:top w:w="15" w:type="dxa"/>
          <w:left w:w="15" w:type="dxa"/>
          <w:bottom w:w="15" w:type="dxa"/>
          <w:right w:w="15" w:type="dxa"/>
        </w:tblCellMar>
        <w:tblLook w:val="04A0" w:firstRow="1" w:lastRow="0" w:firstColumn="1" w:lastColumn="0" w:noHBand="0" w:noVBand="1"/>
      </w:tblPr>
      <w:tblGrid>
        <w:gridCol w:w="40"/>
        <w:gridCol w:w="2971"/>
        <w:gridCol w:w="39"/>
        <w:gridCol w:w="36"/>
        <w:gridCol w:w="36"/>
        <w:gridCol w:w="36"/>
        <w:gridCol w:w="110"/>
        <w:gridCol w:w="649"/>
        <w:gridCol w:w="200"/>
        <w:gridCol w:w="36"/>
        <w:gridCol w:w="36"/>
        <w:gridCol w:w="36"/>
        <w:gridCol w:w="110"/>
        <w:gridCol w:w="650"/>
        <w:gridCol w:w="170"/>
        <w:gridCol w:w="36"/>
        <w:gridCol w:w="36"/>
        <w:gridCol w:w="36"/>
        <w:gridCol w:w="110"/>
        <w:gridCol w:w="650"/>
        <w:gridCol w:w="170"/>
        <w:gridCol w:w="36"/>
        <w:gridCol w:w="36"/>
        <w:gridCol w:w="36"/>
        <w:gridCol w:w="110"/>
        <w:gridCol w:w="650"/>
        <w:gridCol w:w="170"/>
        <w:gridCol w:w="36"/>
        <w:gridCol w:w="36"/>
        <w:gridCol w:w="36"/>
        <w:gridCol w:w="110"/>
        <w:gridCol w:w="650"/>
        <w:gridCol w:w="170"/>
      </w:tblGrid>
      <w:tr w:rsidR="00000000">
        <w:trPr>
          <w:divId w:val="1908682652"/>
        </w:trPr>
        <w:tc>
          <w:tcPr>
            <w:tcW w:w="50" w:type="pct"/>
            <w:vAlign w:val="center"/>
            <w:hideMark/>
          </w:tcPr>
          <w:p w:rsidR="00000000" w:rsidRDefault="00E0782F">
            <w:pPr>
              <w:rPr>
                <w:rFonts w:eastAsia="Times New Roman"/>
              </w:rPr>
            </w:pPr>
          </w:p>
        </w:tc>
        <w:tc>
          <w:tcPr>
            <w:tcW w:w="189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908682652"/>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December 31,</w:t>
            </w:r>
          </w:p>
        </w:tc>
      </w:tr>
      <w:tr w:rsidR="00000000">
        <w:trPr>
          <w:divId w:val="1908682652"/>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as noted)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2016</w:t>
            </w:r>
          </w:p>
        </w:tc>
      </w:tr>
      <w:tr w:rsidR="00000000">
        <w:trPr>
          <w:divId w:val="19086826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Tangible Common Equity (Period-End):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086826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Stockholders’ </w:t>
            </w:r>
            <w:r>
              <w:rPr>
                <w:rFonts w:eastAsia="Times New Roman"/>
                <w:color w:val="000000"/>
                <w:sz w:val="18"/>
                <w:szCs w:val="18"/>
              </w:rPr>
              <w:t>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60,204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58,011 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51,668 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48,730 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47,514 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0" w:type="dxa"/>
              <w:bottom w:w="30" w:type="dxa"/>
              <w:right w:w="20" w:type="dxa"/>
            </w:tcMar>
            <w:vAlign w:val="center"/>
            <w:hideMark/>
          </w:tcPr>
          <w:p w:rsidR="00000000" w:rsidRDefault="00E0782F">
            <w:pPr>
              <w:divId w:val="287395232"/>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(14,809)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(14,932)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(14,941)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(15,106)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(15,420)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Noncumulative perpetual 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(4,847)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(4,853)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(4,360)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(4,360)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(4,360)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Tangible common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40,548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38,226 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32,367 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29,264 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27,734 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Tangible Common Equity (Average):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086826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58,201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55,690 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50,192 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49,530 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48,753 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FFFFFF"/>
            <w:tcMar>
              <w:top w:w="30" w:type="dxa"/>
              <w:left w:w="20" w:type="dxa"/>
              <w:bottom w:w="30" w:type="dxa"/>
              <w:right w:w="20" w:type="dxa"/>
            </w:tcMar>
            <w:vAlign w:val="center"/>
            <w:hideMark/>
          </w:tcPr>
          <w:p w:rsidR="00000000" w:rsidRDefault="00E0782F">
            <w:pPr>
              <w:divId w:val="565653112"/>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(14,875)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(14,927)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(15,017)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(15,308)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(15,550)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Noncumulative perpetual preferred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(5,247)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(4,729)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(4,360)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(4,360)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(3,591)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Tangible common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38,079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36,034 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30,815 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29,862 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29,612 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Tangible Assets (Period-End):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086826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421,602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390,365 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372,538 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365,693 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357,033 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0" w:type="dxa"/>
              <w:bottom w:w="30" w:type="dxa"/>
              <w:right w:w="20" w:type="dxa"/>
            </w:tcMar>
            <w:vAlign w:val="center"/>
            <w:hideMark/>
          </w:tcPr>
          <w:p w:rsidR="00000000" w:rsidRDefault="00E0782F">
            <w:pPr>
              <w:divId w:val="914239702"/>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(14,809)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(14,932)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(14,941)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(15,106)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(15,420)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406,793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375,433 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357,597 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350,587 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341,613 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Tangible Assets (Average):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086826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411,187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374,924 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363,036 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354,924 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339,974 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0" w:type="dxa"/>
              <w:bottom w:w="30" w:type="dxa"/>
              <w:right w:w="20" w:type="dxa"/>
            </w:tcMar>
            <w:vAlign w:val="center"/>
            <w:hideMark/>
          </w:tcPr>
          <w:p w:rsidR="00000000" w:rsidRDefault="00E0782F">
            <w:pPr>
              <w:divId w:val="236593569"/>
              <w:rPr>
                <w:rFonts w:eastAsia="Times New Roman"/>
              </w:rPr>
            </w:pPr>
            <w:r>
              <w:rPr>
                <w:rFonts w:eastAsia="Times New Roman"/>
                <w:color w:val="000000"/>
                <w:sz w:val="18"/>
                <w:szCs w:val="18"/>
              </w:rPr>
              <w:t>Goodwill and intangible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(14,875)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(14,927)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(15,017)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(15,308)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(15,550)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Tangible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396,312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359,997 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348,019 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339,616 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324,424 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0868265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Non-GAAP Ratio: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08682652"/>
        </w:trPr>
        <w:tc>
          <w:tcPr>
            <w:tcW w:w="0" w:type="auto"/>
            <w:gridSpan w:val="3"/>
            <w:shd w:val="clear" w:color="auto" w:fill="FFFFFF"/>
            <w:tcMar>
              <w:top w:w="30" w:type="dxa"/>
              <w:left w:w="20" w:type="dxa"/>
              <w:bottom w:w="30" w:type="dxa"/>
              <w:right w:w="20" w:type="dxa"/>
            </w:tcMar>
            <w:vAlign w:val="center"/>
            <w:hideMark/>
          </w:tcPr>
          <w:p w:rsidR="00000000" w:rsidRDefault="00E0782F">
            <w:pPr>
              <w:divId w:val="1080713452"/>
              <w:rPr>
                <w:rFonts w:eastAsia="Times New Roman"/>
              </w:rPr>
            </w:pPr>
            <w:r>
              <w:rPr>
                <w:rFonts w:eastAsia="Times New Roman"/>
                <w:color w:val="000000"/>
                <w:sz w:val="18"/>
                <w:szCs w:val="18"/>
              </w:rPr>
              <w:t>Tangible common equity (“TCE”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2080442811"/>
        <w:rPr>
          <w:rFonts w:eastAsia="Times New Roman"/>
        </w:rPr>
      </w:pPr>
      <w:r>
        <w:rPr>
          <w:rFonts w:eastAsia="Times New Roman"/>
          <w:color w:val="000000"/>
          <w:sz w:val="20"/>
          <w:szCs w:val="20"/>
        </w:rPr>
        <w:t>__________</w:t>
      </w:r>
    </w:p>
    <w:p w:rsidR="00000000" w:rsidRDefault="00E0782F">
      <w:pPr>
        <w:ind w:hanging="360"/>
        <w:jc w:val="both"/>
        <w:divId w:val="130476999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impact of related deferred taxes.</w:t>
      </w:r>
    </w:p>
    <w:p w:rsidR="00000000" w:rsidRDefault="00E0782F">
      <w:pPr>
        <w:ind w:hanging="360"/>
        <w:jc w:val="both"/>
        <w:divId w:val="128642685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TCE ratio is a non-GAAP measure calculated based on TCE divided by tangible assets.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46264976"/>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46264976"/>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4626497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3" style="width:0;height:1.5pt" o:hralign="center" o:hrstd="t" o:hr="t" fillcolor="#a0a0a0" stroked="f"/>
        </w:pict>
      </w:r>
    </w:p>
    <w:p w:rsidR="00000000" w:rsidRDefault="00E0782F">
      <w:pPr>
        <w:ind w:hanging="360"/>
        <w:jc w:val="both"/>
        <w:divId w:val="195729839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divId w:val="193924108"/>
        <w:rPr>
          <w:rFonts w:eastAsia="Times New Roman"/>
        </w:rPr>
      </w:pPr>
      <w:r>
        <w:rPr>
          <w:rFonts w:eastAsia="Times New Roman"/>
          <w:b/>
          <w:bCs/>
          <w:color w:val="000000"/>
          <w:sz w:val="18"/>
          <w:szCs w:val="18"/>
        </w:rPr>
        <w:t xml:space="preserve">Table G—Selected Quarterly Financial Information </w:t>
      </w:r>
    </w:p>
    <w:tbl>
      <w:tblPr>
        <w:tblW w:w="5000" w:type="pct"/>
        <w:tblCellMar>
          <w:top w:w="15" w:type="dxa"/>
          <w:left w:w="15" w:type="dxa"/>
          <w:bottom w:w="15" w:type="dxa"/>
          <w:right w:w="15" w:type="dxa"/>
        </w:tblCellMar>
        <w:tblLook w:val="04A0" w:firstRow="1" w:lastRow="0" w:firstColumn="1" w:lastColumn="0" w:noHBand="0" w:noVBand="1"/>
      </w:tblPr>
      <w:tblGrid>
        <w:gridCol w:w="38"/>
        <w:gridCol w:w="1799"/>
        <w:gridCol w:w="37"/>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gridCol w:w="36"/>
        <w:gridCol w:w="36"/>
        <w:gridCol w:w="36"/>
        <w:gridCol w:w="100"/>
        <w:gridCol w:w="560"/>
        <w:gridCol w:w="36"/>
      </w:tblGrid>
      <w:tr w:rsidR="00000000">
        <w:trPr>
          <w:divId w:val="1936983206"/>
        </w:trPr>
        <w:tc>
          <w:tcPr>
            <w:tcW w:w="50" w:type="pct"/>
            <w:vAlign w:val="center"/>
            <w:hideMark/>
          </w:tcPr>
          <w:p w:rsidR="00000000" w:rsidRDefault="00E0782F">
            <w:pPr>
              <w:rPr>
                <w:rFonts w:eastAsia="Times New Roman"/>
              </w:rPr>
            </w:pPr>
          </w:p>
        </w:tc>
        <w:tc>
          <w:tcPr>
            <w:tcW w:w="18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936983206"/>
          <w:trHeight w:val="240"/>
        </w:trPr>
        <w:tc>
          <w:tcPr>
            <w:tcW w:w="0" w:type="auto"/>
            <w:gridSpan w:val="3"/>
            <w:vMerge w:val="restart"/>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per share data and as noted) (unaudited)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r>
      <w:tr w:rsidR="00000000">
        <w:trPr>
          <w:divId w:val="1936983206"/>
          <w:trHeight w:val="240"/>
        </w:trPr>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Q1</w:t>
            </w:r>
          </w:p>
        </w:tc>
      </w:tr>
      <w:tr w:rsidR="00000000">
        <w:trPr>
          <w:divId w:val="19369832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Summarized results of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6,391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6,318 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7,270 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7,076 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7,092 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1,204 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5,873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5,555 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5,460 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6,025 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6,066 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5,737 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5,746 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5,791 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4,246 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5,423 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5,609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602 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4,248 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4,354 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4,404 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1,464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1,826 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1,096 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1,361 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1,378 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4,009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3,872 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3,671 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(loss)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3,064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(1,460)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(1,903)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496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(543)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(563)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387 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(loss)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2,568</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(917)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2,566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2,406 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Issuance cost for redeemed 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(loss)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2,462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2,319 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(1,009)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(1,420)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Common share statistics: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5.36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(loss)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5.36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Diluted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(loss)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5.35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(loss)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5.35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Weighted-average common shares outstanding</w:t>
            </w:r>
            <w:r>
              <w:rPr>
                <w:rFonts w:eastAsia="Times New Roman"/>
                <w:b/>
                <w:bCs/>
                <w:color w:val="000000"/>
                <w:sz w:val="16"/>
                <w:szCs w:val="16"/>
              </w:rPr>
              <w:br/>
              <w:t>(in millions):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Basic common shares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459.1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457.8 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456.7 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457.6 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460.9 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469.5 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470.8 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469.4 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Diluted common shares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460.2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458.5 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456.7 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457.6 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463.4 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471.8 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473.0 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471.6 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Balance sheet (average balances):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247,689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249,511 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253,358 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262,889 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258,870 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246,147 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242,653 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241,959 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Interest-earning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388,252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391,451 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378,145 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355,347 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349,150 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340,949 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338,026 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337,793 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420,011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422,854 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411,075 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390,380 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383,162 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374,905 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371,095 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370,394 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274,142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276,339 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261,256 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241,115 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236,250 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232,063 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230,452 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227,572 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304,513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305,516 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288,344 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264,653 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260,040 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255,082 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253,634 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251,410 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Borrowings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40,662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44,161 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49,827 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51,795 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51,442 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49,413 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49,982 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53,055 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Common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54,220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51,995 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52,413 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53,186 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52,641 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52,566 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50,209 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48,359 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9369832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59,389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57,223 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57,623 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58,568 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58,148 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57,245 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54,570 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52,720 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4" style="width:0;height:1.5pt" o:hralign="center" o:hrstd="t" o:hr="t" fillcolor="#a0a0a0" stroked="f"/>
        </w:pict>
      </w:r>
    </w:p>
    <w:p w:rsidR="00000000" w:rsidRDefault="00E0782F">
      <w:pPr>
        <w:ind w:hanging="360"/>
        <w:jc w:val="both"/>
        <w:divId w:val="1734500232"/>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18295455"/>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1829545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Glossary and Acronyms</w:t>
            </w:r>
          </w:p>
        </w:tc>
      </w:tr>
    </w:tbl>
    <w:p w:rsidR="00000000" w:rsidRDefault="00E0782F">
      <w:pPr>
        <w:jc w:val="both"/>
        <w:divId w:val="48191883"/>
        <w:rPr>
          <w:rFonts w:eastAsia="Times New Roman"/>
        </w:rPr>
      </w:pPr>
      <w:r>
        <w:rPr>
          <w:rFonts w:eastAsia="Times New Roman"/>
          <w:b/>
          <w:bCs/>
          <w:color w:val="000000"/>
          <w:sz w:val="20"/>
          <w:szCs w:val="20"/>
        </w:rPr>
        <w:t xml:space="preserve">2019 Stock Repurchase Program: </w:t>
      </w:r>
      <w:r>
        <w:rPr>
          <w:rFonts w:eastAsia="Times New Roman"/>
          <w:color w:val="000000"/>
          <w:sz w:val="20"/>
          <w:szCs w:val="20"/>
        </w:rPr>
        <w:t>On June 27, 2019, we announced that our Board of Directors authorized the repurchase of up to $2.2 billion of shares of our common stock from the third quarter of 2019 through the end of the second quarter of 2020.</w:t>
      </w:r>
    </w:p>
    <w:p w:rsidR="00000000" w:rsidRDefault="00E0782F">
      <w:pPr>
        <w:jc w:val="both"/>
        <w:divId w:val="1144814397"/>
        <w:rPr>
          <w:rFonts w:eastAsia="Times New Roman"/>
        </w:rPr>
      </w:pPr>
      <w:r>
        <w:rPr>
          <w:rFonts w:eastAsia="Times New Roman"/>
          <w:b/>
          <w:bCs/>
          <w:color w:val="000000"/>
          <w:sz w:val="20"/>
          <w:szCs w:val="20"/>
        </w:rPr>
        <w:t xml:space="preserve">Amortized </w:t>
      </w:r>
      <w:r>
        <w:rPr>
          <w:rFonts w:eastAsia="Times New Roman"/>
          <w:b/>
          <w:bCs/>
          <w:color w:val="000000"/>
          <w:sz w:val="20"/>
          <w:szCs w:val="20"/>
        </w:rPr>
        <w:t>cost:</w:t>
      </w:r>
      <w:r>
        <w:rPr>
          <w:rFonts w:eastAsia="Times New Roman"/>
          <w:color w:val="000000"/>
          <w:sz w:val="20"/>
          <w:szCs w:val="20"/>
        </w:rPr>
        <w:t xml:space="preserve"> The amount at which a financing receivable or investment is originated or acquired, adjusted for applicable accrued interest, accretion, or amortization of premium, discount, and net deferred fees or costs, collection of cash, write-offs, foreign exc</w:t>
      </w:r>
      <w:r>
        <w:rPr>
          <w:rFonts w:eastAsia="Times New Roman"/>
          <w:color w:val="000000"/>
          <w:sz w:val="20"/>
          <w:szCs w:val="20"/>
        </w:rPr>
        <w:t>hange and fair value hedge accounting adjustments.</w:t>
      </w:r>
    </w:p>
    <w:p w:rsidR="00000000" w:rsidRDefault="00E0782F">
      <w:pPr>
        <w:jc w:val="both"/>
        <w:divId w:val="68501881"/>
        <w:rPr>
          <w:rFonts w:eastAsia="Times New Roman"/>
        </w:rPr>
      </w:pPr>
      <w:r>
        <w:rPr>
          <w:rFonts w:eastAsia="Times New Roman"/>
          <w:b/>
          <w:bCs/>
          <w:color w:val="000000"/>
          <w:sz w:val="20"/>
          <w:szCs w:val="20"/>
        </w:rPr>
        <w:t xml:space="preserve">Annual Report: </w:t>
      </w:r>
      <w:r>
        <w:rPr>
          <w:rFonts w:eastAsia="Times New Roman"/>
          <w:color w:val="000000"/>
          <w:sz w:val="20"/>
          <w:szCs w:val="20"/>
        </w:rPr>
        <w:t xml:space="preserve">References to our “2020 Form 10-K” or “2020 Annual Report” are to our Annual Report on Form 10-K for the fiscal year ended December 31, 2020. </w:t>
      </w:r>
    </w:p>
    <w:p w:rsidR="00000000" w:rsidRDefault="00E0782F">
      <w:pPr>
        <w:jc w:val="both"/>
        <w:divId w:val="1471288785"/>
        <w:rPr>
          <w:rFonts w:eastAsia="Times New Roman"/>
        </w:rPr>
      </w:pPr>
      <w:r>
        <w:rPr>
          <w:rFonts w:eastAsia="Times New Roman"/>
          <w:b/>
          <w:bCs/>
          <w:color w:val="000000"/>
          <w:sz w:val="20"/>
          <w:szCs w:val="20"/>
        </w:rPr>
        <w:t xml:space="preserve">Banks: </w:t>
      </w:r>
      <w:r>
        <w:rPr>
          <w:rFonts w:eastAsia="Times New Roman"/>
          <w:color w:val="000000"/>
          <w:sz w:val="20"/>
          <w:szCs w:val="20"/>
        </w:rPr>
        <w:t>Refers to COBNA and CONA.</w:t>
      </w:r>
    </w:p>
    <w:p w:rsidR="00000000" w:rsidRDefault="00E0782F">
      <w:pPr>
        <w:jc w:val="both"/>
        <w:divId w:val="220361551"/>
        <w:rPr>
          <w:rFonts w:eastAsia="Times New Roman"/>
        </w:rPr>
      </w:pPr>
      <w:r>
        <w:rPr>
          <w:rFonts w:eastAsia="Times New Roman"/>
          <w:b/>
          <w:bCs/>
          <w:color w:val="000000"/>
          <w:sz w:val="20"/>
          <w:szCs w:val="20"/>
        </w:rPr>
        <w:t>Basel Committe</w:t>
      </w:r>
      <w:r>
        <w:rPr>
          <w:rFonts w:eastAsia="Times New Roman"/>
          <w:b/>
          <w:bCs/>
          <w:color w:val="000000"/>
          <w:sz w:val="20"/>
          <w:szCs w:val="20"/>
        </w:rPr>
        <w:t>e:</w:t>
      </w:r>
      <w:r>
        <w:rPr>
          <w:rFonts w:eastAsia="Times New Roman"/>
          <w:color w:val="000000"/>
          <w:sz w:val="20"/>
          <w:szCs w:val="20"/>
        </w:rPr>
        <w:t xml:space="preserve"> The Basel Committee on Banking Supervision.</w:t>
      </w:r>
    </w:p>
    <w:p w:rsidR="00000000" w:rsidRDefault="00E0782F">
      <w:pPr>
        <w:jc w:val="both"/>
        <w:divId w:val="1429622291"/>
        <w:rPr>
          <w:rFonts w:eastAsia="Times New Roman"/>
        </w:rPr>
      </w:pPr>
      <w:r>
        <w:rPr>
          <w:rFonts w:eastAsia="Times New Roman"/>
          <w:b/>
          <w:bCs/>
          <w:color w:val="000000"/>
          <w:sz w:val="20"/>
          <w:szCs w:val="20"/>
        </w:rPr>
        <w:t xml:space="preserve">Basel III Advanced Approaches: </w:t>
      </w:r>
      <w:r>
        <w:rPr>
          <w:rFonts w:eastAsia="Times New Roman"/>
          <w:color w:val="000000"/>
          <w:sz w:val="20"/>
          <w:szCs w:val="20"/>
        </w:rPr>
        <w:t xml:space="preserve">Following the Tailoring Rule, the Basel III Advanced Approaches was mandatory for Category I and II institutions. Category III institutions, such as us, are no longer subject to </w:t>
      </w:r>
      <w:r>
        <w:rPr>
          <w:rFonts w:eastAsia="Times New Roman"/>
          <w:color w:val="000000"/>
          <w:sz w:val="20"/>
          <w:szCs w:val="20"/>
        </w:rPr>
        <w:t>the Basel III Advanced Approaches framework effective January 1, 2020.</w:t>
      </w:r>
    </w:p>
    <w:p w:rsidR="00000000" w:rsidRDefault="00E0782F">
      <w:pPr>
        <w:jc w:val="both"/>
        <w:divId w:val="1085112179"/>
        <w:rPr>
          <w:rFonts w:eastAsia="Times New Roman"/>
        </w:rPr>
      </w:pPr>
      <w:r>
        <w:rPr>
          <w:rFonts w:eastAsia="Times New Roman"/>
          <w:b/>
          <w:bCs/>
          <w:color w:val="000000"/>
          <w:sz w:val="20"/>
          <w:szCs w:val="20"/>
        </w:rPr>
        <w:t>Basel III Capital Rules:</w:t>
      </w:r>
      <w:r>
        <w:rPr>
          <w:rFonts w:eastAsia="Times New Roman"/>
          <w:color w:val="000000"/>
          <w:sz w:val="20"/>
          <w:szCs w:val="20"/>
        </w:rPr>
        <w:t xml:space="preserve"> The regulatory capital requirements established by the Federal Banking Agencies in July 2013 to implement the Basel III capital framework developed by the Basel</w:t>
      </w:r>
      <w:r>
        <w:rPr>
          <w:rFonts w:eastAsia="Times New Roman"/>
          <w:color w:val="000000"/>
          <w:sz w:val="20"/>
          <w:szCs w:val="20"/>
        </w:rPr>
        <w:t xml:space="preserve"> Committee as well as certain Dodd-Frank Act and other capital provisions.</w:t>
      </w:r>
    </w:p>
    <w:p w:rsidR="00000000" w:rsidRDefault="00E0782F">
      <w:pPr>
        <w:jc w:val="both"/>
        <w:divId w:val="203715949"/>
        <w:rPr>
          <w:rFonts w:eastAsia="Times New Roman"/>
        </w:rPr>
      </w:pPr>
      <w:r>
        <w:rPr>
          <w:rFonts w:eastAsia="Times New Roman"/>
          <w:b/>
          <w:bCs/>
          <w:color w:val="000000"/>
          <w:sz w:val="20"/>
          <w:szCs w:val="20"/>
        </w:rPr>
        <w:t xml:space="preserve">Basel III Standardized Approach: </w:t>
      </w:r>
      <w:r>
        <w:rPr>
          <w:rFonts w:eastAsia="Times New Roman"/>
          <w:color w:val="000000"/>
          <w:sz w:val="20"/>
          <w:szCs w:val="20"/>
        </w:rPr>
        <w:t>The Basel III Capital Rules modified Basel I to create the Basel III Standardized Approach.</w:t>
      </w:r>
    </w:p>
    <w:p w:rsidR="00000000" w:rsidRDefault="00E0782F">
      <w:pPr>
        <w:jc w:val="both"/>
        <w:divId w:val="327904089"/>
        <w:rPr>
          <w:rFonts w:eastAsia="Times New Roman"/>
        </w:rPr>
      </w:pPr>
      <w:r>
        <w:rPr>
          <w:rFonts w:eastAsia="Times New Roman"/>
          <w:b/>
          <w:bCs/>
          <w:color w:val="000000"/>
          <w:sz w:val="20"/>
          <w:szCs w:val="20"/>
        </w:rPr>
        <w:t xml:space="preserve">Capital One </w:t>
      </w:r>
      <w:r>
        <w:rPr>
          <w:rFonts w:eastAsia="Times New Roman"/>
          <w:color w:val="000000"/>
          <w:sz w:val="20"/>
          <w:szCs w:val="20"/>
        </w:rPr>
        <w:t xml:space="preserve">or the </w:t>
      </w:r>
      <w:r>
        <w:rPr>
          <w:rFonts w:eastAsia="Times New Roman"/>
          <w:b/>
          <w:bCs/>
          <w:color w:val="000000"/>
          <w:sz w:val="20"/>
          <w:szCs w:val="20"/>
        </w:rPr>
        <w:t>Company:</w:t>
      </w:r>
      <w:r>
        <w:rPr>
          <w:rFonts w:eastAsia="Times New Roman"/>
          <w:color w:val="000000"/>
          <w:sz w:val="20"/>
          <w:szCs w:val="20"/>
        </w:rPr>
        <w:t xml:space="preserve"> Capital One Financial Corpor</w:t>
      </w:r>
      <w:r>
        <w:rPr>
          <w:rFonts w:eastAsia="Times New Roman"/>
          <w:color w:val="000000"/>
          <w:sz w:val="20"/>
          <w:szCs w:val="20"/>
        </w:rPr>
        <w:t>ation and its subsidiaries.</w:t>
      </w:r>
    </w:p>
    <w:p w:rsidR="00000000" w:rsidRDefault="00E0782F">
      <w:pPr>
        <w:jc w:val="both"/>
        <w:divId w:val="1246383107"/>
        <w:rPr>
          <w:rFonts w:eastAsia="Times New Roman"/>
        </w:rPr>
      </w:pPr>
      <w:r>
        <w:rPr>
          <w:rFonts w:eastAsia="Times New Roman"/>
          <w:b/>
          <w:bCs/>
          <w:color w:val="000000"/>
          <w:sz w:val="20"/>
          <w:szCs w:val="20"/>
        </w:rPr>
        <w:t>The Coronavirus Aid, Relief, and Economic Security Act (“CARES Act”):</w:t>
      </w:r>
      <w:r>
        <w:rPr>
          <w:rFonts w:eastAsia="Times New Roman"/>
          <w:color w:val="000000"/>
          <w:sz w:val="20"/>
          <w:szCs w:val="20"/>
        </w:rPr>
        <w:t xml:space="preserve"> Legislation signed into laws on March 27, 2020. This law, among other things, authorized a number of lending programs to support the flow of credit to consume</w:t>
      </w:r>
      <w:r>
        <w:rPr>
          <w:rFonts w:eastAsia="Times New Roman"/>
          <w:color w:val="000000"/>
          <w:sz w:val="20"/>
          <w:szCs w:val="20"/>
        </w:rPr>
        <w:t>rs and businesses and gave the banking organizations an option to temporarily suspend the determination of certain qualified loans modified as a result of COVID-19 as being TDRs, which was extended by the Consolidated Appropriations Act 2021.</w:t>
      </w:r>
    </w:p>
    <w:p w:rsidR="00000000" w:rsidRDefault="00E0782F">
      <w:pPr>
        <w:jc w:val="both"/>
        <w:divId w:val="557785314"/>
        <w:rPr>
          <w:rFonts w:eastAsia="Times New Roman"/>
        </w:rPr>
      </w:pPr>
      <w:r>
        <w:rPr>
          <w:rFonts w:eastAsia="Times New Roman"/>
          <w:b/>
          <w:bCs/>
          <w:color w:val="000000"/>
          <w:sz w:val="20"/>
          <w:szCs w:val="20"/>
        </w:rPr>
        <w:t xml:space="preserve">Carrying value </w:t>
      </w:r>
      <w:r>
        <w:rPr>
          <w:rFonts w:eastAsia="Times New Roman"/>
          <w:color w:val="000000"/>
          <w:sz w:val="20"/>
          <w:szCs w:val="20"/>
        </w:rPr>
        <w:t>(with respect to loans)</w:t>
      </w:r>
      <w:r>
        <w:rPr>
          <w:rFonts w:eastAsia="Times New Roman"/>
          <w:b/>
          <w:bCs/>
          <w:color w:val="000000"/>
          <w:sz w:val="20"/>
          <w:szCs w:val="20"/>
        </w:rPr>
        <w:t>:</w:t>
      </w:r>
      <w:r>
        <w:rPr>
          <w:rFonts w:eastAsia="Times New Roman"/>
          <w:color w:val="000000"/>
          <w:sz w:val="20"/>
          <w:szCs w:val="20"/>
        </w:rPr>
        <w:t xml:space="preserve"> The amount at which a loan is recorded on the consolidated balance sheets. For loans recorded at amortized cost, carrying value is the unpaid principal balance net of unamortized deferred loan origination fees and co</w:t>
      </w:r>
      <w:r>
        <w:rPr>
          <w:rFonts w:eastAsia="Times New Roman"/>
          <w:color w:val="000000"/>
          <w:sz w:val="20"/>
          <w:szCs w:val="20"/>
        </w:rPr>
        <w:t>sts, and unamortized purchase premium or discount. For loans that are or have been on nonaccrual status, the carrying value is also reduced by any net charge-offs that have been recorded and the amount of interest payments applied as a reduction of princip</w:t>
      </w:r>
      <w:r>
        <w:rPr>
          <w:rFonts w:eastAsia="Times New Roman"/>
          <w:color w:val="000000"/>
          <w:sz w:val="20"/>
          <w:szCs w:val="20"/>
        </w:rPr>
        <w:t>al under the cost recovery method. For credit card loans, the carrying value also includes interest that has been billed to the customer, net of any related reserves. Loans held for sale are recorded at either fair value (if we elect the fair value option)</w:t>
      </w:r>
      <w:r>
        <w:rPr>
          <w:rFonts w:eastAsia="Times New Roman"/>
          <w:color w:val="000000"/>
          <w:sz w:val="20"/>
          <w:szCs w:val="20"/>
        </w:rPr>
        <w:t xml:space="preserve"> or at the lower of cost or fair value.</w:t>
      </w:r>
    </w:p>
    <w:p w:rsidR="00000000" w:rsidRDefault="00E0782F">
      <w:pPr>
        <w:jc w:val="both"/>
        <w:divId w:val="584070847"/>
        <w:rPr>
          <w:rFonts w:eastAsia="Times New Roman"/>
        </w:rPr>
      </w:pPr>
      <w:r>
        <w:rPr>
          <w:rFonts w:eastAsia="Times New Roman"/>
          <w:b/>
          <w:bCs/>
          <w:color w:val="000000"/>
          <w:sz w:val="20"/>
          <w:szCs w:val="20"/>
        </w:rPr>
        <w:t>CECL:</w:t>
      </w:r>
      <w:r>
        <w:rPr>
          <w:rFonts w:eastAsia="Times New Roman"/>
          <w:color w:val="000000"/>
          <w:sz w:val="20"/>
          <w:szCs w:val="20"/>
        </w:rPr>
        <w:t xml:space="preserve"> In June 2016, the Financial Accounting Standards Board (“FASB”) issued Accounting Standards Update (“ASU”) No. 2016-13, Financial Instruments—Credit Losses (Topic 326): </w:t>
      </w:r>
      <w:r>
        <w:rPr>
          <w:rFonts w:eastAsia="Times New Roman"/>
          <w:i/>
          <w:iCs/>
          <w:color w:val="000000"/>
          <w:sz w:val="20"/>
          <w:szCs w:val="20"/>
        </w:rPr>
        <w:t>Measurement of Credit Losses on Financial</w:t>
      </w:r>
      <w:r>
        <w:rPr>
          <w:rFonts w:eastAsia="Times New Roman"/>
          <w:i/>
          <w:iCs/>
          <w:color w:val="000000"/>
          <w:sz w:val="20"/>
          <w:szCs w:val="20"/>
        </w:rPr>
        <w:t xml:space="preserve"> Instruments</w:t>
      </w:r>
      <w:r>
        <w:rPr>
          <w:rFonts w:eastAsia="Times New Roman"/>
          <w:color w:val="000000"/>
          <w:sz w:val="20"/>
          <w:szCs w:val="20"/>
        </w:rPr>
        <w:t>. This ASU requires an impairment model (known as the current expected credit loss (“CECL”) model) that is based on expected rather than incurred losses, with an anticipated result of more timely loss recognition. This guidance was effective fo</w:t>
      </w:r>
      <w:r>
        <w:rPr>
          <w:rFonts w:eastAsia="Times New Roman"/>
          <w:color w:val="000000"/>
          <w:sz w:val="20"/>
          <w:szCs w:val="20"/>
        </w:rPr>
        <w:t xml:space="preserve">r us on January 1, 2020. </w:t>
      </w:r>
    </w:p>
    <w:p w:rsidR="00000000" w:rsidRDefault="00E0782F">
      <w:pPr>
        <w:jc w:val="both"/>
        <w:divId w:val="1229924549"/>
        <w:rPr>
          <w:rFonts w:eastAsia="Times New Roman"/>
        </w:rPr>
      </w:pPr>
      <w:r>
        <w:rPr>
          <w:rFonts w:eastAsia="Times New Roman"/>
          <w:b/>
          <w:bCs/>
          <w:color w:val="000000"/>
          <w:sz w:val="20"/>
          <w:szCs w:val="20"/>
        </w:rPr>
        <w:t>COBNA:</w:t>
      </w:r>
      <w:r>
        <w:rPr>
          <w:rFonts w:eastAsia="Times New Roman"/>
          <w:color w:val="000000"/>
          <w:sz w:val="20"/>
          <w:szCs w:val="20"/>
        </w:rPr>
        <w:t xml:space="preserve"> Capital One Bank (USA), National Association, one of our fully owned subsidiaries, which offers credit and debit card products, other lending products and deposit products.</w:t>
      </w:r>
    </w:p>
    <w:p w:rsidR="00000000" w:rsidRDefault="00E0782F">
      <w:pPr>
        <w:jc w:val="both"/>
        <w:divId w:val="853422406"/>
        <w:rPr>
          <w:rFonts w:eastAsia="Times New Roman"/>
        </w:rPr>
      </w:pPr>
      <w:r>
        <w:rPr>
          <w:rFonts w:eastAsia="Times New Roman"/>
          <w:b/>
          <w:bCs/>
          <w:color w:val="000000"/>
          <w:sz w:val="20"/>
          <w:szCs w:val="20"/>
        </w:rPr>
        <w:t xml:space="preserve">Common equity Tier 1 (“CET1”) capital: </w:t>
      </w:r>
      <w:r>
        <w:rPr>
          <w:rFonts w:eastAsia="Times New Roman"/>
          <w:color w:val="000000"/>
          <w:sz w:val="20"/>
          <w:szCs w:val="20"/>
        </w:rPr>
        <w:t xml:space="preserve">Calculated </w:t>
      </w:r>
      <w:r>
        <w:rPr>
          <w:rFonts w:eastAsia="Times New Roman"/>
          <w:color w:val="000000"/>
          <w:sz w:val="20"/>
          <w:szCs w:val="20"/>
        </w:rPr>
        <w:t>as the sum of common equity, related surplus and retained earnings, and accumulated other comprehensive income net of applicable phase-ins, less goodwill and intangibles net of associated deferred tax liabilities and applicable phase-ins, less other deduct</w:t>
      </w:r>
      <w:r>
        <w:rPr>
          <w:rFonts w:eastAsia="Times New Roman"/>
          <w:color w:val="000000"/>
          <w:sz w:val="20"/>
          <w:szCs w:val="20"/>
        </w:rPr>
        <w:t>ions, as defined by regulators.</w:t>
      </w:r>
    </w:p>
    <w:p w:rsidR="00000000" w:rsidRDefault="00E0782F">
      <w:pPr>
        <w:jc w:val="both"/>
        <w:divId w:val="1506703436"/>
        <w:rPr>
          <w:rFonts w:eastAsia="Times New Roman"/>
        </w:rPr>
      </w:pPr>
      <w:r>
        <w:rPr>
          <w:rFonts w:eastAsia="Times New Roman"/>
          <w:b/>
          <w:bCs/>
          <w:color w:val="000000"/>
          <w:sz w:val="20"/>
          <w:szCs w:val="20"/>
        </w:rPr>
        <w:t xml:space="preserve">CONA: </w:t>
      </w:r>
      <w:r>
        <w:rPr>
          <w:rFonts w:eastAsia="Times New Roman"/>
          <w:color w:val="000000"/>
          <w:sz w:val="20"/>
          <w:szCs w:val="20"/>
        </w:rPr>
        <w:t>Capital One, National Association, one of our fully owned subsidiaries, which offers a broad spectrum of banking products and financial services to consumers, small businesses and commercial clients.</w:t>
      </w:r>
    </w:p>
    <w:p w:rsidR="00000000" w:rsidRDefault="00E0782F">
      <w:pPr>
        <w:jc w:val="both"/>
        <w:divId w:val="621377072"/>
        <w:rPr>
          <w:rFonts w:eastAsia="Times New Roman"/>
        </w:rPr>
      </w:pPr>
      <w:r>
        <w:rPr>
          <w:rFonts w:eastAsia="Times New Roman"/>
          <w:b/>
          <w:bCs/>
          <w:color w:val="000000"/>
          <w:sz w:val="20"/>
          <w:szCs w:val="20"/>
        </w:rPr>
        <w:t>Credit risk:</w:t>
      </w:r>
      <w:r>
        <w:rPr>
          <w:rFonts w:eastAsia="Times New Roman"/>
          <w:color w:val="000000"/>
          <w:sz w:val="20"/>
          <w:szCs w:val="20"/>
        </w:rPr>
        <w:t xml:space="preserve"> The r</w:t>
      </w:r>
      <w:r>
        <w:rPr>
          <w:rFonts w:eastAsia="Times New Roman"/>
          <w:color w:val="000000"/>
          <w:sz w:val="20"/>
          <w:szCs w:val="20"/>
        </w:rPr>
        <w:t>isk of loss from an obligor’s failure to meet the terms of any contract or otherwise fail to perform as agreed.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1666746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1666746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1666746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109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5" style="width:0;height:1.5pt" o:hralign="center" o:hrstd="t" o:hr="t" fillcolor="#a0a0a0" stroked="f"/>
        </w:pict>
      </w:r>
    </w:p>
    <w:p w:rsidR="00000000" w:rsidRDefault="00E0782F">
      <w:pPr>
        <w:ind w:hanging="360"/>
        <w:jc w:val="both"/>
        <w:divId w:val="99807752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2023702563"/>
        <w:rPr>
          <w:rFonts w:eastAsia="Times New Roman"/>
        </w:rPr>
      </w:pPr>
      <w:r>
        <w:rPr>
          <w:rFonts w:eastAsia="Times New Roman"/>
          <w:b/>
          <w:bCs/>
          <w:color w:val="000000"/>
          <w:sz w:val="20"/>
          <w:szCs w:val="20"/>
        </w:rPr>
        <w:t>Cybersecurity Incident:</w:t>
      </w:r>
      <w:r>
        <w:rPr>
          <w:rFonts w:eastAsia="Times New Roman"/>
          <w:color w:val="000000"/>
          <w:sz w:val="20"/>
          <w:szCs w:val="20"/>
        </w:rPr>
        <w:t xml:space="preserve"> </w:t>
      </w:r>
      <w:r>
        <w:rPr>
          <w:rFonts w:eastAsia="Times New Roman"/>
          <w:color w:val="000000"/>
          <w:sz w:val="20"/>
          <w:szCs w:val="20"/>
        </w:rPr>
        <w:t xml:space="preserve">The unauthorized access by an outside individual who obtained certain types of personal information relating to people who had applied for our credit card products and to our credit card customers that we announced on July 29, 2019. </w:t>
      </w:r>
    </w:p>
    <w:p w:rsidR="00000000" w:rsidRDefault="00E0782F">
      <w:pPr>
        <w:jc w:val="both"/>
        <w:divId w:val="263224025"/>
        <w:rPr>
          <w:rFonts w:eastAsia="Times New Roman"/>
        </w:rPr>
      </w:pPr>
      <w:r>
        <w:rPr>
          <w:rFonts w:eastAsia="Times New Roman"/>
          <w:b/>
          <w:bCs/>
          <w:color w:val="000000"/>
          <w:sz w:val="20"/>
          <w:szCs w:val="20"/>
        </w:rPr>
        <w:t>Derivative:</w:t>
      </w:r>
      <w:r>
        <w:rPr>
          <w:rFonts w:eastAsia="Times New Roman"/>
          <w:color w:val="000000"/>
          <w:sz w:val="20"/>
          <w:szCs w:val="20"/>
        </w:rPr>
        <w:t xml:space="preserve"> A contract</w:t>
      </w:r>
      <w:r>
        <w:rPr>
          <w:rFonts w:eastAsia="Times New Roman"/>
          <w:color w:val="000000"/>
          <w:sz w:val="20"/>
          <w:szCs w:val="20"/>
        </w:rPr>
        <w:t xml:space="preserve"> or agreement whose value is derived from changes in interest rates, foreign exchange rates, prices of securities or commodities, credit worthiness for credit default swaps or financial or commodity indices.</w:t>
      </w:r>
    </w:p>
    <w:p w:rsidR="00000000" w:rsidRDefault="00E0782F">
      <w:pPr>
        <w:jc w:val="both"/>
        <w:divId w:val="311565012"/>
        <w:rPr>
          <w:rFonts w:eastAsia="Times New Roman"/>
        </w:rPr>
      </w:pPr>
      <w:r>
        <w:rPr>
          <w:rFonts w:eastAsia="Times New Roman"/>
          <w:b/>
          <w:bCs/>
          <w:color w:val="000000"/>
          <w:sz w:val="20"/>
          <w:szCs w:val="20"/>
        </w:rPr>
        <w:t>Discontinued operations:</w:t>
      </w:r>
      <w:r>
        <w:rPr>
          <w:rFonts w:eastAsia="Times New Roman"/>
          <w:color w:val="000000"/>
          <w:sz w:val="20"/>
          <w:szCs w:val="20"/>
        </w:rPr>
        <w:t xml:space="preserve"> The operating results o</w:t>
      </w:r>
      <w:r>
        <w:rPr>
          <w:rFonts w:eastAsia="Times New Roman"/>
          <w:color w:val="000000"/>
          <w:sz w:val="20"/>
          <w:szCs w:val="20"/>
        </w:rPr>
        <w:t>f a component of an entity, as defined by Accounting Standards Codification (“ASC”) 205, that are removed from continuing operations when that component has been disposed of or it is management’s intention to sell the component.</w:t>
      </w:r>
    </w:p>
    <w:p w:rsidR="00000000" w:rsidRDefault="00E0782F">
      <w:pPr>
        <w:jc w:val="both"/>
        <w:divId w:val="1409810579"/>
        <w:rPr>
          <w:rFonts w:eastAsia="Times New Roman"/>
        </w:rPr>
      </w:pPr>
      <w:r>
        <w:rPr>
          <w:rFonts w:eastAsia="Times New Roman"/>
          <w:b/>
          <w:bCs/>
          <w:color w:val="000000"/>
          <w:sz w:val="20"/>
          <w:szCs w:val="20"/>
        </w:rPr>
        <w:t>Dodd-Frank Wall Street Refo</w:t>
      </w:r>
      <w:r>
        <w:rPr>
          <w:rFonts w:eastAsia="Times New Roman"/>
          <w:b/>
          <w:bCs/>
          <w:color w:val="000000"/>
          <w:sz w:val="20"/>
          <w:szCs w:val="20"/>
        </w:rPr>
        <w:t>rm and Consumer Protection Act (“Dodd-Frank Act”):</w:t>
      </w:r>
      <w:r>
        <w:rPr>
          <w:rFonts w:eastAsia="Times New Roman"/>
          <w:color w:val="000000"/>
          <w:sz w:val="20"/>
          <w:szCs w:val="20"/>
        </w:rPr>
        <w:t xml:space="preserve"> Regulatory reform legislation signed into law on July 21, 2010. This law broadly affects the financial services industry and contains numerous provisions aimed at strengthening the sound operation of the f</w:t>
      </w:r>
      <w:r>
        <w:rPr>
          <w:rFonts w:eastAsia="Times New Roman"/>
          <w:color w:val="000000"/>
          <w:sz w:val="20"/>
          <w:szCs w:val="20"/>
        </w:rPr>
        <w:t>inancial services sector.</w:t>
      </w:r>
    </w:p>
    <w:p w:rsidR="00000000" w:rsidRDefault="00E0782F">
      <w:pPr>
        <w:jc w:val="both"/>
        <w:divId w:val="555430663"/>
        <w:rPr>
          <w:rFonts w:eastAsia="Times New Roman"/>
        </w:rPr>
      </w:pPr>
      <w:r>
        <w:rPr>
          <w:rFonts w:eastAsia="Times New Roman"/>
          <w:b/>
          <w:bCs/>
          <w:color w:val="000000"/>
          <w:sz w:val="20"/>
          <w:szCs w:val="20"/>
        </w:rPr>
        <w:t>Eligible retained income:</w:t>
      </w:r>
      <w:r>
        <w:rPr>
          <w:rFonts w:eastAsia="Times New Roman"/>
          <w:color w:val="000000"/>
          <w:sz w:val="20"/>
          <w:szCs w:val="20"/>
        </w:rPr>
        <w:t xml:space="preserve"> The greater of (a) a banking organization's net income for the four preceding calendar quarters, net of any distributions and associated tax effects not already reflected in net income, or (b) the average</w:t>
      </w:r>
      <w:r>
        <w:rPr>
          <w:rFonts w:eastAsia="Times New Roman"/>
          <w:color w:val="000000"/>
          <w:sz w:val="20"/>
          <w:szCs w:val="20"/>
        </w:rPr>
        <w:t xml:space="preserve"> of a banking organization's net income over the preceding four quarters.</w:t>
      </w:r>
    </w:p>
    <w:p w:rsidR="00000000" w:rsidRDefault="00E0782F">
      <w:pPr>
        <w:jc w:val="both"/>
        <w:divId w:val="636180203"/>
        <w:rPr>
          <w:rFonts w:eastAsia="Times New Roman"/>
        </w:rPr>
      </w:pPr>
      <w:r>
        <w:rPr>
          <w:rFonts w:eastAsia="Times New Roman"/>
          <w:b/>
          <w:bCs/>
          <w:color w:val="000000"/>
          <w:sz w:val="20"/>
          <w:szCs w:val="20"/>
        </w:rPr>
        <w:t xml:space="preserve">Exchange Act: </w:t>
      </w:r>
      <w:r>
        <w:rPr>
          <w:rFonts w:eastAsia="Times New Roman"/>
          <w:color w:val="000000"/>
          <w:sz w:val="20"/>
          <w:szCs w:val="20"/>
        </w:rPr>
        <w:t>The Securities Exchange Act of 1934, as amended.</w:t>
      </w:r>
    </w:p>
    <w:p w:rsidR="00000000" w:rsidRDefault="00E0782F">
      <w:pPr>
        <w:jc w:val="both"/>
        <w:divId w:val="667288207"/>
        <w:rPr>
          <w:rFonts w:eastAsia="Times New Roman"/>
        </w:rPr>
      </w:pPr>
      <w:r>
        <w:rPr>
          <w:rFonts w:eastAsia="Times New Roman"/>
          <w:b/>
          <w:bCs/>
          <w:color w:val="000000"/>
          <w:sz w:val="20"/>
          <w:szCs w:val="20"/>
        </w:rPr>
        <w:t>eXtensible Business Reporting Language (“XBRL”):</w:t>
      </w:r>
      <w:r>
        <w:rPr>
          <w:rFonts w:eastAsia="Times New Roman"/>
          <w:color w:val="000000"/>
          <w:sz w:val="20"/>
          <w:szCs w:val="20"/>
        </w:rPr>
        <w:t xml:space="preserve"> </w:t>
      </w:r>
      <w:r>
        <w:rPr>
          <w:rFonts w:eastAsia="Times New Roman"/>
          <w:color w:val="000000"/>
          <w:sz w:val="20"/>
          <w:szCs w:val="20"/>
        </w:rPr>
        <w:t>A language for the electronic communication of business and financial data.</w:t>
      </w:r>
    </w:p>
    <w:p w:rsidR="00000000" w:rsidRDefault="00E0782F">
      <w:pPr>
        <w:jc w:val="both"/>
        <w:divId w:val="837237508"/>
        <w:rPr>
          <w:rFonts w:eastAsia="Times New Roman"/>
        </w:rPr>
      </w:pPr>
      <w:r>
        <w:rPr>
          <w:rFonts w:eastAsia="Times New Roman"/>
          <w:b/>
          <w:bCs/>
          <w:color w:val="000000"/>
          <w:sz w:val="20"/>
          <w:szCs w:val="20"/>
        </w:rPr>
        <w:t>Federal Banking Agencies:</w:t>
      </w:r>
      <w:r>
        <w:rPr>
          <w:rFonts w:eastAsia="Times New Roman"/>
          <w:color w:val="000000"/>
          <w:sz w:val="20"/>
          <w:szCs w:val="20"/>
        </w:rPr>
        <w:t xml:space="preserve"> The Federal Reserve, Office of the Comptroller of the Currency and Federal Deposit Insurance Corporation.</w:t>
      </w:r>
    </w:p>
    <w:p w:rsidR="00000000" w:rsidRDefault="00E0782F">
      <w:pPr>
        <w:jc w:val="both"/>
        <w:divId w:val="697127610"/>
        <w:rPr>
          <w:rFonts w:eastAsia="Times New Roman"/>
        </w:rPr>
      </w:pPr>
      <w:r>
        <w:rPr>
          <w:rFonts w:eastAsia="Times New Roman"/>
          <w:b/>
          <w:bCs/>
          <w:color w:val="000000"/>
          <w:sz w:val="20"/>
          <w:szCs w:val="20"/>
        </w:rPr>
        <w:t>Federal Reserve:</w:t>
      </w:r>
      <w:r>
        <w:rPr>
          <w:rFonts w:eastAsia="Times New Roman"/>
          <w:color w:val="000000"/>
          <w:sz w:val="20"/>
          <w:szCs w:val="20"/>
        </w:rPr>
        <w:t xml:space="preserve"> The Board of Governors of the F</w:t>
      </w:r>
      <w:r>
        <w:rPr>
          <w:rFonts w:eastAsia="Times New Roman"/>
          <w:color w:val="000000"/>
          <w:sz w:val="20"/>
          <w:szCs w:val="20"/>
        </w:rPr>
        <w:t>ederal Reserve System.</w:t>
      </w:r>
    </w:p>
    <w:p w:rsidR="00000000" w:rsidRDefault="00E0782F">
      <w:pPr>
        <w:jc w:val="both"/>
        <w:divId w:val="1262029256"/>
        <w:rPr>
          <w:rFonts w:eastAsia="Times New Roman"/>
        </w:rPr>
      </w:pPr>
      <w:r>
        <w:rPr>
          <w:rFonts w:eastAsia="Times New Roman"/>
          <w:b/>
          <w:bCs/>
          <w:color w:val="000000"/>
          <w:sz w:val="20"/>
          <w:szCs w:val="20"/>
        </w:rPr>
        <w:t>FICO score:</w:t>
      </w:r>
      <w:r>
        <w:rPr>
          <w:rFonts w:eastAsia="Times New Roman"/>
          <w:color w:val="000000"/>
          <w:sz w:val="20"/>
          <w:szCs w:val="20"/>
        </w:rPr>
        <w:t xml:space="preserve"> A measure of consumer credit risk provided by credit bureaus, typically produced from statistical modeling software created by FICO (formerly known as “Fair Isaac Corporation”) utilizing data collected by the credit burea</w:t>
      </w:r>
      <w:r>
        <w:rPr>
          <w:rFonts w:eastAsia="Times New Roman"/>
          <w:color w:val="000000"/>
          <w:sz w:val="20"/>
          <w:szCs w:val="20"/>
        </w:rPr>
        <w:t>us.</w:t>
      </w:r>
    </w:p>
    <w:p w:rsidR="00000000" w:rsidRDefault="00E0782F">
      <w:pPr>
        <w:jc w:val="both"/>
        <w:divId w:val="1095711766"/>
        <w:rPr>
          <w:rFonts w:eastAsia="Times New Roman"/>
        </w:rPr>
      </w:pPr>
      <w:r>
        <w:rPr>
          <w:rFonts w:eastAsia="Times New Roman"/>
          <w:b/>
          <w:bCs/>
          <w:color w:val="000000"/>
          <w:sz w:val="20"/>
          <w:szCs w:val="20"/>
        </w:rPr>
        <w:t>Foreign currency derivative contracts:</w:t>
      </w:r>
      <w:r>
        <w:rPr>
          <w:rFonts w:eastAsia="Times New Roman"/>
          <w:color w:val="000000"/>
          <w:sz w:val="20"/>
          <w:szCs w:val="20"/>
        </w:rPr>
        <w:t xml:space="preserve"> An agreement to exchange contractual amounts of one currency for another currency at one or more future dates.</w:t>
      </w:r>
    </w:p>
    <w:p w:rsidR="00000000" w:rsidRDefault="00E0782F">
      <w:pPr>
        <w:jc w:val="both"/>
        <w:divId w:val="1120225972"/>
        <w:rPr>
          <w:rFonts w:eastAsia="Times New Roman"/>
        </w:rPr>
      </w:pPr>
      <w:r>
        <w:rPr>
          <w:rFonts w:eastAsia="Times New Roman"/>
          <w:b/>
          <w:bCs/>
          <w:color w:val="000000"/>
          <w:sz w:val="20"/>
          <w:szCs w:val="20"/>
        </w:rPr>
        <w:t>Foreign exchange contracts:</w:t>
      </w:r>
      <w:r>
        <w:rPr>
          <w:rFonts w:eastAsia="Times New Roman"/>
          <w:color w:val="000000"/>
          <w:sz w:val="20"/>
          <w:szCs w:val="20"/>
        </w:rPr>
        <w:t xml:space="preserve"> Contracts that provide for the future receipt or delivery of foreign curre</w:t>
      </w:r>
      <w:r>
        <w:rPr>
          <w:rFonts w:eastAsia="Times New Roman"/>
          <w:color w:val="000000"/>
          <w:sz w:val="20"/>
          <w:szCs w:val="20"/>
        </w:rPr>
        <w:t>ncy at previously agreed-upon terms.</w:t>
      </w:r>
    </w:p>
    <w:p w:rsidR="00000000" w:rsidRDefault="00E0782F">
      <w:pPr>
        <w:jc w:val="both"/>
        <w:divId w:val="140317103"/>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A government-sponsored enterprise or agency is a financial services corporation created by the United States Congress. Examples of U.S. government agencies include Federal National Mortgage Association (“</w:t>
      </w:r>
      <w:r>
        <w:rPr>
          <w:rFonts w:eastAsia="Times New Roman"/>
          <w:color w:val="000000"/>
          <w:sz w:val="20"/>
          <w:szCs w:val="20"/>
        </w:rPr>
        <w:t>Fannie Mae”), Federal Home Loan Mortgage Corporation (“Freddie Mac”), Government National Mortgage Association (“Ginnie Mae”) and the Federal Home Loan Banks (“FHLB”).</w:t>
      </w:r>
    </w:p>
    <w:p w:rsidR="00000000" w:rsidRDefault="00E0782F">
      <w:pPr>
        <w:jc w:val="both"/>
        <w:divId w:val="16659261"/>
        <w:rPr>
          <w:rFonts w:eastAsia="Times New Roman"/>
        </w:rPr>
      </w:pPr>
      <w:r>
        <w:rPr>
          <w:rFonts w:eastAsia="Times New Roman"/>
          <w:b/>
          <w:bCs/>
          <w:color w:val="000000"/>
          <w:sz w:val="20"/>
          <w:szCs w:val="20"/>
        </w:rPr>
        <w:t>Interest rate sensitivity:</w:t>
      </w:r>
      <w:r>
        <w:rPr>
          <w:rFonts w:eastAsia="Times New Roman"/>
          <w:color w:val="000000"/>
          <w:sz w:val="20"/>
          <w:szCs w:val="20"/>
        </w:rPr>
        <w:t xml:space="preserve"> The exposure to interest rate movements.</w:t>
      </w:r>
    </w:p>
    <w:p w:rsidR="00000000" w:rsidRDefault="00E0782F">
      <w:pPr>
        <w:jc w:val="both"/>
        <w:divId w:val="1334333230"/>
        <w:rPr>
          <w:rFonts w:eastAsia="Times New Roman"/>
        </w:rPr>
      </w:pPr>
      <w:r>
        <w:rPr>
          <w:rFonts w:eastAsia="Times New Roman"/>
          <w:b/>
          <w:bCs/>
          <w:color w:val="000000"/>
          <w:sz w:val="20"/>
          <w:szCs w:val="20"/>
        </w:rPr>
        <w:t>Interest rate swaps:</w:t>
      </w:r>
      <w:r>
        <w:rPr>
          <w:rFonts w:eastAsia="Times New Roman"/>
          <w:color w:val="000000"/>
          <w:sz w:val="20"/>
          <w:szCs w:val="20"/>
        </w:rPr>
        <w:t xml:space="preserve"> Contracts in which a series of interest rate flows in a single currency are exchanged over a prescribed period. Interest rate swaps are the most common type of derivative contract that we use in our asset/liability management activities.</w:t>
      </w:r>
    </w:p>
    <w:p w:rsidR="00000000" w:rsidRDefault="00E0782F">
      <w:pPr>
        <w:jc w:val="both"/>
        <w:divId w:val="935751113"/>
        <w:rPr>
          <w:rFonts w:eastAsia="Times New Roman"/>
        </w:rPr>
      </w:pPr>
      <w:r>
        <w:rPr>
          <w:rFonts w:eastAsia="Times New Roman"/>
          <w:b/>
          <w:bCs/>
          <w:color w:val="000000"/>
          <w:sz w:val="20"/>
          <w:szCs w:val="20"/>
        </w:rPr>
        <w:t>Investment grade:</w:t>
      </w:r>
      <w:r>
        <w:rPr>
          <w:rFonts w:eastAsia="Times New Roman"/>
          <w:color w:val="000000"/>
          <w:sz w:val="20"/>
          <w:szCs w:val="20"/>
        </w:rPr>
        <w:t xml:space="preserve"> Represents Moody’s long-term rating of Baa3 or better; and/or a Standard &amp; Poor’s long-term rating of BBB- or better; or if unrated, an equivalent rating using our internal risk ratings. Instruments that fall below these levels are considered to be non-in</w:t>
      </w:r>
      <w:r>
        <w:rPr>
          <w:rFonts w:eastAsia="Times New Roman"/>
          <w:color w:val="000000"/>
          <w:sz w:val="20"/>
          <w:szCs w:val="20"/>
        </w:rPr>
        <w:t>vestment grade.</w:t>
      </w:r>
    </w:p>
    <w:p w:rsidR="00000000" w:rsidRDefault="00E0782F">
      <w:pPr>
        <w:jc w:val="both"/>
        <w:divId w:val="1757313989"/>
        <w:rPr>
          <w:rFonts w:eastAsia="Times New Roman"/>
        </w:rPr>
      </w:pPr>
      <w:r>
        <w:rPr>
          <w:rFonts w:eastAsia="Times New Roman"/>
          <w:b/>
          <w:bCs/>
          <w:color w:val="000000"/>
          <w:sz w:val="20"/>
          <w:szCs w:val="20"/>
        </w:rPr>
        <w:t xml:space="preserve">Investor entities: </w:t>
      </w:r>
      <w:r>
        <w:rPr>
          <w:rFonts w:eastAsia="Times New Roman"/>
          <w:color w:val="000000"/>
          <w:sz w:val="20"/>
          <w:szCs w:val="20"/>
        </w:rPr>
        <w:t>Entities that invest in community development entities (“CDE”) that provide debt financing to businesses and non-profit entities in low-income and rural communities.</w:t>
      </w:r>
    </w:p>
    <w:p w:rsidR="00000000" w:rsidRDefault="00E0782F">
      <w:pPr>
        <w:jc w:val="both"/>
        <w:divId w:val="1651323537"/>
        <w:rPr>
          <w:rFonts w:eastAsia="Times New Roman"/>
        </w:rPr>
      </w:pPr>
      <w:r>
        <w:rPr>
          <w:rFonts w:eastAsia="Times New Roman"/>
          <w:b/>
          <w:bCs/>
          <w:color w:val="000000"/>
          <w:sz w:val="20"/>
          <w:szCs w:val="20"/>
        </w:rPr>
        <w:t>LCR Rule:</w:t>
      </w:r>
      <w:r>
        <w:rPr>
          <w:rFonts w:eastAsia="Times New Roman"/>
          <w:color w:val="000000"/>
          <w:sz w:val="20"/>
          <w:szCs w:val="20"/>
        </w:rPr>
        <w:t xml:space="preserve"> In September 2014, the Federal Banking Agenci</w:t>
      </w:r>
      <w:r>
        <w:rPr>
          <w:rFonts w:eastAsia="Times New Roman"/>
          <w:color w:val="000000"/>
          <w:sz w:val="20"/>
          <w:szCs w:val="20"/>
        </w:rPr>
        <w:t xml:space="preserve">es issued final rules implementing the Basel III Liquidity Coverage Ratio (“LCR”) in the United States. The LCR is calculated by dividing the amount of an institution’s high quality, unencumbered liquid assets by its estimated net cash outflow, as defined </w:t>
      </w:r>
      <w:r>
        <w:rPr>
          <w:rFonts w:eastAsia="Times New Roman"/>
          <w:color w:val="000000"/>
          <w:sz w:val="20"/>
          <w:szCs w:val="20"/>
        </w:rPr>
        <w:t xml:space="preserve">and calculated in accordance with the LCR Rule.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8649186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386491863"/>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38649186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6" style="width:0;height:1.5pt" o:hralign="center" o:hrstd="t" o:hr="t" fillcolor="#a0a0a0" stroked="f"/>
        </w:pict>
      </w:r>
    </w:p>
    <w:p w:rsidR="00000000" w:rsidRDefault="00E0782F">
      <w:pPr>
        <w:ind w:hanging="360"/>
        <w:jc w:val="both"/>
        <w:divId w:val="2009014773"/>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732970216"/>
        <w:rPr>
          <w:rFonts w:eastAsia="Times New Roman"/>
        </w:rPr>
      </w:pPr>
      <w:r>
        <w:rPr>
          <w:rFonts w:eastAsia="Times New Roman"/>
          <w:b/>
          <w:bCs/>
          <w:color w:val="000000"/>
          <w:sz w:val="20"/>
          <w:szCs w:val="20"/>
        </w:rPr>
        <w:t>Leverage ratio:</w:t>
      </w:r>
      <w:r>
        <w:rPr>
          <w:rFonts w:eastAsia="Times New Roman"/>
          <w:color w:val="000000"/>
          <w:sz w:val="20"/>
          <w:szCs w:val="20"/>
        </w:rPr>
        <w:t xml:space="preserve"> Tier 1 capital divided by average assets after certain adjustments, as</w:t>
      </w:r>
      <w:r>
        <w:rPr>
          <w:rFonts w:eastAsia="Times New Roman"/>
          <w:color w:val="000000"/>
          <w:sz w:val="20"/>
          <w:szCs w:val="20"/>
        </w:rPr>
        <w:t xml:space="preserve"> defined by the regulators. </w:t>
      </w:r>
    </w:p>
    <w:p w:rsidR="00000000" w:rsidRDefault="00E0782F">
      <w:pPr>
        <w:jc w:val="both"/>
        <w:divId w:val="491333055"/>
        <w:rPr>
          <w:rFonts w:eastAsia="Times New Roman"/>
        </w:rPr>
      </w:pPr>
      <w:r>
        <w:rPr>
          <w:rFonts w:eastAsia="Times New Roman"/>
          <w:b/>
          <w:bCs/>
          <w:color w:val="000000"/>
          <w:sz w:val="20"/>
          <w:szCs w:val="20"/>
        </w:rPr>
        <w:t>Liquidity risk:</w:t>
      </w:r>
      <w:r>
        <w:rPr>
          <w:rFonts w:eastAsia="Times New Roman"/>
          <w:color w:val="000000"/>
          <w:sz w:val="20"/>
          <w:szCs w:val="20"/>
        </w:rPr>
        <w:t xml:space="preserve"> The risk that the Company will not be able to meet its future financial obligations as they come due, or invest in future asset growth because of an inability to obtain funds at a reasonable price within a reaso</w:t>
      </w:r>
      <w:r>
        <w:rPr>
          <w:rFonts w:eastAsia="Times New Roman"/>
          <w:color w:val="000000"/>
          <w:sz w:val="20"/>
          <w:szCs w:val="20"/>
        </w:rPr>
        <w:t>nable time period.</w:t>
      </w:r>
    </w:p>
    <w:p w:rsidR="00000000" w:rsidRDefault="00E0782F">
      <w:pPr>
        <w:jc w:val="both"/>
        <w:divId w:val="419375849"/>
        <w:rPr>
          <w:rFonts w:eastAsia="Times New Roman"/>
        </w:rPr>
      </w:pPr>
      <w:r>
        <w:rPr>
          <w:rFonts w:eastAsia="Times New Roman"/>
          <w:b/>
          <w:bCs/>
          <w:color w:val="000000"/>
          <w:sz w:val="20"/>
          <w:szCs w:val="20"/>
        </w:rPr>
        <w:t xml:space="preserve">Loan-to-value (“LTV”) ratio: </w:t>
      </w:r>
      <w:r>
        <w:rPr>
          <w:rFonts w:eastAsia="Times New Roman"/>
          <w:color w:val="000000"/>
          <w:sz w:val="20"/>
          <w:szCs w:val="20"/>
        </w:rPr>
        <w:t>The relationship, expressed as a percentage, between the principal amount of a loan and the appraised value of the collateral securing the loan.</w:t>
      </w:r>
    </w:p>
    <w:p w:rsidR="00000000" w:rsidRDefault="00E0782F">
      <w:pPr>
        <w:jc w:val="both"/>
        <w:divId w:val="1390762119"/>
        <w:rPr>
          <w:rFonts w:eastAsia="Times New Roman"/>
        </w:rPr>
      </w:pPr>
      <w:r>
        <w:rPr>
          <w:rFonts w:eastAsia="Times New Roman"/>
          <w:b/>
          <w:bCs/>
          <w:color w:val="000000"/>
          <w:sz w:val="20"/>
          <w:szCs w:val="20"/>
        </w:rPr>
        <w:t xml:space="preserve">Managed presentation: </w:t>
      </w:r>
      <w:r>
        <w:rPr>
          <w:rFonts w:eastAsia="Times New Roman"/>
          <w:color w:val="000000"/>
          <w:sz w:val="20"/>
          <w:szCs w:val="20"/>
        </w:rPr>
        <w:t xml:space="preserve">A non-GAAP presentation of business segment results derived from our internal management </w:t>
      </w:r>
      <w:r>
        <w:rPr>
          <w:rFonts w:eastAsia="Times New Roman"/>
          <w:color w:val="000000"/>
          <w:sz w:val="20"/>
          <w:szCs w:val="20"/>
        </w:rPr>
        <w:t>accounting and reporting process, which employs various allocation methodologies, including funds transfer pricing, to assign certain balance sheet assets, deposits and other liabilities and their related revenue and expenses directly or indirectly attribu</w:t>
      </w:r>
      <w:r>
        <w:rPr>
          <w:rFonts w:eastAsia="Times New Roman"/>
          <w:color w:val="000000"/>
          <w:sz w:val="20"/>
          <w:szCs w:val="20"/>
        </w:rPr>
        <w:t>table to each business segment. The results of our individual businesses reflect the manner in which management evaluates performance and makes decisions about funding our operations and allocating resources and are intended to reflect each segment as if i</w:t>
      </w:r>
      <w:r>
        <w:rPr>
          <w:rFonts w:eastAsia="Times New Roman"/>
          <w:color w:val="000000"/>
          <w:sz w:val="20"/>
          <w:szCs w:val="20"/>
        </w:rPr>
        <w:t xml:space="preserve">t were a stand-alone business. </w:t>
      </w:r>
    </w:p>
    <w:p w:rsidR="00000000" w:rsidRDefault="00E0782F">
      <w:pPr>
        <w:jc w:val="both"/>
        <w:divId w:val="1401369611"/>
        <w:rPr>
          <w:rFonts w:eastAsia="Times New Roman"/>
        </w:rPr>
      </w:pPr>
      <w:r>
        <w:rPr>
          <w:rFonts w:eastAsia="Times New Roman"/>
          <w:b/>
          <w:bCs/>
          <w:color w:val="000000"/>
          <w:sz w:val="20"/>
          <w:szCs w:val="20"/>
        </w:rPr>
        <w:t>Market risk:</w:t>
      </w:r>
      <w:r>
        <w:rPr>
          <w:rFonts w:eastAsia="Times New Roman"/>
          <w:color w:val="000000"/>
          <w:sz w:val="20"/>
          <w:szCs w:val="20"/>
        </w:rPr>
        <w:t xml:space="preserve"> The risk that an institution’s earnings or the economic value of equity could be adversely impacted by changes in interest rates, foreign exchange rates or other market factors.</w:t>
      </w:r>
    </w:p>
    <w:p w:rsidR="00000000" w:rsidRDefault="00E0782F">
      <w:pPr>
        <w:jc w:val="both"/>
        <w:divId w:val="319816580"/>
        <w:rPr>
          <w:rFonts w:eastAsia="Times New Roman"/>
        </w:rPr>
      </w:pPr>
      <w:r>
        <w:rPr>
          <w:rFonts w:eastAsia="Times New Roman"/>
          <w:b/>
          <w:bCs/>
          <w:color w:val="000000"/>
          <w:sz w:val="20"/>
          <w:szCs w:val="20"/>
        </w:rPr>
        <w:t>Master netting arrangements:</w:t>
      </w:r>
      <w:r>
        <w:rPr>
          <w:rFonts w:eastAsia="Times New Roman"/>
          <w:color w:val="000000"/>
          <w:sz w:val="20"/>
          <w:szCs w:val="20"/>
        </w:rPr>
        <w:t xml:space="preserve"> An a</w:t>
      </w:r>
      <w:r>
        <w:rPr>
          <w:rFonts w:eastAsia="Times New Roman"/>
          <w:color w:val="000000"/>
          <w:sz w:val="20"/>
          <w:szCs w:val="20"/>
        </w:rPr>
        <w:t>greement between two counterparties that have multiple contracts with each other that provides for the net settlement of all contracts through a single payment in the event of default or termination of any one contract.</w:t>
      </w:r>
    </w:p>
    <w:p w:rsidR="00000000" w:rsidRDefault="00E0782F">
      <w:pPr>
        <w:jc w:val="both"/>
        <w:divId w:val="1951082836"/>
        <w:rPr>
          <w:rFonts w:eastAsia="Times New Roman"/>
        </w:rPr>
      </w:pPr>
      <w:r>
        <w:rPr>
          <w:rFonts w:eastAsia="Times New Roman"/>
          <w:b/>
          <w:bCs/>
          <w:color w:val="000000"/>
          <w:sz w:val="20"/>
          <w:szCs w:val="20"/>
        </w:rPr>
        <w:t xml:space="preserve">Mortgage-backed security (“MBS”): </w:t>
      </w:r>
      <w:r>
        <w:rPr>
          <w:rFonts w:eastAsia="Times New Roman"/>
          <w:color w:val="000000"/>
          <w:sz w:val="20"/>
          <w:szCs w:val="20"/>
        </w:rPr>
        <w:t>An</w:t>
      </w:r>
      <w:r>
        <w:rPr>
          <w:rFonts w:eastAsia="Times New Roman"/>
          <w:color w:val="000000"/>
          <w:sz w:val="20"/>
          <w:szCs w:val="20"/>
        </w:rPr>
        <w:t xml:space="preserve"> asset-backed security whose cash flows are backed by the principal and interest payments of a set of mortgage loans.</w:t>
      </w:r>
    </w:p>
    <w:p w:rsidR="00000000" w:rsidRDefault="00E0782F">
      <w:pPr>
        <w:jc w:val="both"/>
        <w:divId w:val="212616099"/>
        <w:rPr>
          <w:rFonts w:eastAsia="Times New Roman"/>
        </w:rPr>
      </w:pPr>
      <w:r>
        <w:rPr>
          <w:rFonts w:eastAsia="Times New Roman"/>
          <w:b/>
          <w:bCs/>
          <w:color w:val="000000"/>
          <w:sz w:val="20"/>
          <w:szCs w:val="20"/>
        </w:rPr>
        <w:t>Mortgage servicing rights (“MSRs”):</w:t>
      </w:r>
      <w:r>
        <w:rPr>
          <w:rFonts w:eastAsia="Times New Roman"/>
          <w:color w:val="000000"/>
          <w:sz w:val="20"/>
          <w:szCs w:val="20"/>
        </w:rPr>
        <w:t xml:space="preserve"> The right to service a mortgage loan when the underlying loan is sold or securitized. Servicing includ</w:t>
      </w:r>
      <w:r>
        <w:rPr>
          <w:rFonts w:eastAsia="Times New Roman"/>
          <w:color w:val="000000"/>
          <w:sz w:val="20"/>
          <w:szCs w:val="20"/>
        </w:rPr>
        <w:t>es collections for principal, interest and escrow payments from borrowers and accounting for and remitting principal and interest payments to investors.</w:t>
      </w:r>
    </w:p>
    <w:p w:rsidR="00000000" w:rsidRDefault="00E0782F">
      <w:pPr>
        <w:jc w:val="both"/>
        <w:divId w:val="1459567125"/>
        <w:rPr>
          <w:rFonts w:eastAsia="Times New Roman"/>
        </w:rPr>
      </w:pPr>
      <w:r>
        <w:rPr>
          <w:rFonts w:eastAsia="Times New Roman"/>
          <w:b/>
          <w:bCs/>
          <w:color w:val="000000"/>
          <w:sz w:val="20"/>
          <w:szCs w:val="20"/>
        </w:rPr>
        <w:t>Net charge-off rate</w:t>
      </w:r>
      <w:r>
        <w:rPr>
          <w:rFonts w:eastAsia="Times New Roman"/>
          <w:color w:val="000000"/>
          <w:sz w:val="20"/>
          <w:szCs w:val="20"/>
        </w:rPr>
        <w:t>: Represents (annualized) net charge-offs divided by average loans held for investme</w:t>
      </w:r>
      <w:r>
        <w:rPr>
          <w:rFonts w:eastAsia="Times New Roman"/>
          <w:color w:val="000000"/>
          <w:sz w:val="20"/>
          <w:szCs w:val="20"/>
        </w:rPr>
        <w:t>nt for the period.</w:t>
      </w:r>
    </w:p>
    <w:p w:rsidR="00000000" w:rsidRDefault="00E0782F">
      <w:pPr>
        <w:jc w:val="both"/>
        <w:divId w:val="1314724005"/>
        <w:rPr>
          <w:rFonts w:eastAsia="Times New Roman"/>
        </w:rPr>
      </w:pPr>
      <w:r>
        <w:rPr>
          <w:rFonts w:eastAsia="Times New Roman"/>
          <w:b/>
          <w:bCs/>
          <w:color w:val="000000"/>
          <w:sz w:val="20"/>
          <w:szCs w:val="20"/>
        </w:rPr>
        <w:t>Net interest margin:</w:t>
      </w:r>
      <w:r>
        <w:rPr>
          <w:rFonts w:eastAsia="Times New Roman"/>
          <w:color w:val="000000"/>
          <w:sz w:val="20"/>
          <w:szCs w:val="20"/>
        </w:rPr>
        <w:t xml:space="preserve"> Represents (annualized) net interest income divided by average interest-earning assets for the period.</w:t>
      </w:r>
    </w:p>
    <w:p w:rsidR="00000000" w:rsidRDefault="00E0782F">
      <w:pPr>
        <w:jc w:val="both"/>
        <w:divId w:val="1932230155"/>
        <w:rPr>
          <w:rFonts w:eastAsia="Times New Roman"/>
        </w:rPr>
      </w:pPr>
      <w:r>
        <w:rPr>
          <w:rFonts w:eastAsia="Times New Roman"/>
          <w:b/>
          <w:bCs/>
          <w:color w:val="000000"/>
          <w:sz w:val="20"/>
          <w:szCs w:val="20"/>
        </w:rPr>
        <w:t xml:space="preserve">NSFR Rule: </w:t>
      </w:r>
      <w:r>
        <w:rPr>
          <w:rFonts w:eastAsia="Times New Roman"/>
          <w:color w:val="000000"/>
          <w:sz w:val="20"/>
          <w:szCs w:val="20"/>
        </w:rPr>
        <w:t>The Federal Banking Agencies issued a rule in October 2020 implementing the net stable funding ratio (</w:t>
      </w:r>
      <w:r>
        <w:rPr>
          <w:rFonts w:eastAsia="Times New Roman"/>
          <w:color w:val="000000"/>
          <w:sz w:val="20"/>
          <w:szCs w:val="20"/>
        </w:rPr>
        <w:t>“NSFR”). The NSFR measures the stability of our funding profile and requires us to maintain minimum amounts of stable funding to support our assets, commitments and derivatives exposures over a one-year period.</w:t>
      </w:r>
    </w:p>
    <w:p w:rsidR="00000000" w:rsidRDefault="00E0782F">
      <w:pPr>
        <w:jc w:val="both"/>
        <w:divId w:val="125701001"/>
        <w:rPr>
          <w:rFonts w:eastAsia="Times New Roman"/>
        </w:rPr>
      </w:pPr>
      <w:r>
        <w:rPr>
          <w:rFonts w:eastAsia="Times New Roman"/>
          <w:b/>
          <w:bCs/>
          <w:color w:val="000000"/>
          <w:sz w:val="20"/>
          <w:szCs w:val="20"/>
        </w:rPr>
        <w:t>Nonperforming loans:</w:t>
      </w:r>
      <w:r>
        <w:rPr>
          <w:rFonts w:eastAsia="Times New Roman"/>
          <w:color w:val="000000"/>
          <w:sz w:val="20"/>
          <w:szCs w:val="20"/>
        </w:rPr>
        <w:t xml:space="preserve"> Generally include loans </w:t>
      </w:r>
      <w:r>
        <w:rPr>
          <w:rFonts w:eastAsia="Times New Roman"/>
          <w:color w:val="000000"/>
          <w:sz w:val="20"/>
          <w:szCs w:val="20"/>
        </w:rPr>
        <w:t>that have been placed on nonaccrual status. We do not report loans classified as held for sale as nonperforming.</w:t>
      </w:r>
    </w:p>
    <w:p w:rsidR="00000000" w:rsidRDefault="00E0782F">
      <w:pPr>
        <w:jc w:val="both"/>
        <w:divId w:val="41485204"/>
        <w:rPr>
          <w:rFonts w:eastAsia="Times New Roman"/>
        </w:rPr>
      </w:pPr>
      <w:r>
        <w:rPr>
          <w:rFonts w:eastAsia="Times New Roman"/>
          <w:b/>
          <w:bCs/>
          <w:color w:val="000000"/>
          <w:sz w:val="20"/>
          <w:szCs w:val="20"/>
        </w:rPr>
        <w:t>Option-ARM loans:</w:t>
      </w:r>
      <w:r>
        <w:rPr>
          <w:rFonts w:eastAsia="Times New Roman"/>
          <w:color w:val="000000"/>
          <w:sz w:val="20"/>
          <w:szCs w:val="20"/>
        </w:rPr>
        <w:t xml:space="preserve"> The option-ARM real estate loan product is an adjustable-rate mortgage (“ARM”) loan that initially provides the borrower with</w:t>
      </w:r>
      <w:r>
        <w:rPr>
          <w:rFonts w:eastAsia="Times New Roman"/>
          <w:color w:val="000000"/>
          <w:sz w:val="20"/>
          <w:szCs w:val="20"/>
        </w:rPr>
        <w:t xml:space="preserve"> the monthly option to make a fully-amortizing, interest-only or minimum fixed payment. After the initial payment option period, usually five years, the recalculated minimum payment represents a fully-amortizing principal and interest payment that would ef</w:t>
      </w:r>
      <w:r>
        <w:rPr>
          <w:rFonts w:eastAsia="Times New Roman"/>
          <w:color w:val="000000"/>
          <w:sz w:val="20"/>
          <w:szCs w:val="20"/>
        </w:rPr>
        <w:t>fectively repay the loan by the end of its contractual term.</w:t>
      </w:r>
    </w:p>
    <w:p w:rsidR="00000000" w:rsidRDefault="00E0782F">
      <w:pPr>
        <w:jc w:val="both"/>
        <w:divId w:val="1468937848"/>
        <w:rPr>
          <w:rFonts w:eastAsia="Times New Roman"/>
        </w:rPr>
      </w:pPr>
      <w:r>
        <w:rPr>
          <w:rFonts w:eastAsia="Times New Roman"/>
          <w:b/>
          <w:bCs/>
          <w:color w:val="000000"/>
          <w:sz w:val="20"/>
          <w:szCs w:val="20"/>
        </w:rPr>
        <w:t xml:space="preserve">Public Funds deposits: </w:t>
      </w:r>
      <w:r>
        <w:rPr>
          <w:rFonts w:eastAsia="Times New Roman"/>
          <w:color w:val="000000"/>
          <w:sz w:val="20"/>
          <w:szCs w:val="20"/>
        </w:rPr>
        <w:t xml:space="preserve">Deposits that are derived from a variety of political subdivisions such as school districts and municipalities. </w:t>
      </w:r>
    </w:p>
    <w:p w:rsidR="00000000" w:rsidRDefault="00E0782F">
      <w:pPr>
        <w:jc w:val="both"/>
        <w:divId w:val="883756368"/>
        <w:rPr>
          <w:rFonts w:eastAsia="Times New Roman"/>
        </w:rPr>
      </w:pPr>
      <w:r>
        <w:rPr>
          <w:rFonts w:eastAsia="Times New Roman"/>
          <w:b/>
          <w:bCs/>
          <w:color w:val="000000"/>
          <w:sz w:val="20"/>
          <w:szCs w:val="20"/>
        </w:rPr>
        <w:t>Purchase volume:</w:t>
      </w:r>
      <w:r>
        <w:rPr>
          <w:rFonts w:eastAsia="Times New Roman"/>
          <w:color w:val="000000"/>
          <w:sz w:val="20"/>
          <w:szCs w:val="20"/>
        </w:rPr>
        <w:t xml:space="preserve"> Consists of purchase transactions, net of </w:t>
      </w:r>
      <w:r>
        <w:rPr>
          <w:rFonts w:eastAsia="Times New Roman"/>
          <w:color w:val="000000"/>
          <w:sz w:val="20"/>
          <w:szCs w:val="20"/>
        </w:rPr>
        <w:t>returns, for the period, and excludes cash advance and balance transfer transactions.</w:t>
      </w:r>
    </w:p>
    <w:p w:rsidR="00000000" w:rsidRDefault="00E0782F">
      <w:pPr>
        <w:jc w:val="both"/>
        <w:divId w:val="1394036889"/>
        <w:rPr>
          <w:rFonts w:eastAsia="Times New Roman"/>
        </w:rPr>
      </w:pPr>
      <w:r>
        <w:rPr>
          <w:rFonts w:eastAsia="Times New Roman"/>
          <w:b/>
          <w:bCs/>
          <w:color w:val="000000"/>
          <w:sz w:val="20"/>
          <w:szCs w:val="20"/>
        </w:rPr>
        <w:t xml:space="preserve">Purchased credit-impaired (“PCI”) loans: </w:t>
      </w:r>
      <w:r>
        <w:rPr>
          <w:rFonts w:eastAsia="Times New Roman"/>
          <w:color w:val="000000"/>
          <w:sz w:val="20"/>
          <w:szCs w:val="20"/>
        </w:rPr>
        <w:t>Loans acquired in a business combination or asset acquisition that were recorded at fair value at acquisition and subsequently ac</w:t>
      </w:r>
      <w:r>
        <w:rPr>
          <w:rFonts w:eastAsia="Times New Roman"/>
          <w:color w:val="000000"/>
          <w:sz w:val="20"/>
          <w:szCs w:val="20"/>
        </w:rPr>
        <w:t xml:space="preserve">counted for based on cash flows expected to be collected in accordance with ASC 310-30, </w:t>
      </w:r>
      <w:r>
        <w:rPr>
          <w:rFonts w:eastAsia="Times New Roman"/>
          <w:i/>
          <w:iCs/>
          <w:color w:val="000000"/>
          <w:sz w:val="20"/>
          <w:szCs w:val="20"/>
        </w:rPr>
        <w:t>Loans and Debt Securities Acquired with Deteriorated Credit Quality.</w:t>
      </w:r>
    </w:p>
    <w:p w:rsidR="00000000" w:rsidRDefault="00E0782F">
      <w:pPr>
        <w:jc w:val="both"/>
        <w:divId w:val="729184151"/>
        <w:rPr>
          <w:rFonts w:eastAsia="Times New Roman"/>
        </w:rPr>
      </w:pPr>
      <w:r>
        <w:rPr>
          <w:rFonts w:eastAsia="Times New Roman"/>
          <w:b/>
          <w:bCs/>
          <w:color w:val="000000"/>
          <w:sz w:val="20"/>
          <w:szCs w:val="20"/>
        </w:rPr>
        <w:t>Rating agency:</w:t>
      </w:r>
      <w:r>
        <w:rPr>
          <w:rFonts w:eastAsia="Times New Roman"/>
          <w:color w:val="000000"/>
          <w:sz w:val="20"/>
          <w:szCs w:val="20"/>
        </w:rPr>
        <w:t xml:space="preserve"> An independent agency that assesses the credit quality and likelihood of default of </w:t>
      </w:r>
      <w:r>
        <w:rPr>
          <w:rFonts w:eastAsia="Times New Roman"/>
          <w:color w:val="000000"/>
          <w:sz w:val="20"/>
          <w:szCs w:val="20"/>
        </w:rPr>
        <w:t>an issue or issuer and assigns a rating to that issue or issuer.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0423499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04234994"/>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0423499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7" style="width:0;height:1.5pt" o:hralign="center" o:hrstd="t" o:hr="t" fillcolor="#a0a0a0" stroked="f"/>
        </w:pict>
      </w:r>
    </w:p>
    <w:p w:rsidR="00000000" w:rsidRDefault="00E0782F">
      <w:pPr>
        <w:ind w:hanging="360"/>
        <w:jc w:val="both"/>
        <w:divId w:val="2067876878"/>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884831841"/>
        <w:rPr>
          <w:rFonts w:eastAsia="Times New Roman"/>
        </w:rPr>
      </w:pPr>
      <w:r>
        <w:rPr>
          <w:rFonts w:eastAsia="Times New Roman"/>
          <w:b/>
          <w:bCs/>
          <w:color w:val="000000"/>
          <w:sz w:val="20"/>
          <w:szCs w:val="20"/>
        </w:rPr>
        <w:t>Repurchase agreement:</w:t>
      </w:r>
      <w:r>
        <w:rPr>
          <w:rFonts w:eastAsia="Times New Roman"/>
          <w:color w:val="000000"/>
          <w:sz w:val="20"/>
          <w:szCs w:val="20"/>
        </w:rPr>
        <w:t xml:space="preserve"> </w:t>
      </w:r>
      <w:r>
        <w:rPr>
          <w:rFonts w:eastAsia="Times New Roman"/>
          <w:color w:val="000000"/>
          <w:sz w:val="20"/>
          <w:szCs w:val="20"/>
        </w:rPr>
        <w:t xml:space="preserve">An instrument used to raise short-term funds whereby securities are sold with an agreement for the seller to buy back the securities at a later date. </w:t>
      </w:r>
    </w:p>
    <w:p w:rsidR="00000000" w:rsidRDefault="00E0782F">
      <w:pPr>
        <w:jc w:val="both"/>
        <w:divId w:val="176313121"/>
        <w:rPr>
          <w:rFonts w:eastAsia="Times New Roman"/>
        </w:rPr>
      </w:pPr>
      <w:r>
        <w:rPr>
          <w:rFonts w:eastAsia="Times New Roman"/>
          <w:b/>
          <w:bCs/>
          <w:color w:val="000000"/>
          <w:sz w:val="20"/>
          <w:szCs w:val="20"/>
        </w:rPr>
        <w:t>Restructuring charges:</w:t>
      </w:r>
      <w:r>
        <w:rPr>
          <w:rFonts w:eastAsia="Times New Roman"/>
          <w:color w:val="000000"/>
          <w:sz w:val="20"/>
          <w:szCs w:val="20"/>
        </w:rPr>
        <w:t xml:space="preserve"> Charges associated with the realignment of resources supporting various businesses</w:t>
      </w:r>
      <w:r>
        <w:rPr>
          <w:rFonts w:eastAsia="Times New Roman"/>
          <w:color w:val="000000"/>
          <w:sz w:val="20"/>
          <w:szCs w:val="20"/>
        </w:rPr>
        <w:t>, primarily consisting of severance and related benefits pursuant to our ongoing benefit programs and impairment of certain assets related to business locations and activities being exited.</w:t>
      </w:r>
    </w:p>
    <w:p w:rsidR="00000000" w:rsidRDefault="00E0782F">
      <w:pPr>
        <w:jc w:val="both"/>
        <w:divId w:val="1137457747"/>
        <w:rPr>
          <w:rFonts w:eastAsia="Times New Roman"/>
        </w:rPr>
      </w:pPr>
      <w:r>
        <w:rPr>
          <w:rFonts w:eastAsia="Times New Roman"/>
          <w:b/>
          <w:bCs/>
          <w:color w:val="000000"/>
          <w:sz w:val="20"/>
          <w:szCs w:val="20"/>
        </w:rPr>
        <w:t xml:space="preserve">Risk-weighted assets: </w:t>
      </w:r>
      <w:r>
        <w:rPr>
          <w:rFonts w:eastAsia="Times New Roman"/>
          <w:color w:val="000000"/>
          <w:sz w:val="20"/>
          <w:szCs w:val="20"/>
        </w:rPr>
        <w:t>On- and off-balance sheet assets that are as</w:t>
      </w:r>
      <w:r>
        <w:rPr>
          <w:rFonts w:eastAsia="Times New Roman"/>
          <w:color w:val="000000"/>
          <w:sz w:val="20"/>
          <w:szCs w:val="20"/>
        </w:rPr>
        <w:t xml:space="preserve">signed to one of several broad risk categories and weighted by factors representing their risk and potential for default. </w:t>
      </w:r>
    </w:p>
    <w:p w:rsidR="00000000" w:rsidRDefault="00E0782F">
      <w:pPr>
        <w:jc w:val="both"/>
        <w:divId w:val="577399262"/>
        <w:rPr>
          <w:rFonts w:eastAsia="Times New Roman"/>
        </w:rPr>
      </w:pPr>
      <w:r>
        <w:rPr>
          <w:rFonts w:eastAsia="Times New Roman"/>
          <w:b/>
          <w:bCs/>
          <w:color w:val="000000"/>
          <w:sz w:val="20"/>
          <w:szCs w:val="20"/>
        </w:rPr>
        <w:t>Securitized debt obligations:</w:t>
      </w:r>
      <w:r>
        <w:rPr>
          <w:rFonts w:eastAsia="Times New Roman"/>
          <w:color w:val="000000"/>
          <w:sz w:val="20"/>
          <w:szCs w:val="20"/>
        </w:rPr>
        <w:t xml:space="preserve"> </w:t>
      </w:r>
      <w:r>
        <w:rPr>
          <w:rFonts w:eastAsia="Times New Roman"/>
          <w:color w:val="000000"/>
          <w:sz w:val="20"/>
          <w:szCs w:val="20"/>
        </w:rPr>
        <w:t>A type of asset-backed security and structured credit product constructed from a portfolio of fixed-income assets.</w:t>
      </w:r>
    </w:p>
    <w:p w:rsidR="00000000" w:rsidRDefault="00E0782F">
      <w:pPr>
        <w:jc w:val="both"/>
        <w:divId w:val="520516049"/>
        <w:rPr>
          <w:rFonts w:eastAsia="Times New Roman"/>
        </w:rPr>
      </w:pPr>
      <w:r>
        <w:rPr>
          <w:rFonts w:eastAsia="Times New Roman"/>
          <w:b/>
          <w:bCs/>
          <w:color w:val="000000"/>
          <w:sz w:val="20"/>
          <w:szCs w:val="20"/>
        </w:rPr>
        <w:t xml:space="preserve">Stress capital buffer: </w:t>
      </w:r>
      <w:r>
        <w:rPr>
          <w:rFonts w:eastAsia="Times New Roman"/>
          <w:color w:val="000000"/>
          <w:sz w:val="20"/>
          <w:szCs w:val="20"/>
        </w:rPr>
        <w:t>A component of our new standardized approach capital conservation buffer, which will be recalibrated annually based on</w:t>
      </w:r>
      <w:r>
        <w:rPr>
          <w:rFonts w:eastAsia="Times New Roman"/>
          <w:color w:val="000000"/>
          <w:sz w:val="20"/>
          <w:szCs w:val="20"/>
        </w:rPr>
        <w:t xml:space="preserve"> the results of our supervisory stress tests. </w:t>
      </w:r>
    </w:p>
    <w:p w:rsidR="00000000" w:rsidRDefault="00E0782F">
      <w:pPr>
        <w:jc w:val="both"/>
        <w:divId w:val="30569955"/>
        <w:rPr>
          <w:rFonts w:eastAsia="Times New Roman"/>
        </w:rPr>
      </w:pPr>
      <w:r>
        <w:rPr>
          <w:rFonts w:eastAsia="Times New Roman"/>
          <w:b/>
          <w:bCs/>
          <w:color w:val="000000"/>
          <w:sz w:val="20"/>
          <w:szCs w:val="20"/>
        </w:rPr>
        <w:t xml:space="preserve">Subprime: </w:t>
      </w:r>
      <w:r>
        <w:rPr>
          <w:rFonts w:eastAsia="Times New Roman"/>
          <w:color w:val="000000"/>
          <w:sz w:val="20"/>
          <w:szCs w:val="20"/>
        </w:rPr>
        <w:t>For purposes of lending in our Credit Card business, we generally consider FICO scores of 660 or below, or other equivalent risk scores, to be subprime. For purposes of auto lending in our Consumer B</w:t>
      </w:r>
      <w:r>
        <w:rPr>
          <w:rFonts w:eastAsia="Times New Roman"/>
          <w:color w:val="000000"/>
          <w:sz w:val="20"/>
          <w:szCs w:val="20"/>
        </w:rPr>
        <w:t>anking business, we generally consider FICO scores of 620 or below to be subprime.</w:t>
      </w:r>
    </w:p>
    <w:p w:rsidR="00000000" w:rsidRDefault="00E0782F">
      <w:pPr>
        <w:jc w:val="both"/>
        <w:divId w:val="828446049"/>
        <w:rPr>
          <w:rFonts w:eastAsia="Times New Roman"/>
        </w:rPr>
      </w:pPr>
      <w:r>
        <w:rPr>
          <w:rFonts w:eastAsia="Times New Roman"/>
          <w:b/>
          <w:bCs/>
          <w:color w:val="000000"/>
          <w:sz w:val="20"/>
          <w:szCs w:val="20"/>
        </w:rPr>
        <w:t xml:space="preserve">Tailoring Rules: </w:t>
      </w:r>
      <w:r>
        <w:rPr>
          <w:rFonts w:eastAsia="Times New Roman"/>
          <w:color w:val="000000"/>
          <w:sz w:val="20"/>
          <w:szCs w:val="20"/>
        </w:rPr>
        <w:t>In October 2019, the Federal Banking Agencies released final rules that provide for tailored application of certain capital, liquidity and stress-testing re</w:t>
      </w:r>
      <w:r>
        <w:rPr>
          <w:rFonts w:eastAsia="Times New Roman"/>
          <w:color w:val="000000"/>
          <w:sz w:val="20"/>
          <w:szCs w:val="20"/>
        </w:rPr>
        <w:t xml:space="preserve">quirements across different categories of banking institutions. As a bank holding company with total consolidated assets of at least $250 billion that does not exceed any of the applicable risk-based thresholds, we are a Category III institution under the </w:t>
      </w:r>
      <w:r>
        <w:rPr>
          <w:rFonts w:eastAsia="Times New Roman"/>
          <w:color w:val="000000"/>
          <w:sz w:val="20"/>
          <w:szCs w:val="20"/>
        </w:rPr>
        <w:t>Tailoring Rules.</w:t>
      </w:r>
    </w:p>
    <w:p w:rsidR="00000000" w:rsidRDefault="00E0782F">
      <w:pPr>
        <w:jc w:val="both"/>
        <w:divId w:val="893781034"/>
        <w:rPr>
          <w:rFonts w:eastAsia="Times New Roman"/>
        </w:rPr>
      </w:pPr>
      <w:r>
        <w:rPr>
          <w:rFonts w:eastAsia="Times New Roman"/>
          <w:b/>
          <w:bCs/>
          <w:color w:val="000000"/>
          <w:sz w:val="20"/>
          <w:szCs w:val="20"/>
        </w:rPr>
        <w:t>Tangible common equity:</w:t>
      </w:r>
      <w:r>
        <w:rPr>
          <w:rFonts w:eastAsia="Times New Roman"/>
          <w:color w:val="000000"/>
          <w:sz w:val="20"/>
          <w:szCs w:val="20"/>
        </w:rPr>
        <w:t xml:space="preserve"> A non-GAAP financial measure. Common equity less goodwill and intangible assets adjusted for deferred tax liabilities associated with non-tax deductible intangible assets and tax deductible goodwill.</w:t>
      </w:r>
    </w:p>
    <w:p w:rsidR="00000000" w:rsidRDefault="00E0782F">
      <w:pPr>
        <w:jc w:val="both"/>
        <w:divId w:val="967010479"/>
        <w:rPr>
          <w:rFonts w:eastAsia="Times New Roman"/>
        </w:rPr>
      </w:pPr>
      <w:r>
        <w:rPr>
          <w:rFonts w:eastAsia="Times New Roman"/>
          <w:b/>
          <w:bCs/>
          <w:color w:val="000000"/>
          <w:sz w:val="20"/>
          <w:szCs w:val="20"/>
        </w:rPr>
        <w:t xml:space="preserve">Tax Act: </w:t>
      </w:r>
      <w:r>
        <w:rPr>
          <w:rFonts w:eastAsia="Times New Roman"/>
          <w:color w:val="000000"/>
          <w:sz w:val="20"/>
          <w:szCs w:val="20"/>
        </w:rPr>
        <w:t>The Ac</w:t>
      </w:r>
      <w:r>
        <w:rPr>
          <w:rFonts w:eastAsia="Times New Roman"/>
          <w:color w:val="000000"/>
          <w:sz w:val="20"/>
          <w:szCs w:val="20"/>
        </w:rPr>
        <w:t>t to provide for reconciliation pursuant to titles II and V of the concurrent resolution on the budget for fiscal year 2018 enacted on December 22, 2017.</w:t>
      </w:r>
    </w:p>
    <w:p w:rsidR="00000000" w:rsidRDefault="00E0782F">
      <w:pPr>
        <w:jc w:val="both"/>
        <w:divId w:val="807940534"/>
        <w:rPr>
          <w:rFonts w:eastAsia="Times New Roman"/>
        </w:rPr>
      </w:pPr>
      <w:r>
        <w:rPr>
          <w:rFonts w:eastAsia="Times New Roman"/>
          <w:b/>
          <w:bCs/>
          <w:color w:val="000000"/>
          <w:sz w:val="20"/>
          <w:szCs w:val="20"/>
        </w:rPr>
        <w:t>Troubled debt restructuring (“TDR”):</w:t>
      </w:r>
      <w:r>
        <w:rPr>
          <w:rFonts w:eastAsia="Times New Roman"/>
          <w:color w:val="000000"/>
          <w:sz w:val="20"/>
          <w:szCs w:val="20"/>
        </w:rPr>
        <w:t xml:space="preserve"> A TDR is deemed to occur when the contractual terms of a loan agr</w:t>
      </w:r>
      <w:r>
        <w:rPr>
          <w:rFonts w:eastAsia="Times New Roman"/>
          <w:color w:val="000000"/>
          <w:sz w:val="20"/>
          <w:szCs w:val="20"/>
        </w:rPr>
        <w:t>eement are modified by granting a concession to a borrower that is experiencing financial difficulty.</w:t>
      </w:r>
    </w:p>
    <w:p w:rsidR="00000000" w:rsidRDefault="00E0782F">
      <w:pPr>
        <w:jc w:val="both"/>
        <w:divId w:val="907032110"/>
        <w:rPr>
          <w:rFonts w:eastAsia="Times New Roman"/>
        </w:rPr>
      </w:pPr>
      <w:r>
        <w:rPr>
          <w:rFonts w:eastAsia="Times New Roman"/>
          <w:b/>
          <w:bCs/>
          <w:color w:val="000000"/>
          <w:sz w:val="20"/>
          <w:szCs w:val="20"/>
        </w:rPr>
        <w:t>Unfunded commitments:</w:t>
      </w:r>
      <w:r>
        <w:rPr>
          <w:rFonts w:eastAsia="Times New Roman"/>
          <w:color w:val="000000"/>
          <w:sz w:val="20"/>
          <w:szCs w:val="20"/>
        </w:rPr>
        <w:t xml:space="preserve"> Legally binding agreements to provide a defined level of financing until a specified future date.</w:t>
      </w:r>
    </w:p>
    <w:p w:rsidR="00000000" w:rsidRDefault="00E0782F">
      <w:pPr>
        <w:jc w:val="both"/>
        <w:divId w:val="146897992"/>
        <w:rPr>
          <w:rFonts w:eastAsia="Times New Roman"/>
        </w:rPr>
      </w:pPr>
      <w:r>
        <w:rPr>
          <w:rFonts w:eastAsia="Times New Roman"/>
          <w:b/>
          <w:bCs/>
          <w:color w:val="000000"/>
          <w:sz w:val="20"/>
          <w:szCs w:val="20"/>
        </w:rPr>
        <w:t xml:space="preserve">U.K. PPI Reserve: </w:t>
      </w:r>
      <w:r>
        <w:rPr>
          <w:rFonts w:eastAsia="Times New Roman"/>
          <w:color w:val="000000"/>
          <w:sz w:val="20"/>
          <w:szCs w:val="20"/>
        </w:rPr>
        <w:t>U.K. payment pro</w:t>
      </w:r>
      <w:r>
        <w:rPr>
          <w:rFonts w:eastAsia="Times New Roman"/>
          <w:color w:val="000000"/>
          <w:sz w:val="20"/>
          <w:szCs w:val="20"/>
        </w:rPr>
        <w:t>tection insurance customer refund reserve.</w:t>
      </w:r>
    </w:p>
    <w:p w:rsidR="00000000" w:rsidRDefault="00E0782F">
      <w:pPr>
        <w:jc w:val="both"/>
        <w:divId w:val="2092653336"/>
        <w:rPr>
          <w:rFonts w:eastAsia="Times New Roman"/>
        </w:rPr>
      </w:pPr>
      <w:r>
        <w:rPr>
          <w:rFonts w:eastAsia="Times New Roman"/>
          <w:b/>
          <w:bCs/>
          <w:color w:val="000000"/>
          <w:sz w:val="20"/>
          <w:szCs w:val="20"/>
        </w:rPr>
        <w:t>U.S. GAAP:</w:t>
      </w:r>
      <w:r>
        <w:rPr>
          <w:rFonts w:eastAsia="Times New Roman"/>
          <w:color w:val="000000"/>
          <w:sz w:val="20"/>
          <w:szCs w:val="20"/>
        </w:rPr>
        <w:t xml:space="preserve"> Accounting principles generally accepted in the United States of America. Accounting rules and conventions defining acceptable practices in preparing financial statements in the U.S.</w:t>
      </w:r>
    </w:p>
    <w:p w:rsidR="00000000" w:rsidRDefault="00E0782F">
      <w:pPr>
        <w:jc w:val="both"/>
        <w:divId w:val="1427582290"/>
        <w:rPr>
          <w:rFonts w:eastAsia="Times New Roman"/>
        </w:rPr>
      </w:pPr>
      <w:r>
        <w:rPr>
          <w:rFonts w:eastAsia="Times New Roman"/>
          <w:b/>
          <w:bCs/>
          <w:color w:val="000000"/>
          <w:sz w:val="20"/>
          <w:szCs w:val="20"/>
        </w:rPr>
        <w:t>Variable interest e</w:t>
      </w:r>
      <w:r>
        <w:rPr>
          <w:rFonts w:eastAsia="Times New Roman"/>
          <w:b/>
          <w:bCs/>
          <w:color w:val="000000"/>
          <w:sz w:val="20"/>
          <w:szCs w:val="20"/>
        </w:rPr>
        <w:t>ntity (“VIE”):</w:t>
      </w:r>
      <w:r>
        <w:rPr>
          <w:rFonts w:eastAsia="Times New Roman"/>
          <w:color w:val="000000"/>
          <w:sz w:val="20"/>
          <w:szCs w:val="20"/>
        </w:rPr>
        <w:t xml:space="preserve"> An entity that (i) lacks enough equity investment at risk to permit the entity to finance its activities without additional financial support from other parties; (ii) has equity owners that lack the right to make significant decisions affect</w:t>
      </w:r>
      <w:r>
        <w:rPr>
          <w:rFonts w:eastAsia="Times New Roman"/>
          <w:color w:val="000000"/>
          <w:sz w:val="20"/>
          <w:szCs w:val="20"/>
        </w:rPr>
        <w:t>ing the entity’s operations; and/or (iii) has equity owners that do not have an obligation to absorb or the right to receive the entity’s losses or return.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1525600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15256002"/>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1525600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8" style="width:0;height:1.5pt" o:hralign="center" o:hrstd="t" o:hr="t" fillcolor="#a0a0a0" stroked="f"/>
        </w:pict>
      </w:r>
    </w:p>
    <w:p w:rsidR="00000000" w:rsidRDefault="00E0782F">
      <w:pPr>
        <w:ind w:hanging="360"/>
        <w:jc w:val="both"/>
        <w:divId w:val="1288972501"/>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24647041"/>
        </w:trPr>
        <w:tc>
          <w:tcPr>
            <w:tcW w:w="50" w:type="pct"/>
            <w:vAlign w:val="center"/>
            <w:hideMark/>
          </w:tcPr>
          <w:p w:rsidR="00000000" w:rsidRDefault="00E0782F">
            <w:pPr>
              <w:ind w:hanging="360"/>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2464704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divId w:val="566502983"/>
              <w:rPr>
                <w:rFonts w:eastAsia="Times New Roman"/>
              </w:rPr>
            </w:pPr>
            <w:r>
              <w:rPr>
                <w:rFonts w:eastAsia="Times New Roman"/>
                <w:b/>
                <w:bCs/>
                <w:i/>
                <w:iCs/>
                <w:color w:val="000000"/>
                <w:sz w:val="20"/>
                <w:szCs w:val="20"/>
              </w:rPr>
              <w:t>Acronyms</w:t>
            </w:r>
          </w:p>
        </w:tc>
      </w:tr>
    </w:tbl>
    <w:p w:rsidR="00000000" w:rsidRDefault="00E0782F">
      <w:pPr>
        <w:jc w:val="both"/>
        <w:divId w:val="853543740"/>
        <w:rPr>
          <w:rFonts w:eastAsia="Times New Roman"/>
        </w:rPr>
      </w:pPr>
      <w:r>
        <w:rPr>
          <w:rFonts w:eastAsia="Times New Roman"/>
          <w:b/>
          <w:bCs/>
          <w:color w:val="000000"/>
          <w:sz w:val="20"/>
          <w:szCs w:val="20"/>
        </w:rPr>
        <w:t xml:space="preserve">AML: </w:t>
      </w:r>
      <w:r>
        <w:rPr>
          <w:rFonts w:eastAsia="Times New Roman"/>
          <w:color w:val="000000"/>
          <w:sz w:val="20"/>
          <w:szCs w:val="20"/>
        </w:rPr>
        <w:t>Anti-money laundering</w:t>
      </w:r>
    </w:p>
    <w:p w:rsidR="00000000" w:rsidRDefault="00E0782F">
      <w:pPr>
        <w:jc w:val="both"/>
        <w:divId w:val="2106801629"/>
        <w:rPr>
          <w:rFonts w:eastAsia="Times New Roman"/>
        </w:rPr>
      </w:pPr>
      <w:r>
        <w:rPr>
          <w:rFonts w:eastAsia="Times New Roman"/>
          <w:b/>
          <w:bCs/>
          <w:color w:val="000000"/>
          <w:sz w:val="20"/>
          <w:szCs w:val="20"/>
        </w:rPr>
        <w:t>AOCI:</w:t>
      </w:r>
      <w:r>
        <w:rPr>
          <w:rFonts w:eastAsia="Times New Roman"/>
          <w:color w:val="000000"/>
          <w:sz w:val="20"/>
          <w:szCs w:val="20"/>
        </w:rPr>
        <w:t xml:space="preserve"> </w:t>
      </w:r>
      <w:r>
        <w:rPr>
          <w:rFonts w:eastAsia="Times New Roman"/>
          <w:color w:val="000000"/>
          <w:sz w:val="20"/>
          <w:szCs w:val="20"/>
        </w:rPr>
        <w:t>Accumulated other comprehensive income</w:t>
      </w:r>
    </w:p>
    <w:p w:rsidR="00000000" w:rsidRDefault="00E0782F">
      <w:pPr>
        <w:jc w:val="both"/>
        <w:divId w:val="1819879055"/>
        <w:rPr>
          <w:rFonts w:eastAsia="Times New Roman"/>
        </w:rPr>
      </w:pPr>
      <w:r>
        <w:rPr>
          <w:rFonts w:eastAsia="Times New Roman"/>
          <w:b/>
          <w:bCs/>
          <w:color w:val="000000"/>
          <w:sz w:val="20"/>
          <w:szCs w:val="20"/>
        </w:rPr>
        <w:t>ARM:</w:t>
      </w:r>
      <w:r>
        <w:rPr>
          <w:rFonts w:ascii="Arial" w:eastAsia="Times New Roman" w:hAnsi="Arial" w:cs="Arial"/>
          <w:color w:val="000000"/>
          <w:sz w:val="20"/>
          <w:szCs w:val="20"/>
        </w:rPr>
        <w:t xml:space="preserve"> </w:t>
      </w:r>
      <w:r>
        <w:rPr>
          <w:rFonts w:eastAsia="Times New Roman"/>
          <w:color w:val="000000"/>
          <w:sz w:val="20"/>
          <w:szCs w:val="20"/>
        </w:rPr>
        <w:t>Adjustable rate mortgage</w:t>
      </w:r>
    </w:p>
    <w:p w:rsidR="00000000" w:rsidRDefault="00E0782F">
      <w:pPr>
        <w:jc w:val="both"/>
        <w:divId w:val="1527593108"/>
        <w:rPr>
          <w:rFonts w:eastAsia="Times New Roman"/>
        </w:rPr>
      </w:pPr>
      <w:r>
        <w:rPr>
          <w:rFonts w:eastAsia="Times New Roman"/>
          <w:b/>
          <w:bCs/>
          <w:color w:val="000000"/>
          <w:sz w:val="20"/>
          <w:szCs w:val="20"/>
        </w:rPr>
        <w:t xml:space="preserve">ARRC: </w:t>
      </w:r>
      <w:r>
        <w:rPr>
          <w:rFonts w:eastAsia="Times New Roman"/>
          <w:color w:val="000000"/>
          <w:sz w:val="20"/>
          <w:szCs w:val="20"/>
        </w:rPr>
        <w:t>Alternative Reference Rates Committee</w:t>
      </w:r>
    </w:p>
    <w:p w:rsidR="00000000" w:rsidRDefault="00E0782F">
      <w:pPr>
        <w:jc w:val="both"/>
        <w:divId w:val="231890407"/>
        <w:rPr>
          <w:rFonts w:eastAsia="Times New Roman"/>
        </w:rPr>
      </w:pPr>
      <w:r>
        <w:rPr>
          <w:rFonts w:eastAsia="Times New Roman"/>
          <w:b/>
          <w:bCs/>
          <w:color w:val="000000"/>
          <w:sz w:val="20"/>
          <w:szCs w:val="20"/>
        </w:rPr>
        <w:t>ASU:</w:t>
      </w:r>
      <w:r>
        <w:rPr>
          <w:rFonts w:eastAsia="Times New Roman"/>
          <w:color w:val="000000"/>
          <w:sz w:val="20"/>
          <w:szCs w:val="20"/>
        </w:rPr>
        <w:t xml:space="preserve"> Accounting Standards Update</w:t>
      </w:r>
    </w:p>
    <w:p w:rsidR="00000000" w:rsidRDefault="00E0782F">
      <w:pPr>
        <w:jc w:val="both"/>
        <w:divId w:val="89592540"/>
        <w:rPr>
          <w:rFonts w:eastAsia="Times New Roman"/>
        </w:rPr>
      </w:pPr>
      <w:r>
        <w:rPr>
          <w:rFonts w:eastAsia="Times New Roman"/>
          <w:b/>
          <w:bCs/>
          <w:color w:val="000000"/>
          <w:sz w:val="20"/>
          <w:szCs w:val="20"/>
        </w:rPr>
        <w:t>ASC:</w:t>
      </w:r>
      <w:r>
        <w:rPr>
          <w:rFonts w:eastAsia="Times New Roman"/>
          <w:color w:val="000000"/>
          <w:sz w:val="20"/>
          <w:szCs w:val="20"/>
        </w:rPr>
        <w:t xml:space="preserve"> Accounting Standards Codification</w:t>
      </w:r>
    </w:p>
    <w:p w:rsidR="00000000" w:rsidRDefault="00E0782F">
      <w:pPr>
        <w:jc w:val="both"/>
        <w:divId w:val="13116814"/>
        <w:rPr>
          <w:rFonts w:eastAsia="Times New Roman"/>
        </w:rPr>
      </w:pPr>
      <w:r>
        <w:rPr>
          <w:rFonts w:eastAsia="Times New Roman"/>
          <w:b/>
          <w:bCs/>
          <w:color w:val="000000"/>
          <w:sz w:val="20"/>
          <w:szCs w:val="20"/>
        </w:rPr>
        <w:t>BHC:</w:t>
      </w:r>
      <w:r>
        <w:rPr>
          <w:rFonts w:eastAsia="Times New Roman"/>
          <w:color w:val="000000"/>
          <w:sz w:val="20"/>
          <w:szCs w:val="20"/>
        </w:rPr>
        <w:t xml:space="preserve"> Bank holding company</w:t>
      </w:r>
    </w:p>
    <w:p w:rsidR="00000000" w:rsidRDefault="00E0782F">
      <w:pPr>
        <w:jc w:val="both"/>
        <w:divId w:val="1125198528"/>
        <w:rPr>
          <w:rFonts w:eastAsia="Times New Roman"/>
        </w:rPr>
      </w:pPr>
      <w:r>
        <w:rPr>
          <w:rFonts w:eastAsia="Times New Roman"/>
          <w:b/>
          <w:bCs/>
          <w:color w:val="000000"/>
          <w:sz w:val="20"/>
          <w:szCs w:val="20"/>
        </w:rPr>
        <w:t>bps:</w:t>
      </w:r>
      <w:r>
        <w:rPr>
          <w:rFonts w:eastAsia="Times New Roman"/>
          <w:color w:val="000000"/>
          <w:sz w:val="20"/>
          <w:szCs w:val="20"/>
        </w:rPr>
        <w:t xml:space="preserve"> Basis points</w:t>
      </w:r>
    </w:p>
    <w:p w:rsidR="00000000" w:rsidRDefault="00E0782F">
      <w:pPr>
        <w:jc w:val="both"/>
        <w:divId w:val="794105039"/>
        <w:rPr>
          <w:rFonts w:eastAsia="Times New Roman"/>
        </w:rPr>
      </w:pPr>
      <w:r>
        <w:rPr>
          <w:rFonts w:eastAsia="Times New Roman"/>
          <w:b/>
          <w:bCs/>
          <w:color w:val="000000"/>
          <w:sz w:val="20"/>
          <w:szCs w:val="20"/>
        </w:rPr>
        <w:t xml:space="preserve">CAD: </w:t>
      </w:r>
      <w:r>
        <w:rPr>
          <w:rFonts w:eastAsia="Times New Roman"/>
          <w:color w:val="000000"/>
          <w:sz w:val="20"/>
          <w:szCs w:val="20"/>
        </w:rPr>
        <w:t>Canadian dollar</w:t>
      </w:r>
    </w:p>
    <w:p w:rsidR="00000000" w:rsidRDefault="00E0782F">
      <w:pPr>
        <w:jc w:val="both"/>
        <w:divId w:val="1753120605"/>
        <w:rPr>
          <w:rFonts w:eastAsia="Times New Roman"/>
        </w:rPr>
      </w:pPr>
      <w:r>
        <w:rPr>
          <w:rFonts w:eastAsia="Times New Roman"/>
          <w:b/>
          <w:bCs/>
          <w:color w:val="000000"/>
          <w:sz w:val="20"/>
          <w:szCs w:val="20"/>
        </w:rPr>
        <w:t xml:space="preserve">CCAR: </w:t>
      </w:r>
      <w:r>
        <w:rPr>
          <w:rFonts w:eastAsia="Times New Roman"/>
          <w:color w:val="000000"/>
          <w:sz w:val="20"/>
          <w:szCs w:val="20"/>
        </w:rPr>
        <w:t>Comprehensive Capital Analysis and Review</w:t>
      </w:r>
    </w:p>
    <w:p w:rsidR="00000000" w:rsidRDefault="00E0782F">
      <w:pPr>
        <w:jc w:val="both"/>
        <w:divId w:val="1202206454"/>
        <w:rPr>
          <w:rFonts w:eastAsia="Times New Roman"/>
        </w:rPr>
      </w:pPr>
      <w:r>
        <w:rPr>
          <w:rFonts w:eastAsia="Times New Roman"/>
          <w:b/>
          <w:bCs/>
          <w:color w:val="000000"/>
          <w:sz w:val="20"/>
          <w:szCs w:val="20"/>
        </w:rPr>
        <w:t>CCP:</w:t>
      </w:r>
      <w:r>
        <w:rPr>
          <w:rFonts w:eastAsia="Times New Roman"/>
          <w:color w:val="000000"/>
          <w:sz w:val="20"/>
          <w:szCs w:val="20"/>
        </w:rPr>
        <w:t xml:space="preserve"> Central Counterparty Clearinghouse, or Central Clearinghouse</w:t>
      </w:r>
    </w:p>
    <w:p w:rsidR="00000000" w:rsidRDefault="00E0782F">
      <w:pPr>
        <w:jc w:val="both"/>
        <w:divId w:val="404836187"/>
        <w:rPr>
          <w:rFonts w:eastAsia="Times New Roman"/>
        </w:rPr>
      </w:pPr>
      <w:r>
        <w:rPr>
          <w:rFonts w:eastAsia="Times New Roman"/>
          <w:b/>
          <w:bCs/>
          <w:color w:val="000000"/>
          <w:sz w:val="20"/>
          <w:szCs w:val="20"/>
        </w:rPr>
        <w:t>CDE:</w:t>
      </w:r>
      <w:r>
        <w:rPr>
          <w:rFonts w:eastAsia="Times New Roman"/>
          <w:color w:val="000000"/>
          <w:sz w:val="20"/>
          <w:szCs w:val="20"/>
        </w:rPr>
        <w:t xml:space="preserve"> Community development entities </w:t>
      </w:r>
    </w:p>
    <w:p w:rsidR="00000000" w:rsidRDefault="00E0782F">
      <w:pPr>
        <w:jc w:val="both"/>
        <w:divId w:val="1761024909"/>
        <w:rPr>
          <w:rFonts w:eastAsia="Times New Roman"/>
        </w:rPr>
      </w:pPr>
      <w:r>
        <w:rPr>
          <w:rFonts w:eastAsia="Times New Roman"/>
          <w:b/>
          <w:bCs/>
          <w:color w:val="000000"/>
          <w:sz w:val="20"/>
          <w:szCs w:val="20"/>
        </w:rPr>
        <w:t xml:space="preserve">CECL: </w:t>
      </w:r>
      <w:r>
        <w:rPr>
          <w:rFonts w:eastAsia="Times New Roman"/>
          <w:color w:val="000000"/>
          <w:sz w:val="20"/>
          <w:szCs w:val="20"/>
        </w:rPr>
        <w:t>Current expected credit loss</w:t>
      </w:r>
    </w:p>
    <w:p w:rsidR="00000000" w:rsidRDefault="00E0782F">
      <w:pPr>
        <w:jc w:val="both"/>
        <w:divId w:val="1895047615"/>
        <w:rPr>
          <w:rFonts w:eastAsia="Times New Roman"/>
        </w:rPr>
      </w:pPr>
      <w:r>
        <w:rPr>
          <w:rFonts w:eastAsia="Times New Roman"/>
          <w:b/>
          <w:bCs/>
          <w:color w:val="000000"/>
          <w:sz w:val="20"/>
          <w:szCs w:val="20"/>
        </w:rPr>
        <w:t>CFTC:</w:t>
      </w:r>
      <w:r>
        <w:rPr>
          <w:rFonts w:eastAsia="Times New Roman"/>
          <w:color w:val="000000"/>
          <w:sz w:val="20"/>
          <w:szCs w:val="20"/>
        </w:rPr>
        <w:t xml:space="preserve"> Commodity Futures Trading Commission</w:t>
      </w:r>
    </w:p>
    <w:p w:rsidR="00000000" w:rsidRDefault="00E0782F">
      <w:pPr>
        <w:jc w:val="both"/>
        <w:divId w:val="506946895"/>
        <w:rPr>
          <w:rFonts w:eastAsia="Times New Roman"/>
        </w:rPr>
      </w:pPr>
      <w:r>
        <w:rPr>
          <w:rFonts w:eastAsia="Times New Roman"/>
          <w:b/>
          <w:bCs/>
          <w:color w:val="000000"/>
          <w:sz w:val="20"/>
          <w:szCs w:val="20"/>
        </w:rPr>
        <w:t xml:space="preserve">CMBS: </w:t>
      </w:r>
      <w:r>
        <w:rPr>
          <w:rFonts w:eastAsia="Times New Roman"/>
          <w:color w:val="000000"/>
          <w:sz w:val="20"/>
          <w:szCs w:val="20"/>
        </w:rPr>
        <w:t>Commercial mortgage-backed securities</w:t>
      </w:r>
    </w:p>
    <w:p w:rsidR="00000000" w:rsidRDefault="00E0782F">
      <w:pPr>
        <w:jc w:val="both"/>
        <w:divId w:val="835539385"/>
        <w:rPr>
          <w:rFonts w:eastAsia="Times New Roman"/>
        </w:rPr>
      </w:pPr>
      <w:r>
        <w:rPr>
          <w:rFonts w:eastAsia="Times New Roman"/>
          <w:b/>
          <w:bCs/>
          <w:color w:val="000000"/>
          <w:sz w:val="20"/>
          <w:szCs w:val="20"/>
        </w:rPr>
        <w:t>CME:</w:t>
      </w:r>
      <w:r>
        <w:rPr>
          <w:rFonts w:eastAsia="Times New Roman"/>
          <w:color w:val="000000"/>
          <w:sz w:val="20"/>
          <w:szCs w:val="20"/>
        </w:rPr>
        <w:t xml:space="preserve"> Chicago Mercantile Exchange</w:t>
      </w:r>
    </w:p>
    <w:p w:rsidR="00000000" w:rsidRDefault="00E0782F">
      <w:pPr>
        <w:jc w:val="both"/>
        <w:divId w:val="862783713"/>
        <w:rPr>
          <w:rFonts w:eastAsia="Times New Roman"/>
        </w:rPr>
      </w:pPr>
      <w:r>
        <w:rPr>
          <w:rFonts w:eastAsia="Times New Roman"/>
          <w:b/>
          <w:bCs/>
          <w:color w:val="000000"/>
          <w:sz w:val="20"/>
          <w:szCs w:val="20"/>
        </w:rPr>
        <w:t>COEP:</w:t>
      </w:r>
      <w:r>
        <w:rPr>
          <w:rFonts w:eastAsia="Times New Roman"/>
          <w:color w:val="000000"/>
          <w:sz w:val="20"/>
          <w:szCs w:val="20"/>
        </w:rPr>
        <w:t xml:space="preserve"> Capital One (Europe) plc</w:t>
      </w:r>
    </w:p>
    <w:p w:rsidR="00000000" w:rsidRDefault="00E0782F">
      <w:pPr>
        <w:jc w:val="both"/>
        <w:divId w:val="881409196"/>
        <w:rPr>
          <w:rFonts w:eastAsia="Times New Roman"/>
        </w:rPr>
      </w:pPr>
      <w:r>
        <w:rPr>
          <w:rFonts w:eastAsia="Times New Roman"/>
          <w:b/>
          <w:bCs/>
          <w:color w:val="000000"/>
          <w:sz w:val="20"/>
          <w:szCs w:val="20"/>
        </w:rPr>
        <w:t>COF:</w:t>
      </w:r>
      <w:r>
        <w:rPr>
          <w:rFonts w:eastAsia="Times New Roman"/>
          <w:color w:val="000000"/>
          <w:sz w:val="20"/>
          <w:szCs w:val="20"/>
        </w:rPr>
        <w:t xml:space="preserve"> Capital One Financial Corporation</w:t>
      </w:r>
    </w:p>
    <w:p w:rsidR="00000000" w:rsidRDefault="00E0782F">
      <w:pPr>
        <w:jc w:val="both"/>
        <w:divId w:val="447699549"/>
        <w:rPr>
          <w:rFonts w:eastAsia="Times New Roman"/>
        </w:rPr>
      </w:pPr>
      <w:r>
        <w:rPr>
          <w:rFonts w:eastAsia="Times New Roman"/>
          <w:b/>
          <w:bCs/>
          <w:color w:val="000000"/>
          <w:sz w:val="20"/>
          <w:szCs w:val="20"/>
        </w:rPr>
        <w:t xml:space="preserve">CVA: </w:t>
      </w:r>
      <w:r>
        <w:rPr>
          <w:rFonts w:eastAsia="Times New Roman"/>
          <w:color w:val="000000"/>
          <w:sz w:val="20"/>
          <w:szCs w:val="20"/>
        </w:rPr>
        <w:t>Credit valuation adjustment</w:t>
      </w:r>
    </w:p>
    <w:p w:rsidR="00000000" w:rsidRDefault="00E0782F">
      <w:pPr>
        <w:jc w:val="both"/>
        <w:divId w:val="1103114277"/>
        <w:rPr>
          <w:rFonts w:eastAsia="Times New Roman"/>
        </w:rPr>
      </w:pPr>
      <w:r>
        <w:rPr>
          <w:rFonts w:eastAsia="Times New Roman"/>
          <w:b/>
          <w:bCs/>
          <w:color w:val="000000"/>
          <w:sz w:val="20"/>
          <w:szCs w:val="20"/>
        </w:rPr>
        <w:t xml:space="preserve">DIF: </w:t>
      </w:r>
      <w:r>
        <w:rPr>
          <w:rFonts w:eastAsia="Times New Roman"/>
          <w:color w:val="000000"/>
          <w:sz w:val="20"/>
          <w:szCs w:val="20"/>
        </w:rPr>
        <w:t>Deposit Insurance Fund</w:t>
      </w:r>
    </w:p>
    <w:p w:rsidR="00000000" w:rsidRDefault="00E0782F">
      <w:pPr>
        <w:jc w:val="both"/>
        <w:divId w:val="85006983"/>
        <w:rPr>
          <w:rFonts w:eastAsia="Times New Roman"/>
        </w:rPr>
      </w:pPr>
      <w:r>
        <w:rPr>
          <w:rFonts w:eastAsia="Times New Roman"/>
          <w:b/>
          <w:bCs/>
          <w:color w:val="000000"/>
          <w:sz w:val="20"/>
          <w:szCs w:val="20"/>
        </w:rPr>
        <w:t xml:space="preserve">DVA: </w:t>
      </w:r>
      <w:r>
        <w:rPr>
          <w:rFonts w:eastAsia="Times New Roman"/>
          <w:color w:val="000000"/>
          <w:sz w:val="20"/>
          <w:szCs w:val="20"/>
        </w:rPr>
        <w:t>Debit valuation adjustment</w:t>
      </w:r>
    </w:p>
    <w:p w:rsidR="00000000" w:rsidRDefault="00E0782F">
      <w:pPr>
        <w:jc w:val="both"/>
        <w:divId w:val="1199666777"/>
        <w:rPr>
          <w:rFonts w:eastAsia="Times New Roman"/>
        </w:rPr>
      </w:pPr>
      <w:r>
        <w:rPr>
          <w:rFonts w:eastAsia="Times New Roman"/>
          <w:b/>
          <w:bCs/>
          <w:color w:val="000000"/>
          <w:sz w:val="20"/>
          <w:szCs w:val="20"/>
        </w:rPr>
        <w:t>EUR:</w:t>
      </w:r>
      <w:r>
        <w:rPr>
          <w:rFonts w:eastAsia="Times New Roman"/>
          <w:color w:val="000000"/>
          <w:sz w:val="20"/>
          <w:szCs w:val="20"/>
        </w:rPr>
        <w:t xml:space="preserve"> Euro</w:t>
      </w:r>
    </w:p>
    <w:p w:rsidR="00000000" w:rsidRDefault="00E0782F">
      <w:pPr>
        <w:jc w:val="both"/>
        <w:divId w:val="1694841766"/>
        <w:rPr>
          <w:rFonts w:eastAsia="Times New Roman"/>
        </w:rPr>
      </w:pPr>
      <w:r>
        <w:rPr>
          <w:rFonts w:eastAsia="Times New Roman"/>
          <w:b/>
          <w:bCs/>
          <w:color w:val="000000"/>
          <w:sz w:val="20"/>
          <w:szCs w:val="20"/>
        </w:rPr>
        <w:t xml:space="preserve">Fannie Mae: </w:t>
      </w:r>
      <w:r>
        <w:rPr>
          <w:rFonts w:eastAsia="Times New Roman"/>
          <w:color w:val="000000"/>
          <w:sz w:val="20"/>
          <w:szCs w:val="20"/>
        </w:rPr>
        <w:t>Federal National Mortgage Association</w:t>
      </w:r>
    </w:p>
    <w:p w:rsidR="00000000" w:rsidRDefault="00E0782F">
      <w:pPr>
        <w:jc w:val="both"/>
        <w:divId w:val="1736277885"/>
        <w:rPr>
          <w:rFonts w:eastAsia="Times New Roman"/>
        </w:rPr>
      </w:pPr>
      <w:r>
        <w:rPr>
          <w:rFonts w:eastAsia="Times New Roman"/>
          <w:b/>
          <w:bCs/>
          <w:color w:val="000000"/>
          <w:sz w:val="20"/>
          <w:szCs w:val="20"/>
        </w:rPr>
        <w:t>FASB:</w:t>
      </w:r>
      <w:r>
        <w:rPr>
          <w:rFonts w:eastAsia="Times New Roman"/>
          <w:color w:val="000000"/>
          <w:sz w:val="20"/>
          <w:szCs w:val="20"/>
        </w:rPr>
        <w:t xml:space="preserve"> Financial Accounting Standards Board</w:t>
      </w:r>
    </w:p>
    <w:p w:rsidR="00000000" w:rsidRDefault="00E0782F">
      <w:pPr>
        <w:jc w:val="both"/>
        <w:divId w:val="262108769"/>
        <w:rPr>
          <w:rFonts w:eastAsia="Times New Roman"/>
        </w:rPr>
      </w:pPr>
      <w:r>
        <w:rPr>
          <w:rFonts w:eastAsia="Times New Roman"/>
          <w:b/>
          <w:bCs/>
          <w:color w:val="000000"/>
          <w:sz w:val="20"/>
          <w:szCs w:val="20"/>
        </w:rPr>
        <w:t xml:space="preserve">FCA: </w:t>
      </w:r>
      <w:r>
        <w:rPr>
          <w:rFonts w:eastAsia="Times New Roman"/>
          <w:color w:val="000000"/>
          <w:sz w:val="20"/>
          <w:szCs w:val="20"/>
        </w:rPr>
        <w:t>U.K. Financial Conduct Authority</w:t>
      </w:r>
    </w:p>
    <w:p w:rsidR="00000000" w:rsidRDefault="00E0782F">
      <w:pPr>
        <w:jc w:val="both"/>
        <w:divId w:val="515728805"/>
        <w:rPr>
          <w:rFonts w:eastAsia="Times New Roman"/>
        </w:rPr>
      </w:pPr>
      <w:r>
        <w:rPr>
          <w:rFonts w:eastAsia="Times New Roman"/>
          <w:b/>
          <w:bCs/>
          <w:color w:val="000000"/>
          <w:sz w:val="20"/>
          <w:szCs w:val="20"/>
        </w:rPr>
        <w:t>FCM:</w:t>
      </w:r>
      <w:r>
        <w:rPr>
          <w:rFonts w:eastAsia="Times New Roman"/>
          <w:color w:val="000000"/>
          <w:sz w:val="20"/>
          <w:szCs w:val="20"/>
        </w:rPr>
        <w:t xml:space="preserve"> Futures commission merchant</w:t>
      </w:r>
    </w:p>
    <w:p w:rsidR="00000000" w:rsidRDefault="00E0782F">
      <w:pPr>
        <w:jc w:val="both"/>
        <w:divId w:val="427237334"/>
        <w:rPr>
          <w:rFonts w:eastAsia="Times New Roman"/>
        </w:rPr>
      </w:pPr>
      <w:r>
        <w:rPr>
          <w:rFonts w:eastAsia="Times New Roman"/>
          <w:b/>
          <w:bCs/>
          <w:color w:val="000000"/>
          <w:sz w:val="20"/>
          <w:szCs w:val="20"/>
        </w:rPr>
        <w:t>FDIC:</w:t>
      </w:r>
      <w:r>
        <w:rPr>
          <w:rFonts w:eastAsia="Times New Roman"/>
          <w:color w:val="000000"/>
          <w:sz w:val="20"/>
          <w:szCs w:val="20"/>
        </w:rPr>
        <w:t xml:space="preserve"> Federal Deposit Insurance Corporation</w:t>
      </w:r>
    </w:p>
    <w:p w:rsidR="00000000" w:rsidRDefault="00E0782F">
      <w:pPr>
        <w:jc w:val="both"/>
        <w:divId w:val="1847550297"/>
        <w:rPr>
          <w:rFonts w:eastAsia="Times New Roman"/>
        </w:rPr>
      </w:pPr>
      <w:r>
        <w:rPr>
          <w:rFonts w:eastAsia="Times New Roman"/>
          <w:b/>
          <w:bCs/>
          <w:color w:val="000000"/>
          <w:sz w:val="20"/>
          <w:szCs w:val="20"/>
        </w:rPr>
        <w:t xml:space="preserve">FFIEC: </w:t>
      </w:r>
      <w:r>
        <w:rPr>
          <w:rFonts w:eastAsia="Times New Roman"/>
          <w:color w:val="000000"/>
          <w:sz w:val="20"/>
          <w:szCs w:val="20"/>
        </w:rPr>
        <w:t>Fede</w:t>
      </w:r>
      <w:r>
        <w:rPr>
          <w:rFonts w:eastAsia="Times New Roman"/>
          <w:color w:val="000000"/>
          <w:sz w:val="20"/>
          <w:szCs w:val="20"/>
        </w:rPr>
        <w:t>ral Financial Institutions Examination Council</w:t>
      </w:r>
    </w:p>
    <w:p w:rsidR="00000000" w:rsidRDefault="00E0782F">
      <w:pPr>
        <w:jc w:val="both"/>
        <w:divId w:val="635069831"/>
        <w:rPr>
          <w:rFonts w:eastAsia="Times New Roman"/>
        </w:rPr>
      </w:pPr>
      <w:r>
        <w:rPr>
          <w:rFonts w:eastAsia="Times New Roman"/>
          <w:b/>
          <w:bCs/>
          <w:color w:val="000000"/>
          <w:sz w:val="20"/>
          <w:szCs w:val="20"/>
        </w:rPr>
        <w:t xml:space="preserve">FHLB: </w:t>
      </w:r>
      <w:r>
        <w:rPr>
          <w:rFonts w:eastAsia="Times New Roman"/>
          <w:color w:val="000000"/>
          <w:sz w:val="20"/>
          <w:szCs w:val="20"/>
        </w:rPr>
        <w:t>Federal Home Loan Banks</w:t>
      </w:r>
    </w:p>
    <w:p w:rsidR="00000000" w:rsidRDefault="00E0782F">
      <w:pPr>
        <w:jc w:val="both"/>
        <w:divId w:val="186215162"/>
        <w:rPr>
          <w:rFonts w:eastAsia="Times New Roman"/>
        </w:rPr>
      </w:pPr>
      <w:r>
        <w:rPr>
          <w:rFonts w:eastAsia="Times New Roman"/>
          <w:b/>
          <w:bCs/>
          <w:color w:val="000000"/>
          <w:sz w:val="20"/>
          <w:szCs w:val="20"/>
        </w:rPr>
        <w:t>FinCEN</w:t>
      </w:r>
      <w:r>
        <w:rPr>
          <w:rFonts w:eastAsia="Times New Roman"/>
          <w:color w:val="000000"/>
          <w:sz w:val="20"/>
          <w:szCs w:val="20"/>
        </w:rPr>
        <w:t>: Financial Crimes Enforcement Network</w:t>
      </w:r>
    </w:p>
    <w:p w:rsidR="00000000" w:rsidRDefault="00E0782F">
      <w:pPr>
        <w:jc w:val="both"/>
        <w:divId w:val="600337972"/>
        <w:rPr>
          <w:rFonts w:eastAsia="Times New Roman"/>
        </w:rPr>
      </w:pPr>
      <w:r>
        <w:rPr>
          <w:rFonts w:eastAsia="Times New Roman"/>
          <w:b/>
          <w:bCs/>
          <w:color w:val="000000"/>
          <w:sz w:val="20"/>
          <w:szCs w:val="20"/>
        </w:rPr>
        <w:t xml:space="preserve">Fitch: </w:t>
      </w:r>
      <w:r>
        <w:rPr>
          <w:rFonts w:eastAsia="Times New Roman"/>
          <w:color w:val="000000"/>
          <w:sz w:val="20"/>
          <w:szCs w:val="20"/>
        </w:rPr>
        <w:t>Fitch Ratings</w:t>
      </w:r>
    </w:p>
    <w:p w:rsidR="00000000" w:rsidRDefault="00E0782F">
      <w:pPr>
        <w:jc w:val="both"/>
        <w:divId w:val="1888181154"/>
        <w:rPr>
          <w:rFonts w:eastAsia="Times New Roman"/>
        </w:rPr>
      </w:pPr>
      <w:r>
        <w:rPr>
          <w:rFonts w:eastAsia="Times New Roman"/>
          <w:b/>
          <w:bCs/>
          <w:color w:val="000000"/>
          <w:sz w:val="20"/>
          <w:szCs w:val="20"/>
        </w:rPr>
        <w:t xml:space="preserve">FOS: </w:t>
      </w:r>
      <w:r>
        <w:rPr>
          <w:rFonts w:eastAsia="Times New Roman"/>
          <w:color w:val="000000"/>
          <w:sz w:val="20"/>
          <w:szCs w:val="20"/>
        </w:rPr>
        <w:t>Financial Ombudsman Service</w:t>
      </w:r>
    </w:p>
    <w:p w:rsidR="00000000" w:rsidRDefault="00E0782F">
      <w:pPr>
        <w:jc w:val="both"/>
        <w:divId w:val="155849711"/>
        <w:rPr>
          <w:rFonts w:eastAsia="Times New Roman"/>
        </w:rPr>
      </w:pPr>
      <w:r>
        <w:rPr>
          <w:rFonts w:eastAsia="Times New Roman"/>
          <w:b/>
          <w:bCs/>
          <w:color w:val="000000"/>
          <w:sz w:val="20"/>
          <w:szCs w:val="20"/>
        </w:rPr>
        <w:t>Freddie Mac:</w:t>
      </w:r>
      <w:r>
        <w:rPr>
          <w:rFonts w:ascii="Arial" w:eastAsia="Times New Roman" w:hAnsi="Arial" w:cs="Arial"/>
          <w:color w:val="000000"/>
          <w:sz w:val="20"/>
          <w:szCs w:val="20"/>
        </w:rPr>
        <w:t xml:space="preserve"> </w:t>
      </w:r>
      <w:r>
        <w:rPr>
          <w:rFonts w:eastAsia="Times New Roman"/>
          <w:color w:val="000000"/>
          <w:sz w:val="20"/>
          <w:szCs w:val="20"/>
        </w:rPr>
        <w:t>Federal Home Loan Mortgage Corporation</w:t>
      </w:r>
    </w:p>
    <w:p w:rsidR="00000000" w:rsidRDefault="00E0782F">
      <w:pPr>
        <w:jc w:val="both"/>
        <w:divId w:val="1338465601"/>
        <w:rPr>
          <w:rFonts w:eastAsia="Times New Roman"/>
        </w:rPr>
      </w:pPr>
      <w:r>
        <w:rPr>
          <w:rFonts w:eastAsia="Times New Roman"/>
          <w:b/>
          <w:bCs/>
          <w:color w:val="000000"/>
          <w:sz w:val="20"/>
          <w:szCs w:val="20"/>
        </w:rPr>
        <w:t xml:space="preserve">GAAP: </w:t>
      </w:r>
      <w:r>
        <w:rPr>
          <w:rFonts w:eastAsia="Times New Roman"/>
          <w:color w:val="000000"/>
          <w:sz w:val="20"/>
          <w:szCs w:val="20"/>
        </w:rPr>
        <w:t>Generally accepted acc</w:t>
      </w:r>
      <w:r>
        <w:rPr>
          <w:rFonts w:eastAsia="Times New Roman"/>
          <w:color w:val="000000"/>
          <w:sz w:val="20"/>
          <w:szCs w:val="20"/>
        </w:rPr>
        <w:t>ounting principles in the U.S.</w:t>
      </w:r>
    </w:p>
    <w:p w:rsidR="00000000" w:rsidRDefault="00E0782F">
      <w:pPr>
        <w:jc w:val="both"/>
        <w:divId w:val="781460407"/>
        <w:rPr>
          <w:rFonts w:eastAsia="Times New Roman"/>
        </w:rPr>
      </w:pPr>
      <w:r>
        <w:rPr>
          <w:rFonts w:eastAsia="Times New Roman"/>
          <w:b/>
          <w:bCs/>
          <w:color w:val="000000"/>
          <w:sz w:val="20"/>
          <w:szCs w:val="20"/>
        </w:rPr>
        <w:t xml:space="preserve">GBP: </w:t>
      </w:r>
      <w:r>
        <w:rPr>
          <w:rFonts w:eastAsia="Times New Roman"/>
          <w:color w:val="000000"/>
          <w:sz w:val="20"/>
          <w:szCs w:val="20"/>
        </w:rPr>
        <w:t>Pound sterling</w:t>
      </w:r>
    </w:p>
    <w:p w:rsidR="00000000" w:rsidRDefault="00E0782F">
      <w:pPr>
        <w:jc w:val="both"/>
        <w:divId w:val="606473691"/>
        <w:rPr>
          <w:rFonts w:eastAsia="Times New Roman"/>
        </w:rPr>
      </w:pPr>
      <w:r>
        <w:rPr>
          <w:rFonts w:eastAsia="Times New Roman"/>
          <w:b/>
          <w:bCs/>
          <w:color w:val="000000"/>
          <w:sz w:val="20"/>
          <w:szCs w:val="20"/>
        </w:rPr>
        <w:t>Ginnie Mae:</w:t>
      </w:r>
      <w:r>
        <w:rPr>
          <w:rFonts w:ascii="Arial" w:eastAsia="Times New Roman" w:hAnsi="Arial" w:cs="Arial"/>
          <w:color w:val="000000"/>
          <w:sz w:val="20"/>
          <w:szCs w:val="20"/>
        </w:rPr>
        <w:t xml:space="preserve"> </w:t>
      </w:r>
      <w:r>
        <w:rPr>
          <w:rFonts w:eastAsia="Times New Roman"/>
          <w:color w:val="000000"/>
          <w:sz w:val="20"/>
          <w:szCs w:val="20"/>
        </w:rPr>
        <w:t>Government National Mortgage Association</w:t>
      </w:r>
    </w:p>
    <w:p w:rsidR="00000000" w:rsidRDefault="00E0782F">
      <w:pPr>
        <w:jc w:val="both"/>
        <w:divId w:val="123040169"/>
        <w:rPr>
          <w:rFonts w:eastAsia="Times New Roman"/>
        </w:rPr>
      </w:pPr>
      <w:r>
        <w:rPr>
          <w:rFonts w:eastAsia="Times New Roman"/>
          <w:b/>
          <w:bCs/>
          <w:color w:val="000000"/>
          <w:sz w:val="20"/>
          <w:szCs w:val="20"/>
        </w:rPr>
        <w:t xml:space="preserve">GSE </w:t>
      </w:r>
      <w:r>
        <w:rPr>
          <w:rFonts w:eastAsia="Times New Roman"/>
          <w:color w:val="000000"/>
          <w:sz w:val="20"/>
          <w:szCs w:val="20"/>
        </w:rPr>
        <w:t>or</w:t>
      </w:r>
      <w:r>
        <w:rPr>
          <w:rFonts w:eastAsia="Times New Roman"/>
          <w:b/>
          <w:bCs/>
          <w:color w:val="000000"/>
          <w:sz w:val="20"/>
          <w:szCs w:val="20"/>
        </w:rPr>
        <w:t xml:space="preserve"> Agency:</w:t>
      </w:r>
      <w:r>
        <w:rPr>
          <w:rFonts w:eastAsia="Times New Roman"/>
          <w:color w:val="000000"/>
          <w:sz w:val="20"/>
          <w:szCs w:val="20"/>
        </w:rPr>
        <w:t xml:space="preserve"> Government-sponsored enterprise</w:t>
      </w:r>
    </w:p>
    <w:p w:rsidR="00000000" w:rsidRDefault="00E0782F">
      <w:pPr>
        <w:jc w:val="both"/>
        <w:divId w:val="13576842"/>
        <w:rPr>
          <w:rFonts w:eastAsia="Times New Roman"/>
        </w:rPr>
      </w:pPr>
      <w:r>
        <w:rPr>
          <w:rFonts w:eastAsia="Times New Roman"/>
          <w:b/>
          <w:bCs/>
          <w:color w:val="000000"/>
          <w:sz w:val="20"/>
          <w:szCs w:val="20"/>
        </w:rPr>
        <w:t>IBOR</w:t>
      </w:r>
      <w:r>
        <w:rPr>
          <w:rFonts w:eastAsia="Times New Roman"/>
          <w:color w:val="000000"/>
          <w:sz w:val="20"/>
          <w:szCs w:val="20"/>
        </w:rPr>
        <w:t>: Interbank Offered Rate</w:t>
      </w:r>
    </w:p>
    <w:p w:rsidR="00000000" w:rsidRDefault="00E0782F">
      <w:pPr>
        <w:jc w:val="both"/>
        <w:divId w:val="257563195"/>
        <w:rPr>
          <w:rFonts w:eastAsia="Times New Roman"/>
        </w:rPr>
      </w:pPr>
      <w:r>
        <w:rPr>
          <w:rFonts w:eastAsia="Times New Roman"/>
          <w:b/>
          <w:bCs/>
          <w:color w:val="000000"/>
          <w:sz w:val="20"/>
          <w:szCs w:val="20"/>
        </w:rPr>
        <w:t>IRM:</w:t>
      </w:r>
      <w:r>
        <w:rPr>
          <w:rFonts w:eastAsia="Times New Roman"/>
          <w:color w:val="000000"/>
          <w:sz w:val="20"/>
          <w:szCs w:val="20"/>
        </w:rPr>
        <w:t xml:space="preserve"> Independent Risk Management</w:t>
      </w:r>
    </w:p>
    <w:p w:rsidR="00000000" w:rsidRDefault="00E0782F">
      <w:pPr>
        <w:jc w:val="both"/>
        <w:divId w:val="1813911695"/>
        <w:rPr>
          <w:rFonts w:eastAsia="Times New Roman"/>
        </w:rPr>
      </w:pPr>
      <w:r>
        <w:rPr>
          <w:rFonts w:eastAsia="Times New Roman"/>
          <w:b/>
          <w:bCs/>
          <w:color w:val="000000"/>
          <w:sz w:val="20"/>
          <w:szCs w:val="20"/>
        </w:rPr>
        <w:t>LCH:</w:t>
      </w:r>
      <w:r>
        <w:rPr>
          <w:rFonts w:eastAsia="Times New Roman"/>
          <w:color w:val="000000"/>
          <w:sz w:val="20"/>
          <w:szCs w:val="20"/>
        </w:rPr>
        <w:t xml:space="preserve"> LCH Group</w:t>
      </w:r>
    </w:p>
    <w:p w:rsidR="00000000" w:rsidRDefault="00E0782F">
      <w:pPr>
        <w:jc w:val="both"/>
        <w:divId w:val="903029071"/>
        <w:rPr>
          <w:rFonts w:eastAsia="Times New Roman"/>
        </w:rPr>
      </w:pPr>
      <w:r>
        <w:rPr>
          <w:rFonts w:eastAsia="Times New Roman"/>
          <w:b/>
          <w:bCs/>
          <w:color w:val="000000"/>
          <w:sz w:val="20"/>
          <w:szCs w:val="20"/>
        </w:rPr>
        <w:t>LCR:</w:t>
      </w:r>
      <w:r>
        <w:rPr>
          <w:rFonts w:eastAsia="Times New Roman"/>
          <w:color w:val="000000"/>
          <w:sz w:val="20"/>
          <w:szCs w:val="20"/>
        </w:rPr>
        <w:t xml:space="preserve"> Liquidity coverage rati</w:t>
      </w:r>
      <w:r>
        <w:rPr>
          <w:rFonts w:eastAsia="Times New Roman"/>
          <w:color w:val="000000"/>
          <w:sz w:val="20"/>
          <w:szCs w:val="20"/>
        </w:rPr>
        <w:t>o</w:t>
      </w:r>
    </w:p>
    <w:p w:rsidR="00000000" w:rsidRDefault="00E0782F">
      <w:pPr>
        <w:jc w:val="both"/>
        <w:divId w:val="1985811538"/>
        <w:rPr>
          <w:rFonts w:eastAsia="Times New Roman"/>
        </w:rPr>
      </w:pPr>
      <w:r>
        <w:rPr>
          <w:rFonts w:eastAsia="Times New Roman"/>
          <w:b/>
          <w:bCs/>
          <w:color w:val="000000"/>
          <w:sz w:val="20"/>
          <w:szCs w:val="20"/>
        </w:rPr>
        <w:t>LIBOR:</w:t>
      </w:r>
      <w:r>
        <w:rPr>
          <w:rFonts w:ascii="Arial" w:eastAsia="Times New Roman" w:hAnsi="Arial" w:cs="Arial"/>
          <w:color w:val="000000"/>
          <w:sz w:val="20"/>
          <w:szCs w:val="20"/>
        </w:rPr>
        <w:t xml:space="preserve"> </w:t>
      </w:r>
      <w:r>
        <w:rPr>
          <w:rFonts w:eastAsia="Times New Roman"/>
          <w:color w:val="000000"/>
          <w:sz w:val="20"/>
          <w:szCs w:val="20"/>
        </w:rPr>
        <w:t>London Interbank Offered Rate</w:t>
      </w:r>
    </w:p>
    <w:p w:rsidR="00000000" w:rsidRDefault="00E0782F">
      <w:pPr>
        <w:jc w:val="both"/>
        <w:divId w:val="486676170"/>
        <w:rPr>
          <w:rFonts w:eastAsia="Times New Roman"/>
        </w:rPr>
      </w:pPr>
      <w:r>
        <w:rPr>
          <w:rFonts w:eastAsia="Times New Roman"/>
          <w:b/>
          <w:bCs/>
          <w:color w:val="000000"/>
          <w:sz w:val="20"/>
          <w:szCs w:val="20"/>
        </w:rPr>
        <w:t>MDL:</w:t>
      </w:r>
      <w:r>
        <w:rPr>
          <w:rFonts w:eastAsia="Times New Roman"/>
          <w:color w:val="000000"/>
          <w:sz w:val="20"/>
          <w:szCs w:val="20"/>
        </w:rPr>
        <w:t xml:space="preserve"> Multi-district litigation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6386691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63866919"/>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6386691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39" style="width:0;height:1.5pt" o:hralign="center" o:hrstd="t" o:hr="t" fillcolor="#a0a0a0" stroked="f"/>
        </w:pict>
      </w:r>
    </w:p>
    <w:p w:rsidR="00000000" w:rsidRDefault="00E0782F">
      <w:pPr>
        <w:ind w:hanging="360"/>
        <w:jc w:val="both"/>
        <w:divId w:val="1294409454"/>
        <w:rPr>
          <w:rFonts w:eastAsia="Times New Roman"/>
        </w:rPr>
      </w:pPr>
      <w:hyperlink w:anchor="i3af66512804646fcaf1b19a0aea6f320_7" w:history="1">
        <w:r>
          <w:rPr>
            <w:rStyle w:val="a3"/>
            <w:rFonts w:eastAsia="Times New Roman"/>
            <w:sz w:val="16"/>
            <w:szCs w:val="16"/>
          </w:rPr>
          <w:t xml:space="preserve">Table of </w:t>
        </w:r>
      </w:hyperlink>
      <w:hyperlink w:anchor="i3af66512804646fcaf1b19a0aea6f320_7" w:history="1">
        <w:r>
          <w:rPr>
            <w:rStyle w:val="a3"/>
            <w:rFonts w:eastAsia="Times New Roman"/>
            <w:sz w:val="16"/>
            <w:szCs w:val="16"/>
          </w:rPr>
          <w:t>Contents</w:t>
        </w:r>
      </w:hyperlink>
    </w:p>
    <w:p w:rsidR="00000000" w:rsidRDefault="00E0782F">
      <w:pPr>
        <w:jc w:val="both"/>
        <w:divId w:val="1533811221"/>
        <w:rPr>
          <w:rFonts w:eastAsia="Times New Roman"/>
        </w:rPr>
      </w:pPr>
      <w:r>
        <w:rPr>
          <w:rFonts w:eastAsia="Times New Roman"/>
          <w:b/>
          <w:bCs/>
          <w:color w:val="000000"/>
          <w:sz w:val="20"/>
          <w:szCs w:val="20"/>
        </w:rPr>
        <w:t>Moody’s:</w:t>
      </w:r>
      <w:r>
        <w:rPr>
          <w:rFonts w:eastAsia="Times New Roman"/>
          <w:color w:val="000000"/>
          <w:sz w:val="20"/>
          <w:szCs w:val="20"/>
        </w:rPr>
        <w:t xml:space="preserve"> Moody’s Investors Service</w:t>
      </w:r>
    </w:p>
    <w:p w:rsidR="00000000" w:rsidRDefault="00E0782F">
      <w:pPr>
        <w:jc w:val="both"/>
        <w:divId w:val="557129699"/>
        <w:rPr>
          <w:rFonts w:eastAsia="Times New Roman"/>
        </w:rPr>
      </w:pPr>
      <w:r>
        <w:rPr>
          <w:rFonts w:eastAsia="Times New Roman"/>
          <w:b/>
          <w:bCs/>
          <w:color w:val="000000"/>
          <w:sz w:val="20"/>
          <w:szCs w:val="20"/>
        </w:rPr>
        <w:t xml:space="preserve">MSRs: </w:t>
      </w:r>
      <w:r>
        <w:rPr>
          <w:rFonts w:eastAsia="Times New Roman"/>
          <w:color w:val="000000"/>
          <w:sz w:val="20"/>
          <w:szCs w:val="20"/>
        </w:rPr>
        <w:t>Mortgage servicing rights</w:t>
      </w:r>
    </w:p>
    <w:p w:rsidR="00000000" w:rsidRDefault="00E0782F">
      <w:pPr>
        <w:jc w:val="both"/>
        <w:divId w:val="1394695506"/>
        <w:rPr>
          <w:rFonts w:eastAsia="Times New Roman"/>
        </w:rPr>
      </w:pPr>
      <w:r>
        <w:rPr>
          <w:rFonts w:eastAsia="Times New Roman"/>
          <w:b/>
          <w:bCs/>
          <w:color w:val="000000"/>
          <w:sz w:val="20"/>
          <w:szCs w:val="20"/>
        </w:rPr>
        <w:t>NSFR:</w:t>
      </w:r>
      <w:r>
        <w:rPr>
          <w:rFonts w:eastAsia="Times New Roman"/>
          <w:color w:val="000000"/>
          <w:sz w:val="20"/>
          <w:szCs w:val="20"/>
        </w:rPr>
        <w:t xml:space="preserve"> Net stable fu</w:t>
      </w:r>
      <w:r>
        <w:rPr>
          <w:rFonts w:eastAsia="Times New Roman"/>
          <w:color w:val="000000"/>
          <w:sz w:val="20"/>
          <w:szCs w:val="20"/>
        </w:rPr>
        <w:t>nding ratio</w:t>
      </w:r>
    </w:p>
    <w:p w:rsidR="00000000" w:rsidRDefault="00E0782F">
      <w:pPr>
        <w:jc w:val="both"/>
        <w:divId w:val="657154472"/>
        <w:rPr>
          <w:rFonts w:eastAsia="Times New Roman"/>
        </w:rPr>
      </w:pPr>
      <w:r>
        <w:rPr>
          <w:rFonts w:eastAsia="Times New Roman"/>
          <w:b/>
          <w:bCs/>
          <w:color w:val="000000"/>
          <w:sz w:val="20"/>
          <w:szCs w:val="20"/>
        </w:rPr>
        <w:t>OCC:</w:t>
      </w:r>
      <w:r>
        <w:rPr>
          <w:rFonts w:eastAsia="Times New Roman"/>
          <w:color w:val="000000"/>
          <w:sz w:val="20"/>
          <w:szCs w:val="20"/>
        </w:rPr>
        <w:t xml:space="preserve"> Office of the Comptroller of the Currency </w:t>
      </w:r>
    </w:p>
    <w:p w:rsidR="00000000" w:rsidRDefault="00E0782F">
      <w:pPr>
        <w:jc w:val="both"/>
        <w:divId w:val="2135513539"/>
        <w:rPr>
          <w:rFonts w:eastAsia="Times New Roman"/>
        </w:rPr>
      </w:pPr>
      <w:r>
        <w:rPr>
          <w:rFonts w:eastAsia="Times New Roman"/>
          <w:b/>
          <w:bCs/>
          <w:color w:val="000000"/>
          <w:sz w:val="20"/>
          <w:szCs w:val="20"/>
        </w:rPr>
        <w:t xml:space="preserve">OTC: </w:t>
      </w:r>
      <w:r>
        <w:rPr>
          <w:rFonts w:eastAsia="Times New Roman"/>
          <w:color w:val="000000"/>
          <w:sz w:val="20"/>
          <w:szCs w:val="20"/>
        </w:rPr>
        <w:t xml:space="preserve">Over-the-counter </w:t>
      </w:r>
    </w:p>
    <w:p w:rsidR="00000000" w:rsidRDefault="00E0782F">
      <w:pPr>
        <w:jc w:val="both"/>
        <w:divId w:val="635641998"/>
        <w:rPr>
          <w:rFonts w:eastAsia="Times New Roman"/>
        </w:rPr>
      </w:pPr>
      <w:r>
        <w:rPr>
          <w:rFonts w:eastAsia="Times New Roman"/>
          <w:b/>
          <w:bCs/>
          <w:color w:val="000000"/>
          <w:sz w:val="20"/>
          <w:szCs w:val="20"/>
        </w:rPr>
        <w:t>PCA:</w:t>
      </w:r>
      <w:r>
        <w:rPr>
          <w:rFonts w:ascii="Arial" w:eastAsia="Times New Roman" w:hAnsi="Arial" w:cs="Arial"/>
          <w:color w:val="000000"/>
          <w:sz w:val="20"/>
          <w:szCs w:val="20"/>
        </w:rPr>
        <w:t xml:space="preserve"> </w:t>
      </w:r>
      <w:r>
        <w:rPr>
          <w:rFonts w:eastAsia="Times New Roman"/>
          <w:color w:val="000000"/>
          <w:sz w:val="20"/>
          <w:szCs w:val="20"/>
        </w:rPr>
        <w:t>Prompt corrective action</w:t>
      </w:r>
    </w:p>
    <w:p w:rsidR="00000000" w:rsidRDefault="00E0782F">
      <w:pPr>
        <w:jc w:val="both"/>
        <w:divId w:val="1986812951"/>
        <w:rPr>
          <w:rFonts w:eastAsia="Times New Roman"/>
        </w:rPr>
      </w:pPr>
      <w:r>
        <w:rPr>
          <w:rFonts w:eastAsia="Times New Roman"/>
          <w:b/>
          <w:bCs/>
          <w:color w:val="000000"/>
          <w:sz w:val="20"/>
          <w:szCs w:val="20"/>
        </w:rPr>
        <w:t>PCD:</w:t>
      </w:r>
      <w:r>
        <w:rPr>
          <w:rFonts w:eastAsia="Times New Roman"/>
          <w:color w:val="000000"/>
          <w:sz w:val="20"/>
          <w:szCs w:val="20"/>
        </w:rPr>
        <w:t xml:space="preserve"> Purchased credit-deteriorated</w:t>
      </w:r>
    </w:p>
    <w:p w:rsidR="00000000" w:rsidRDefault="00E0782F">
      <w:pPr>
        <w:jc w:val="both"/>
        <w:divId w:val="352347676"/>
        <w:rPr>
          <w:rFonts w:eastAsia="Times New Roman"/>
        </w:rPr>
      </w:pPr>
      <w:r>
        <w:rPr>
          <w:rFonts w:eastAsia="Times New Roman"/>
          <w:b/>
          <w:bCs/>
          <w:color w:val="000000"/>
          <w:sz w:val="20"/>
          <w:szCs w:val="20"/>
        </w:rPr>
        <w:t xml:space="preserve">PCI: </w:t>
      </w:r>
      <w:r>
        <w:rPr>
          <w:rFonts w:eastAsia="Times New Roman"/>
          <w:color w:val="000000"/>
          <w:sz w:val="20"/>
          <w:szCs w:val="20"/>
        </w:rPr>
        <w:t>Purchased credit-impaired</w:t>
      </w:r>
    </w:p>
    <w:p w:rsidR="00000000" w:rsidRDefault="00E0782F">
      <w:pPr>
        <w:jc w:val="both"/>
        <w:divId w:val="1716849212"/>
        <w:rPr>
          <w:rFonts w:eastAsia="Times New Roman"/>
        </w:rPr>
      </w:pPr>
      <w:r>
        <w:rPr>
          <w:rFonts w:eastAsia="Times New Roman"/>
          <w:b/>
          <w:bCs/>
          <w:color w:val="000000"/>
          <w:sz w:val="20"/>
          <w:szCs w:val="20"/>
        </w:rPr>
        <w:t xml:space="preserve">PCCR: </w:t>
      </w:r>
      <w:r>
        <w:rPr>
          <w:rFonts w:eastAsia="Times New Roman"/>
          <w:color w:val="000000"/>
          <w:sz w:val="20"/>
          <w:szCs w:val="20"/>
        </w:rPr>
        <w:t>Purchased credit card relationship</w:t>
      </w:r>
    </w:p>
    <w:p w:rsidR="00000000" w:rsidRDefault="00E0782F">
      <w:pPr>
        <w:jc w:val="both"/>
        <w:divId w:val="986545186"/>
        <w:rPr>
          <w:rFonts w:eastAsia="Times New Roman"/>
        </w:rPr>
      </w:pPr>
      <w:r>
        <w:rPr>
          <w:rFonts w:eastAsia="Times New Roman"/>
          <w:b/>
          <w:bCs/>
          <w:color w:val="000000"/>
          <w:sz w:val="20"/>
          <w:szCs w:val="20"/>
        </w:rPr>
        <w:t xml:space="preserve">PPI: </w:t>
      </w:r>
      <w:r>
        <w:rPr>
          <w:rFonts w:eastAsia="Times New Roman"/>
          <w:color w:val="000000"/>
          <w:sz w:val="20"/>
          <w:szCs w:val="20"/>
        </w:rPr>
        <w:t>Payment protection insurance</w:t>
      </w:r>
    </w:p>
    <w:p w:rsidR="00000000" w:rsidRDefault="00E0782F">
      <w:pPr>
        <w:jc w:val="both"/>
        <w:divId w:val="1583371560"/>
        <w:rPr>
          <w:rFonts w:eastAsia="Times New Roman"/>
        </w:rPr>
      </w:pPr>
      <w:r>
        <w:rPr>
          <w:rFonts w:eastAsia="Times New Roman"/>
          <w:b/>
          <w:bCs/>
          <w:color w:val="000000"/>
          <w:sz w:val="20"/>
          <w:szCs w:val="20"/>
        </w:rPr>
        <w:t>PP</w:t>
      </w:r>
      <w:r>
        <w:rPr>
          <w:rFonts w:eastAsia="Times New Roman"/>
          <w:b/>
          <w:bCs/>
          <w:color w:val="000000"/>
          <w:sz w:val="20"/>
          <w:szCs w:val="20"/>
        </w:rPr>
        <w:t xml:space="preserve">P: </w:t>
      </w:r>
      <w:r>
        <w:rPr>
          <w:rFonts w:eastAsia="Times New Roman"/>
          <w:color w:val="000000"/>
          <w:sz w:val="20"/>
          <w:szCs w:val="20"/>
        </w:rPr>
        <w:t>Paycheck Protection Program</w:t>
      </w:r>
    </w:p>
    <w:p w:rsidR="00000000" w:rsidRDefault="00E0782F">
      <w:pPr>
        <w:jc w:val="both"/>
        <w:divId w:val="58016752"/>
        <w:rPr>
          <w:rFonts w:eastAsia="Times New Roman"/>
        </w:rPr>
      </w:pPr>
      <w:r>
        <w:rPr>
          <w:rFonts w:eastAsia="Times New Roman"/>
          <w:b/>
          <w:bCs/>
          <w:color w:val="000000"/>
          <w:sz w:val="20"/>
          <w:szCs w:val="20"/>
        </w:rPr>
        <w:t xml:space="preserve">RMBS: </w:t>
      </w:r>
      <w:r>
        <w:rPr>
          <w:rFonts w:eastAsia="Times New Roman"/>
          <w:color w:val="000000"/>
          <w:sz w:val="20"/>
          <w:szCs w:val="20"/>
        </w:rPr>
        <w:t>Residential mortgage-backed securities</w:t>
      </w:r>
    </w:p>
    <w:p w:rsidR="00000000" w:rsidRDefault="00E0782F">
      <w:pPr>
        <w:jc w:val="both"/>
        <w:divId w:val="1832714779"/>
        <w:rPr>
          <w:rFonts w:eastAsia="Times New Roman"/>
        </w:rPr>
      </w:pPr>
      <w:r>
        <w:rPr>
          <w:rFonts w:eastAsia="Times New Roman"/>
          <w:b/>
          <w:bCs/>
          <w:color w:val="000000"/>
          <w:sz w:val="20"/>
          <w:szCs w:val="20"/>
        </w:rPr>
        <w:t>RSU:</w:t>
      </w:r>
      <w:r>
        <w:rPr>
          <w:rFonts w:eastAsia="Times New Roman"/>
          <w:color w:val="000000"/>
          <w:sz w:val="20"/>
          <w:szCs w:val="20"/>
        </w:rPr>
        <w:t xml:space="preserve"> Restricted stock unit</w:t>
      </w:r>
    </w:p>
    <w:p w:rsidR="00000000" w:rsidRDefault="00E0782F">
      <w:pPr>
        <w:jc w:val="both"/>
        <w:divId w:val="1260606429"/>
        <w:rPr>
          <w:rFonts w:eastAsia="Times New Roman"/>
        </w:rPr>
      </w:pPr>
      <w:r>
        <w:rPr>
          <w:rFonts w:eastAsia="Times New Roman"/>
          <w:b/>
          <w:bCs/>
          <w:color w:val="000000"/>
          <w:sz w:val="20"/>
          <w:szCs w:val="20"/>
        </w:rPr>
        <w:t>S&amp;P:</w:t>
      </w:r>
      <w:r>
        <w:rPr>
          <w:rFonts w:ascii="Arial" w:eastAsia="Times New Roman" w:hAnsi="Arial" w:cs="Arial"/>
          <w:color w:val="000000"/>
          <w:sz w:val="20"/>
          <w:szCs w:val="20"/>
        </w:rPr>
        <w:t xml:space="preserve"> </w:t>
      </w:r>
      <w:r>
        <w:rPr>
          <w:rFonts w:eastAsia="Times New Roman"/>
          <w:color w:val="000000"/>
          <w:sz w:val="20"/>
          <w:szCs w:val="20"/>
        </w:rPr>
        <w:t>Standard &amp; Poor’s</w:t>
      </w:r>
    </w:p>
    <w:p w:rsidR="00000000" w:rsidRDefault="00E0782F">
      <w:pPr>
        <w:jc w:val="both"/>
        <w:divId w:val="1593009932"/>
        <w:rPr>
          <w:rFonts w:eastAsia="Times New Roman"/>
        </w:rPr>
      </w:pPr>
      <w:r>
        <w:rPr>
          <w:rFonts w:eastAsia="Times New Roman"/>
          <w:b/>
          <w:bCs/>
          <w:color w:val="000000"/>
          <w:sz w:val="20"/>
          <w:szCs w:val="20"/>
        </w:rPr>
        <w:t>SEC:</w:t>
      </w:r>
      <w:r>
        <w:rPr>
          <w:rFonts w:eastAsia="Times New Roman"/>
          <w:color w:val="000000"/>
          <w:sz w:val="20"/>
          <w:szCs w:val="20"/>
        </w:rPr>
        <w:t xml:space="preserve"> U.S. Securities and Exchange Commission</w:t>
      </w:r>
    </w:p>
    <w:p w:rsidR="00000000" w:rsidRDefault="00E0782F">
      <w:pPr>
        <w:jc w:val="both"/>
        <w:divId w:val="1884098208"/>
        <w:rPr>
          <w:rFonts w:eastAsia="Times New Roman"/>
        </w:rPr>
      </w:pPr>
      <w:r>
        <w:rPr>
          <w:rFonts w:eastAsia="Times New Roman"/>
          <w:b/>
          <w:bCs/>
          <w:color w:val="000000"/>
          <w:sz w:val="20"/>
          <w:szCs w:val="20"/>
        </w:rPr>
        <w:t>SCB:</w:t>
      </w:r>
      <w:r>
        <w:rPr>
          <w:rFonts w:eastAsia="Times New Roman"/>
          <w:color w:val="000000"/>
          <w:sz w:val="20"/>
          <w:szCs w:val="20"/>
        </w:rPr>
        <w:t xml:space="preserve"> Stress Capital Buffer</w:t>
      </w:r>
    </w:p>
    <w:p w:rsidR="00000000" w:rsidRDefault="00E0782F">
      <w:pPr>
        <w:jc w:val="both"/>
        <w:divId w:val="454179761"/>
        <w:rPr>
          <w:rFonts w:eastAsia="Times New Roman"/>
        </w:rPr>
      </w:pPr>
      <w:r>
        <w:rPr>
          <w:rFonts w:eastAsia="Times New Roman"/>
          <w:b/>
          <w:bCs/>
          <w:color w:val="000000"/>
          <w:sz w:val="20"/>
          <w:szCs w:val="20"/>
        </w:rPr>
        <w:t>SOFR:</w:t>
      </w:r>
      <w:r>
        <w:rPr>
          <w:rFonts w:eastAsia="Times New Roman"/>
          <w:color w:val="000000"/>
          <w:sz w:val="20"/>
          <w:szCs w:val="20"/>
        </w:rPr>
        <w:t xml:space="preserve"> </w:t>
      </w:r>
      <w:r>
        <w:rPr>
          <w:rFonts w:eastAsia="Times New Roman"/>
          <w:color w:val="000000"/>
          <w:sz w:val="20"/>
          <w:szCs w:val="20"/>
        </w:rPr>
        <w:t>Secured Overnight Financing Rate</w:t>
      </w:r>
    </w:p>
    <w:p w:rsidR="00000000" w:rsidRDefault="00E0782F">
      <w:pPr>
        <w:jc w:val="both"/>
        <w:divId w:val="269357717"/>
        <w:rPr>
          <w:rFonts w:eastAsia="Times New Roman"/>
        </w:rPr>
      </w:pPr>
      <w:r>
        <w:rPr>
          <w:rFonts w:eastAsia="Times New Roman"/>
          <w:b/>
          <w:bCs/>
          <w:color w:val="000000"/>
          <w:sz w:val="20"/>
          <w:szCs w:val="20"/>
        </w:rPr>
        <w:t>TCE:</w:t>
      </w:r>
      <w:r>
        <w:rPr>
          <w:rFonts w:eastAsia="Times New Roman"/>
          <w:color w:val="000000"/>
          <w:sz w:val="20"/>
          <w:szCs w:val="20"/>
        </w:rPr>
        <w:t xml:space="preserve"> Tangible common equity</w:t>
      </w:r>
    </w:p>
    <w:p w:rsidR="00000000" w:rsidRDefault="00E0782F">
      <w:pPr>
        <w:jc w:val="both"/>
        <w:divId w:val="1639601864"/>
        <w:rPr>
          <w:rFonts w:eastAsia="Times New Roman"/>
        </w:rPr>
      </w:pPr>
      <w:r>
        <w:rPr>
          <w:rFonts w:eastAsia="Times New Roman"/>
          <w:b/>
          <w:bCs/>
          <w:color w:val="000000"/>
          <w:sz w:val="20"/>
          <w:szCs w:val="20"/>
        </w:rPr>
        <w:t>TDR:</w:t>
      </w:r>
      <w:r>
        <w:rPr>
          <w:rFonts w:eastAsia="Times New Roman"/>
          <w:color w:val="000000"/>
          <w:sz w:val="20"/>
          <w:szCs w:val="20"/>
        </w:rPr>
        <w:t xml:space="preserve"> Troubled debt restructuring</w:t>
      </w:r>
    </w:p>
    <w:p w:rsidR="00000000" w:rsidRDefault="00E0782F">
      <w:pPr>
        <w:jc w:val="both"/>
        <w:divId w:val="1426683112"/>
        <w:rPr>
          <w:rFonts w:eastAsia="Times New Roman"/>
        </w:rPr>
      </w:pPr>
      <w:r>
        <w:rPr>
          <w:rFonts w:eastAsia="Times New Roman"/>
          <w:b/>
          <w:bCs/>
          <w:color w:val="000000"/>
          <w:sz w:val="20"/>
          <w:szCs w:val="20"/>
        </w:rPr>
        <w:t>U.K.:</w:t>
      </w:r>
      <w:r>
        <w:rPr>
          <w:rFonts w:eastAsia="Times New Roman"/>
          <w:color w:val="000000"/>
          <w:sz w:val="20"/>
          <w:szCs w:val="20"/>
        </w:rPr>
        <w:t xml:space="preserve"> United Kingdom</w:t>
      </w:r>
    </w:p>
    <w:p w:rsidR="00000000" w:rsidRDefault="00E0782F">
      <w:pPr>
        <w:jc w:val="both"/>
        <w:divId w:val="309291595"/>
        <w:rPr>
          <w:rFonts w:eastAsia="Times New Roman"/>
        </w:rPr>
      </w:pPr>
      <w:r>
        <w:rPr>
          <w:rFonts w:eastAsia="Times New Roman"/>
          <w:b/>
          <w:bCs/>
          <w:color w:val="000000"/>
          <w:sz w:val="20"/>
          <w:szCs w:val="20"/>
        </w:rPr>
        <w:t>U.S.:</w:t>
      </w:r>
      <w:r>
        <w:rPr>
          <w:rFonts w:eastAsia="Times New Roman"/>
          <w:color w:val="000000"/>
          <w:sz w:val="20"/>
          <w:szCs w:val="20"/>
        </w:rPr>
        <w:t xml:space="preserve"> United States of America</w:t>
      </w:r>
    </w:p>
    <w:p w:rsidR="00000000" w:rsidRDefault="00E0782F">
      <w:pPr>
        <w:jc w:val="both"/>
        <w:divId w:val="141466604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596921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7596921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7596921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0" style="width:0;height:1.5pt" o:hralign="center" o:hrstd="t" o:hr="t" fillcolor="#a0a0a0" stroked="f"/>
        </w:pict>
      </w:r>
    </w:p>
    <w:p w:rsidR="00000000" w:rsidRDefault="00E0782F">
      <w:pPr>
        <w:jc w:val="both"/>
        <w:divId w:val="166986572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1276139174"/>
        <w:rPr>
          <w:rFonts w:eastAsia="Times New Roman"/>
        </w:rPr>
      </w:pPr>
      <w:r>
        <w:rPr>
          <w:rFonts w:eastAsia="Times New Roman"/>
          <w:b/>
          <w:bCs/>
          <w:color w:val="000000"/>
          <w:sz w:val="20"/>
          <w:szCs w:val="20"/>
        </w:rPr>
        <w:t xml:space="preserve">Item 7A. Quantitative and Qualitative Disclosures about Market Risk </w:t>
      </w:r>
    </w:p>
    <w:p w:rsidR="00000000" w:rsidRDefault="00E0782F">
      <w:pPr>
        <w:jc w:val="both"/>
        <w:divId w:val="1080130854"/>
        <w:rPr>
          <w:rFonts w:eastAsia="Times New Roman"/>
        </w:rPr>
      </w:pPr>
      <w:r>
        <w:rPr>
          <w:rFonts w:eastAsia="Times New Roman"/>
          <w:color w:val="000000"/>
          <w:sz w:val="20"/>
          <w:szCs w:val="20"/>
        </w:rPr>
        <w:t>For a discussion of the quantitative and qualitative disclosures about mark</w:t>
      </w:r>
      <w:r>
        <w:rPr>
          <w:rFonts w:eastAsia="Times New Roman"/>
          <w:color w:val="000000"/>
          <w:sz w:val="20"/>
          <w:szCs w:val="20"/>
        </w:rPr>
        <w:t>et risk, see “MD&amp;A—Market Risk Profile.”</w:t>
      </w:r>
    </w:p>
    <w:tbl>
      <w:tblPr>
        <w:tblW w:w="5000" w:type="pct"/>
        <w:tblCellMar>
          <w:top w:w="15" w:type="dxa"/>
          <w:left w:w="15" w:type="dxa"/>
          <w:bottom w:w="15" w:type="dxa"/>
          <w:right w:w="15" w:type="dxa"/>
        </w:tblCellMar>
        <w:tblLook w:val="04A0" w:firstRow="1" w:lastRow="0" w:firstColumn="1" w:lastColumn="0" w:noHBand="0" w:noVBand="1"/>
      </w:tblPr>
      <w:tblGrid>
        <w:gridCol w:w="69"/>
        <w:gridCol w:w="7679"/>
        <w:gridCol w:w="36"/>
        <w:gridCol w:w="72"/>
        <w:gridCol w:w="413"/>
        <w:gridCol w:w="37"/>
      </w:tblGrid>
      <w:tr w:rsidR="00000000">
        <w:trPr>
          <w:divId w:val="1656102531"/>
        </w:trPr>
        <w:tc>
          <w:tcPr>
            <w:tcW w:w="50" w:type="pct"/>
            <w:vAlign w:val="center"/>
            <w:hideMark/>
          </w:tcPr>
          <w:p w:rsidR="00000000" w:rsidRDefault="00E0782F">
            <w:pPr>
              <w:jc w:val="both"/>
              <w:rPr>
                <w:rFonts w:eastAsia="Times New Roman"/>
              </w:rPr>
            </w:pPr>
          </w:p>
        </w:tc>
        <w:tc>
          <w:tcPr>
            <w:tcW w:w="46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56102531"/>
        </w:trPr>
        <w:tc>
          <w:tcPr>
            <w:tcW w:w="0" w:type="auto"/>
            <w:gridSpan w:val="6"/>
            <w:tcMar>
              <w:top w:w="30" w:type="dxa"/>
              <w:left w:w="20" w:type="dxa"/>
              <w:bottom w:w="30" w:type="dxa"/>
              <w:right w:w="20" w:type="dxa"/>
            </w:tcMar>
            <w:vAlign w:val="bottom"/>
            <w:hideMark/>
          </w:tcPr>
          <w:p w:rsidR="00000000" w:rsidRDefault="00E0782F">
            <w:pPr>
              <w:divId w:val="1405370186"/>
              <w:rPr>
                <w:rFonts w:eastAsia="Times New Roman"/>
              </w:rPr>
            </w:pPr>
            <w:hyperlink w:anchor="i3af66512804646fcaf1b19a0aea6f320_331" w:history="1">
              <w:r>
                <w:rPr>
                  <w:rStyle w:val="a3"/>
                  <w:rFonts w:eastAsia="Times New Roman"/>
                  <w:b/>
                  <w:bCs/>
                  <w:color w:val="000000"/>
                  <w:sz w:val="20"/>
                  <w:szCs w:val="20"/>
                  <w:u w:val="none"/>
                </w:rPr>
                <w:t>Item </w:t>
              </w:r>
            </w:hyperlink>
            <w:hyperlink w:anchor="i3af66512804646fcaf1b19a0aea6f320_331" w:history="1">
              <w:r>
                <w:rPr>
                  <w:rStyle w:val="a3"/>
                  <w:rFonts w:eastAsia="Times New Roman"/>
                  <w:b/>
                  <w:bCs/>
                  <w:color w:val="000000"/>
                  <w:sz w:val="20"/>
                  <w:szCs w:val="20"/>
                  <w:u w:val="none"/>
                </w:rPr>
                <w:t>8</w:t>
              </w:r>
            </w:hyperlink>
            <w:hyperlink w:anchor="i3af66512804646fcaf1b19a0aea6f320_331" w:history="1">
              <w:r>
                <w:rPr>
                  <w:rStyle w:val="a3"/>
                  <w:rFonts w:eastAsia="Times New Roman"/>
                  <w:b/>
                  <w:bCs/>
                  <w:color w:val="000000"/>
                  <w:sz w:val="20"/>
                  <w:szCs w:val="20"/>
                  <w:u w:val="none"/>
                </w:rPr>
                <w:t xml:space="preserve">. Financial Statements and </w:t>
              </w:r>
            </w:hyperlink>
            <w:r>
              <w:rPr>
                <w:rFonts w:eastAsia="Times New Roman"/>
                <w:b/>
                <w:bCs/>
                <w:color w:val="000000"/>
                <w:sz w:val="20"/>
                <w:szCs w:val="20"/>
              </w:rPr>
              <w:t>Supplementary Data</w:t>
            </w:r>
          </w:p>
        </w:tc>
      </w:tr>
      <w:tr w:rsidR="00000000">
        <w:trPr>
          <w:divId w:val="1656102531"/>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20"/>
                <w:szCs w:val="20"/>
              </w:rPr>
              <w:t>Page</w:t>
            </w:r>
          </w:p>
        </w:tc>
      </w:tr>
      <w:tr w:rsidR="00000000">
        <w:trPr>
          <w:divId w:val="1656102531"/>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r>
      <w:tr w:rsidR="00000000">
        <w:trPr>
          <w:divId w:val="165610253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5610253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56102531"/>
        </w:trPr>
        <w:tc>
          <w:tcPr>
            <w:tcW w:w="0" w:type="auto"/>
            <w:gridSpan w:val="3"/>
            <w:tcMar>
              <w:top w:w="30" w:type="dxa"/>
              <w:left w:w="20" w:type="dxa"/>
              <w:bottom w:w="30" w:type="dxa"/>
              <w:right w:w="20" w:type="dxa"/>
            </w:tcMar>
            <w:hideMark/>
          </w:tcPr>
          <w:p w:rsidR="00000000" w:rsidRDefault="00E0782F">
            <w:pPr>
              <w:divId w:val="151990655"/>
              <w:rPr>
                <w:rFonts w:eastAsia="Times New Roman"/>
              </w:rPr>
            </w:pPr>
            <w:hyperlink w:anchor="i3af66512804646fcaf1b19a0aea6f320_343" w:history="1">
              <w:r>
                <w:rPr>
                  <w:rStyle w:val="a3"/>
                  <w:rFonts w:eastAsia="Times New Roman"/>
                  <w:color w:val="000000"/>
                  <w:sz w:val="20"/>
                  <w:szCs w:val="20"/>
                  <w:u w:val="none"/>
                </w:rPr>
                <w:t>Consolidated Financial Statements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43" w:history="1">
              <w:r>
                <w:rPr>
                  <w:rStyle w:val="a3"/>
                  <w:rFonts w:eastAsia="Times New Roman"/>
                  <w:color w:val="000000"/>
                  <w:sz w:val="20"/>
                  <w:szCs w:val="20"/>
                  <w:u w:val="none"/>
                </w:rPr>
                <w:t>121</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852525337"/>
              <w:rPr>
                <w:rFonts w:eastAsia="Times New Roman"/>
              </w:rPr>
            </w:pPr>
            <w:hyperlink w:anchor="i3af66512804646fcaf1b19a0aea6f320_346" w:history="1">
              <w:r>
                <w:rPr>
                  <w:rStyle w:val="a3"/>
                  <w:rFonts w:eastAsia="Times New Roman"/>
                  <w:color w:val="000000"/>
                  <w:sz w:val="20"/>
                  <w:szCs w:val="20"/>
                  <w:u w:val="none"/>
                </w:rPr>
                <w:t>Consolidated Statements of Income</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46" w:history="1">
              <w:r>
                <w:rPr>
                  <w:rStyle w:val="a3"/>
                  <w:rFonts w:eastAsia="Times New Roman"/>
                  <w:color w:val="000000"/>
                  <w:sz w:val="20"/>
                  <w:szCs w:val="20"/>
                  <w:u w:val="none"/>
                </w:rPr>
                <w:t>121</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519008371"/>
              <w:rPr>
                <w:rFonts w:eastAsia="Times New Roman"/>
              </w:rPr>
            </w:pPr>
            <w:hyperlink w:anchor="i3af66512804646fcaf1b19a0aea6f320_349" w:history="1">
              <w:r>
                <w:rPr>
                  <w:rStyle w:val="a3"/>
                  <w:rFonts w:eastAsia="Times New Roman"/>
                  <w:color w:val="000000"/>
                  <w:sz w:val="20"/>
                  <w:szCs w:val="20"/>
                  <w:u w:val="none"/>
                </w:rPr>
                <w:t>Consolidated Statements of Comprehensive Income</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49" w:history="1">
              <w:r>
                <w:rPr>
                  <w:rStyle w:val="a3"/>
                  <w:rFonts w:eastAsia="Times New Roman"/>
                  <w:color w:val="000000"/>
                  <w:sz w:val="20"/>
                  <w:szCs w:val="20"/>
                  <w:u w:val="none"/>
                </w:rPr>
                <w:t>122</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522741567"/>
              <w:rPr>
                <w:rFonts w:eastAsia="Times New Roman"/>
              </w:rPr>
            </w:pPr>
            <w:hyperlink w:anchor="i3af66512804646fcaf1b19a0aea6f320_352" w:history="1">
              <w:r>
                <w:rPr>
                  <w:rStyle w:val="a3"/>
                  <w:rFonts w:eastAsia="Times New Roman"/>
                  <w:color w:val="000000"/>
                  <w:sz w:val="20"/>
                  <w:szCs w:val="20"/>
                  <w:u w:val="none"/>
                </w:rPr>
                <w:t>Consolidated Balance Sheets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52" w:history="1">
              <w:r>
                <w:rPr>
                  <w:rStyle w:val="a3"/>
                  <w:rFonts w:eastAsia="Times New Roman"/>
                  <w:color w:val="000000"/>
                  <w:sz w:val="20"/>
                  <w:szCs w:val="20"/>
                  <w:u w:val="none"/>
                </w:rPr>
                <w:t>123</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921062682"/>
              <w:rPr>
                <w:rFonts w:eastAsia="Times New Roman"/>
              </w:rPr>
            </w:pPr>
            <w:hyperlink w:anchor="i3af66512804646fcaf1b19a0aea6f320_358" w:history="1">
              <w:r>
                <w:rPr>
                  <w:rStyle w:val="a3"/>
                  <w:rFonts w:eastAsia="Times New Roman"/>
                  <w:color w:val="000000"/>
                  <w:sz w:val="20"/>
                  <w:szCs w:val="20"/>
                  <w:u w:val="none"/>
                </w:rPr>
                <w:t>Consolidated Statements of Changes in S</w:t>
              </w:r>
              <w:r>
                <w:rPr>
                  <w:rStyle w:val="a3"/>
                  <w:rFonts w:eastAsia="Times New Roman"/>
                  <w:color w:val="000000"/>
                  <w:sz w:val="20"/>
                  <w:szCs w:val="20"/>
                  <w:u w:val="none"/>
                </w:rPr>
                <w:t>tockholders’ Equity</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58" w:history="1">
              <w:r>
                <w:rPr>
                  <w:rStyle w:val="a3"/>
                  <w:rFonts w:eastAsia="Times New Roman"/>
                  <w:color w:val="000000"/>
                  <w:sz w:val="20"/>
                  <w:szCs w:val="20"/>
                  <w:u w:val="none"/>
                </w:rPr>
                <w:t>124</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045720730"/>
              <w:rPr>
                <w:rFonts w:eastAsia="Times New Roman"/>
              </w:rPr>
            </w:pPr>
            <w:hyperlink w:anchor="i3af66512804646fcaf1b19a0aea6f320_361" w:history="1">
              <w:r>
                <w:rPr>
                  <w:rStyle w:val="a3"/>
                  <w:rFonts w:eastAsia="Times New Roman"/>
                  <w:color w:val="000000"/>
                  <w:sz w:val="20"/>
                  <w:szCs w:val="20"/>
                  <w:u w:val="none"/>
                </w:rPr>
                <w:t>Consolidated Statements of Cash Flows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61" w:history="1">
              <w:r>
                <w:rPr>
                  <w:rStyle w:val="a3"/>
                  <w:rFonts w:eastAsia="Times New Roman"/>
                  <w:color w:val="000000"/>
                  <w:sz w:val="20"/>
                  <w:szCs w:val="20"/>
                  <w:u w:val="none"/>
                </w:rPr>
                <w:t>125</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713232278"/>
              <w:rPr>
                <w:rFonts w:eastAsia="Times New Roman"/>
              </w:rPr>
            </w:pPr>
            <w:hyperlink w:anchor="i3af66512804646fcaf1b19a0aea6f320_364" w:history="1">
              <w:r>
                <w:rPr>
                  <w:rStyle w:val="a3"/>
                  <w:rFonts w:eastAsia="Times New Roman"/>
                  <w:color w:val="000000"/>
                  <w:sz w:val="20"/>
                  <w:szCs w:val="20"/>
                  <w:u w:val="none"/>
                </w:rPr>
                <w:t>Notes to Consolidated Financial Statements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64" w:history="1">
              <w:r>
                <w:rPr>
                  <w:rStyle w:val="a3"/>
                  <w:rFonts w:eastAsia="Times New Roman"/>
                  <w:color w:val="000000"/>
                  <w:sz w:val="20"/>
                  <w:szCs w:val="20"/>
                  <w:u w:val="none"/>
                </w:rPr>
                <w:t>127</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966037895"/>
              <w:rPr>
                <w:rFonts w:eastAsia="Times New Roman"/>
              </w:rPr>
            </w:pPr>
            <w:hyperlink w:anchor="i3af66512804646fcaf1b19a0aea6f320_364" w:history="1">
              <w:r>
                <w:rPr>
                  <w:rStyle w:val="a3"/>
                  <w:rFonts w:eastAsia="Times New Roman"/>
                  <w:color w:val="000000"/>
                  <w:sz w:val="20"/>
                  <w:szCs w:val="20"/>
                  <w:u w:val="none"/>
                </w:rPr>
                <w:t>Note 1—Summary of Significant Accounting Policies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64" w:history="1">
              <w:r>
                <w:rPr>
                  <w:rStyle w:val="a3"/>
                  <w:rFonts w:eastAsia="Times New Roman"/>
                  <w:color w:val="000000"/>
                  <w:sz w:val="20"/>
                  <w:szCs w:val="20"/>
                  <w:u w:val="none"/>
                </w:rPr>
                <w:t>127</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800950885"/>
              <w:rPr>
                <w:rFonts w:eastAsia="Times New Roman"/>
              </w:rPr>
            </w:pPr>
            <w:hyperlink w:anchor="i3af66512804646fcaf1b19a0aea6f320_370" w:history="1">
              <w:r>
                <w:rPr>
                  <w:rStyle w:val="a3"/>
                  <w:rFonts w:eastAsia="Times New Roman"/>
                  <w:color w:val="000000"/>
                  <w:sz w:val="20"/>
                  <w:szCs w:val="20"/>
                  <w:u w:val="none"/>
                </w:rPr>
                <w:t>Note 2—Investment</w:t>
              </w:r>
              <w:r>
                <w:rPr>
                  <w:rStyle w:val="a3"/>
                  <w:rFonts w:eastAsia="Times New Roman"/>
                  <w:color w:val="000000"/>
                  <w:sz w:val="20"/>
                  <w:szCs w:val="20"/>
                  <w:u w:val="none"/>
                </w:rPr>
                <w:t xml:space="preserve"> Securities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70" w:history="1">
              <w:r>
                <w:rPr>
                  <w:rStyle w:val="a3"/>
                  <w:rFonts w:eastAsia="Times New Roman"/>
                  <w:color w:val="000000"/>
                  <w:sz w:val="20"/>
                  <w:szCs w:val="20"/>
                  <w:u w:val="none"/>
                </w:rPr>
                <w:t>143</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497958932"/>
              <w:rPr>
                <w:rFonts w:eastAsia="Times New Roman"/>
              </w:rPr>
            </w:pPr>
            <w:hyperlink w:anchor="i3af66512804646fcaf1b19a0aea6f320_373" w:history="1">
              <w:r>
                <w:rPr>
                  <w:rStyle w:val="a3"/>
                  <w:rFonts w:eastAsia="Times New Roman"/>
                  <w:color w:val="000000"/>
                  <w:sz w:val="20"/>
                  <w:szCs w:val="20"/>
                  <w:u w:val="none"/>
                </w:rPr>
                <w:t>Note 3—Loans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73" w:history="1">
              <w:r>
                <w:rPr>
                  <w:rStyle w:val="a3"/>
                  <w:rFonts w:eastAsia="Times New Roman"/>
                  <w:color w:val="000000"/>
                  <w:sz w:val="20"/>
                  <w:szCs w:val="20"/>
                  <w:u w:val="none"/>
                </w:rPr>
                <w:t>146</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478880972"/>
              <w:rPr>
                <w:rFonts w:eastAsia="Times New Roman"/>
              </w:rPr>
            </w:pPr>
            <w:hyperlink w:anchor="i3af66512804646fcaf1b19a0aea6f320_397" w:history="1">
              <w:r>
                <w:rPr>
                  <w:rStyle w:val="a3"/>
                  <w:rFonts w:eastAsia="Times New Roman"/>
                  <w:color w:val="000000"/>
                  <w:sz w:val="20"/>
                  <w:szCs w:val="20"/>
                  <w:u w:val="none"/>
                </w:rPr>
                <w:t>Note 4—</w:t>
              </w:r>
              <w:r>
                <w:rPr>
                  <w:rStyle w:val="a3"/>
                  <w:rFonts w:eastAsia="Times New Roman"/>
                  <w:color w:val="000000"/>
                  <w:sz w:val="20"/>
                  <w:szCs w:val="20"/>
                  <w:u w:val="none"/>
                </w:rPr>
                <w:t>Allowance for Credit Losses and Reserve for Unfunded Lending Commitments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397" w:history="1">
              <w:r>
                <w:rPr>
                  <w:rStyle w:val="a3"/>
                  <w:rFonts w:eastAsia="Times New Roman"/>
                  <w:color w:val="000000"/>
                  <w:sz w:val="20"/>
                  <w:szCs w:val="20"/>
                  <w:u w:val="none"/>
                </w:rPr>
                <w:t>154</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217089801"/>
              <w:rPr>
                <w:rFonts w:eastAsia="Times New Roman"/>
              </w:rPr>
            </w:pPr>
            <w:hyperlink w:anchor="i3af66512804646fcaf1b19a0aea6f320_400" w:history="1">
              <w:r>
                <w:rPr>
                  <w:rStyle w:val="a3"/>
                  <w:rFonts w:eastAsia="Times New Roman"/>
                  <w:color w:val="000000"/>
                  <w:sz w:val="20"/>
                  <w:szCs w:val="20"/>
                  <w:u w:val="none"/>
                </w:rPr>
                <w:t>Note 5—Variable Interest Entities and Securitizations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00" w:history="1">
              <w:r>
                <w:rPr>
                  <w:rStyle w:val="a3"/>
                  <w:rFonts w:eastAsia="Times New Roman"/>
                  <w:color w:val="000000"/>
                  <w:sz w:val="20"/>
                  <w:szCs w:val="20"/>
                  <w:u w:val="none"/>
                </w:rPr>
                <w:t>158</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887064086"/>
              <w:rPr>
                <w:rFonts w:eastAsia="Times New Roman"/>
              </w:rPr>
            </w:pPr>
            <w:hyperlink w:anchor="i3af66512804646fcaf1b19a0aea6f320_403" w:history="1">
              <w:r>
                <w:rPr>
                  <w:rStyle w:val="a3"/>
                  <w:rFonts w:eastAsia="Times New Roman"/>
                  <w:color w:val="000000"/>
                  <w:sz w:val="20"/>
                  <w:szCs w:val="20"/>
                  <w:u w:val="none"/>
                </w:rPr>
                <w:t>Note 6—Goodwill and Intangible Assets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03" w:history="1">
              <w:r>
                <w:rPr>
                  <w:rStyle w:val="a3"/>
                  <w:rFonts w:eastAsia="Times New Roman"/>
                  <w:color w:val="000000"/>
                  <w:sz w:val="20"/>
                  <w:szCs w:val="20"/>
                  <w:u w:val="none"/>
                </w:rPr>
                <w:t>162</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23100568"/>
              <w:rPr>
                <w:rFonts w:eastAsia="Times New Roman"/>
              </w:rPr>
            </w:pPr>
            <w:hyperlink w:anchor="i3af66512804646fcaf1b19a0aea6f320_406" w:history="1">
              <w:r>
                <w:rPr>
                  <w:rStyle w:val="a3"/>
                  <w:rFonts w:eastAsia="Times New Roman"/>
                  <w:color w:val="000000"/>
                  <w:sz w:val="20"/>
                  <w:szCs w:val="20"/>
                  <w:u w:val="none"/>
                </w:rPr>
                <w:t>Note 7—Premises, Equipment and Lease</w:t>
              </w:r>
            </w:hyperlink>
            <w:r>
              <w:rPr>
                <w:rFonts w:eastAsia="Times New Roman"/>
                <w:color w:val="000000"/>
                <w:sz w:val="20"/>
                <w:szCs w:val="20"/>
              </w:rPr>
              <w:t>s</w:t>
            </w:r>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06" w:history="1">
              <w:r>
                <w:rPr>
                  <w:rStyle w:val="a3"/>
                  <w:rFonts w:eastAsia="Times New Roman"/>
                  <w:color w:val="000000"/>
                  <w:sz w:val="20"/>
                  <w:szCs w:val="20"/>
                  <w:u w:val="none"/>
                </w:rPr>
                <w:t>165</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243416299"/>
              <w:rPr>
                <w:rFonts w:eastAsia="Times New Roman"/>
              </w:rPr>
            </w:pPr>
            <w:hyperlink w:anchor="i3af66512804646fcaf1b19a0aea6f320_409" w:history="1">
              <w:r>
                <w:rPr>
                  <w:rStyle w:val="a3"/>
                  <w:rFonts w:eastAsia="Times New Roman"/>
                  <w:color w:val="000000"/>
                  <w:sz w:val="20"/>
                  <w:szCs w:val="20"/>
                  <w:u w:val="none"/>
                </w:rPr>
                <w:t>Note </w:t>
              </w:r>
            </w:hyperlink>
            <w:hyperlink w:anchor="i3af66512804646fcaf1b19a0aea6f320_409" w:history="1">
              <w:r>
                <w:rPr>
                  <w:rStyle w:val="a3"/>
                  <w:rFonts w:eastAsia="Times New Roman"/>
                  <w:color w:val="000000"/>
                  <w:sz w:val="20"/>
                  <w:szCs w:val="20"/>
                  <w:u w:val="none"/>
                </w:rPr>
                <w:t>8</w:t>
              </w:r>
            </w:hyperlink>
            <w:hyperlink w:anchor="i3af66512804646fcaf1b19a0aea6f320_409" w:history="1">
              <w:r>
                <w:rPr>
                  <w:rStyle w:val="a3"/>
                  <w:rFonts w:eastAsia="Times New Roman"/>
                  <w:color w:val="000000"/>
                  <w:sz w:val="20"/>
                  <w:szCs w:val="20"/>
                  <w:u w:val="none"/>
                </w:rPr>
                <w:t>—Deposits and Borrowings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09" w:history="1">
              <w:r>
                <w:rPr>
                  <w:rStyle w:val="a3"/>
                  <w:rFonts w:eastAsia="Times New Roman"/>
                  <w:color w:val="000000"/>
                  <w:sz w:val="20"/>
                  <w:szCs w:val="20"/>
                  <w:u w:val="none"/>
                </w:rPr>
                <w:t>167</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523402332"/>
              <w:rPr>
                <w:rFonts w:eastAsia="Times New Roman"/>
              </w:rPr>
            </w:pPr>
            <w:hyperlink w:anchor="i3af66512804646fcaf1b19a0aea6f320_412" w:history="1">
              <w:r>
                <w:rPr>
                  <w:rStyle w:val="a3"/>
                  <w:rFonts w:eastAsia="Times New Roman"/>
                  <w:color w:val="000000"/>
                  <w:sz w:val="20"/>
                  <w:szCs w:val="20"/>
                  <w:u w:val="none"/>
                </w:rPr>
                <w:t xml:space="preserve">Note </w:t>
              </w:r>
            </w:hyperlink>
            <w:hyperlink w:anchor="i3af66512804646fcaf1b19a0aea6f320_412" w:history="1">
              <w:r>
                <w:rPr>
                  <w:rStyle w:val="a3"/>
                  <w:rFonts w:eastAsia="Times New Roman"/>
                  <w:color w:val="000000"/>
                  <w:sz w:val="20"/>
                  <w:szCs w:val="20"/>
                  <w:u w:val="none"/>
                </w:rPr>
                <w:t>9</w:t>
              </w:r>
            </w:hyperlink>
            <w:hyperlink w:anchor="i3af66512804646fcaf1b19a0aea6f320_412" w:history="1">
              <w:r>
                <w:rPr>
                  <w:rStyle w:val="a3"/>
                  <w:rFonts w:eastAsia="Times New Roman"/>
                  <w:color w:val="000000"/>
                  <w:sz w:val="20"/>
                  <w:szCs w:val="20"/>
                  <w:u w:val="none"/>
                </w:rPr>
                <w:t>—De</w:t>
              </w:r>
              <w:r>
                <w:rPr>
                  <w:rStyle w:val="a3"/>
                  <w:rFonts w:eastAsia="Times New Roman"/>
                  <w:color w:val="000000"/>
                  <w:sz w:val="20"/>
                  <w:szCs w:val="20"/>
                  <w:u w:val="none"/>
                </w:rPr>
                <w:t>rivative Instruments and Hedging Activities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12" w:history="1">
              <w:r>
                <w:rPr>
                  <w:rStyle w:val="a3"/>
                  <w:rFonts w:eastAsia="Times New Roman"/>
                  <w:color w:val="000000"/>
                  <w:sz w:val="20"/>
                  <w:szCs w:val="20"/>
                  <w:u w:val="none"/>
                </w:rPr>
                <w:t>169</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915622100"/>
              <w:rPr>
                <w:rFonts w:eastAsia="Times New Roman"/>
              </w:rPr>
            </w:pPr>
            <w:hyperlink w:anchor="i3af66512804646fcaf1b19a0aea6f320_415" w:history="1">
              <w:r>
                <w:rPr>
                  <w:rStyle w:val="a3"/>
                  <w:rFonts w:eastAsia="Times New Roman"/>
                  <w:color w:val="000000"/>
                  <w:sz w:val="20"/>
                  <w:szCs w:val="20"/>
                  <w:u w:val="none"/>
                </w:rPr>
                <w:t xml:space="preserve">Note </w:t>
              </w:r>
            </w:hyperlink>
            <w:hyperlink w:anchor="i3af66512804646fcaf1b19a0aea6f320_415" w:history="1">
              <w:r>
                <w:rPr>
                  <w:rStyle w:val="a3"/>
                  <w:rFonts w:eastAsia="Times New Roman"/>
                  <w:color w:val="000000"/>
                  <w:sz w:val="20"/>
                  <w:szCs w:val="20"/>
                  <w:u w:val="none"/>
                </w:rPr>
                <w:t>1</w:t>
              </w:r>
            </w:hyperlink>
            <w:hyperlink w:anchor="i3af66512804646fcaf1b19a0aea6f320_415" w:history="1">
              <w:r>
                <w:rPr>
                  <w:rStyle w:val="a3"/>
                  <w:rFonts w:eastAsia="Times New Roman"/>
                  <w:color w:val="000000"/>
                  <w:sz w:val="20"/>
                  <w:szCs w:val="20"/>
                  <w:u w:val="none"/>
                </w:rPr>
                <w:t>0</w:t>
              </w:r>
            </w:hyperlink>
            <w:hyperlink w:anchor="i3af66512804646fcaf1b19a0aea6f320_415" w:history="1">
              <w:r>
                <w:rPr>
                  <w:rStyle w:val="a3"/>
                  <w:rFonts w:eastAsia="Times New Roman"/>
                  <w:color w:val="000000"/>
                  <w:sz w:val="20"/>
                  <w:szCs w:val="20"/>
                  <w:u w:val="none"/>
                </w:rPr>
                <w:t>—Stockholders’ Equity</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15" w:history="1">
              <w:r>
                <w:rPr>
                  <w:rStyle w:val="a3"/>
                  <w:rFonts w:eastAsia="Times New Roman"/>
                  <w:color w:val="000000"/>
                  <w:sz w:val="20"/>
                  <w:szCs w:val="20"/>
                  <w:u w:val="none"/>
                </w:rPr>
                <w:t>178</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702433209"/>
              <w:rPr>
                <w:rFonts w:eastAsia="Times New Roman"/>
              </w:rPr>
            </w:pPr>
            <w:hyperlink w:anchor="i3af66512804646fcaf1b19a0aea6f320_421" w:history="1">
              <w:r>
                <w:rPr>
                  <w:rStyle w:val="a3"/>
                  <w:rFonts w:eastAsia="Times New Roman"/>
                  <w:color w:val="000000"/>
                  <w:sz w:val="20"/>
                  <w:szCs w:val="20"/>
                  <w:u w:val="none"/>
                </w:rPr>
                <w:t>Note 11—Regulatory and Capital Adequacy</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21" w:history="1">
              <w:r>
                <w:rPr>
                  <w:rStyle w:val="a3"/>
                  <w:rFonts w:eastAsia="Times New Roman"/>
                  <w:color w:val="000000"/>
                  <w:sz w:val="20"/>
                  <w:szCs w:val="20"/>
                  <w:u w:val="none"/>
                </w:rPr>
                <w:t>182</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2024672556"/>
              <w:rPr>
                <w:rFonts w:eastAsia="Times New Roman"/>
              </w:rPr>
            </w:pPr>
            <w:hyperlink w:anchor="i3af66512804646fcaf1b19a0aea6f320_424" w:history="1">
              <w:r>
                <w:rPr>
                  <w:rStyle w:val="a3"/>
                  <w:rFonts w:eastAsia="Times New Roman"/>
                  <w:color w:val="000000"/>
                  <w:sz w:val="20"/>
                  <w:szCs w:val="20"/>
                  <w:u w:val="none"/>
                </w:rPr>
                <w:t>Note 1</w:t>
              </w:r>
            </w:hyperlink>
            <w:hyperlink w:anchor="i3af66512804646fcaf1b19a0aea6f320_424" w:history="1">
              <w:r>
                <w:rPr>
                  <w:rStyle w:val="a3"/>
                  <w:rFonts w:eastAsia="Times New Roman"/>
                  <w:color w:val="000000"/>
                  <w:sz w:val="20"/>
                  <w:szCs w:val="20"/>
                  <w:u w:val="none"/>
                </w:rPr>
                <w:t>2</w:t>
              </w:r>
            </w:hyperlink>
            <w:hyperlink w:anchor="i3af66512804646fcaf1b19a0aea6f320_424" w:history="1">
              <w:r>
                <w:rPr>
                  <w:rStyle w:val="a3"/>
                  <w:rFonts w:eastAsia="Times New Roman"/>
                  <w:color w:val="000000"/>
                  <w:sz w:val="20"/>
                  <w:szCs w:val="20"/>
                  <w:u w:val="none"/>
                </w:rPr>
                <w:t>—Earnings Per Common Share</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24" w:history="1">
              <w:r>
                <w:rPr>
                  <w:rStyle w:val="a3"/>
                  <w:rFonts w:eastAsia="Times New Roman"/>
                  <w:color w:val="000000"/>
                  <w:sz w:val="20"/>
                  <w:szCs w:val="20"/>
                  <w:u w:val="none"/>
                </w:rPr>
                <w:t>184</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463883605"/>
              <w:rPr>
                <w:rFonts w:eastAsia="Times New Roman"/>
              </w:rPr>
            </w:pPr>
            <w:hyperlink w:anchor="i3af66512804646fcaf1b19a0aea6f320_427" w:history="1">
              <w:r>
                <w:rPr>
                  <w:rStyle w:val="a3"/>
                  <w:rFonts w:eastAsia="Times New Roman"/>
                  <w:color w:val="000000"/>
                  <w:sz w:val="20"/>
                  <w:szCs w:val="20"/>
                  <w:u w:val="none"/>
                </w:rPr>
                <w:t>Note 13—Stock-Based Compensation Plans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27" w:history="1">
              <w:r>
                <w:rPr>
                  <w:rStyle w:val="a3"/>
                  <w:rFonts w:eastAsia="Times New Roman"/>
                  <w:color w:val="000000"/>
                  <w:sz w:val="20"/>
                  <w:szCs w:val="20"/>
                  <w:u w:val="none"/>
                </w:rPr>
                <w:t>185</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727804466"/>
              <w:rPr>
                <w:rFonts w:eastAsia="Times New Roman"/>
              </w:rPr>
            </w:pPr>
            <w:hyperlink w:anchor="i3af66512804646fcaf1b19a0aea6f320_430" w:history="1">
              <w:r>
                <w:rPr>
                  <w:rStyle w:val="a3"/>
                  <w:rFonts w:eastAsia="Times New Roman"/>
                  <w:color w:val="000000"/>
                  <w:sz w:val="20"/>
                  <w:szCs w:val="20"/>
                  <w:u w:val="none"/>
                </w:rPr>
                <w:t>N</w:t>
              </w:r>
              <w:r>
                <w:rPr>
                  <w:rStyle w:val="a3"/>
                  <w:rFonts w:eastAsia="Times New Roman"/>
                  <w:color w:val="000000"/>
                  <w:sz w:val="20"/>
                  <w:szCs w:val="20"/>
                  <w:u w:val="none"/>
                </w:rPr>
                <w:t>ote 14—Employee Benefit Plans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30" w:history="1">
              <w:r>
                <w:rPr>
                  <w:rStyle w:val="a3"/>
                  <w:rFonts w:eastAsia="Times New Roman"/>
                  <w:color w:val="000000"/>
                  <w:sz w:val="20"/>
                  <w:szCs w:val="20"/>
                  <w:u w:val="none"/>
                </w:rPr>
                <w:t>187</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753475470"/>
              <w:rPr>
                <w:rFonts w:eastAsia="Times New Roman"/>
              </w:rPr>
            </w:pPr>
            <w:hyperlink w:anchor="i3af66512804646fcaf1b19a0aea6f320_433" w:history="1">
              <w:r>
                <w:rPr>
                  <w:rStyle w:val="a3"/>
                  <w:rFonts w:eastAsia="Times New Roman"/>
                  <w:color w:val="000000"/>
                  <w:sz w:val="20"/>
                  <w:szCs w:val="20"/>
                  <w:u w:val="none"/>
                </w:rPr>
                <w:t>Note 15—Income Taxes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33" w:history="1">
              <w:r>
                <w:rPr>
                  <w:rStyle w:val="a3"/>
                  <w:rFonts w:eastAsia="Times New Roman"/>
                  <w:color w:val="000000"/>
                  <w:sz w:val="20"/>
                  <w:szCs w:val="20"/>
                  <w:u w:val="none"/>
                </w:rPr>
                <w:t>189</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316571576"/>
              <w:rPr>
                <w:rFonts w:eastAsia="Times New Roman"/>
              </w:rPr>
            </w:pPr>
            <w:hyperlink w:anchor="i3af66512804646fcaf1b19a0aea6f320_436" w:history="1">
              <w:r>
                <w:rPr>
                  <w:rStyle w:val="a3"/>
                  <w:rFonts w:eastAsia="Times New Roman"/>
                  <w:color w:val="000000"/>
                  <w:sz w:val="20"/>
                  <w:szCs w:val="20"/>
                  <w:u w:val="none"/>
                </w:rPr>
                <w:t>Note 1</w:t>
              </w:r>
            </w:hyperlink>
            <w:hyperlink w:anchor="i3af66512804646fcaf1b19a0aea6f320_436" w:history="1">
              <w:r>
                <w:rPr>
                  <w:rStyle w:val="a3"/>
                  <w:rFonts w:eastAsia="Times New Roman"/>
                  <w:color w:val="000000"/>
                  <w:sz w:val="20"/>
                  <w:szCs w:val="20"/>
                  <w:u w:val="none"/>
                </w:rPr>
                <w:t>6</w:t>
              </w:r>
            </w:hyperlink>
            <w:hyperlink w:anchor="i3af66512804646fcaf1b19a0aea6f320_436" w:history="1">
              <w:r>
                <w:rPr>
                  <w:rStyle w:val="a3"/>
                  <w:rFonts w:eastAsia="Times New Roman"/>
                  <w:color w:val="000000"/>
                  <w:sz w:val="20"/>
                  <w:szCs w:val="20"/>
                  <w:u w:val="none"/>
                </w:rPr>
                <w:t>—Fair Value Measurement</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36" w:history="1">
              <w:r>
                <w:rPr>
                  <w:rStyle w:val="a3"/>
                  <w:rFonts w:eastAsia="Times New Roman"/>
                  <w:color w:val="000000"/>
                  <w:sz w:val="20"/>
                  <w:szCs w:val="20"/>
                  <w:u w:val="none"/>
                </w:rPr>
                <w:t>193</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858883956"/>
              <w:rPr>
                <w:rFonts w:eastAsia="Times New Roman"/>
              </w:rPr>
            </w:pPr>
            <w:hyperlink w:anchor="i3af66512804646fcaf1b19a0aea6f320_442" w:history="1">
              <w:r>
                <w:rPr>
                  <w:rStyle w:val="a3"/>
                  <w:rFonts w:eastAsia="Times New Roman"/>
                  <w:color w:val="000000"/>
                  <w:sz w:val="20"/>
                  <w:szCs w:val="20"/>
                  <w:u w:val="none"/>
                </w:rPr>
                <w:t>Note 1</w:t>
              </w:r>
            </w:hyperlink>
            <w:hyperlink w:anchor="i3af66512804646fcaf1b19a0aea6f320_442" w:history="1">
              <w:r>
                <w:rPr>
                  <w:rStyle w:val="a3"/>
                  <w:rFonts w:eastAsia="Times New Roman"/>
                  <w:color w:val="000000"/>
                  <w:sz w:val="20"/>
                  <w:szCs w:val="20"/>
                  <w:u w:val="none"/>
                </w:rPr>
                <w:t>7</w:t>
              </w:r>
            </w:hyperlink>
            <w:hyperlink w:anchor="i3af66512804646fcaf1b19a0aea6f320_442" w:history="1">
              <w:r>
                <w:rPr>
                  <w:rStyle w:val="a3"/>
                  <w:rFonts w:eastAsia="Times New Roman"/>
                  <w:color w:val="000000"/>
                  <w:sz w:val="20"/>
                  <w:szCs w:val="20"/>
                  <w:u w:val="none"/>
                </w:rPr>
                <w:t>—Business Segments and Revenue from Contracts with Customers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42" w:history="1">
              <w:r>
                <w:rPr>
                  <w:rStyle w:val="a3"/>
                  <w:rFonts w:eastAsia="Times New Roman"/>
                  <w:color w:val="000000"/>
                  <w:sz w:val="20"/>
                  <w:szCs w:val="20"/>
                  <w:u w:val="none"/>
                </w:rPr>
                <w:t>202</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2126583479"/>
              <w:rPr>
                <w:rFonts w:eastAsia="Times New Roman"/>
              </w:rPr>
            </w:pPr>
            <w:hyperlink w:anchor="i3af66512804646fcaf1b19a0aea6f320_445" w:history="1">
              <w:r>
                <w:rPr>
                  <w:rStyle w:val="a3"/>
                  <w:rFonts w:eastAsia="Times New Roman"/>
                  <w:color w:val="000000"/>
                  <w:sz w:val="20"/>
                  <w:szCs w:val="20"/>
                  <w:u w:val="none"/>
                </w:rPr>
                <w:t>Note 1</w:t>
              </w:r>
            </w:hyperlink>
            <w:hyperlink w:anchor="i3af66512804646fcaf1b19a0aea6f320_445" w:history="1">
              <w:r>
                <w:rPr>
                  <w:rStyle w:val="a3"/>
                  <w:rFonts w:eastAsia="Times New Roman"/>
                  <w:color w:val="000000"/>
                  <w:sz w:val="20"/>
                  <w:szCs w:val="20"/>
                  <w:u w:val="none"/>
                </w:rPr>
                <w:t>8</w:t>
              </w:r>
            </w:hyperlink>
            <w:hyperlink w:anchor="i3af66512804646fcaf1b19a0aea6f320_445" w:history="1">
              <w:r>
                <w:rPr>
                  <w:rStyle w:val="a3"/>
                  <w:rFonts w:eastAsia="Times New Roman"/>
                  <w:color w:val="000000"/>
                  <w:sz w:val="20"/>
                  <w:szCs w:val="20"/>
                  <w:u w:val="none"/>
                </w:rPr>
                <w:t>—Commitments, Contingencies, Guarantees and Others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45" w:history="1">
              <w:r>
                <w:rPr>
                  <w:rStyle w:val="a3"/>
                  <w:rFonts w:eastAsia="Times New Roman"/>
                  <w:color w:val="000000"/>
                  <w:sz w:val="20"/>
                  <w:szCs w:val="20"/>
                  <w:u w:val="none"/>
                </w:rPr>
                <w:t>207</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98592057"/>
              <w:rPr>
                <w:rFonts w:eastAsia="Times New Roman"/>
              </w:rPr>
            </w:pPr>
            <w:hyperlink w:anchor="i3af66512804646fcaf1b19a0aea6f320_448" w:history="1">
              <w:r>
                <w:rPr>
                  <w:rStyle w:val="a3"/>
                  <w:rFonts w:eastAsia="Times New Roman"/>
                  <w:color w:val="000000"/>
                  <w:sz w:val="20"/>
                  <w:szCs w:val="20"/>
                  <w:u w:val="none"/>
                </w:rPr>
                <w:t>Note 19—Capital One Financial Corporation (Parent Company Only)</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48" w:history="1">
              <w:r>
                <w:rPr>
                  <w:rStyle w:val="a3"/>
                  <w:rFonts w:eastAsia="Times New Roman"/>
                  <w:color w:val="000000"/>
                  <w:sz w:val="20"/>
                  <w:szCs w:val="20"/>
                  <w:u w:val="none"/>
                </w:rPr>
                <w:t>211</w:t>
              </w:r>
            </w:hyperlink>
          </w:p>
        </w:tc>
      </w:tr>
      <w:tr w:rsidR="00000000">
        <w:trPr>
          <w:divId w:val="1656102531"/>
        </w:trPr>
        <w:tc>
          <w:tcPr>
            <w:tcW w:w="0" w:type="auto"/>
            <w:gridSpan w:val="3"/>
            <w:tcMar>
              <w:top w:w="30" w:type="dxa"/>
              <w:left w:w="20" w:type="dxa"/>
              <w:bottom w:w="30" w:type="dxa"/>
              <w:right w:w="20" w:type="dxa"/>
            </w:tcMar>
            <w:hideMark/>
          </w:tcPr>
          <w:p w:rsidR="00000000" w:rsidRDefault="00E0782F">
            <w:pPr>
              <w:divId w:val="117382042"/>
              <w:rPr>
                <w:rFonts w:eastAsia="Times New Roman"/>
              </w:rPr>
            </w:pPr>
            <w:hyperlink w:anchor="i3af66512804646fcaf1b19a0aea6f320_451" w:history="1">
              <w:r>
                <w:rPr>
                  <w:rStyle w:val="a3"/>
                  <w:rFonts w:eastAsia="Times New Roman"/>
                  <w:color w:val="000000"/>
                  <w:sz w:val="20"/>
                  <w:szCs w:val="20"/>
                  <w:u w:val="none"/>
                </w:rPr>
                <w:t>Note 20—Related Party Transactions</w:t>
              </w:r>
            </w:hyperlink>
          </w:p>
        </w:tc>
        <w:tc>
          <w:tcPr>
            <w:tcW w:w="0" w:type="auto"/>
            <w:gridSpan w:val="3"/>
            <w:tcMar>
              <w:top w:w="30" w:type="dxa"/>
              <w:left w:w="20" w:type="dxa"/>
              <w:bottom w:w="30" w:type="dxa"/>
              <w:right w:w="20" w:type="dxa"/>
            </w:tcMar>
            <w:hideMark/>
          </w:tcPr>
          <w:p w:rsidR="00000000" w:rsidRDefault="00E0782F">
            <w:pPr>
              <w:jc w:val="center"/>
              <w:rPr>
                <w:rFonts w:eastAsia="Times New Roman"/>
              </w:rPr>
            </w:pPr>
            <w:hyperlink w:anchor="i3af66512804646fcaf1b19a0aea6f320_451" w:history="1">
              <w:r>
                <w:rPr>
                  <w:rStyle w:val="a3"/>
                  <w:rFonts w:eastAsia="Times New Roman"/>
                  <w:color w:val="000000"/>
                  <w:sz w:val="20"/>
                  <w:szCs w:val="20"/>
                  <w:u w:val="none"/>
                </w:rPr>
                <w:t>213</w:t>
              </w:r>
            </w:hyperlink>
          </w:p>
        </w:tc>
      </w:tr>
      <w:tr w:rsidR="00000000">
        <w:trPr>
          <w:divId w:val="1656102531"/>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1" style="width:0;height:1.5pt" o:hralign="center" o:hrstd="t" o:hr="t" fillcolor="#a0a0a0" stroked="f"/>
        </w:pict>
      </w:r>
    </w:p>
    <w:p w:rsidR="00000000" w:rsidRDefault="00E0782F">
      <w:pPr>
        <w:jc w:val="both"/>
        <w:divId w:val="41513121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760100538"/>
        <w:rPr>
          <w:rFonts w:eastAsia="Times New Roman"/>
        </w:rPr>
      </w:pPr>
    </w:p>
    <w:p w:rsidR="00000000" w:rsidRDefault="00E0782F">
      <w:pPr>
        <w:jc w:val="center"/>
        <w:divId w:val="857816959"/>
        <w:rPr>
          <w:rFonts w:eastAsia="Times New Roman"/>
        </w:rPr>
      </w:pPr>
      <w:r>
        <w:rPr>
          <w:rFonts w:eastAsia="Times New Roman"/>
          <w:b/>
          <w:bCs/>
          <w:color w:val="000000"/>
          <w:sz w:val="20"/>
          <w:szCs w:val="20"/>
        </w:rPr>
        <w:t>MANAGEMENT’</w:t>
      </w:r>
      <w:r>
        <w:rPr>
          <w:rFonts w:eastAsia="Times New Roman"/>
          <w:b/>
          <w:bCs/>
          <w:color w:val="000000"/>
          <w:sz w:val="20"/>
          <w:szCs w:val="20"/>
        </w:rPr>
        <w:t>S REPORT ON INTERNAL CONTROL OVER FINANCIAL REPORTING</w:t>
      </w:r>
    </w:p>
    <w:p w:rsidR="00000000" w:rsidRDefault="00E0782F">
      <w:pPr>
        <w:jc w:val="both"/>
        <w:divId w:val="2075426156"/>
        <w:rPr>
          <w:rFonts w:eastAsia="Times New Roman"/>
        </w:rPr>
      </w:pPr>
      <w:r>
        <w:rPr>
          <w:rFonts w:eastAsia="Times New Roman"/>
          <w:color w:val="000000"/>
          <w:sz w:val="20"/>
          <w:szCs w:val="20"/>
        </w:rPr>
        <w:t>The management of Capital One Financial Corporation (the “Company” or “Capital One”) is responsible for establishing and maintaining adequate internal control over financial reporting and for the assess</w:t>
      </w:r>
      <w:r>
        <w:rPr>
          <w:rFonts w:eastAsia="Times New Roman"/>
          <w:color w:val="000000"/>
          <w:sz w:val="20"/>
          <w:szCs w:val="20"/>
        </w:rPr>
        <w:t>ment of the effectiveness of internal control over financial reporting. Internal control over financial reporting is a process designed by, or under the supervision of, the Company’s principal executive and principal financial officers, or persons performi</w:t>
      </w:r>
      <w:r>
        <w:rPr>
          <w:rFonts w:eastAsia="Times New Roman"/>
          <w:color w:val="000000"/>
          <w:sz w:val="20"/>
          <w:szCs w:val="20"/>
        </w:rPr>
        <w:t>ng similar functions, and effected by the Company’s Board of Directors, management and other personnel, to provide reasonable assurance regarding the reliability of financial reporting and the preparation of financial statements for external reporting purp</w:t>
      </w:r>
      <w:r>
        <w:rPr>
          <w:rFonts w:eastAsia="Times New Roman"/>
          <w:color w:val="000000"/>
          <w:sz w:val="20"/>
          <w:szCs w:val="20"/>
        </w:rPr>
        <w:t>oses in accordance with U.S. generally accepted accounting principles.</w:t>
      </w:r>
    </w:p>
    <w:p w:rsidR="00000000" w:rsidRDefault="00E0782F">
      <w:pPr>
        <w:jc w:val="both"/>
        <w:divId w:val="1391730802"/>
        <w:rPr>
          <w:rFonts w:eastAsia="Times New Roman"/>
        </w:rPr>
      </w:pPr>
      <w:r>
        <w:rPr>
          <w:rFonts w:eastAsia="Times New Roman"/>
          <w:color w:val="000000"/>
          <w:sz w:val="20"/>
          <w:szCs w:val="20"/>
        </w:rPr>
        <w:t xml:space="preserve">Capital One’s internal control over financial reporting includes those policies and procedures that (i) pertain to the maintenance of records that, in reasonable detail, accurately and </w:t>
      </w:r>
      <w:r>
        <w:rPr>
          <w:rFonts w:eastAsia="Times New Roman"/>
          <w:color w:val="000000"/>
          <w:sz w:val="20"/>
          <w:szCs w:val="20"/>
        </w:rPr>
        <w:t>fairly reflect the transactions and dispositions of the Company’s assets; (ii) provide reasonable assurance that transactions are recorded as necessary to permit preparation of financial statements in accordance with generally accepted accounting principle</w:t>
      </w:r>
      <w:r>
        <w:rPr>
          <w:rFonts w:eastAsia="Times New Roman"/>
          <w:color w:val="000000"/>
          <w:sz w:val="20"/>
          <w:szCs w:val="20"/>
        </w:rPr>
        <w:t>s, and that the Company’s receipts and expenditures are being made only in accordance with authorizations of the Company’s management and directors; and (iii) provide reasonable assurance regarding prevention or timely detection of unauthorized acquisition</w:t>
      </w:r>
      <w:r>
        <w:rPr>
          <w:rFonts w:eastAsia="Times New Roman"/>
          <w:color w:val="000000"/>
          <w:sz w:val="20"/>
          <w:szCs w:val="20"/>
        </w:rPr>
        <w:t>, use or disposition of the Company’s assets that could have a material effect on its financial statements.</w:t>
      </w:r>
    </w:p>
    <w:p w:rsidR="00000000" w:rsidRDefault="00E0782F">
      <w:pPr>
        <w:jc w:val="both"/>
        <w:divId w:val="1379279776"/>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w:t>
      </w:r>
      <w:r>
        <w:rPr>
          <w:rFonts w:eastAsia="Times New Roman"/>
          <w:color w:val="000000"/>
          <w:sz w:val="20"/>
          <w:szCs w:val="20"/>
        </w:rPr>
        <w:t>luation of effectiveness to future periods are subject to the risk that controls may become inadequate because of changes in conditions, or that the degree of compliance with the policies or procedures may deteriorate.</w:t>
      </w:r>
    </w:p>
    <w:p w:rsidR="00000000" w:rsidRDefault="00E0782F">
      <w:pPr>
        <w:jc w:val="both"/>
        <w:divId w:val="933830777"/>
        <w:rPr>
          <w:rFonts w:eastAsia="Times New Roman"/>
        </w:rPr>
      </w:pPr>
      <w:r>
        <w:rPr>
          <w:rFonts w:eastAsia="Times New Roman"/>
          <w:color w:val="000000"/>
          <w:sz w:val="20"/>
          <w:szCs w:val="20"/>
        </w:rPr>
        <w:t>Management conducted an assessment of</w:t>
      </w:r>
      <w:r>
        <w:rPr>
          <w:rFonts w:eastAsia="Times New Roman"/>
          <w:color w:val="000000"/>
          <w:sz w:val="20"/>
          <w:szCs w:val="20"/>
        </w:rPr>
        <w:t xml:space="preserve"> the effectiveness of the Company’s internal control over financial reporting as of December 31, 2020, based on the framework in “2013 Internal Control—Integrated Framework” issued by the Committee of Sponsoring Organizations of the Treadway Commission (“C</w:t>
      </w:r>
      <w:r>
        <w:rPr>
          <w:rFonts w:eastAsia="Times New Roman"/>
          <w:color w:val="000000"/>
          <w:sz w:val="20"/>
          <w:szCs w:val="20"/>
        </w:rPr>
        <w:t>OSO”), commonly referred to as the “2013 Framework.”</w:t>
      </w:r>
    </w:p>
    <w:p w:rsidR="00000000" w:rsidRDefault="00E0782F">
      <w:pPr>
        <w:jc w:val="both"/>
        <w:divId w:val="1521435857"/>
        <w:rPr>
          <w:rFonts w:eastAsia="Times New Roman"/>
        </w:rPr>
      </w:pPr>
      <w:r>
        <w:rPr>
          <w:rFonts w:eastAsia="Times New Roman"/>
          <w:color w:val="000000"/>
          <w:sz w:val="20"/>
          <w:szCs w:val="20"/>
        </w:rPr>
        <w:t>Based on this assessment, management concluded that, as of December 31, 2020, the Company’s internal control over financial reporting was effective based on the criteria established by COSO in the 2013 F</w:t>
      </w:r>
      <w:r>
        <w:rPr>
          <w:rFonts w:eastAsia="Times New Roman"/>
          <w:color w:val="000000"/>
          <w:sz w:val="20"/>
          <w:szCs w:val="20"/>
        </w:rPr>
        <w:t>ramework. Additionally, based upon management’s assessment, the Company determined that there were no material weaknesses in its internal control over financial reporting as of December 31, 2020.</w:t>
      </w:r>
    </w:p>
    <w:p w:rsidR="00000000" w:rsidRDefault="00E0782F">
      <w:pPr>
        <w:jc w:val="both"/>
        <w:divId w:val="815148882"/>
        <w:rPr>
          <w:rFonts w:eastAsia="Times New Roman"/>
        </w:rPr>
      </w:pPr>
      <w:r>
        <w:rPr>
          <w:rFonts w:eastAsia="Times New Roman"/>
          <w:color w:val="000000"/>
          <w:sz w:val="20"/>
          <w:szCs w:val="20"/>
        </w:rPr>
        <w:t>The effectiveness of the Company’s internal control over fin</w:t>
      </w:r>
      <w:r>
        <w:rPr>
          <w:rFonts w:eastAsia="Times New Roman"/>
          <w:color w:val="000000"/>
          <w:sz w:val="20"/>
          <w:szCs w:val="20"/>
        </w:rPr>
        <w:t>ancial reporting as of December 31, 2020, has been audited by Ernst &amp; Young LLP, an independent registered public accounting firm, as stated in their accompanying report, which expresses an unqualified opinion on the effectiveness of the Company’s internal</w:t>
      </w:r>
      <w:r>
        <w:rPr>
          <w:rFonts w:eastAsia="Times New Roman"/>
          <w:color w:val="000000"/>
          <w:sz w:val="20"/>
          <w:szCs w:val="20"/>
        </w:rPr>
        <w:t xml:space="preserve"> control over financial reporting as of December 31, 2020.</w:t>
      </w:r>
    </w:p>
    <w:tbl>
      <w:tblPr>
        <w:tblW w:w="1673" w:type="pct"/>
        <w:tblCellMar>
          <w:top w:w="15" w:type="dxa"/>
          <w:left w:w="15" w:type="dxa"/>
          <w:bottom w:w="15" w:type="dxa"/>
          <w:right w:w="15" w:type="dxa"/>
        </w:tblCellMar>
        <w:tblLook w:val="04A0" w:firstRow="1" w:lastRow="0" w:firstColumn="1" w:lastColumn="0" w:noHBand="0" w:noVBand="1"/>
      </w:tblPr>
      <w:tblGrid>
        <w:gridCol w:w="37"/>
        <w:gridCol w:w="2706"/>
        <w:gridCol w:w="36"/>
      </w:tblGrid>
      <w:tr w:rsidR="00000000">
        <w:trPr>
          <w:divId w:val="403530236"/>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0353023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RICHARD D. FAIRBANK</w:t>
            </w:r>
          </w:p>
        </w:tc>
      </w:tr>
      <w:tr w:rsidR="00000000">
        <w:trPr>
          <w:divId w:val="40353023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Richard D. Fairbank</w:t>
            </w:r>
          </w:p>
        </w:tc>
      </w:tr>
      <w:tr w:rsidR="00000000">
        <w:trPr>
          <w:divId w:val="40353023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Chair, Chief Executive Officer and President</w:t>
            </w:r>
          </w:p>
        </w:tc>
      </w:tr>
      <w:tr w:rsidR="00000000">
        <w:trPr>
          <w:divId w:val="403530236"/>
          <w:trHeight w:val="300"/>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r>
      <w:tr w:rsidR="00000000">
        <w:trPr>
          <w:divId w:val="40353023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R. SCOTT BLACKLEY</w:t>
            </w:r>
          </w:p>
        </w:tc>
      </w:tr>
      <w:tr w:rsidR="00000000">
        <w:trPr>
          <w:divId w:val="40353023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 Scott Blackley</w:t>
            </w:r>
          </w:p>
        </w:tc>
      </w:tr>
      <w:tr w:rsidR="00000000">
        <w:trPr>
          <w:divId w:val="40353023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Chief Financial Officer</w:t>
            </w:r>
          </w:p>
        </w:tc>
      </w:tr>
      <w:tr w:rsidR="00000000">
        <w:trPr>
          <w:divId w:val="403530236"/>
          <w:trHeight w:val="300"/>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r>
      <w:tr w:rsidR="00000000">
        <w:trPr>
          <w:divId w:val="40353023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bl>
    <w:p w:rsidR="00000000" w:rsidRDefault="00E0782F">
      <w:pPr>
        <w:jc w:val="both"/>
        <w:divId w:val="64848660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7916832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7916832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7916832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2" style="width:0;height:1.5pt" o:hralign="center" o:hrstd="t" o:hr="t" fillcolor="#a0a0a0" stroked="f"/>
        </w:pict>
      </w:r>
    </w:p>
    <w:p w:rsidR="00000000" w:rsidRDefault="00E0782F">
      <w:pPr>
        <w:jc w:val="both"/>
        <w:divId w:val="163703129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both"/>
        <w:divId w:val="303195746"/>
        <w:rPr>
          <w:rFonts w:eastAsia="Times New Roman"/>
        </w:rPr>
      </w:pPr>
    </w:p>
    <w:p w:rsidR="00000000" w:rsidRDefault="00E0782F">
      <w:pPr>
        <w:jc w:val="center"/>
        <w:divId w:val="973145087"/>
        <w:rPr>
          <w:rFonts w:eastAsia="Times New Roman"/>
        </w:rPr>
      </w:pPr>
      <w:r>
        <w:rPr>
          <w:rFonts w:eastAsia="Times New Roman"/>
          <w:b/>
          <w:bCs/>
          <w:color w:val="000000"/>
          <w:sz w:val="20"/>
          <w:szCs w:val="20"/>
        </w:rPr>
        <w:t>REPORT OF INDEPENDENT REGISTERED PUBLIC ACCOUNTING FIRM</w:t>
      </w:r>
    </w:p>
    <w:p w:rsidR="00000000" w:rsidRDefault="00E0782F">
      <w:pPr>
        <w:jc w:val="center"/>
        <w:divId w:val="1190800633"/>
        <w:rPr>
          <w:rFonts w:eastAsia="Times New Roman"/>
        </w:rPr>
      </w:pPr>
    </w:p>
    <w:p w:rsidR="00000000" w:rsidRDefault="00E0782F">
      <w:pPr>
        <w:jc w:val="both"/>
        <w:divId w:val="1606695773"/>
        <w:rPr>
          <w:rFonts w:eastAsia="Times New Roman"/>
        </w:rPr>
      </w:pPr>
      <w:r>
        <w:rPr>
          <w:rFonts w:eastAsia="Times New Roman"/>
          <w:color w:val="000000"/>
          <w:sz w:val="20"/>
          <w:szCs w:val="20"/>
        </w:rPr>
        <w:t>To the Shareholders and the Board of Directors of Capital One Financial Corporation:</w:t>
      </w:r>
    </w:p>
    <w:p w:rsidR="00000000" w:rsidRDefault="00E0782F">
      <w:pPr>
        <w:jc w:val="both"/>
        <w:divId w:val="132256692"/>
        <w:rPr>
          <w:rFonts w:eastAsia="Times New Roman"/>
        </w:rPr>
      </w:pPr>
      <w:r>
        <w:rPr>
          <w:rFonts w:eastAsia="Times New Roman"/>
          <w:b/>
          <w:bCs/>
          <w:color w:val="000000"/>
          <w:sz w:val="20"/>
          <w:szCs w:val="20"/>
        </w:rPr>
        <w:t>Opinion on Internal Control over Financial Reporting</w:t>
      </w:r>
    </w:p>
    <w:p w:rsidR="00000000" w:rsidRDefault="00E0782F">
      <w:pPr>
        <w:jc w:val="both"/>
        <w:divId w:val="1819345789"/>
        <w:rPr>
          <w:rFonts w:eastAsia="Times New Roman"/>
        </w:rPr>
      </w:pPr>
      <w:r>
        <w:rPr>
          <w:rFonts w:eastAsia="Times New Roman"/>
          <w:color w:val="000000"/>
          <w:sz w:val="20"/>
          <w:szCs w:val="20"/>
        </w:rPr>
        <w:t>We have audited Capital One Financial Corporation’s internal control over financial reporting as of December 31, 2020, based on criteria established in Internal Control—Integrated Framework issued by th</w:t>
      </w:r>
      <w:r>
        <w:rPr>
          <w:rFonts w:eastAsia="Times New Roman"/>
          <w:color w:val="000000"/>
          <w:sz w:val="20"/>
          <w:szCs w:val="20"/>
        </w:rPr>
        <w:t>e Committee of Sponsoring Organizations of the Treadway Commission (2013 framework) (the COSO criteria). In our opinion, Capital One Financial Corporation (the “Company”) maintained, in all material respects, effective internal control over financial repor</w:t>
      </w:r>
      <w:r>
        <w:rPr>
          <w:rFonts w:eastAsia="Times New Roman"/>
          <w:color w:val="000000"/>
          <w:sz w:val="20"/>
          <w:szCs w:val="20"/>
        </w:rPr>
        <w:t>ting as of December 31, 2020, based on the COSO criteria.</w:t>
      </w:r>
    </w:p>
    <w:p w:rsidR="00000000" w:rsidRDefault="00E0782F">
      <w:pPr>
        <w:jc w:val="both"/>
        <w:divId w:val="1706442758"/>
        <w:rPr>
          <w:rFonts w:eastAsia="Times New Roman"/>
        </w:rPr>
      </w:pPr>
      <w:r>
        <w:rPr>
          <w:rFonts w:eastAsia="Times New Roman"/>
          <w:color w:val="000000"/>
          <w:sz w:val="20"/>
          <w:szCs w:val="20"/>
        </w:rPr>
        <w:t>We also have audited, in accordance with the standards of the Public Company Accounting Oversight Board (United States) (PCAOB), the consolidated balance sheets of Capital One Financial Corporatio</w:t>
      </w:r>
      <w:r>
        <w:rPr>
          <w:rFonts w:eastAsia="Times New Roman"/>
          <w:color w:val="000000"/>
          <w:sz w:val="20"/>
          <w:szCs w:val="20"/>
        </w:rPr>
        <w:t>n</w:t>
      </w:r>
      <w:r>
        <w:rPr>
          <w:rFonts w:eastAsia="Times New Roman"/>
          <w:color w:val="000000"/>
          <w:sz w:val="13"/>
          <w:szCs w:val="13"/>
        </w:rPr>
        <w:t xml:space="preserve"> </w:t>
      </w:r>
      <w:r>
        <w:rPr>
          <w:rFonts w:eastAsia="Times New Roman"/>
          <w:color w:val="000000"/>
          <w:sz w:val="20"/>
          <w:szCs w:val="20"/>
        </w:rPr>
        <w:t>as of December 31, 2020 and 2019, the related consolidated statements of income, comprehensive income, changes in stockholders’ equity and cash flows for each of the three years in the period ended December 31, 2020, and the related notes and our report da</w:t>
      </w:r>
      <w:r>
        <w:rPr>
          <w:rFonts w:eastAsia="Times New Roman"/>
          <w:color w:val="000000"/>
          <w:sz w:val="20"/>
          <w:szCs w:val="20"/>
        </w:rPr>
        <w:t>ted February 25, 2021 expressed an unqualified opinion thereon.</w:t>
      </w:r>
    </w:p>
    <w:p w:rsidR="00000000" w:rsidRDefault="00E0782F">
      <w:pPr>
        <w:jc w:val="both"/>
        <w:divId w:val="884875753"/>
        <w:rPr>
          <w:rFonts w:eastAsia="Times New Roman"/>
        </w:rPr>
      </w:pPr>
      <w:r>
        <w:rPr>
          <w:rFonts w:eastAsia="Times New Roman"/>
          <w:b/>
          <w:bCs/>
          <w:color w:val="000000"/>
          <w:sz w:val="20"/>
          <w:szCs w:val="20"/>
        </w:rPr>
        <w:t>Basis for Opinion</w:t>
      </w:r>
    </w:p>
    <w:p w:rsidR="00000000" w:rsidRDefault="00E0782F">
      <w:pPr>
        <w:jc w:val="both"/>
        <w:divId w:val="198132343"/>
        <w:rPr>
          <w:rFonts w:eastAsia="Times New Roman"/>
        </w:rPr>
      </w:pPr>
      <w:r>
        <w:rPr>
          <w:rFonts w:eastAsia="Times New Roman"/>
          <w:color w:val="000000"/>
          <w:sz w:val="20"/>
          <w:szCs w:val="20"/>
        </w:rPr>
        <w:t>The Company’s management is responsible for maintaining effective internal control over financial reporting and for its assessment of the effectiveness of internal control ov</w:t>
      </w:r>
      <w:r>
        <w:rPr>
          <w:rFonts w:eastAsia="Times New Roman"/>
          <w:color w:val="000000"/>
          <w:sz w:val="20"/>
          <w:szCs w:val="20"/>
        </w:rPr>
        <w:t>er financial reporting included in the accompanying Management’s Report on Internal Control Over Financial Reporting. Our responsibility is to express an opinion on the Company’s internal control over financial reporting based on our audit. We are a public</w:t>
      </w:r>
      <w:r>
        <w:rPr>
          <w:rFonts w:eastAsia="Times New Roman"/>
          <w:color w:val="000000"/>
          <w:sz w:val="20"/>
          <w:szCs w:val="20"/>
        </w:rPr>
        <w:t xml:space="preserve"> accounting firm registered with the PCAOB and are required to be independent with respect to the Company in accordance with the U.S. federal securities laws and the applicable rules and regulations of the Securities and Exchange Commission and the PCAOB.</w:t>
      </w:r>
    </w:p>
    <w:p w:rsidR="00000000" w:rsidRDefault="00E0782F">
      <w:pPr>
        <w:jc w:val="both"/>
        <w:divId w:val="1481538294"/>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w:t>
      </w:r>
      <w:r>
        <w:rPr>
          <w:rFonts w:eastAsia="Times New Roman"/>
          <w:color w:val="000000"/>
          <w:sz w:val="20"/>
          <w:szCs w:val="20"/>
        </w:rPr>
        <w:t xml:space="preserve"> respects.</w:t>
      </w:r>
    </w:p>
    <w:p w:rsidR="00000000" w:rsidRDefault="00E0782F">
      <w:pPr>
        <w:jc w:val="both"/>
        <w:divId w:val="1340503495"/>
        <w:rPr>
          <w:rFonts w:eastAsia="Times New Roman"/>
        </w:rPr>
      </w:pPr>
      <w:r>
        <w:rPr>
          <w:rFonts w:eastAsia="Times New Roman"/>
          <w:color w:val="000000"/>
          <w:sz w:val="20"/>
          <w:szCs w:val="20"/>
        </w:rPr>
        <w:t>Our audit included obtaining an understanding of internal control over financial reporting, assessing the risk that a material weakness exists, testing and evaluating the design and operating effectiveness of internal control based on the assess</w:t>
      </w:r>
      <w:r>
        <w:rPr>
          <w:rFonts w:eastAsia="Times New Roman"/>
          <w:color w:val="000000"/>
          <w:sz w:val="20"/>
          <w:szCs w:val="20"/>
        </w:rPr>
        <w:t>ed risk, and performing such other procedures as we considered necessary in the circumstances. We believe that our audit provides a reasonable basis for our opinion.</w:t>
      </w:r>
    </w:p>
    <w:p w:rsidR="00000000" w:rsidRDefault="00E0782F">
      <w:pPr>
        <w:jc w:val="both"/>
        <w:divId w:val="105588073"/>
        <w:rPr>
          <w:rFonts w:eastAsia="Times New Roman"/>
        </w:rPr>
      </w:pPr>
      <w:r>
        <w:rPr>
          <w:rFonts w:eastAsia="Times New Roman"/>
          <w:b/>
          <w:bCs/>
          <w:color w:val="000000"/>
          <w:sz w:val="20"/>
          <w:szCs w:val="20"/>
        </w:rPr>
        <w:t>Definition and Limitations of Internal Control Over Financial Reporting</w:t>
      </w:r>
    </w:p>
    <w:p w:rsidR="00000000" w:rsidRDefault="00E0782F">
      <w:pPr>
        <w:jc w:val="both"/>
        <w:divId w:val="1218127185"/>
        <w:rPr>
          <w:rFonts w:eastAsia="Times New Roman"/>
        </w:rPr>
      </w:pPr>
      <w:r>
        <w:rPr>
          <w:rFonts w:eastAsia="Times New Roman"/>
          <w:color w:val="000000"/>
          <w:sz w:val="20"/>
          <w:szCs w:val="20"/>
        </w:rPr>
        <w:t>A company’</w:t>
      </w:r>
      <w:r>
        <w:rPr>
          <w:rFonts w:eastAsia="Times New Roman"/>
          <w:color w:val="000000"/>
          <w:sz w:val="20"/>
          <w:szCs w:val="20"/>
        </w:rPr>
        <w:t>s internal control over financial reporting is a process designed to provide reasonable assurance regarding the reliability of financial reporting and the preparation of financial statements for external purposes in accordance with generally accepted accou</w:t>
      </w:r>
      <w:r>
        <w:rPr>
          <w:rFonts w:eastAsia="Times New Roman"/>
          <w:color w:val="000000"/>
          <w:sz w:val="20"/>
          <w:szCs w:val="20"/>
        </w:rPr>
        <w:t>nting principles. A company’s internal control over financial reporting includes those policies and procedures that (1) pertain to the maintenance of records that, in reasonable detail, accurately and fairly reflect the transactions and dispositions of the</w:t>
      </w:r>
      <w:r>
        <w:rPr>
          <w:rFonts w:eastAsia="Times New Roman"/>
          <w:color w:val="000000"/>
          <w:sz w:val="20"/>
          <w:szCs w:val="20"/>
        </w:rPr>
        <w:t xml:space="preserve"> assets of the company; (2) provide reasonable assurance that transactions are recorded as necessary to permit preparation of financial statements in accordance with generally accepted accounting principles, and that receipts and expenditures of the compan</w:t>
      </w:r>
      <w:r>
        <w:rPr>
          <w:rFonts w:eastAsia="Times New Roman"/>
          <w:color w:val="000000"/>
          <w:sz w:val="20"/>
          <w:szCs w:val="20"/>
        </w:rPr>
        <w:t xml:space="preserve">y are being made only in accordance with authorizations of management and directors of the company; and (3) provide reasonable assurance regarding prevention or timely detection of unauthorized acquisition, use, or disposition of the company’s assets that </w:t>
      </w:r>
      <w:r>
        <w:rPr>
          <w:rFonts w:eastAsia="Times New Roman"/>
          <w:color w:val="000000"/>
          <w:sz w:val="20"/>
          <w:szCs w:val="20"/>
        </w:rPr>
        <w:t xml:space="preserve">could have a material effect on the financial statements. </w:t>
      </w:r>
    </w:p>
    <w:p w:rsidR="00000000" w:rsidRDefault="00E0782F">
      <w:pPr>
        <w:jc w:val="both"/>
        <w:divId w:val="932084753"/>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w:t>
      </w:r>
      <w:r>
        <w:rPr>
          <w:rFonts w:eastAsia="Times New Roman"/>
          <w:color w:val="000000"/>
          <w:sz w:val="20"/>
          <w:szCs w:val="20"/>
        </w:rPr>
        <w:t>bject to the risk that controls may become inadequate because of changes in conditions, or that the degree of compliance with the policies or procedures may deteriorate.</w:t>
      </w:r>
    </w:p>
    <w:tbl>
      <w:tblPr>
        <w:tblW w:w="1995" w:type="pct"/>
        <w:tblCellMar>
          <w:top w:w="15" w:type="dxa"/>
          <w:left w:w="15" w:type="dxa"/>
          <w:bottom w:w="15" w:type="dxa"/>
          <w:right w:w="15" w:type="dxa"/>
        </w:tblCellMar>
        <w:tblLook w:val="04A0" w:firstRow="1" w:lastRow="0" w:firstColumn="1" w:lastColumn="0" w:noHBand="0" w:noVBand="1"/>
      </w:tblPr>
      <w:tblGrid>
        <w:gridCol w:w="37"/>
        <w:gridCol w:w="3241"/>
        <w:gridCol w:w="36"/>
      </w:tblGrid>
      <w:tr w:rsidR="00000000">
        <w:trPr>
          <w:divId w:val="964772060"/>
        </w:trPr>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64772060"/>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/s/ Ernst &amp; Young LLP</w:t>
            </w:r>
          </w:p>
        </w:tc>
      </w:tr>
      <w:tr w:rsidR="00000000">
        <w:trPr>
          <w:divId w:val="964772060"/>
          <w:trHeight w:val="2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r>
      <w:tr w:rsidR="00000000">
        <w:trPr>
          <w:divId w:val="964772060"/>
        </w:trPr>
        <w:tc>
          <w:tcPr>
            <w:tcW w:w="0" w:type="auto"/>
            <w:gridSpan w:val="3"/>
            <w:tcMar>
              <w:top w:w="30" w:type="dxa"/>
              <w:left w:w="20" w:type="dxa"/>
              <w:bottom w:w="30" w:type="dxa"/>
              <w:right w:w="20" w:type="dxa"/>
            </w:tcMar>
            <w:vAlign w:val="bottom"/>
            <w:hideMark/>
          </w:tcPr>
          <w:p w:rsidR="00000000" w:rsidRDefault="00E0782F">
            <w:pPr>
              <w:divId w:val="1027026567"/>
              <w:rPr>
                <w:rFonts w:eastAsia="Times New Roman"/>
              </w:rPr>
            </w:pPr>
            <w:r>
              <w:rPr>
                <w:rFonts w:eastAsia="Times New Roman"/>
                <w:color w:val="000000"/>
                <w:sz w:val="18"/>
                <w:szCs w:val="18"/>
              </w:rPr>
              <w:t>Tysons, Virginia</w:t>
            </w:r>
          </w:p>
        </w:tc>
      </w:tr>
      <w:tr w:rsidR="00000000">
        <w:trPr>
          <w:divId w:val="96477206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3" style="width:0;height:1.5pt" o:hralign="center" o:hrstd="t" o:hr="t" fillcolor="#a0a0a0" stroked="f"/>
        </w:pict>
      </w:r>
    </w:p>
    <w:p w:rsidR="00000000" w:rsidRDefault="00E0782F">
      <w:pPr>
        <w:jc w:val="both"/>
        <w:divId w:val="156004771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800760317"/>
        <w:rPr>
          <w:rFonts w:eastAsia="Times New Roman"/>
        </w:rPr>
      </w:pPr>
      <w:r>
        <w:rPr>
          <w:rFonts w:eastAsia="Times New Roman"/>
          <w:b/>
          <w:bCs/>
          <w:color w:val="000000"/>
          <w:sz w:val="20"/>
          <w:szCs w:val="20"/>
        </w:rPr>
        <w:t>REPORT OF INDEPENDENT REGISTERED PUBLIC ACCOUNTING FIRM</w:t>
      </w:r>
    </w:p>
    <w:p w:rsidR="00000000" w:rsidRDefault="00E0782F">
      <w:pPr>
        <w:jc w:val="center"/>
        <w:divId w:val="1673290235"/>
        <w:rPr>
          <w:rFonts w:eastAsia="Times New Roman"/>
        </w:rPr>
      </w:pPr>
    </w:p>
    <w:p w:rsidR="00000000" w:rsidRDefault="00E0782F">
      <w:pPr>
        <w:jc w:val="both"/>
        <w:divId w:val="2042586213"/>
        <w:rPr>
          <w:rFonts w:eastAsia="Times New Roman"/>
        </w:rPr>
      </w:pPr>
      <w:r>
        <w:rPr>
          <w:rFonts w:eastAsia="Times New Roman"/>
          <w:color w:val="000000"/>
          <w:sz w:val="20"/>
          <w:szCs w:val="20"/>
        </w:rPr>
        <w:t xml:space="preserve">To the Shareholders and the Board of Directors of Capital One Financial Corporation: </w:t>
      </w:r>
    </w:p>
    <w:p w:rsidR="00000000" w:rsidRDefault="00E0782F">
      <w:pPr>
        <w:jc w:val="both"/>
        <w:divId w:val="188689162"/>
        <w:rPr>
          <w:rFonts w:eastAsia="Times New Roman"/>
        </w:rPr>
      </w:pPr>
      <w:r>
        <w:rPr>
          <w:rFonts w:eastAsia="Times New Roman"/>
          <w:b/>
          <w:bCs/>
          <w:color w:val="000000"/>
          <w:sz w:val="20"/>
          <w:szCs w:val="20"/>
        </w:rPr>
        <w:t xml:space="preserve">Opinion on the Financial Statements </w:t>
      </w:r>
    </w:p>
    <w:p w:rsidR="00000000" w:rsidRDefault="00E0782F">
      <w:pPr>
        <w:jc w:val="both"/>
        <w:divId w:val="1127821246"/>
        <w:rPr>
          <w:rFonts w:eastAsia="Times New Roman"/>
        </w:rPr>
      </w:pPr>
      <w:r>
        <w:rPr>
          <w:rFonts w:eastAsia="Times New Roman"/>
          <w:color w:val="000000"/>
          <w:sz w:val="20"/>
          <w:szCs w:val="20"/>
        </w:rPr>
        <w:t xml:space="preserve">We have audited the accompanying consolidated balance sheets of Capital One Financial Corporation (the “Company”) as of December 31, </w:t>
      </w:r>
      <w:r>
        <w:rPr>
          <w:rFonts w:eastAsia="Times New Roman"/>
          <w:color w:val="000000"/>
          <w:sz w:val="20"/>
          <w:szCs w:val="20"/>
        </w:rPr>
        <w:t>2020 and 2019, the related consolidated statements of income, comprehensive income, changes in stockholders’ equity and cash flows for each of the three years in the period ended December 31, 2020, and the related notes (collectively referred to as the “co</w:t>
      </w:r>
      <w:r>
        <w:rPr>
          <w:rFonts w:eastAsia="Times New Roman"/>
          <w:color w:val="000000"/>
          <w:sz w:val="20"/>
          <w:szCs w:val="20"/>
        </w:rPr>
        <w:t>nsolidated financial statements”). In our opinion, the consolidated financial statements present fairly, in all material respects, the financial position of the Company at December 31, 2020 and 2019, and the results of its operations and its cash flows for</w:t>
      </w:r>
      <w:r>
        <w:rPr>
          <w:rFonts w:eastAsia="Times New Roman"/>
          <w:color w:val="000000"/>
          <w:sz w:val="20"/>
          <w:szCs w:val="20"/>
        </w:rPr>
        <w:t xml:space="preserve"> each of the three years in the period ended December 31, 2020, in conformity with U.S. generally accepted accounting principles. </w:t>
      </w:r>
    </w:p>
    <w:p w:rsidR="00000000" w:rsidRDefault="00E0782F">
      <w:pPr>
        <w:jc w:val="both"/>
        <w:divId w:val="615915880"/>
        <w:rPr>
          <w:rFonts w:eastAsia="Times New Roman"/>
        </w:rPr>
      </w:pPr>
      <w:r>
        <w:rPr>
          <w:rFonts w:eastAsia="Times New Roman"/>
          <w:color w:val="000000"/>
          <w:sz w:val="20"/>
          <w:szCs w:val="20"/>
        </w:rPr>
        <w:t>We also have audited, in accordance with the standards of the Public Company Accounting Oversight Board (United States) (PCAO</w:t>
      </w:r>
      <w:r>
        <w:rPr>
          <w:rFonts w:eastAsia="Times New Roman"/>
          <w:color w:val="000000"/>
          <w:sz w:val="20"/>
          <w:szCs w:val="20"/>
        </w:rPr>
        <w:t xml:space="preserve">B), the Company's internal control over financial reporting as of December 31, 2020, based on criteria established in Internal Control—Integrated Framework issued by the Committee of Sponsoring Organizations of the Treadway Commission (2013 framework) and </w:t>
      </w:r>
      <w:r>
        <w:rPr>
          <w:rFonts w:eastAsia="Times New Roman"/>
          <w:color w:val="000000"/>
          <w:sz w:val="20"/>
          <w:szCs w:val="20"/>
        </w:rPr>
        <w:t xml:space="preserve">our report dated February 25, 2021 expressed an unqualified opinion thereon. </w:t>
      </w:r>
    </w:p>
    <w:p w:rsidR="00000000" w:rsidRDefault="00E0782F">
      <w:pPr>
        <w:jc w:val="both"/>
        <w:divId w:val="833103142"/>
        <w:rPr>
          <w:rFonts w:eastAsia="Times New Roman"/>
        </w:rPr>
      </w:pPr>
      <w:r>
        <w:rPr>
          <w:rFonts w:eastAsia="Times New Roman"/>
          <w:b/>
          <w:bCs/>
          <w:color w:val="000000"/>
          <w:sz w:val="20"/>
          <w:szCs w:val="20"/>
        </w:rPr>
        <w:t>Adoption of New Accounting Standard</w:t>
      </w:r>
    </w:p>
    <w:p w:rsidR="00000000" w:rsidRDefault="00E0782F">
      <w:pPr>
        <w:divId w:val="1128204390"/>
        <w:rPr>
          <w:rFonts w:eastAsia="Times New Roman"/>
        </w:rPr>
      </w:pPr>
      <w:r>
        <w:rPr>
          <w:rFonts w:eastAsia="Times New Roman"/>
          <w:color w:val="000000"/>
          <w:sz w:val="20"/>
          <w:szCs w:val="20"/>
        </w:rPr>
        <w:t>As discussed in Note 1 and Note 4 to the consolidated financial statements, the Company changed its method for accounting for credit losses in</w:t>
      </w:r>
      <w:r>
        <w:rPr>
          <w:rFonts w:eastAsia="Times New Roman"/>
          <w:color w:val="000000"/>
          <w:sz w:val="20"/>
          <w:szCs w:val="20"/>
        </w:rPr>
        <w:t xml:space="preserve"> 2020. As explained below, auditing the Company’s allowance for credit losses, including adoption of the change in method of accounting for credit losses, was a critical audit matter.</w:t>
      </w:r>
    </w:p>
    <w:p w:rsidR="00000000" w:rsidRDefault="00E0782F">
      <w:pPr>
        <w:jc w:val="both"/>
        <w:divId w:val="1150634685"/>
        <w:rPr>
          <w:rFonts w:eastAsia="Times New Roman"/>
        </w:rPr>
      </w:pPr>
      <w:r>
        <w:rPr>
          <w:rFonts w:eastAsia="Times New Roman"/>
          <w:b/>
          <w:bCs/>
          <w:color w:val="000000"/>
          <w:sz w:val="20"/>
          <w:szCs w:val="20"/>
        </w:rPr>
        <w:t xml:space="preserve">Basis for Opinion </w:t>
      </w:r>
    </w:p>
    <w:p w:rsidR="00000000" w:rsidRDefault="00E0782F">
      <w:pPr>
        <w:jc w:val="both"/>
        <w:divId w:val="1079910926"/>
        <w:rPr>
          <w:rFonts w:eastAsia="Times New Roman"/>
        </w:rPr>
      </w:pPr>
      <w:r>
        <w:rPr>
          <w:rFonts w:eastAsia="Times New Roman"/>
          <w:color w:val="000000"/>
          <w:sz w:val="20"/>
          <w:szCs w:val="20"/>
        </w:rPr>
        <w:t xml:space="preserve">These financial statements are the responsibility of </w:t>
      </w:r>
      <w:r>
        <w:rPr>
          <w:rFonts w:eastAsia="Times New Roman"/>
          <w:color w:val="000000"/>
          <w:sz w:val="20"/>
          <w:szCs w:val="20"/>
        </w:rPr>
        <w:t>the Company's management. Our responsibility is to express an opinion on the Company’s financial statements based on our audits. We are a public accounting firm registered with the PCAOB and are required to be independent with respect to the Company in acc</w:t>
      </w:r>
      <w:r>
        <w:rPr>
          <w:rFonts w:eastAsia="Times New Roman"/>
          <w:color w:val="000000"/>
          <w:sz w:val="20"/>
          <w:szCs w:val="20"/>
        </w:rPr>
        <w:t xml:space="preserve">ordance with the U.S. federal securities laws and the applicable rules and regulations of the Securities and Exchange Commission and the PCAOB. </w:t>
      </w:r>
    </w:p>
    <w:p w:rsidR="00000000" w:rsidRDefault="00E0782F">
      <w:pPr>
        <w:jc w:val="both"/>
        <w:divId w:val="1982034687"/>
        <w:rPr>
          <w:rFonts w:eastAsia="Times New Roman"/>
        </w:rPr>
      </w:pPr>
      <w:r>
        <w:rPr>
          <w:rFonts w:eastAsia="Times New Roman"/>
          <w:color w:val="000000"/>
          <w:sz w:val="20"/>
          <w:szCs w:val="20"/>
        </w:rPr>
        <w:t>We conducted our audits in accordance with the standards of the PCAOB. Those standards require that we plan and</w:t>
      </w:r>
      <w:r>
        <w:rPr>
          <w:rFonts w:eastAsia="Times New Roman"/>
          <w:color w:val="000000"/>
          <w:sz w:val="20"/>
          <w:szCs w:val="20"/>
        </w:rPr>
        <w:t xml:space="preserve"> perform the audit to obtain reasonable assurance about whether the financial statements are free of material misstatement, whether due to error or fraud. Our audits included performing procedures to assess the risks of material misstatement of the financi</w:t>
      </w:r>
      <w:r>
        <w:rPr>
          <w:rFonts w:eastAsia="Times New Roman"/>
          <w:color w:val="000000"/>
          <w:sz w:val="20"/>
          <w:szCs w:val="20"/>
        </w:rPr>
        <w:t>al statements, whether due to error or fraud, and performing procedures that respond to those risks. Such procedures included examining, on a test basis, evidence regarding the amounts and disclosures in the financial statements. Our audits also included e</w:t>
      </w:r>
      <w:r>
        <w:rPr>
          <w:rFonts w:eastAsia="Times New Roman"/>
          <w:color w:val="000000"/>
          <w:sz w:val="20"/>
          <w:szCs w:val="20"/>
        </w:rPr>
        <w:t xml:space="preserve">valuating the accounting principles used and significant estimates made by management, as well as evaluating the overall presentation of the financial statements. We believe that our audits provide a reasonable basis for our opinion. </w:t>
      </w:r>
    </w:p>
    <w:p w:rsidR="00000000" w:rsidRDefault="00E0782F">
      <w:pPr>
        <w:jc w:val="both"/>
        <w:divId w:val="1299456807"/>
        <w:rPr>
          <w:rFonts w:eastAsia="Times New Roman"/>
        </w:rPr>
      </w:pPr>
      <w:r>
        <w:rPr>
          <w:rFonts w:eastAsia="Times New Roman"/>
          <w:b/>
          <w:bCs/>
          <w:color w:val="000000"/>
          <w:sz w:val="20"/>
          <w:szCs w:val="20"/>
        </w:rPr>
        <w:t>Critical Audit Matter</w:t>
      </w:r>
      <w:r>
        <w:rPr>
          <w:rFonts w:eastAsia="Times New Roman"/>
          <w:b/>
          <w:bCs/>
          <w:color w:val="000000"/>
          <w:sz w:val="20"/>
          <w:szCs w:val="20"/>
        </w:rPr>
        <w:t>s</w:t>
      </w:r>
    </w:p>
    <w:p w:rsidR="00000000" w:rsidRDefault="00E0782F">
      <w:pPr>
        <w:jc w:val="both"/>
        <w:divId w:val="877935125"/>
        <w:rPr>
          <w:rFonts w:eastAsia="Times New Roman"/>
        </w:rPr>
      </w:pPr>
      <w:r>
        <w:rPr>
          <w:rFonts w:eastAsia="Times New Roman"/>
          <w:color w:val="000000"/>
          <w:sz w:val="20"/>
          <w:szCs w:val="20"/>
        </w:rPr>
        <w:t xml:space="preserve">The critical audit matters communicated below are matters arising from the current period audit of the financial statements that were communicated or required to be communicated to the audit committee and that: (1) relate to accounts or disclosures that </w:t>
      </w:r>
      <w:r>
        <w:rPr>
          <w:rFonts w:eastAsia="Times New Roman"/>
          <w:color w:val="000000"/>
          <w:sz w:val="20"/>
          <w:szCs w:val="20"/>
        </w:rPr>
        <w:t>are material to the financial statements and (2) involved our especially challenging, subjective or complex judgments. The communication of critical audit matters does not alter in any way our opinion on the consolidated financial statements, taken as a wh</w:t>
      </w:r>
      <w:r>
        <w:rPr>
          <w:rFonts w:eastAsia="Times New Roman"/>
          <w:color w:val="000000"/>
          <w:sz w:val="20"/>
          <w:szCs w:val="20"/>
        </w:rPr>
        <w:t>ole, and we are not, by communicating the critical audit matters below, providing separate opinions on the critical audit matters or on the accounts or disclosures to which they relate.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8831051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88310518"/>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8831051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4" style="width:0;height:1.5pt" o:hralign="center" o:hrstd="t" o:hr="t" fillcolor="#a0a0a0" stroked="f"/>
        </w:pict>
      </w:r>
    </w:p>
    <w:p w:rsidR="00000000" w:rsidRDefault="00E0782F">
      <w:pPr>
        <w:jc w:val="both"/>
        <w:divId w:val="1554853485"/>
        <w:rPr>
          <w:rFonts w:eastAsia="Times New Roman"/>
        </w:rPr>
      </w:pPr>
      <w:hyperlink w:anchor="i3af66512804646fcaf1b19a0aea6f320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1259"/>
        <w:gridCol w:w="36"/>
        <w:gridCol w:w="36"/>
        <w:gridCol w:w="142"/>
        <w:gridCol w:w="36"/>
        <w:gridCol w:w="61"/>
        <w:gridCol w:w="6639"/>
        <w:gridCol w:w="37"/>
      </w:tblGrid>
      <w:tr w:rsidR="00000000">
        <w:trPr>
          <w:divId w:val="1628781766"/>
        </w:trPr>
        <w:tc>
          <w:tcPr>
            <w:tcW w:w="50" w:type="pct"/>
            <w:vAlign w:val="center"/>
            <w:hideMark/>
          </w:tcPr>
          <w:p w:rsidR="00000000" w:rsidRDefault="00E0782F">
            <w:pPr>
              <w:jc w:val="both"/>
              <w:rPr>
                <w:rFonts w:eastAsia="Times New Roman"/>
              </w:rPr>
            </w:pPr>
          </w:p>
        </w:tc>
        <w:tc>
          <w:tcPr>
            <w:tcW w:w="7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9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0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2878176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hideMark/>
          </w:tcPr>
          <w:p w:rsidR="00000000" w:rsidRDefault="00E0782F">
            <w:pPr>
              <w:spacing w:after="240"/>
              <w:rPr>
                <w:rFonts w:eastAsia="Times New Roman"/>
              </w:rPr>
            </w:pPr>
            <w:r>
              <w:rPr>
                <w:rFonts w:eastAsia="Times New Roman"/>
                <w:b/>
                <w:bCs/>
                <w:i/>
                <w:iCs/>
                <w:color w:val="000000"/>
                <w:sz w:val="20"/>
                <w:szCs w:val="20"/>
              </w:rPr>
              <w:t>Allowance for credit losses—Credit Card and Consumer Banking</w:t>
            </w:r>
          </w:p>
        </w:tc>
      </w:tr>
      <w:tr w:rsidR="00000000">
        <w:trPr>
          <w:divId w:val="1628781766"/>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hideMark/>
          </w:tcPr>
          <w:p w:rsidR="00000000" w:rsidRDefault="00E0782F">
            <w:pPr>
              <w:jc w:val="both"/>
              <w:rPr>
                <w:rFonts w:eastAsia="Times New Roman"/>
              </w:rPr>
            </w:pPr>
            <w:r>
              <w:rPr>
                <w:rFonts w:eastAsia="Times New Roman"/>
                <w:color w:val="000000"/>
                <w:sz w:val="20"/>
                <w:szCs w:val="20"/>
              </w:rPr>
              <w:t>As discussed above and in Note 1 and Note 4 to the consolidated financial statements, the Company changed its method of accounting for credit losses. On January 1, 2020, the Company adopted the Financial Accounting Standards Board Accounting Standards Upda</w:t>
            </w:r>
            <w:r>
              <w:rPr>
                <w:rFonts w:eastAsia="Times New Roman"/>
                <w:color w:val="000000"/>
                <w:sz w:val="20"/>
                <w:szCs w:val="20"/>
              </w:rPr>
              <w:t>te No. 2016-13, Financial Instruments—Credit Losses (Topic 326): Measurement of Credit Losses on Financial Instruments which resulted in an increase to the allowance for credit losses (ACL or allowance) for the credit card and consumer banking portfolios o</w:t>
            </w:r>
            <w:r>
              <w:rPr>
                <w:rFonts w:eastAsia="Times New Roman"/>
                <w:color w:val="000000"/>
                <w:sz w:val="20"/>
                <w:szCs w:val="20"/>
              </w:rPr>
              <w:t>f $2.2 billion and $0.5 billion, respectively. At December 31, 2020, the Company’s allowance for the credit card and consumer banking portfolios was $11.2 billion and $2.7 billion, respectively. As more fully described in Note 1 and Note 4 of the consolida</w:t>
            </w:r>
            <w:r>
              <w:rPr>
                <w:rFonts w:eastAsia="Times New Roman"/>
                <w:color w:val="000000"/>
                <w:sz w:val="20"/>
                <w:szCs w:val="20"/>
              </w:rPr>
              <w:t>ted financial statements, the ACL represents management’s current estimate of expected credit losses over the contractual terms of the Company’s held for investment (HFI) loan portfolios as of the balance sheet date and is comprised of two elements. The fi</w:t>
            </w:r>
            <w:r>
              <w:rPr>
                <w:rFonts w:eastAsia="Times New Roman"/>
                <w:color w:val="000000"/>
                <w:sz w:val="20"/>
                <w:szCs w:val="20"/>
              </w:rPr>
              <w:t>rst is ‘quantitative’ and involves the use of complex econometric statistical loss forecasting models tailored to each portfolio based on, among other things, expected economic conditions; historical loss, recovery, and paydown experience; account seasonin</w:t>
            </w:r>
            <w:r>
              <w:rPr>
                <w:rFonts w:eastAsia="Times New Roman"/>
                <w:color w:val="000000"/>
                <w:sz w:val="20"/>
                <w:szCs w:val="20"/>
              </w:rPr>
              <w:t>g; and the value of collateral underlying secured loans. The second is ‘qualitative’ and involves factors that represent management’s judgment of the imprecision and risks inherent in the processes and assumptions used in establishing the allowance for cre</w:t>
            </w:r>
            <w:r>
              <w:rPr>
                <w:rFonts w:eastAsia="Times New Roman"/>
                <w:color w:val="000000"/>
                <w:sz w:val="20"/>
                <w:szCs w:val="20"/>
              </w:rPr>
              <w:t>dit losses.</w:t>
            </w:r>
          </w:p>
          <w:p w:rsidR="00000000" w:rsidRDefault="00E0782F">
            <w:pPr>
              <w:jc w:val="both"/>
              <w:rPr>
                <w:rFonts w:eastAsia="Times New Roman"/>
              </w:rPr>
            </w:pPr>
          </w:p>
          <w:p w:rsidR="00000000" w:rsidRDefault="00E0782F">
            <w:pPr>
              <w:jc w:val="both"/>
              <w:rPr>
                <w:rFonts w:eastAsia="Times New Roman"/>
              </w:rPr>
            </w:pPr>
            <w:r>
              <w:rPr>
                <w:rFonts w:eastAsia="Times New Roman"/>
                <w:color w:val="000000"/>
                <w:sz w:val="20"/>
                <w:szCs w:val="20"/>
              </w:rPr>
              <w:t xml:space="preserve">Auditing the allowance for the credit card and consumer banking portfolios was especially challenging and highly judgmental due to the significant complexity of the loss forecasting models used in the quantitative element and the significant </w:t>
            </w:r>
            <w:r>
              <w:rPr>
                <w:rFonts w:eastAsia="Times New Roman"/>
                <w:color w:val="000000"/>
                <w:sz w:val="20"/>
                <w:szCs w:val="20"/>
              </w:rPr>
              <w:t>judgment required in establishing the qualitative element. The qualitative element requires management to make significant judgments regarding current and forward-looking conditions, internal and external factors, and uncertainty as it relates to economic,</w:t>
            </w:r>
            <w:r>
              <w:rPr>
                <w:rFonts w:eastAsia="Times New Roman"/>
                <w:color w:val="000000"/>
                <w:sz w:val="20"/>
                <w:szCs w:val="20"/>
              </w:rPr>
              <w:t xml:space="preserve"> model, or forecasts risks, where not already captured in the modeled results.</w:t>
            </w:r>
          </w:p>
          <w:p w:rsidR="00000000" w:rsidRDefault="00E0782F">
            <w:pPr>
              <w:jc w:val="both"/>
              <w:rPr>
                <w:rFonts w:eastAsia="Times New Roman"/>
              </w:rPr>
            </w:pPr>
          </w:p>
        </w:tc>
      </w:tr>
      <w:tr w:rsidR="00000000">
        <w:trPr>
          <w:divId w:val="1628781766"/>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hideMark/>
          </w:tcPr>
          <w:p w:rsidR="00000000" w:rsidRDefault="00E0782F">
            <w:pPr>
              <w:jc w:val="both"/>
              <w:divId w:val="331838943"/>
              <w:rPr>
                <w:rFonts w:eastAsia="Times New Roman"/>
              </w:rPr>
            </w:pPr>
            <w:r>
              <w:rPr>
                <w:rFonts w:eastAsia="Times New Roman"/>
                <w:color w:val="000000"/>
                <w:sz w:val="20"/>
                <w:szCs w:val="20"/>
              </w:rPr>
              <w:t>We obtained an understanding, evaluated the design and tested the operating effectiveness of the internal controls over the AC</w:t>
            </w:r>
            <w:r>
              <w:rPr>
                <w:rFonts w:eastAsia="Times New Roman"/>
                <w:color w:val="000000"/>
                <w:sz w:val="20"/>
                <w:szCs w:val="20"/>
              </w:rPr>
              <w:t>L process, including, among others, controls over the development, operation, and monitoring of loss forecasting models and management review controls over key assumptions and qualitative judgments used in reviewing the final credit card and consumer banki</w:t>
            </w:r>
            <w:r>
              <w:rPr>
                <w:rFonts w:eastAsia="Times New Roman"/>
                <w:color w:val="000000"/>
                <w:sz w:val="20"/>
                <w:szCs w:val="20"/>
              </w:rPr>
              <w:t xml:space="preserve">ng allowance results, including the economic forecast. Our tests of controls included observation of certain of management’s quarterly ACL governance meetings, at which key management judgments, qualitative adjustments, and final ACL results are subjected </w:t>
            </w:r>
            <w:r>
              <w:rPr>
                <w:rFonts w:eastAsia="Times New Roman"/>
                <w:color w:val="000000"/>
                <w:sz w:val="20"/>
                <w:szCs w:val="20"/>
              </w:rPr>
              <w:t>to critical challenge by management groups independent of the group responsible for producing the ACL estimate.</w:t>
            </w:r>
          </w:p>
          <w:p w:rsidR="00000000" w:rsidRDefault="00E0782F">
            <w:pPr>
              <w:jc w:val="both"/>
              <w:divId w:val="126775898"/>
              <w:rPr>
                <w:rFonts w:eastAsia="Times New Roman"/>
              </w:rPr>
            </w:pPr>
            <w:r>
              <w:rPr>
                <w:rFonts w:eastAsia="Times New Roman"/>
                <w:color w:val="000000"/>
                <w:sz w:val="20"/>
                <w:szCs w:val="20"/>
              </w:rPr>
              <w:t>We involved EY specialists in testing management’s credit card and consumer banking econometric statistical loss forecasting models including ev</w:t>
            </w:r>
            <w:r>
              <w:rPr>
                <w:rFonts w:eastAsia="Times New Roman"/>
                <w:color w:val="000000"/>
                <w:sz w:val="20"/>
                <w:szCs w:val="20"/>
              </w:rPr>
              <w:t>aluating model methodology, model performance and testing key modeling assumptions as well as model governance and the economic forecast used by the ACL models. We compared actual loss history with prior forecasts at a disaggregated loan portfolio level to</w:t>
            </w:r>
            <w:r>
              <w:rPr>
                <w:rFonts w:eastAsia="Times New Roman"/>
                <w:color w:val="000000"/>
                <w:sz w:val="20"/>
                <w:szCs w:val="20"/>
              </w:rPr>
              <w:t xml:space="preserve"> evaluate the reasonableness of management’s consumer forecasts (e.g., look-back analysis). </w:t>
            </w:r>
          </w:p>
          <w:p w:rsidR="00000000" w:rsidRDefault="00E0782F">
            <w:pPr>
              <w:jc w:val="both"/>
              <w:rPr>
                <w:rFonts w:eastAsia="Times New Roman"/>
              </w:rPr>
            </w:pPr>
            <w:r>
              <w:rPr>
                <w:rFonts w:eastAsia="Times New Roman"/>
                <w:color w:val="000000"/>
                <w:sz w:val="20"/>
                <w:szCs w:val="20"/>
              </w:rPr>
              <w:t>We performed sensitivity analysis on the ACL, charge-off and delinquency rates, and coverage ratios used within each segment of the credit card and consumer bankin</w:t>
            </w:r>
            <w:r>
              <w:rPr>
                <w:rFonts w:eastAsia="Times New Roman"/>
                <w:color w:val="000000"/>
                <w:sz w:val="20"/>
                <w:szCs w:val="20"/>
              </w:rPr>
              <w:t>g allowance. Our audit response also included specific substantive tests of management’s process to measure credit card and consumer banking qualitative factors, including those related to the significant judgments made by management outlined above. We com</w:t>
            </w:r>
            <w:r>
              <w:rPr>
                <w:rFonts w:eastAsia="Times New Roman"/>
                <w:color w:val="000000"/>
                <w:sz w:val="20"/>
                <w:szCs w:val="20"/>
              </w:rPr>
              <w:t xml:space="preserve">pared calculations to alternative model scenarios and industry peer data and compared qualitative factors to prior periods and prior economic cycles. We also evaluated if credit card and consumer banking allowance qualitative factors were applied based on </w:t>
            </w:r>
            <w:r>
              <w:rPr>
                <w:rFonts w:eastAsia="Times New Roman"/>
                <w:color w:val="000000"/>
                <w:sz w:val="20"/>
                <w:szCs w:val="20"/>
              </w:rPr>
              <w:t>a comprehensive framework and that all available information was considered, well-documented, and consistently applied.</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119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5" style="width:0;height:1.5pt" o:hralign="center" o:hrstd="t" o:hr="t" fillcolor="#a0a0a0" stroked="f"/>
        </w:pict>
      </w:r>
    </w:p>
    <w:p w:rsidR="00000000" w:rsidRDefault="00E0782F">
      <w:pPr>
        <w:jc w:val="both"/>
        <w:divId w:val="2006518960"/>
        <w:rPr>
          <w:rFonts w:eastAsia="Times New Roman"/>
        </w:rPr>
      </w:pPr>
      <w:hyperlink w:anchor="i3af66512804646fcaf1b19a0aea6f320_7" w:history="1">
        <w:r>
          <w:rPr>
            <w:rStyle w:val="a3"/>
            <w:rFonts w:eastAsia="Times New Roman"/>
            <w:sz w:val="16"/>
            <w:szCs w:val="16"/>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1258"/>
        <w:gridCol w:w="36"/>
        <w:gridCol w:w="36"/>
        <w:gridCol w:w="142"/>
        <w:gridCol w:w="36"/>
        <w:gridCol w:w="61"/>
        <w:gridCol w:w="6639"/>
        <w:gridCol w:w="38"/>
      </w:tblGrid>
      <w:tr w:rsidR="00000000">
        <w:trPr>
          <w:divId w:val="205142599"/>
        </w:trPr>
        <w:tc>
          <w:tcPr>
            <w:tcW w:w="50" w:type="pct"/>
            <w:vAlign w:val="center"/>
            <w:hideMark/>
          </w:tcPr>
          <w:p w:rsidR="00000000" w:rsidRDefault="00E0782F">
            <w:pPr>
              <w:jc w:val="both"/>
              <w:rPr>
                <w:rFonts w:eastAsia="Times New Roman"/>
              </w:rPr>
            </w:pPr>
          </w:p>
        </w:tc>
        <w:tc>
          <w:tcPr>
            <w:tcW w:w="7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9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0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514259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hideMark/>
          </w:tcPr>
          <w:p w:rsidR="00000000" w:rsidRDefault="00E0782F">
            <w:pPr>
              <w:spacing w:after="240"/>
              <w:rPr>
                <w:rFonts w:eastAsia="Times New Roman"/>
              </w:rPr>
            </w:pPr>
            <w:r>
              <w:rPr>
                <w:rFonts w:eastAsia="Times New Roman"/>
                <w:b/>
                <w:bCs/>
                <w:i/>
                <w:iCs/>
                <w:color w:val="000000"/>
                <w:sz w:val="20"/>
                <w:szCs w:val="20"/>
              </w:rPr>
              <w:t>Goodwill Impairment Assessment</w:t>
            </w:r>
          </w:p>
        </w:tc>
      </w:tr>
      <w:tr w:rsidR="00000000">
        <w:trPr>
          <w:divId w:val="205142599"/>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i/>
                <w:iCs/>
                <w:color w:val="000000"/>
                <w:sz w:val="20"/>
                <w:szCs w:val="20"/>
              </w:rPr>
              <w:t>Description of the Matter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hideMark/>
          </w:tcPr>
          <w:p w:rsidR="00000000" w:rsidRDefault="00E0782F">
            <w:pPr>
              <w:jc w:val="both"/>
              <w:divId w:val="1385906375"/>
              <w:rPr>
                <w:rFonts w:eastAsia="Times New Roman"/>
              </w:rPr>
            </w:pPr>
            <w:r>
              <w:rPr>
                <w:rFonts w:eastAsia="Times New Roman"/>
                <w:color w:val="000000"/>
                <w:sz w:val="20"/>
                <w:szCs w:val="20"/>
              </w:rPr>
              <w:t>At December 31, 2020, the Company’s goodwill was $14.7 billion recorded across four reporting units. As discussed in Note 1 and Note 6 of the consolidated financial statements, goodwill is tested for impairment at least annually at the reporting unit level</w:t>
            </w:r>
            <w:r>
              <w:rPr>
                <w:rFonts w:eastAsia="Times New Roman"/>
                <w:color w:val="000000"/>
                <w:sz w:val="20"/>
                <w:szCs w:val="20"/>
              </w:rPr>
              <w:t xml:space="preserve"> by comparing the fair value of the reporting unit to its carrying value. Management uses a discounted cash flow analysis (DCF) to calculate the fair value of its reporting units. </w:t>
            </w:r>
          </w:p>
          <w:p w:rsidR="00000000" w:rsidRDefault="00E0782F">
            <w:pPr>
              <w:jc w:val="both"/>
              <w:rPr>
                <w:rFonts w:eastAsia="Times New Roman"/>
              </w:rPr>
            </w:pPr>
            <w:r>
              <w:rPr>
                <w:rFonts w:eastAsia="Times New Roman"/>
                <w:color w:val="000000"/>
                <w:sz w:val="20"/>
                <w:szCs w:val="20"/>
              </w:rPr>
              <w:t>Auditing of the annual goodwill impairment test was especially challenging,</w:t>
            </w:r>
            <w:r>
              <w:rPr>
                <w:rFonts w:eastAsia="Times New Roman"/>
                <w:color w:val="000000"/>
                <w:sz w:val="20"/>
                <w:szCs w:val="20"/>
              </w:rPr>
              <w:t xml:space="preserve"> complex, and highly judgmental due to the significant estimation required in determining the fair value of the reporting units. The fair value estimate is sensitive to significant assumptions including prospective financial information (PFI) and market di</w:t>
            </w:r>
            <w:r>
              <w:rPr>
                <w:rFonts w:eastAsia="Times New Roman"/>
                <w:color w:val="000000"/>
                <w:sz w:val="20"/>
                <w:szCs w:val="20"/>
              </w:rPr>
              <w:t>scount rates. These PFI assumptions require management to make judgments about future loan and deposit growth, revenue and expenses, and credit losses. Management utilizes a financial forecasting process to estimate the PFI and an estimation process to det</w:t>
            </w:r>
            <w:r>
              <w:rPr>
                <w:rFonts w:eastAsia="Times New Roman"/>
                <w:color w:val="000000"/>
                <w:sz w:val="20"/>
                <w:szCs w:val="20"/>
              </w:rPr>
              <w:t>ermine the appropriate discount rates.</w:t>
            </w:r>
          </w:p>
          <w:p w:rsidR="00000000" w:rsidRDefault="00E0782F">
            <w:pPr>
              <w:jc w:val="both"/>
              <w:rPr>
                <w:rFonts w:eastAsia="Times New Roman"/>
              </w:rPr>
            </w:pPr>
          </w:p>
        </w:tc>
      </w:tr>
      <w:tr w:rsidR="00000000">
        <w:trPr>
          <w:divId w:val="205142599"/>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i/>
                <w:iCs/>
                <w:color w:val="000000"/>
                <w:sz w:val="20"/>
                <w:szCs w:val="20"/>
              </w:rPr>
              <w:t>How We Addressed the Matter in Our Audit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hideMark/>
          </w:tcPr>
          <w:p w:rsidR="00000000" w:rsidRDefault="00E0782F">
            <w:pPr>
              <w:jc w:val="both"/>
              <w:divId w:val="874074881"/>
              <w:rPr>
                <w:rFonts w:eastAsia="Times New Roman"/>
              </w:rPr>
            </w:pPr>
            <w:r>
              <w:rPr>
                <w:rFonts w:eastAsia="Times New Roman"/>
                <w:color w:val="000000"/>
                <w:sz w:val="20"/>
                <w:szCs w:val="20"/>
              </w:rPr>
              <w:t>Our audit procedures related to the goodwill impairment assessment included, among others, testing the design and operating effectiveness of controls over the Company</w:t>
            </w:r>
            <w:r>
              <w:rPr>
                <w:rFonts w:eastAsia="Times New Roman"/>
                <w:color w:val="000000"/>
                <w:sz w:val="20"/>
                <w:szCs w:val="20"/>
              </w:rPr>
              <w:t xml:space="preserve">’s PFI forecasting process and management’s impairment assessment process, including controls over the estimation of discount rates. </w:t>
            </w:r>
          </w:p>
          <w:p w:rsidR="00000000" w:rsidRDefault="00E0782F">
            <w:pPr>
              <w:jc w:val="both"/>
              <w:rPr>
                <w:rFonts w:eastAsia="Times New Roman"/>
              </w:rPr>
            </w:pPr>
            <w:r>
              <w:rPr>
                <w:rFonts w:eastAsia="Times New Roman"/>
                <w:color w:val="000000"/>
                <w:sz w:val="20"/>
                <w:szCs w:val="20"/>
              </w:rPr>
              <w:t>To test the appropriateness of management’s assessment process, we assessed the goodwill impairment methodology and involv</w:t>
            </w:r>
            <w:r>
              <w:rPr>
                <w:rFonts w:eastAsia="Times New Roman"/>
                <w:color w:val="000000"/>
                <w:sz w:val="20"/>
                <w:szCs w:val="20"/>
              </w:rPr>
              <w:t>ed EY valuation specialists to assist in the testing of the significant assumptions, including testing the Company’s estimate of discount rates, and evaluating the reasonableness of total fair value through comparison to the Company’s market capitalization</w:t>
            </w:r>
            <w:r>
              <w:rPr>
                <w:rFonts w:eastAsia="Times New Roman"/>
                <w:color w:val="000000"/>
                <w:sz w:val="20"/>
                <w:szCs w:val="20"/>
              </w:rPr>
              <w:t xml:space="preserve"> and analysis of the resulting premium to applicable market transactions. We evaluated certain of management’s assumptions with historical performance (e.g., trend analysis), current industry and economic trends, changes in the Company’s strategies, and th</w:t>
            </w:r>
            <w:r>
              <w:rPr>
                <w:rFonts w:eastAsia="Times New Roman"/>
                <w:color w:val="000000"/>
                <w:sz w:val="20"/>
                <w:szCs w:val="20"/>
              </w:rPr>
              <w:t>e customer base or product mix. We also evaluated the consistency of the PFI by comparing the projections to other analyses used within the organization and inquiries performed of senior management regarding strategic plans within each reporting unit. We c</w:t>
            </w:r>
            <w:r>
              <w:rPr>
                <w:rFonts w:eastAsia="Times New Roman"/>
                <w:color w:val="000000"/>
                <w:sz w:val="20"/>
                <w:szCs w:val="20"/>
              </w:rPr>
              <w:t>ompared prior year forecasts to current year actual performance. We performed sensitivity analyses related to the significant assumptions to evaluate the change in the fair value of the reporting units resulting from changes in the assumptions. We also rec</w:t>
            </w:r>
            <w:r>
              <w:rPr>
                <w:rFonts w:eastAsia="Times New Roman"/>
                <w:color w:val="000000"/>
                <w:sz w:val="20"/>
                <w:szCs w:val="20"/>
              </w:rPr>
              <w:t>alculated the reconciliation of the fair value of all reporting units to the market capitalization of the Company and then assessed the resulting premium.</w:t>
            </w:r>
          </w:p>
          <w:p w:rsidR="00000000" w:rsidRDefault="00E0782F">
            <w:pPr>
              <w:jc w:val="both"/>
              <w:rPr>
                <w:rFonts w:eastAsia="Times New Roman"/>
              </w:rPr>
            </w:pPr>
          </w:p>
        </w:tc>
      </w:tr>
    </w:tbl>
    <w:tbl>
      <w:tblPr>
        <w:tblW w:w="1995" w:type="pct"/>
        <w:tblCellMar>
          <w:top w:w="15" w:type="dxa"/>
          <w:left w:w="15" w:type="dxa"/>
          <w:bottom w:w="15" w:type="dxa"/>
          <w:right w:w="15" w:type="dxa"/>
        </w:tblCellMar>
        <w:tblLook w:val="04A0" w:firstRow="1" w:lastRow="0" w:firstColumn="1" w:lastColumn="0" w:noHBand="0" w:noVBand="1"/>
      </w:tblPr>
      <w:tblGrid>
        <w:gridCol w:w="144"/>
        <w:gridCol w:w="3277"/>
        <w:gridCol w:w="144"/>
      </w:tblGrid>
      <w:tr w:rsidR="00000000">
        <w:tc>
          <w:tcPr>
            <w:tcW w:w="50" w:type="pct"/>
            <w:vAlign w:val="center"/>
            <w:hideMark/>
          </w:tcPr>
          <w:p w:rsidR="00000000" w:rsidRDefault="00E0782F">
            <w:pPr>
              <w:jc w:val="both"/>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Ernst &amp; Young LLP</w:t>
            </w:r>
          </w:p>
        </w:tc>
      </w:tr>
      <w:tr w:rsidR="00000000">
        <w:trPr>
          <w:trHeight w:val="2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0782F">
            <w:pPr>
              <w:divId w:val="1558660932"/>
              <w:rPr>
                <w:rFonts w:eastAsia="Times New Roman"/>
              </w:rPr>
            </w:pPr>
            <w:r>
              <w:rPr>
                <w:rFonts w:eastAsia="Times New Roman"/>
                <w:color w:val="000000"/>
                <w:sz w:val="18"/>
                <w:szCs w:val="18"/>
              </w:rPr>
              <w:t>We have served as the Company’</w:t>
            </w:r>
            <w:r>
              <w:rPr>
                <w:rFonts w:eastAsia="Times New Roman"/>
                <w:color w:val="000000"/>
                <w:sz w:val="18"/>
                <w:szCs w:val="18"/>
              </w:rPr>
              <w:t>s auditor since 1994.</w:t>
            </w:r>
          </w:p>
        </w:tc>
      </w:tr>
      <w:tr w:rsidR="00000000">
        <w:trPr>
          <w:trHeight w:val="280"/>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E0782F">
            <w:pPr>
              <w:divId w:val="251282339"/>
              <w:rPr>
                <w:rFonts w:eastAsia="Times New Roman"/>
              </w:rPr>
            </w:pPr>
            <w:r>
              <w:rPr>
                <w:rFonts w:eastAsia="Times New Roman"/>
                <w:color w:val="000000"/>
                <w:sz w:val="18"/>
                <w:szCs w:val="18"/>
              </w:rPr>
              <w:t>Tysons, Virginia</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bl>
    <w:p w:rsidR="00000000" w:rsidRDefault="00E0782F">
      <w:pPr>
        <w:jc w:val="center"/>
        <w:divId w:val="91019631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1019631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10196311"/>
          <w:trHeight w:val="300"/>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1019631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6" style="width:0;height:1.5pt" o:hralign="center" o:hrstd="t" o:hr="t" fillcolor="#a0a0a0" stroked="f"/>
        </w:pict>
      </w:r>
    </w:p>
    <w:p w:rsidR="00000000" w:rsidRDefault="00E0782F">
      <w:pPr>
        <w:jc w:val="both"/>
        <w:divId w:val="142996056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29960567"/>
        <w:rPr>
          <w:rFonts w:eastAsia="Times New Roman"/>
        </w:rPr>
      </w:pPr>
    </w:p>
    <w:p w:rsidR="00000000" w:rsidRDefault="00E0782F">
      <w:pPr>
        <w:jc w:val="center"/>
        <w:divId w:val="1429960567"/>
        <w:rPr>
          <w:rFonts w:eastAsia="Times New Roman"/>
        </w:rPr>
      </w:pPr>
      <w:r>
        <w:rPr>
          <w:rFonts w:eastAsia="Times New Roman"/>
          <w:b/>
          <w:bCs/>
          <w:color w:val="000000"/>
          <w:sz w:val="20"/>
          <w:szCs w:val="20"/>
        </w:rPr>
        <w:t>CAPITAL ONE FINANCIAL CORPORATION</w:t>
      </w:r>
    </w:p>
    <w:p w:rsidR="00000000" w:rsidRDefault="00E0782F">
      <w:pPr>
        <w:jc w:val="center"/>
        <w:divId w:val="1429960567"/>
        <w:rPr>
          <w:rFonts w:eastAsia="Times New Roman"/>
        </w:rPr>
      </w:pPr>
      <w:r>
        <w:rPr>
          <w:rFonts w:eastAsia="Times New Roman"/>
          <w:b/>
          <w:bCs/>
          <w:color w:val="000000"/>
          <w:sz w:val="20"/>
          <w:szCs w:val="20"/>
        </w:rPr>
        <w:t>CONSOLIDATED STATEMENTS OF INCOME</w:t>
      </w:r>
    </w:p>
    <w:p w:rsidR="00000000" w:rsidRDefault="00E0782F">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5331"/>
        <w:gridCol w:w="40"/>
        <w:gridCol w:w="36"/>
        <w:gridCol w:w="36"/>
        <w:gridCol w:w="36"/>
        <w:gridCol w:w="36"/>
        <w:gridCol w:w="36"/>
        <w:gridCol w:w="36"/>
        <w:gridCol w:w="36"/>
        <w:gridCol w:w="100"/>
        <w:gridCol w:w="696"/>
        <w:gridCol w:w="36"/>
        <w:gridCol w:w="36"/>
        <w:gridCol w:w="36"/>
        <w:gridCol w:w="36"/>
        <w:gridCol w:w="100"/>
        <w:gridCol w:w="654"/>
        <w:gridCol w:w="36"/>
        <w:gridCol w:w="36"/>
        <w:gridCol w:w="36"/>
        <w:gridCol w:w="36"/>
        <w:gridCol w:w="100"/>
        <w:gridCol w:w="655"/>
        <w:gridCol w:w="36"/>
      </w:tblGrid>
      <w:tr w:rsidR="00000000">
        <w:trPr>
          <w:divId w:val="33504395"/>
          <w:jc w:val="center"/>
        </w:trPr>
        <w:tc>
          <w:tcPr>
            <w:tcW w:w="50" w:type="pct"/>
            <w:vAlign w:val="center"/>
            <w:hideMark/>
          </w:tcPr>
          <w:p w:rsidR="00000000" w:rsidRDefault="00E0782F">
            <w:pPr>
              <w:jc w:val="both"/>
              <w:rPr>
                <w:rFonts w:eastAsia="Times New Roman"/>
              </w:rPr>
            </w:pPr>
          </w:p>
        </w:tc>
        <w:tc>
          <w:tcPr>
            <w:tcW w:w="33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33504395"/>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33504395"/>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33504395"/>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Loans, including loans held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24,074</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25,862 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24,728 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1,877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2,211 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82</w:t>
            </w:r>
            <w:r>
              <w:rPr>
                <w:rFonts w:eastAsia="Times New Roman"/>
                <w:color w:val="000000"/>
                <w:sz w:val="16"/>
                <w:szCs w:val="16"/>
              </w:rPr>
              <w:t> </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240 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237 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26,033</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28,513 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27,176 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2,165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2,598 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496 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679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1,125 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borrowings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82 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3,120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5,173 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4,301 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22,913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23,340 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22,875 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10,264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5,856 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interest income after 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12,649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17,104 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17,019 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Interchange fees, net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3,017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1,243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1,585 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 xml:space="preserve">Net securities gains (losses)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1,325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non-interest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5,610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5,253 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Salaries and associate benefits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6,805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5,727 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Occupancy and equipment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2,118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2,098 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2,118 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Marketing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2,174 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Professional services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1,312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1,145 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Communications and data processing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1,215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1,290 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1,260 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Amortization of intangibles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174 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1,936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2,304 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15,056</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15,483 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14,902 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3,203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6,874 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7,318 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486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1,293 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2,717</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6,025 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6,015 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Dividends and undistributed earnings allocated to participating securities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Preferred stock dividends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(265)</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Issuance cost for redeemed preferred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Net income available to common stockholders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2,375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5,710 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Basic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5.20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11.92 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(loss)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(0.01)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(0.02)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per basic common share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5.19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Diluted 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from continuing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5.19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11.84 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(loss)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(0.01)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(0.02)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3504395"/>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 per diluted common share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5.18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7" style="width:0;height:1.5pt" o:hralign="center" o:hrstd="t" o:hr="t" fillcolor="#a0a0a0" stroked="f"/>
        </w:pict>
      </w:r>
    </w:p>
    <w:p w:rsidR="00000000" w:rsidRDefault="00E0782F">
      <w:pPr>
        <w:jc w:val="both"/>
        <w:divId w:val="39959776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99597760"/>
        <w:rPr>
          <w:rFonts w:eastAsia="Times New Roman"/>
        </w:rPr>
      </w:pPr>
    </w:p>
    <w:p w:rsidR="00000000" w:rsidRDefault="00E0782F">
      <w:pPr>
        <w:jc w:val="center"/>
        <w:divId w:val="399597760"/>
        <w:rPr>
          <w:rFonts w:eastAsia="Times New Roman"/>
        </w:rPr>
      </w:pPr>
      <w:r>
        <w:rPr>
          <w:rFonts w:eastAsia="Times New Roman"/>
          <w:b/>
          <w:bCs/>
          <w:color w:val="000000"/>
          <w:sz w:val="20"/>
          <w:szCs w:val="20"/>
        </w:rPr>
        <w:t>CAPITAL ONE FINANCIAL CORPORATION</w:t>
      </w:r>
    </w:p>
    <w:p w:rsidR="00000000" w:rsidRDefault="00E0782F">
      <w:pPr>
        <w:jc w:val="center"/>
        <w:divId w:val="399597760"/>
        <w:rPr>
          <w:rFonts w:eastAsia="Times New Roman"/>
        </w:rPr>
      </w:pPr>
      <w:r>
        <w:rPr>
          <w:rFonts w:eastAsia="Times New Roman"/>
          <w:b/>
          <w:bCs/>
          <w:color w:val="000000"/>
          <w:sz w:val="20"/>
          <w:szCs w:val="20"/>
        </w:rPr>
        <w:t xml:space="preserve">CONSOLIDATED STATEMENTS OF COMPREHENSIVE INCOME </w:t>
      </w: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5406"/>
        <w:gridCol w:w="37"/>
        <w:gridCol w:w="36"/>
        <w:gridCol w:w="36"/>
        <w:gridCol w:w="36"/>
        <w:gridCol w:w="36"/>
        <w:gridCol w:w="36"/>
        <w:gridCol w:w="36"/>
        <w:gridCol w:w="36"/>
        <w:gridCol w:w="100"/>
        <w:gridCol w:w="661"/>
        <w:gridCol w:w="36"/>
        <w:gridCol w:w="36"/>
        <w:gridCol w:w="36"/>
        <w:gridCol w:w="36"/>
        <w:gridCol w:w="100"/>
        <w:gridCol w:w="619"/>
        <w:gridCol w:w="36"/>
        <w:gridCol w:w="36"/>
        <w:gridCol w:w="36"/>
        <w:gridCol w:w="36"/>
        <w:gridCol w:w="100"/>
        <w:gridCol w:w="619"/>
        <w:gridCol w:w="36"/>
      </w:tblGrid>
      <w:tr w:rsidR="00000000">
        <w:trPr>
          <w:divId w:val="149641277"/>
          <w:jc w:val="center"/>
        </w:trPr>
        <w:tc>
          <w:tcPr>
            <w:tcW w:w="50" w:type="pct"/>
            <w:vAlign w:val="center"/>
            <w:hideMark/>
          </w:tcPr>
          <w:p w:rsidR="00000000" w:rsidRDefault="00E0782F">
            <w:pPr>
              <w:jc w:val="center"/>
              <w:rPr>
                <w:rFonts w:eastAsia="Times New Roman"/>
              </w:rPr>
            </w:pPr>
          </w:p>
        </w:tc>
        <w:tc>
          <w:tcPr>
            <w:tcW w:w="3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9641277"/>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49641277"/>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149641277"/>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Net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6,015 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9641277"/>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9641277"/>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unrealized gains (losses) on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1,259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650 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(459)</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9641277"/>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unrealized gains (losses) on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772 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9641277"/>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Foreign currency translation adjustments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(39)</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9641277"/>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changes in securities held to maturity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447 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9641277"/>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9641277"/>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2,346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9641277"/>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5,060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5,879 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295844084"/>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95844084"/>
          <w:jc w:val="center"/>
        </w:trPr>
        <w:tc>
          <w:tcPr>
            <w:tcW w:w="0" w:type="auto"/>
            <w:gridSpan w:val="9"/>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20"/>
                <w:szCs w:val="20"/>
              </w:rPr>
              <w:t>See Notes to Consolidated Financial Statements.</w:t>
            </w:r>
          </w:p>
        </w:tc>
      </w:tr>
      <w:tr w:rsidR="00000000">
        <w:trPr>
          <w:divId w:val="295844084"/>
          <w:jc w:val="center"/>
        </w:trPr>
        <w:tc>
          <w:tcPr>
            <w:tcW w:w="0" w:type="auto"/>
            <w:gridSpan w:val="3"/>
            <w:tcMar>
              <w:top w:w="0" w:type="dxa"/>
              <w:left w:w="20" w:type="dxa"/>
              <w:bottom w:w="0" w:type="dxa"/>
              <w:right w:w="20" w:type="dxa"/>
            </w:tcMar>
            <w:vAlign w:val="center"/>
            <w:hideMark/>
          </w:tcPr>
          <w:p w:rsidR="00000000" w:rsidRDefault="00E078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8" style="width:0;height:1.5pt" o:hralign="center" o:hrstd="t" o:hr="t" fillcolor="#a0a0a0" stroked="f"/>
        </w:pict>
      </w:r>
    </w:p>
    <w:p w:rsidR="00000000" w:rsidRDefault="00E0782F">
      <w:pPr>
        <w:jc w:val="both"/>
        <w:divId w:val="55320009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53200094"/>
        <w:rPr>
          <w:rFonts w:eastAsia="Times New Roman"/>
        </w:rPr>
      </w:pPr>
    </w:p>
    <w:p w:rsidR="00000000" w:rsidRDefault="00E0782F">
      <w:pPr>
        <w:jc w:val="center"/>
        <w:divId w:val="553200094"/>
        <w:rPr>
          <w:rFonts w:eastAsia="Times New Roman"/>
        </w:rPr>
      </w:pPr>
      <w:r>
        <w:rPr>
          <w:rFonts w:eastAsia="Times New Roman"/>
          <w:b/>
          <w:bCs/>
          <w:color w:val="000000"/>
          <w:sz w:val="20"/>
          <w:szCs w:val="20"/>
        </w:rPr>
        <w:t>CAPITAL ONE FINANCIAL CORPORATION</w:t>
      </w:r>
    </w:p>
    <w:p w:rsidR="00000000" w:rsidRDefault="00E0782F">
      <w:pPr>
        <w:jc w:val="center"/>
        <w:divId w:val="553200094"/>
        <w:rPr>
          <w:rFonts w:eastAsia="Times New Roman"/>
        </w:rPr>
      </w:pPr>
      <w:r>
        <w:rPr>
          <w:rFonts w:eastAsia="Times New Roman"/>
          <w:b/>
          <w:bCs/>
          <w:color w:val="000000"/>
          <w:sz w:val="20"/>
          <w:szCs w:val="20"/>
        </w:rPr>
        <w:t>CONSOLIDATED BALANCE SHEETS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076"/>
        <w:gridCol w:w="39"/>
        <w:gridCol w:w="36"/>
        <w:gridCol w:w="36"/>
        <w:gridCol w:w="36"/>
        <w:gridCol w:w="101"/>
        <w:gridCol w:w="859"/>
        <w:gridCol w:w="36"/>
        <w:gridCol w:w="36"/>
        <w:gridCol w:w="36"/>
        <w:gridCol w:w="36"/>
        <w:gridCol w:w="101"/>
        <w:gridCol w:w="798"/>
        <w:gridCol w:w="36"/>
      </w:tblGrid>
      <w:tr w:rsidR="00000000">
        <w:trPr>
          <w:divId w:val="106705496"/>
          <w:jc w:val="center"/>
        </w:trPr>
        <w:tc>
          <w:tcPr>
            <w:tcW w:w="50" w:type="pct"/>
            <w:vAlign w:val="center"/>
            <w:hideMark/>
          </w:tcPr>
          <w:p w:rsidR="00000000" w:rsidRDefault="00E0782F">
            <w:pPr>
              <w:jc w:val="center"/>
              <w:rPr>
                <w:rFonts w:eastAsia="Times New Roman"/>
              </w:rPr>
            </w:pPr>
          </w:p>
        </w:tc>
        <w:tc>
          <w:tcPr>
            <w:tcW w:w="36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6705496"/>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 except per share-related data)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06705496"/>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Cash and due from banks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4,708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Interest-bearing deposits and other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35,801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9,278 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40,509</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Restricted cash for securitization investors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6705496"/>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divId w:val="808547601"/>
              <w:rPr>
                <w:rFonts w:eastAsia="Times New Roman"/>
              </w:rPr>
            </w:pPr>
            <w:r>
              <w:rPr>
                <w:rFonts w:eastAsia="Times New Roman"/>
                <w:color w:val="000000"/>
                <w:sz w:val="16"/>
                <w:szCs w:val="16"/>
              </w:rPr>
              <w:t>Securities available for sale (amortized cost of $97.6 billion and allowance for credit losses of $1 million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100,445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79,213 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6705496"/>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Unsecuritized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225,698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231,992 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Loans held in consolidated trusts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25,926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33,817 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251,624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265,809 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(15,564)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(7,208)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236,060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258,601 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divId w:val="1169562669"/>
              <w:rPr>
                <w:rFonts w:eastAsia="Times New Roman"/>
              </w:rPr>
            </w:pPr>
            <w:r>
              <w:rPr>
                <w:rFonts w:eastAsia="Times New Roman"/>
                <w:color w:val="000000"/>
                <w:sz w:val="16"/>
                <w:szCs w:val="16"/>
              </w:rPr>
              <w:t>Loans held for sale ($596 million and $251 </w:t>
            </w:r>
            <w:r>
              <w:rPr>
                <w:rFonts w:eastAsia="Times New Roman"/>
                <w:color w:val="000000"/>
                <w:sz w:val="16"/>
                <w:szCs w:val="16"/>
              </w:rPr>
              <w:t>million carried at fair value at December 31, 2020 and 2019, respectively)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Premises and equipment, net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4,287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4,378 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1,471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Goodwill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14,653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14,653 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21,205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17,613 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Total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421,602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390,365 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352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31,142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23,488 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274,300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239,209 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305,442</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262,697 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12,414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17,808 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debt: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668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27,382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30,472 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7,103 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Total other debt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28,125</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37,889 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15,065</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13,521 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361,398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332,354 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Commitments, contingencies and guarantees (see Note 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divId w:val="193887673"/>
              <w:rPr>
                <w:rFonts w:eastAsia="Times New Roman"/>
              </w:rPr>
            </w:pPr>
            <w:r>
              <w:rPr>
                <w:rFonts w:eastAsia="Times New Roman"/>
                <w:color w:val="000000"/>
                <w:sz w:val="16"/>
                <w:szCs w:val="16"/>
              </w:rPr>
              <w:t>Preferred stock (par value $0.01 per share; 50,000,000 shares authorized; 4,975,000 shares issued and outstanding as of both December 31, 2020 and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divId w:val="1385254807"/>
              <w:rPr>
                <w:rFonts w:eastAsia="Times New Roman"/>
              </w:rPr>
            </w:pPr>
            <w:r>
              <w:rPr>
                <w:rFonts w:eastAsia="Times New Roman"/>
                <w:color w:val="000000"/>
                <w:sz w:val="16"/>
                <w:szCs w:val="16"/>
              </w:rPr>
              <w:t>Common stock (par value $0.01 per share; 1,000,000,000 shares authorized; 679,932,83</w:t>
            </w:r>
            <w:r>
              <w:rPr>
                <w:rFonts w:eastAsia="Times New Roman"/>
                <w:color w:val="000000"/>
                <w:sz w:val="16"/>
                <w:szCs w:val="16"/>
              </w:rPr>
              <w:t>7 and 672,969,391 shares issued as of December 31, 2020 and 2019, respectively; 458,972,202 and 456,562,399 shares outstanding as of December 31, 2020 and 2019, respectively)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Additional paid-in capital, net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33,480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32,980 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40,088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40,340 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Accumulated 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3,494</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1,156 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divId w:val="2041201577"/>
              <w:rPr>
                <w:rFonts w:eastAsia="Times New Roman"/>
              </w:rPr>
            </w:pPr>
            <w:r>
              <w:rPr>
                <w:rFonts w:eastAsia="Times New Roman"/>
                <w:color w:val="000000"/>
                <w:sz w:val="16"/>
                <w:szCs w:val="16"/>
              </w:rPr>
              <w:t xml:space="preserve">Treasury stock, at cost (par value $0.01 per share; 220,960,635 and 216,406,992 </w:t>
            </w:r>
            <w:r>
              <w:rPr>
                <w:rFonts w:eastAsia="Times New Roman"/>
                <w:color w:val="000000"/>
                <w:sz w:val="16"/>
                <w:szCs w:val="16"/>
              </w:rPr>
              <w:t>shares as of December 31, 2020 and 2019, respectively)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(16,865)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(16,472)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60,204</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58,011 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6705496"/>
          <w:jc w:val="center"/>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421,602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390,365 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49" style="width:0;height:1.5pt" o:hralign="center" o:hrstd="t" o:hr="t" fillcolor="#a0a0a0" stroked="f"/>
        </w:pict>
      </w:r>
    </w:p>
    <w:p w:rsidR="00000000" w:rsidRDefault="00E0782F">
      <w:pPr>
        <w:jc w:val="both"/>
        <w:divId w:val="170656474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706564744"/>
        <w:rPr>
          <w:rFonts w:eastAsia="Times New Roman"/>
        </w:rPr>
      </w:pPr>
    </w:p>
    <w:p w:rsidR="00000000" w:rsidRDefault="00E0782F">
      <w:pPr>
        <w:jc w:val="center"/>
        <w:divId w:val="1706564744"/>
        <w:rPr>
          <w:rFonts w:eastAsia="Times New Roman"/>
        </w:rPr>
      </w:pPr>
      <w:r>
        <w:rPr>
          <w:rFonts w:eastAsia="Times New Roman"/>
          <w:b/>
          <w:bCs/>
          <w:color w:val="000000"/>
          <w:sz w:val="20"/>
          <w:szCs w:val="20"/>
        </w:rPr>
        <w:t>CAPITAL ONE FINANCIAL CORPORATION</w:t>
      </w:r>
    </w:p>
    <w:p w:rsidR="00000000" w:rsidRDefault="00E0782F">
      <w:pPr>
        <w:jc w:val="center"/>
        <w:divId w:val="1706564744"/>
        <w:rPr>
          <w:rFonts w:eastAsia="Times New Roman"/>
        </w:rPr>
      </w:pPr>
      <w:r>
        <w:rPr>
          <w:rFonts w:eastAsia="Times New Roman"/>
          <w:b/>
          <w:bCs/>
          <w:color w:val="000000"/>
          <w:sz w:val="20"/>
          <w:szCs w:val="20"/>
        </w:rPr>
        <w:t>CONSOLIDATED STATEMENTS OF CHANGES IN STOCKHOLDERS’ EQUITY</w:t>
      </w:r>
    </w:p>
    <w:tbl>
      <w:tblPr>
        <w:tblW w:w="5000" w:type="pct"/>
        <w:tblCellMar>
          <w:top w:w="15" w:type="dxa"/>
          <w:left w:w="15" w:type="dxa"/>
          <w:bottom w:w="15" w:type="dxa"/>
          <w:right w:w="15" w:type="dxa"/>
        </w:tblCellMar>
        <w:tblLook w:val="04A0" w:firstRow="1" w:lastRow="0" w:firstColumn="1" w:lastColumn="0" w:noHBand="0" w:noVBand="1"/>
      </w:tblPr>
      <w:tblGrid>
        <w:gridCol w:w="52"/>
        <w:gridCol w:w="1135"/>
        <w:gridCol w:w="36"/>
        <w:gridCol w:w="36"/>
        <w:gridCol w:w="36"/>
        <w:gridCol w:w="36"/>
        <w:gridCol w:w="97"/>
        <w:gridCol w:w="670"/>
        <w:gridCol w:w="38"/>
        <w:gridCol w:w="36"/>
        <w:gridCol w:w="36"/>
        <w:gridCol w:w="36"/>
        <w:gridCol w:w="101"/>
        <w:gridCol w:w="431"/>
        <w:gridCol w:w="36"/>
        <w:gridCol w:w="36"/>
        <w:gridCol w:w="36"/>
        <w:gridCol w:w="36"/>
        <w:gridCol w:w="95"/>
        <w:gridCol w:w="765"/>
        <w:gridCol w:w="39"/>
        <w:gridCol w:w="37"/>
        <w:gridCol w:w="36"/>
        <w:gridCol w:w="36"/>
        <w:gridCol w:w="101"/>
        <w:gridCol w:w="434"/>
        <w:gridCol w:w="36"/>
        <w:gridCol w:w="36"/>
        <w:gridCol w:w="36"/>
        <w:gridCol w:w="36"/>
        <w:gridCol w:w="101"/>
        <w:gridCol w:w="577"/>
        <w:gridCol w:w="36"/>
        <w:gridCol w:w="36"/>
        <w:gridCol w:w="36"/>
        <w:gridCol w:w="36"/>
        <w:gridCol w:w="100"/>
        <w:gridCol w:w="480"/>
        <w:gridCol w:w="36"/>
        <w:gridCol w:w="36"/>
        <w:gridCol w:w="36"/>
        <w:gridCol w:w="36"/>
        <w:gridCol w:w="101"/>
        <w:gridCol w:w="871"/>
        <w:gridCol w:w="36"/>
        <w:gridCol w:w="36"/>
        <w:gridCol w:w="36"/>
        <w:gridCol w:w="36"/>
        <w:gridCol w:w="100"/>
        <w:gridCol w:w="547"/>
        <w:gridCol w:w="36"/>
        <w:gridCol w:w="36"/>
        <w:gridCol w:w="36"/>
        <w:gridCol w:w="36"/>
        <w:gridCol w:w="101"/>
        <w:gridCol w:w="763"/>
        <w:gridCol w:w="36"/>
      </w:tblGrid>
      <w:tr w:rsidR="00000000">
        <w:trPr>
          <w:divId w:val="210045101"/>
        </w:trPr>
        <w:tc>
          <w:tcPr>
            <w:tcW w:w="50" w:type="pct"/>
            <w:vAlign w:val="center"/>
            <w:hideMark/>
          </w:tcPr>
          <w:p w:rsidR="00000000" w:rsidRDefault="00E0782F">
            <w:pPr>
              <w:jc w:val="center"/>
              <w:rPr>
                <w:rFonts w:eastAsia="Times New Roman"/>
              </w:rPr>
            </w:pPr>
          </w:p>
        </w:tc>
        <w:tc>
          <w:tcPr>
            <w:tcW w:w="10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3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10045101"/>
          <w:trHeight w:val="240"/>
        </w:trPr>
        <w:tc>
          <w:tcPr>
            <w:tcW w:w="0" w:type="auto"/>
            <w:gridSpan w:val="3"/>
            <w:vMerge w:val="restart"/>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4"/>
                <w:szCs w:val="14"/>
              </w:rPr>
              <w:t>(Dollars in millions)</w:t>
            </w:r>
          </w:p>
        </w:tc>
        <w:tc>
          <w:tcPr>
            <w:tcW w:w="0" w:type="auto"/>
            <w:gridSpan w:val="3"/>
            <w:vMerge w:val="restart"/>
            <w:tcMar>
              <w:top w:w="0" w:type="dxa"/>
              <w:left w:w="20" w:type="dxa"/>
              <w:bottom w:w="0" w:type="dxa"/>
              <w:right w:w="20" w:type="dxa"/>
            </w:tcMar>
            <w:vAlign w:val="center"/>
            <w:hideMark/>
          </w:tcPr>
          <w:p w:rsidR="00000000" w:rsidRDefault="00E0782F">
            <w:pP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Retained Earnings</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Income (Loss)</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Treasury</w:t>
            </w:r>
            <w:r>
              <w:rPr>
                <w:rFonts w:eastAsia="Times New Roman"/>
                <w:b/>
                <w:bCs/>
                <w:color w:val="000000"/>
                <w:sz w:val="14"/>
                <w:szCs w:val="14"/>
              </w:rPr>
              <w:br/>
              <w:t>Stock</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r>
      <w:tr w:rsidR="00000000">
        <w:trPr>
          <w:divId w:val="210045101"/>
          <w:trHeight w:val="400"/>
        </w:trPr>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r>
      <w:tr w:rsidR="00E0782F">
        <w:trPr>
          <w:divId w:val="2100451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Balance as of December 31, 2017</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4,475,000 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661,724,927 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31,656 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30,700 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(926)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(12,707)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48,730 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Cumulative effects from adoption of new accounting standards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201 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(201)</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6,015 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(136)</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5,879 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divId w:val="687877980"/>
              <w:rPr>
                <w:rFonts w:eastAsia="Times New Roman"/>
              </w:rPr>
            </w:pPr>
            <w:r>
              <w:rPr>
                <w:rFonts w:eastAsia="Times New Roman"/>
                <w:color w:val="000000"/>
                <w:sz w:val="16"/>
                <w:szCs w:val="16"/>
              </w:rPr>
              <w:t>Dividends—</w:t>
            </w:r>
            <w:r>
              <w:rPr>
                <w:rFonts w:eastAsia="Times New Roman"/>
                <w:color w:val="000000"/>
                <w:sz w:val="16"/>
                <w:szCs w:val="16"/>
              </w:rPr>
              <w:t>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35,813 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(776)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(773)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(265)</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(265)</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(2,284)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(2,284)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4,183,783 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175 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175 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Exercises of stock options and warrants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2,024,546 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Compensation expense for restricted stock awards,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Balance as of December 31, 2018</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4,475,000 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667,969,069 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32,040 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35,875 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(1,263)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(14,991)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51,668 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Cumulative effects from adoption of new lease standard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Effects from transfer of securities held to maturity to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888 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888 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divId w:val="1889220091"/>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49,963 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(757)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(753)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Dividends—preferred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(1,481)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(1,481)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4,678,940 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199 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199 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Exercises of stock options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271,419 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Issuances of preferred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1,500,000 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Redemptions of 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(1,000,000)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(969)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(1,000)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227 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227 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4,975,000 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672,969,391 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32,980 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40,340 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(16,472)</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58,011 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(2,184)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(2,192)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2,346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5,060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10045101"/>
        </w:trPr>
        <w:tc>
          <w:tcPr>
            <w:tcW w:w="0" w:type="auto"/>
            <w:gridSpan w:val="3"/>
            <w:shd w:val="clear" w:color="auto" w:fill="CCEEFF"/>
            <w:tcMar>
              <w:top w:w="30" w:type="dxa"/>
              <w:left w:w="20" w:type="dxa"/>
              <w:bottom w:w="30" w:type="dxa"/>
              <w:right w:w="20" w:type="dxa"/>
            </w:tcMar>
            <w:vAlign w:val="center"/>
            <w:hideMark/>
          </w:tcPr>
          <w:p w:rsidR="00000000" w:rsidRDefault="00E0782F">
            <w:pPr>
              <w:divId w:val="1857036520"/>
              <w:rPr>
                <w:rFonts w:eastAsia="Times New Roman"/>
              </w:rPr>
            </w:pPr>
            <w:r>
              <w:rPr>
                <w:rFonts w:eastAsia="Times New Roman"/>
                <w:color w:val="000000"/>
                <w:sz w:val="16"/>
                <w:szCs w:val="16"/>
              </w:rPr>
              <w:t>Dividends—common stoc</w:t>
            </w:r>
            <w:r>
              <w:rPr>
                <w:rFonts w:eastAsia="Times New Roman"/>
                <w:color w:val="000000"/>
                <w:sz w:val="16"/>
                <w:szCs w:val="16"/>
              </w:rPr>
              <w:t>k</w:t>
            </w:r>
            <w:r>
              <w:rPr>
                <w:rFonts w:eastAsia="Times New Roman"/>
                <w:color w:val="000000"/>
                <w:sz w:val="10"/>
                <w:szCs w:val="10"/>
              </w:rPr>
              <w:t>(1</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32,466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(463)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(460)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Dividends—preferred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Purchases of treasury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Issuances of common stock and restricted stock, net of forfeitures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5,539,010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241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241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Exercises of stock options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1,391,970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Issuances of 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1,375,000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1,330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 xml:space="preserve">Redemptions of preferred stock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(1,375,000)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(1,336)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(1,375)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1004510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Compensation expense for restricted stock units and stock options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200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200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21004510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4,975,000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679,932,837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33,480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40,088</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3,494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(16,865)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60,204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524858385"/>
        <w:rPr>
          <w:rFonts w:eastAsia="Times New Roman"/>
        </w:rPr>
      </w:pPr>
      <w:r>
        <w:rPr>
          <w:rFonts w:eastAsia="Times New Roman"/>
          <w:color w:val="000000"/>
          <w:sz w:val="20"/>
          <w:szCs w:val="20"/>
        </w:rPr>
        <w:t>__________</w:t>
      </w:r>
    </w:p>
    <w:p w:rsidR="00000000" w:rsidRDefault="00E0782F">
      <w:pPr>
        <w:ind w:hanging="360"/>
        <w:jc w:val="both"/>
        <w:divId w:val="15947234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declared dividends per share on our common stock of $0.40 in both of the first </w:t>
      </w:r>
      <w:r>
        <w:rPr>
          <w:rFonts w:eastAsia="Times New Roman"/>
          <w:color w:val="000000"/>
          <w:sz w:val="16"/>
          <w:szCs w:val="16"/>
        </w:rPr>
        <w:t>two quarters and $0.10 in both of the latter two quarters of 2020 and $0.40 in each quarter of 2019 and 2018.</w:t>
      </w:r>
    </w:p>
    <w:tbl>
      <w:tblPr>
        <w:tblW w:w="5000" w:type="pct"/>
        <w:tblCellMar>
          <w:top w:w="15" w:type="dxa"/>
          <w:left w:w="15" w:type="dxa"/>
          <w:bottom w:w="15" w:type="dxa"/>
          <w:right w:w="15" w:type="dxa"/>
        </w:tblCellMar>
        <w:tblLook w:val="04A0" w:firstRow="1" w:lastRow="0" w:firstColumn="1" w:lastColumn="0" w:noHBand="0" w:noVBand="1"/>
      </w:tblPr>
      <w:tblGrid>
        <w:gridCol w:w="56"/>
        <w:gridCol w:w="1852"/>
        <w:gridCol w:w="36"/>
        <w:gridCol w:w="36"/>
        <w:gridCol w:w="36"/>
        <w:gridCol w:w="36"/>
        <w:gridCol w:w="36"/>
        <w:gridCol w:w="515"/>
        <w:gridCol w:w="36"/>
        <w:gridCol w:w="36"/>
        <w:gridCol w:w="36"/>
        <w:gridCol w:w="36"/>
        <w:gridCol w:w="36"/>
        <w:gridCol w:w="378"/>
        <w:gridCol w:w="36"/>
        <w:gridCol w:w="36"/>
        <w:gridCol w:w="36"/>
        <w:gridCol w:w="36"/>
        <w:gridCol w:w="36"/>
        <w:gridCol w:w="647"/>
        <w:gridCol w:w="36"/>
        <w:gridCol w:w="36"/>
        <w:gridCol w:w="36"/>
        <w:gridCol w:w="36"/>
        <w:gridCol w:w="36"/>
        <w:gridCol w:w="378"/>
        <w:gridCol w:w="36"/>
        <w:gridCol w:w="36"/>
        <w:gridCol w:w="36"/>
        <w:gridCol w:w="36"/>
        <w:gridCol w:w="36"/>
        <w:gridCol w:w="501"/>
        <w:gridCol w:w="36"/>
        <w:gridCol w:w="36"/>
        <w:gridCol w:w="36"/>
        <w:gridCol w:w="36"/>
        <w:gridCol w:w="37"/>
        <w:gridCol w:w="466"/>
        <w:gridCol w:w="36"/>
        <w:gridCol w:w="36"/>
        <w:gridCol w:w="36"/>
        <w:gridCol w:w="36"/>
        <w:gridCol w:w="38"/>
        <w:gridCol w:w="746"/>
        <w:gridCol w:w="36"/>
        <w:gridCol w:w="36"/>
        <w:gridCol w:w="36"/>
        <w:gridCol w:w="36"/>
        <w:gridCol w:w="38"/>
        <w:gridCol w:w="454"/>
        <w:gridCol w:w="36"/>
        <w:gridCol w:w="36"/>
        <w:gridCol w:w="36"/>
        <w:gridCol w:w="36"/>
        <w:gridCol w:w="38"/>
        <w:gridCol w:w="650"/>
        <w:gridCol w:w="36"/>
      </w:tblGrid>
      <w:tr w:rsidR="00000000">
        <w:trPr>
          <w:divId w:val="1574923073"/>
        </w:trPr>
        <w:tc>
          <w:tcPr>
            <w:tcW w:w="50" w:type="pct"/>
            <w:vAlign w:val="center"/>
            <w:hideMark/>
          </w:tcPr>
          <w:p w:rsidR="00000000" w:rsidRDefault="00E0782F">
            <w:pPr>
              <w:ind w:hanging="360"/>
              <w:jc w:val="both"/>
              <w:rPr>
                <w:rFonts w:eastAsia="Times New Roman"/>
              </w:rPr>
            </w:pPr>
          </w:p>
        </w:tc>
        <w:tc>
          <w:tcPr>
            <w:tcW w:w="112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74923073"/>
          <w:trHeight w:val="60"/>
        </w:trPr>
        <w:tc>
          <w:tcPr>
            <w:tcW w:w="0" w:type="auto"/>
            <w:gridSpan w:val="57"/>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492307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4978" w:type="pct"/>
        <w:jc w:val="center"/>
        <w:tblCellMar>
          <w:top w:w="15" w:type="dxa"/>
          <w:left w:w="15" w:type="dxa"/>
          <w:bottom w:w="15" w:type="dxa"/>
          <w:right w:w="15" w:type="dxa"/>
        </w:tblCellMar>
        <w:tblLook w:val="04A0" w:firstRow="1" w:lastRow="0" w:firstColumn="1" w:lastColumn="0" w:noHBand="0" w:noVBand="1"/>
      </w:tblPr>
      <w:tblGrid>
        <w:gridCol w:w="144"/>
        <w:gridCol w:w="1814"/>
        <w:gridCol w:w="144"/>
        <w:gridCol w:w="144"/>
        <w:gridCol w:w="144"/>
        <w:gridCol w:w="144"/>
        <w:gridCol w:w="144"/>
        <w:gridCol w:w="539"/>
        <w:gridCol w:w="144"/>
        <w:gridCol w:w="144"/>
        <w:gridCol w:w="144"/>
        <w:gridCol w:w="144"/>
        <w:gridCol w:w="144"/>
        <w:gridCol w:w="406"/>
        <w:gridCol w:w="144"/>
        <w:gridCol w:w="144"/>
        <w:gridCol w:w="144"/>
        <w:gridCol w:w="144"/>
        <w:gridCol w:w="144"/>
        <w:gridCol w:w="673"/>
        <w:gridCol w:w="144"/>
        <w:gridCol w:w="144"/>
        <w:gridCol w:w="144"/>
        <w:gridCol w:w="144"/>
        <w:gridCol w:w="144"/>
        <w:gridCol w:w="406"/>
        <w:gridCol w:w="144"/>
        <w:gridCol w:w="144"/>
        <w:gridCol w:w="144"/>
        <w:gridCol w:w="144"/>
        <w:gridCol w:w="144"/>
        <w:gridCol w:w="527"/>
        <w:gridCol w:w="144"/>
        <w:gridCol w:w="144"/>
        <w:gridCol w:w="144"/>
        <w:gridCol w:w="144"/>
        <w:gridCol w:w="144"/>
        <w:gridCol w:w="502"/>
        <w:gridCol w:w="144"/>
        <w:gridCol w:w="144"/>
        <w:gridCol w:w="144"/>
        <w:gridCol w:w="144"/>
        <w:gridCol w:w="144"/>
        <w:gridCol w:w="770"/>
        <w:gridCol w:w="144"/>
        <w:gridCol w:w="144"/>
        <w:gridCol w:w="144"/>
        <w:gridCol w:w="144"/>
        <w:gridCol w:w="144"/>
        <w:gridCol w:w="479"/>
        <w:gridCol w:w="144"/>
        <w:gridCol w:w="144"/>
        <w:gridCol w:w="144"/>
        <w:gridCol w:w="144"/>
        <w:gridCol w:w="144"/>
        <w:gridCol w:w="686"/>
        <w:gridCol w:w="144"/>
      </w:tblGrid>
      <w:tr w:rsidR="00000000">
        <w:trPr>
          <w:jc w:val="center"/>
        </w:trPr>
        <w:tc>
          <w:tcPr>
            <w:tcW w:w="50" w:type="pct"/>
            <w:vAlign w:val="center"/>
            <w:hideMark/>
          </w:tcPr>
          <w:p w:rsidR="00000000" w:rsidRDefault="00E0782F">
            <w:pPr>
              <w:rPr>
                <w:rFonts w:eastAsia="Times New Roman"/>
              </w:rPr>
            </w:pPr>
          </w:p>
        </w:tc>
        <w:tc>
          <w:tcPr>
            <w:tcW w:w="10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60"/>
          <w:jc w:val="center"/>
        </w:trPr>
        <w:tc>
          <w:tcPr>
            <w:tcW w:w="0" w:type="auto"/>
            <w:gridSpan w:val="57"/>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7"/>
        <w:gridCol w:w="69"/>
        <w:gridCol w:w="2663"/>
        <w:gridCol w:w="36"/>
        <w:gridCol w:w="69"/>
        <w:gridCol w:w="2663"/>
        <w:gridCol w:w="37"/>
      </w:tblGrid>
      <w:tr w:rsidR="00000000">
        <w:trPr>
          <w:divId w:val="185588107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855881074"/>
          <w:jc w:val="center"/>
        </w:trPr>
        <w:tc>
          <w:tcPr>
            <w:tcW w:w="0" w:type="auto"/>
            <w:gridSpan w:val="9"/>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20"/>
                <w:szCs w:val="20"/>
              </w:rPr>
              <w:t>See Notes to Consolidated Financial Statements.</w:t>
            </w:r>
          </w:p>
        </w:tc>
      </w:tr>
      <w:tr w:rsidR="00000000">
        <w:trPr>
          <w:divId w:val="1855881074"/>
          <w:jc w:val="center"/>
        </w:trPr>
        <w:tc>
          <w:tcPr>
            <w:tcW w:w="0" w:type="auto"/>
            <w:gridSpan w:val="3"/>
            <w:tcMar>
              <w:top w:w="0" w:type="dxa"/>
              <w:left w:w="20" w:type="dxa"/>
              <w:bottom w:w="0" w:type="dxa"/>
              <w:right w:w="20" w:type="dxa"/>
            </w:tcMar>
            <w:vAlign w:val="center"/>
            <w:hideMark/>
          </w:tcPr>
          <w:p w:rsidR="00000000" w:rsidRDefault="00E078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0" style="width:0;height:1.5pt" o:hralign="center" o:hrstd="t" o:hr="t" fillcolor="#a0a0a0" stroked="f"/>
        </w:pict>
      </w:r>
    </w:p>
    <w:p w:rsidR="00000000" w:rsidRDefault="00E0782F">
      <w:pPr>
        <w:jc w:val="both"/>
        <w:divId w:val="64219626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642196265"/>
        <w:rPr>
          <w:rFonts w:eastAsia="Times New Roman"/>
        </w:rPr>
      </w:pPr>
    </w:p>
    <w:p w:rsidR="00000000" w:rsidRDefault="00E0782F">
      <w:pPr>
        <w:jc w:val="center"/>
        <w:divId w:val="642196265"/>
        <w:rPr>
          <w:rFonts w:eastAsia="Times New Roman"/>
        </w:rPr>
      </w:pPr>
      <w:r>
        <w:rPr>
          <w:rFonts w:eastAsia="Times New Roman"/>
          <w:b/>
          <w:bCs/>
          <w:color w:val="000000"/>
          <w:sz w:val="20"/>
          <w:szCs w:val="20"/>
        </w:rPr>
        <w:t>CAPITAL ONE FINANCIAL CORPORATION</w:t>
      </w:r>
    </w:p>
    <w:p w:rsidR="00000000" w:rsidRDefault="00E0782F">
      <w:pPr>
        <w:jc w:val="center"/>
        <w:divId w:val="642196265"/>
        <w:rPr>
          <w:rFonts w:eastAsia="Times New Roman"/>
        </w:rPr>
      </w:pPr>
      <w:r>
        <w:rPr>
          <w:rFonts w:eastAsia="Times New Roman"/>
          <w:b/>
          <w:bCs/>
          <w:color w:val="000000"/>
          <w:sz w:val="20"/>
          <w:szCs w:val="20"/>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4971"/>
        <w:gridCol w:w="39"/>
        <w:gridCol w:w="36"/>
        <w:gridCol w:w="36"/>
        <w:gridCol w:w="36"/>
        <w:gridCol w:w="101"/>
        <w:gridCol w:w="840"/>
        <w:gridCol w:w="36"/>
        <w:gridCol w:w="36"/>
        <w:gridCol w:w="36"/>
        <w:gridCol w:w="36"/>
        <w:gridCol w:w="101"/>
        <w:gridCol w:w="840"/>
        <w:gridCol w:w="36"/>
        <w:gridCol w:w="36"/>
        <w:gridCol w:w="36"/>
        <w:gridCol w:w="36"/>
        <w:gridCol w:w="101"/>
        <w:gridCol w:w="840"/>
        <w:gridCol w:w="36"/>
      </w:tblGrid>
      <w:tr w:rsidR="00000000">
        <w:trPr>
          <w:divId w:val="380521603"/>
        </w:trPr>
        <w:tc>
          <w:tcPr>
            <w:tcW w:w="50" w:type="pct"/>
            <w:vAlign w:val="center"/>
            <w:hideMark/>
          </w:tcPr>
          <w:p w:rsidR="00000000" w:rsidRDefault="00E0782F">
            <w:pPr>
              <w:jc w:val="center"/>
              <w:rPr>
                <w:rFonts w:eastAsia="Times New Roman"/>
              </w:rPr>
            </w:pPr>
          </w:p>
        </w:tc>
        <w:tc>
          <w:tcPr>
            <w:tcW w:w="30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38052160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380521603"/>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38052160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6,025 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(loss) from discontinued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2,714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6,015 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Adjustments to reconcile net income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10,264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5,856 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Depreciation and amortization, net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3,501</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3,339 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2,396 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Deferred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(1,627)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714 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securities losses (gains)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209 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Gain on sales of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(548)</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203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239 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170 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(including unrealized gains from equity investments)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(520)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(125)</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Originations and purchases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(10,055)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(9,798)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(9,039)</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Proceeds from sales and paydowns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9,856</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10,668 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8,442 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interest receivable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287</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(74)</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other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979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476 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interest payable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other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1,212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(1,553)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change from discontinued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Net cash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16,699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16,639 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12,978 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(43,026)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(12,105)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(14,022)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22,324</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8,553 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7,510 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Proceeds from sales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812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4,780 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6,399 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Securities held to maturity: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Purchases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(19,166)</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Proceeds from paydowns and maturities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5,050 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2,419 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Loans: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8052160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changes in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4,136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(21,280)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1,015 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Principal recoveries of loans previously charged off</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2,452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2,557 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2,503 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purchases of premises and equipment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(887)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(874)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cash from acquisition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(8,393)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(600)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8052160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cash from other investing activities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(822)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(877)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8052160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Net cash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(14,841)</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(22,998)</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(15,618)</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80521603"/>
          <w:trHeight w:val="60"/>
        </w:trPr>
        <w:tc>
          <w:tcPr>
            <w:tcW w:w="0" w:type="auto"/>
            <w:gridSpan w:val="21"/>
            <w:tcMar>
              <w:top w:w="0" w:type="dxa"/>
              <w:left w:w="20" w:type="dxa"/>
              <w:bottom w:w="0" w:type="dxa"/>
              <w:right w:w="20" w:type="dxa"/>
            </w:tcMar>
            <w:vAlign w:val="center"/>
            <w:hideMark/>
          </w:tcPr>
          <w:p w:rsidR="00000000" w:rsidRDefault="00E0782F">
            <w:pPr>
              <w:jc w:val="right"/>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1" style="width:0;height:1.5pt" o:hralign="center" o:hrstd="t" o:hr="t" fillcolor="#a0a0a0" stroked="f"/>
        </w:pict>
      </w:r>
    </w:p>
    <w:p w:rsidR="00000000" w:rsidRDefault="00E0782F">
      <w:pPr>
        <w:jc w:val="both"/>
        <w:divId w:val="165710944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657109448"/>
        <w:rPr>
          <w:rFonts w:eastAsia="Times New Roman"/>
        </w:rPr>
      </w:pPr>
    </w:p>
    <w:p w:rsidR="00000000" w:rsidRDefault="00E0782F">
      <w:pPr>
        <w:jc w:val="center"/>
        <w:divId w:val="1657109448"/>
        <w:rPr>
          <w:rFonts w:eastAsia="Times New Roman"/>
        </w:rPr>
      </w:pPr>
      <w:r>
        <w:rPr>
          <w:rFonts w:eastAsia="Times New Roman"/>
          <w:b/>
          <w:bCs/>
          <w:color w:val="000000"/>
          <w:sz w:val="20"/>
          <w:szCs w:val="20"/>
        </w:rPr>
        <w:t>CAPITAL ONE FINANCIAL CORPORATION</w:t>
      </w:r>
    </w:p>
    <w:p w:rsidR="00000000" w:rsidRDefault="00E0782F">
      <w:pPr>
        <w:jc w:val="center"/>
        <w:divId w:val="1657109448"/>
        <w:rPr>
          <w:rFonts w:eastAsia="Times New Roman"/>
        </w:rPr>
      </w:pPr>
      <w:r>
        <w:rPr>
          <w:rFonts w:eastAsia="Times New Roman"/>
          <w:b/>
          <w:bCs/>
          <w:color w:val="000000"/>
          <w:sz w:val="20"/>
          <w:szCs w:val="20"/>
        </w:rPr>
        <w:t>CONSOLIDATED STATEMENTS OF CASH FLOWS</w:t>
      </w:r>
    </w:p>
    <w:tbl>
      <w:tblPr>
        <w:tblW w:w="5000" w:type="pct"/>
        <w:tblCellMar>
          <w:top w:w="15" w:type="dxa"/>
          <w:left w:w="15" w:type="dxa"/>
          <w:bottom w:w="15" w:type="dxa"/>
          <w:right w:w="15" w:type="dxa"/>
        </w:tblCellMar>
        <w:tblLook w:val="04A0" w:firstRow="1" w:lastRow="0" w:firstColumn="1" w:lastColumn="0" w:noHBand="0" w:noVBand="1"/>
      </w:tblPr>
      <w:tblGrid>
        <w:gridCol w:w="42"/>
        <w:gridCol w:w="4971"/>
        <w:gridCol w:w="40"/>
        <w:gridCol w:w="36"/>
        <w:gridCol w:w="36"/>
        <w:gridCol w:w="36"/>
        <w:gridCol w:w="100"/>
        <w:gridCol w:w="840"/>
        <w:gridCol w:w="36"/>
        <w:gridCol w:w="36"/>
        <w:gridCol w:w="36"/>
        <w:gridCol w:w="36"/>
        <w:gridCol w:w="100"/>
        <w:gridCol w:w="840"/>
        <w:gridCol w:w="36"/>
        <w:gridCol w:w="36"/>
        <w:gridCol w:w="36"/>
        <w:gridCol w:w="36"/>
        <w:gridCol w:w="100"/>
        <w:gridCol w:w="841"/>
        <w:gridCol w:w="36"/>
      </w:tblGrid>
      <w:tr w:rsidR="00000000">
        <w:trPr>
          <w:divId w:val="505634251"/>
        </w:trPr>
        <w:tc>
          <w:tcPr>
            <w:tcW w:w="50" w:type="pct"/>
            <w:vAlign w:val="center"/>
            <w:hideMark/>
          </w:tcPr>
          <w:p w:rsidR="00000000" w:rsidRDefault="00E0782F">
            <w:pPr>
              <w:jc w:val="center"/>
              <w:rPr>
                <w:rFonts w:eastAsia="Times New Roman"/>
              </w:rPr>
            </w:pPr>
          </w:p>
        </w:tc>
        <w:tc>
          <w:tcPr>
            <w:tcW w:w="30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505634251"/>
        </w:trPr>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505634251"/>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505634251"/>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i/>
                <w:iCs/>
                <w:color w:val="000000"/>
                <w:sz w:val="16"/>
                <w:szCs w:val="16"/>
              </w:rPr>
              <w:t xml:space="preserve">(Dollars in millions)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5056342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056342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Deposits and borrowings: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056342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42,519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12,643 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6,077 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Issuance of 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1,248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6,656 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997 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Maturities and paydowns of securitized debt obligations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(6,885)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(7,285)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(2,673)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Issuance of senior and subordinated notes and long-term FHLB advances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3,987</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5,977 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Maturities and paydowns of senior and subordinated notes and long-term FHLB advances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(8,156)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(5,595)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(14,163)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other borrowings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(6,674)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(2,104)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8,671 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Common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0563425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241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(460)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(753)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(773)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056342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proceeds from issuances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1,330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Dividends paid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(280)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Redemptions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(1,375)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(1,000)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(1,481)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(2,284)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62</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Net cash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25,164</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6,619 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Changes in cash, cash equivalents and 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27,022</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(863)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Cash, cash equivalents and restricted cash for securitization investors,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13,749</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14,352 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Cash, cash equivalents and restricted cash for securitization investors, end of the period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40,771</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13,749 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13,489 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056342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Non-cash items: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50563425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Net transfers from (to) loans held for investment to (from) loans held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2,192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6"/>
                <w:szCs w:val="16"/>
              </w:rPr>
              <w:t>Transfers from securities held to maturity to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33,187 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0563425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5056342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Interest paid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3,580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4,790 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5056342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Income tax paid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20"/>
                <w:szCs w:val="20"/>
              </w:rPr>
              <w:t>See Notes to Consolidated Financial Statements.</w:t>
            </w: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2" style="width:0;height:1.5pt" o:hralign="center" o:hrstd="t" o:hr="t" fillcolor="#a0a0a0" stroked="f"/>
        </w:pict>
      </w:r>
    </w:p>
    <w:p w:rsidR="00000000" w:rsidRDefault="00E0782F">
      <w:pPr>
        <w:jc w:val="both"/>
        <w:divId w:val="142522586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25225866"/>
        <w:rPr>
          <w:rFonts w:eastAsia="Times New Roman"/>
        </w:rPr>
      </w:pPr>
    </w:p>
    <w:p w:rsidR="00000000" w:rsidRDefault="00E0782F">
      <w:pPr>
        <w:jc w:val="center"/>
        <w:divId w:val="1425225866"/>
        <w:rPr>
          <w:rFonts w:eastAsia="Times New Roman"/>
        </w:rPr>
      </w:pPr>
      <w:r>
        <w:rPr>
          <w:rFonts w:eastAsia="Times New Roman"/>
          <w:b/>
          <w:bCs/>
          <w:color w:val="000000"/>
          <w:sz w:val="20"/>
          <w:szCs w:val="20"/>
        </w:rPr>
        <w:t>CAPITAL ONE FINANCIAL CORPORATION</w:t>
      </w:r>
    </w:p>
    <w:p w:rsidR="00000000" w:rsidRDefault="00E0782F">
      <w:pPr>
        <w:jc w:val="center"/>
        <w:divId w:val="1425225866"/>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50955529"/>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50955529"/>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1—SUMMARY OF SIGNIFICANT ACCOUNTING POLICIES</w:t>
            </w:r>
          </w:p>
        </w:tc>
      </w:tr>
    </w:tbl>
    <w:p w:rsidR="00000000" w:rsidRDefault="00E0782F">
      <w:pPr>
        <w:divId w:val="668336748"/>
        <w:rPr>
          <w:rFonts w:eastAsia="Times New Roman"/>
        </w:rPr>
      </w:pPr>
      <w:r>
        <w:rPr>
          <w:rFonts w:eastAsia="Times New Roman"/>
          <w:b/>
          <w:bCs/>
          <w:color w:val="000000"/>
          <w:sz w:val="20"/>
          <w:szCs w:val="20"/>
        </w:rPr>
        <w:t>The Company</w:t>
      </w:r>
    </w:p>
    <w:p w:rsidR="00000000" w:rsidRDefault="00E0782F">
      <w:pPr>
        <w:jc w:val="both"/>
        <w:divId w:val="2051103656"/>
        <w:rPr>
          <w:rFonts w:eastAsia="Times New Roman"/>
        </w:rPr>
      </w:pPr>
      <w:r>
        <w:rPr>
          <w:rFonts w:eastAsia="Times New Roman"/>
          <w:color w:val="000000"/>
          <w:sz w:val="20"/>
          <w:szCs w:val="20"/>
        </w:rPr>
        <w:t>Capital One Financial Corporation, a Delaware Corporation established in 1994 and headquartered in McLean, Virginia, is a diversified financial services holding company with banking and non-banking subsidiaries. Capital One Financial Corporatio</w:t>
      </w:r>
      <w:r>
        <w:rPr>
          <w:rFonts w:eastAsia="Times New Roman"/>
          <w:color w:val="000000"/>
          <w:sz w:val="20"/>
          <w:szCs w:val="20"/>
        </w:rPr>
        <w:t>n and its subsidiaries (the “Company”) offer a broad array of financial products and services to consumers, small businesses and commercial clients through digital channels, branches, Cafés and other distribution channels. As of December 31, 2020, our prin</w:t>
      </w:r>
      <w:r>
        <w:rPr>
          <w:rFonts w:eastAsia="Times New Roman"/>
          <w:color w:val="000000"/>
          <w:sz w:val="20"/>
          <w:szCs w:val="20"/>
        </w:rPr>
        <w:t>cipal subsidiaries included:</w:t>
      </w:r>
    </w:p>
    <w:p w:rsidR="00000000" w:rsidRDefault="00E0782F">
      <w:pPr>
        <w:ind w:hanging="360"/>
        <w:jc w:val="both"/>
        <w:divId w:val="1711686376"/>
        <w:rPr>
          <w:rFonts w:eastAsia="Times New Roman"/>
        </w:rPr>
      </w:pPr>
      <w:r>
        <w:rPr>
          <w:rFonts w:eastAsia="Times New Roman"/>
          <w:color w:val="000000"/>
          <w:sz w:val="20"/>
          <w:szCs w:val="20"/>
        </w:rPr>
        <w:t>•Capital One Bank (USA), National Association (“COBNA”), which offers credit and debit card products, other lending products and deposit products; and</w:t>
      </w:r>
    </w:p>
    <w:p w:rsidR="00000000" w:rsidRDefault="00E0782F">
      <w:pPr>
        <w:ind w:hanging="360"/>
        <w:jc w:val="both"/>
        <w:divId w:val="1727682252"/>
        <w:rPr>
          <w:rFonts w:eastAsia="Times New Roman"/>
        </w:rPr>
      </w:pPr>
      <w:r>
        <w:rPr>
          <w:rFonts w:eastAsia="Times New Roman"/>
          <w:color w:val="000000"/>
          <w:sz w:val="20"/>
          <w:szCs w:val="20"/>
        </w:rPr>
        <w:t>•Capital One, National Association (“CONA”), which offers a broad spectrum o</w:t>
      </w:r>
      <w:r>
        <w:rPr>
          <w:rFonts w:eastAsia="Times New Roman"/>
          <w:color w:val="000000"/>
          <w:sz w:val="20"/>
          <w:szCs w:val="20"/>
        </w:rPr>
        <w:t>f banking products and financial services to consumers, small businesses and commercial clients.</w:t>
      </w:r>
    </w:p>
    <w:p w:rsidR="00000000" w:rsidRDefault="00E0782F">
      <w:pPr>
        <w:jc w:val="both"/>
        <w:divId w:val="1791364468"/>
        <w:rPr>
          <w:rFonts w:eastAsia="Times New Roman"/>
        </w:rPr>
      </w:pPr>
      <w:r>
        <w:rPr>
          <w:rFonts w:eastAsia="Times New Roman"/>
          <w:color w:val="000000"/>
          <w:sz w:val="20"/>
          <w:szCs w:val="20"/>
        </w:rPr>
        <w:t>The Company is hereafter collectively referred to as “we,” “us” or “our.” COBNA and CONA are collectively referred to as the “Banks.”</w:t>
      </w:r>
    </w:p>
    <w:p w:rsidR="00000000" w:rsidRDefault="00E0782F">
      <w:pPr>
        <w:jc w:val="both"/>
        <w:divId w:val="848523289"/>
        <w:rPr>
          <w:rFonts w:eastAsia="Times New Roman"/>
        </w:rPr>
      </w:pPr>
      <w:r>
        <w:rPr>
          <w:rFonts w:eastAsia="Times New Roman"/>
          <w:color w:val="000000"/>
          <w:sz w:val="20"/>
          <w:szCs w:val="20"/>
        </w:rPr>
        <w:t>We also offer products ou</w:t>
      </w:r>
      <w:r>
        <w:rPr>
          <w:rFonts w:eastAsia="Times New Roman"/>
          <w:color w:val="000000"/>
          <w:sz w:val="20"/>
          <w:szCs w:val="20"/>
        </w:rPr>
        <w:t>tside of the United States of America (“U.S.”) principally through Capital One (Europe) plc (“COEP”), an indirect subsidiary of COBNA organized and located in the United Kingdom (“U.K.”), and through a branch of COBNA in Canada. COEP has authority, among o</w:t>
      </w:r>
      <w:r>
        <w:rPr>
          <w:rFonts w:eastAsia="Times New Roman"/>
          <w:color w:val="000000"/>
          <w:sz w:val="20"/>
          <w:szCs w:val="20"/>
        </w:rPr>
        <w:t>ther things, to provide credit card loans. Our branch of COBNA in Canada also has the authority to provide credit card loans.</w:t>
      </w:r>
    </w:p>
    <w:p w:rsidR="00000000" w:rsidRDefault="00E0782F">
      <w:pPr>
        <w:jc w:val="both"/>
        <w:divId w:val="350692632"/>
        <w:rPr>
          <w:rFonts w:eastAsia="Times New Roman"/>
        </w:rPr>
      </w:pPr>
      <w:r>
        <w:rPr>
          <w:rFonts w:eastAsia="Times New Roman"/>
          <w:color w:val="000000"/>
          <w:sz w:val="20"/>
          <w:szCs w:val="20"/>
        </w:rPr>
        <w:t>Our principal operations are organized for management reporting purposes into three major business segments, which are defined pri</w:t>
      </w:r>
      <w:r>
        <w:rPr>
          <w:rFonts w:eastAsia="Times New Roman"/>
          <w:color w:val="000000"/>
          <w:sz w:val="20"/>
          <w:szCs w:val="20"/>
        </w:rPr>
        <w:t>marily based on the products and services provided or the types of customer served: Credit Card, Consumer Banking and Commercial Banking. We provide details on our business segments, the integration of recent acquisitions, if any, into our business segment</w:t>
      </w:r>
      <w:r>
        <w:rPr>
          <w:rFonts w:eastAsia="Times New Roman"/>
          <w:color w:val="000000"/>
          <w:sz w:val="20"/>
          <w:szCs w:val="20"/>
        </w:rPr>
        <w:t>s and the allocation methodologies and accounting policies used to derive our business segment results in “Note 17—Business Segments and Revenue from Contracts with Customers.”</w:t>
      </w:r>
    </w:p>
    <w:p w:rsidR="00000000" w:rsidRDefault="00E0782F">
      <w:pPr>
        <w:divId w:val="609700412"/>
        <w:rPr>
          <w:rFonts w:eastAsia="Times New Roman"/>
        </w:rPr>
      </w:pPr>
      <w:r>
        <w:rPr>
          <w:rFonts w:eastAsia="Times New Roman"/>
          <w:b/>
          <w:bCs/>
          <w:color w:val="000000"/>
          <w:sz w:val="20"/>
          <w:szCs w:val="20"/>
        </w:rPr>
        <w:t>Basis of Presentation and Use of Estimates</w:t>
      </w:r>
    </w:p>
    <w:p w:rsidR="00000000" w:rsidRDefault="00E0782F">
      <w:pPr>
        <w:jc w:val="both"/>
        <w:divId w:val="271670449"/>
        <w:rPr>
          <w:rFonts w:eastAsia="Times New Roman"/>
        </w:rPr>
      </w:pPr>
      <w:r>
        <w:rPr>
          <w:rFonts w:eastAsia="Times New Roman"/>
          <w:color w:val="000000"/>
          <w:sz w:val="20"/>
          <w:szCs w:val="20"/>
        </w:rPr>
        <w:t>The accompanying consolidated financ</w:t>
      </w:r>
      <w:r>
        <w:rPr>
          <w:rFonts w:eastAsia="Times New Roman"/>
          <w:color w:val="000000"/>
          <w:sz w:val="20"/>
          <w:szCs w:val="20"/>
        </w:rPr>
        <w:t>ial statements have been prepared in accordance with generally accepted accounting principles in the U.S. (“U.S. GAAP”). The preparation of the consolidated financial statements in conformity with U.S. GAAP requires management to make estimates and assumpt</w:t>
      </w:r>
      <w:r>
        <w:rPr>
          <w:rFonts w:eastAsia="Times New Roman"/>
          <w:color w:val="000000"/>
          <w:sz w:val="20"/>
          <w:szCs w:val="20"/>
        </w:rPr>
        <w:t>ions that affect the amounts reported in the consolidated financial statements and in the related disclosures. These estimates are based on information available as of the date of the consolidated financial statements. While management makes its best judgm</w:t>
      </w:r>
      <w:r>
        <w:rPr>
          <w:rFonts w:eastAsia="Times New Roman"/>
          <w:color w:val="000000"/>
          <w:sz w:val="20"/>
          <w:szCs w:val="20"/>
        </w:rPr>
        <w:t>ents, actual amounts or results could differ from these estimates.</w:t>
      </w:r>
      <w:r>
        <w:rPr>
          <w:rFonts w:eastAsia="Times New Roman"/>
          <w:i/>
          <w:iCs/>
          <w:color w:val="000000"/>
          <w:sz w:val="20"/>
          <w:szCs w:val="20"/>
        </w:rPr>
        <w:t xml:space="preserve"> </w:t>
      </w:r>
      <w:r>
        <w:rPr>
          <w:rFonts w:eastAsia="Times New Roman"/>
          <w:color w:val="000000"/>
          <w:sz w:val="20"/>
          <w:szCs w:val="20"/>
        </w:rPr>
        <w:t>Certain prior period amounts have been reclassified to conform to the current period presentation.</w:t>
      </w:r>
    </w:p>
    <w:p w:rsidR="00000000" w:rsidRDefault="00E0782F">
      <w:pPr>
        <w:divId w:val="376468666"/>
        <w:rPr>
          <w:rFonts w:eastAsia="Times New Roman"/>
        </w:rPr>
      </w:pPr>
      <w:r>
        <w:rPr>
          <w:rFonts w:eastAsia="Times New Roman"/>
          <w:b/>
          <w:bCs/>
          <w:color w:val="000000"/>
          <w:sz w:val="20"/>
          <w:szCs w:val="20"/>
        </w:rPr>
        <w:t xml:space="preserve">Principles of Consolidation </w:t>
      </w:r>
    </w:p>
    <w:p w:rsidR="00000000" w:rsidRDefault="00E0782F">
      <w:pPr>
        <w:jc w:val="both"/>
        <w:divId w:val="815150377"/>
        <w:rPr>
          <w:rFonts w:eastAsia="Times New Roman"/>
        </w:rPr>
      </w:pPr>
      <w:r>
        <w:rPr>
          <w:rFonts w:eastAsia="Times New Roman"/>
          <w:color w:val="000000"/>
          <w:sz w:val="20"/>
          <w:szCs w:val="20"/>
        </w:rPr>
        <w:t>The consolidated financial statements include the accounts of</w:t>
      </w:r>
      <w:r>
        <w:rPr>
          <w:rFonts w:eastAsia="Times New Roman"/>
          <w:color w:val="000000"/>
          <w:sz w:val="20"/>
          <w:szCs w:val="20"/>
        </w:rPr>
        <w:t xml:space="preserve"> Capital One Financial Corporation and all other entities in which we have a controlling financial interest. We determine whether we have a controlling financial interest in an entity by first evaluating whether the entity is a voting interest entity (“VOE</w:t>
      </w:r>
      <w:r>
        <w:rPr>
          <w:rFonts w:eastAsia="Times New Roman"/>
          <w:color w:val="000000"/>
          <w:sz w:val="20"/>
          <w:szCs w:val="20"/>
        </w:rPr>
        <w:t>”) or a variable interest entity (“VIE”). All significant intercompany account balances and transactions have been eliminated.</w:t>
      </w:r>
    </w:p>
    <w:p w:rsidR="00000000" w:rsidRDefault="00E0782F">
      <w:pPr>
        <w:divId w:val="1998337330"/>
        <w:rPr>
          <w:rFonts w:eastAsia="Times New Roman"/>
        </w:rPr>
      </w:pPr>
      <w:r>
        <w:rPr>
          <w:rFonts w:eastAsia="Times New Roman"/>
          <w:b/>
          <w:bCs/>
          <w:i/>
          <w:iCs/>
          <w:color w:val="000000"/>
          <w:sz w:val="20"/>
          <w:szCs w:val="20"/>
        </w:rPr>
        <w:t xml:space="preserve">Voting Interest Entities </w:t>
      </w:r>
    </w:p>
    <w:p w:rsidR="00000000" w:rsidRDefault="00E0782F">
      <w:pPr>
        <w:jc w:val="both"/>
        <w:divId w:val="1687711813"/>
        <w:rPr>
          <w:rFonts w:eastAsia="Times New Roman"/>
        </w:rPr>
      </w:pPr>
      <w:r>
        <w:rPr>
          <w:rFonts w:eastAsia="Times New Roman"/>
          <w:color w:val="000000"/>
          <w:sz w:val="20"/>
          <w:szCs w:val="20"/>
        </w:rPr>
        <w:t>VOEs are entities that have sufficient equity and provide the equity investors voting rights that give them the power to make significant decisions relating to the entity’s operations. Since a controlling financial interest in an entity is typically obtain</w:t>
      </w:r>
      <w:r>
        <w:rPr>
          <w:rFonts w:eastAsia="Times New Roman"/>
          <w:color w:val="000000"/>
          <w:sz w:val="20"/>
          <w:szCs w:val="20"/>
        </w:rPr>
        <w:t>ed through ownership of a majority voting interest, we consolidate our majority-owned subsidiaries and other voting interest entities in which we hold, directly or indirectly, more than 50% of the voting rights or where we exercise control through other co</w:t>
      </w:r>
      <w:r>
        <w:rPr>
          <w:rFonts w:eastAsia="Times New Roman"/>
          <w:color w:val="000000"/>
          <w:sz w:val="20"/>
          <w:szCs w:val="20"/>
        </w:rPr>
        <w:t xml:space="preserve">ntractual rights. </w:t>
      </w:r>
    </w:p>
    <w:p w:rsidR="00000000" w:rsidRDefault="00E0782F">
      <w:pPr>
        <w:jc w:val="both"/>
        <w:divId w:val="755051139"/>
        <w:rPr>
          <w:rFonts w:eastAsia="Times New Roman"/>
        </w:rPr>
      </w:pPr>
      <w:r>
        <w:rPr>
          <w:rFonts w:eastAsia="Times New Roman"/>
          <w:color w:val="000000"/>
          <w:sz w:val="20"/>
          <w:szCs w:val="20"/>
        </w:rPr>
        <w:t>Investments in which we do not hold a controlling financial interest but have significant influence over the entity’s financial and operating decisions (generally defined as owning a voting interest of 20% to 50%) are accounted for under</w:t>
      </w:r>
      <w:r>
        <w:rPr>
          <w:rFonts w:eastAsia="Times New Roman"/>
          <w:color w:val="000000"/>
          <w:sz w:val="20"/>
          <w:szCs w:val="20"/>
        </w:rPr>
        <w:t xml:space="preserve"> the equity method. If we own less than 20% of a voting interest entity, we measure equity investments at fair value with changes in fair value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9394886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9394886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9394886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3" style="width:0;height:1.5pt" o:hralign="center" o:hrstd="t" o:hr="t" fillcolor="#a0a0a0" stroked="f"/>
        </w:pict>
      </w:r>
    </w:p>
    <w:p w:rsidR="00000000" w:rsidRDefault="00E0782F">
      <w:pPr>
        <w:jc w:val="both"/>
        <w:divId w:val="136212789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362127892"/>
        <w:rPr>
          <w:rFonts w:eastAsia="Times New Roman"/>
        </w:rPr>
      </w:pPr>
    </w:p>
    <w:p w:rsidR="00000000" w:rsidRDefault="00E0782F">
      <w:pPr>
        <w:jc w:val="center"/>
        <w:divId w:val="1362127892"/>
        <w:rPr>
          <w:rFonts w:eastAsia="Times New Roman"/>
        </w:rPr>
      </w:pPr>
      <w:r>
        <w:rPr>
          <w:rFonts w:eastAsia="Times New Roman"/>
          <w:b/>
          <w:bCs/>
          <w:color w:val="000000"/>
          <w:sz w:val="20"/>
          <w:szCs w:val="20"/>
        </w:rPr>
        <w:t>CAPITAL ONE FINANCIAL CORPORATION</w:t>
      </w:r>
    </w:p>
    <w:p w:rsidR="00000000" w:rsidRDefault="00E0782F">
      <w:pPr>
        <w:jc w:val="center"/>
        <w:divId w:val="1362127892"/>
        <w:rPr>
          <w:rFonts w:eastAsia="Times New Roman"/>
        </w:rPr>
      </w:pPr>
      <w:r>
        <w:rPr>
          <w:rFonts w:eastAsia="Times New Roman"/>
          <w:b/>
          <w:bCs/>
          <w:color w:val="000000"/>
          <w:sz w:val="20"/>
          <w:szCs w:val="20"/>
        </w:rPr>
        <w:t>NOTES TO CONSOLIDATED FINANCIAL STATEMENTS</w:t>
      </w:r>
    </w:p>
    <w:p w:rsidR="00000000" w:rsidRDefault="00E0782F">
      <w:pPr>
        <w:jc w:val="both"/>
        <w:divId w:val="1431270901"/>
        <w:rPr>
          <w:rFonts w:eastAsia="Times New Roman"/>
        </w:rPr>
      </w:pPr>
      <w:r>
        <w:rPr>
          <w:rFonts w:eastAsia="Times New Roman"/>
          <w:color w:val="000000"/>
          <w:sz w:val="20"/>
          <w:szCs w:val="20"/>
        </w:rPr>
        <w:t>recorded through net income, except those that do not have a read</w:t>
      </w:r>
      <w:r>
        <w:rPr>
          <w:rFonts w:eastAsia="Times New Roman"/>
          <w:color w:val="000000"/>
          <w:sz w:val="20"/>
          <w:szCs w:val="20"/>
        </w:rPr>
        <w:t>ily determinable fair value (for which a measurement alternative is applied). We report equity investments in other assets on our consolidated balance sheets and include our share of income or loss and dividends from those investments in other non-interest</w:t>
      </w:r>
      <w:r>
        <w:rPr>
          <w:rFonts w:eastAsia="Times New Roman"/>
          <w:color w:val="000000"/>
          <w:sz w:val="20"/>
          <w:szCs w:val="20"/>
        </w:rPr>
        <w:t xml:space="preserve"> income in our consolidated statements of income.</w:t>
      </w:r>
    </w:p>
    <w:p w:rsidR="00000000" w:rsidRDefault="00E0782F">
      <w:pPr>
        <w:divId w:val="1448698361"/>
        <w:rPr>
          <w:rFonts w:eastAsia="Times New Roman"/>
        </w:rPr>
      </w:pPr>
      <w:r>
        <w:rPr>
          <w:rFonts w:eastAsia="Times New Roman"/>
          <w:b/>
          <w:bCs/>
          <w:i/>
          <w:iCs/>
          <w:color w:val="000000"/>
          <w:sz w:val="20"/>
          <w:szCs w:val="20"/>
        </w:rPr>
        <w:t>Variable Interest Entities</w:t>
      </w:r>
    </w:p>
    <w:p w:rsidR="00000000" w:rsidRDefault="00E0782F">
      <w:pPr>
        <w:jc w:val="both"/>
        <w:divId w:val="806821933"/>
        <w:rPr>
          <w:rFonts w:eastAsia="Times New Roman"/>
        </w:rPr>
      </w:pPr>
      <w:r>
        <w:rPr>
          <w:rFonts w:eastAsia="Times New Roman"/>
          <w:color w:val="000000"/>
          <w:sz w:val="20"/>
          <w:szCs w:val="20"/>
        </w:rPr>
        <w:t>VIEs are entities that, by design, either (i) lack sufficient equity to permit the entity to finance its activities without additional subordinated financial support from other pa</w:t>
      </w:r>
      <w:r>
        <w:rPr>
          <w:rFonts w:eastAsia="Times New Roman"/>
          <w:color w:val="000000"/>
          <w:sz w:val="20"/>
          <w:szCs w:val="20"/>
        </w:rPr>
        <w:t xml:space="preserve">rties; or (ii) have equity investors that do not have the ability to make significant decisions relating to the entity’s operations through voting rights, or do not have the obligation to absorb the expected losses, or do not have the right to receive the </w:t>
      </w:r>
      <w:r>
        <w:rPr>
          <w:rFonts w:eastAsia="Times New Roman"/>
          <w:color w:val="000000"/>
          <w:sz w:val="20"/>
          <w:szCs w:val="20"/>
        </w:rPr>
        <w:t xml:space="preserve">residual returns of the entity. The entity that is deemed the primary beneficiary of a VIE is required to consolidate the VIE. An entity is deemed to be the primary beneficiary of a VIE if that entity has both (i) the power to direct the activities of the </w:t>
      </w:r>
      <w:r>
        <w:rPr>
          <w:rFonts w:eastAsia="Times New Roman"/>
          <w:color w:val="000000"/>
          <w:sz w:val="20"/>
          <w:szCs w:val="20"/>
        </w:rPr>
        <w:t>VIE that most significantly impact the VIE’s economic performance; and (ii) the obligation to absorb losses or the right to receive benefits that could potentially be significant to the VIE.</w:t>
      </w:r>
    </w:p>
    <w:p w:rsidR="00000000" w:rsidRDefault="00E0782F">
      <w:pPr>
        <w:jc w:val="both"/>
        <w:divId w:val="1725637964"/>
        <w:rPr>
          <w:rFonts w:eastAsia="Times New Roman"/>
        </w:rPr>
      </w:pPr>
      <w:r>
        <w:rPr>
          <w:rFonts w:eastAsia="Times New Roman"/>
          <w:color w:val="000000"/>
          <w:sz w:val="20"/>
          <w:szCs w:val="20"/>
        </w:rPr>
        <w:t>In determining whether we are the primary beneficiary of a VIE, w</w:t>
      </w:r>
      <w:r>
        <w:rPr>
          <w:rFonts w:eastAsia="Times New Roman"/>
          <w:color w:val="000000"/>
          <w:sz w:val="20"/>
          <w:szCs w:val="20"/>
        </w:rPr>
        <w:t>e consider both qualitative and quantitative factors regarding the nature, size and form of our involvement with the VIE, such as our role in establishing the VIE and our ongoing rights and responsibilities; our economic interests, including debt and equit</w:t>
      </w:r>
      <w:r>
        <w:rPr>
          <w:rFonts w:eastAsia="Times New Roman"/>
          <w:color w:val="000000"/>
          <w:sz w:val="20"/>
          <w:szCs w:val="20"/>
        </w:rPr>
        <w:t>y investments, servicing fees and other arrangements deemed to be variable interests in the VIE; the design of the VIE, including the capitalization structure, subordination of interests, payment priority, relative share of interests held across various cl</w:t>
      </w:r>
      <w:r>
        <w:rPr>
          <w:rFonts w:eastAsia="Times New Roman"/>
          <w:color w:val="000000"/>
          <w:sz w:val="20"/>
          <w:szCs w:val="20"/>
        </w:rPr>
        <w:t>asses within the VIE’s capital structure and the reasons why the interests are held by us.</w:t>
      </w:r>
    </w:p>
    <w:p w:rsidR="00000000" w:rsidRDefault="00E0782F">
      <w:pPr>
        <w:jc w:val="both"/>
        <w:divId w:val="1466005994"/>
        <w:rPr>
          <w:rFonts w:eastAsia="Times New Roman"/>
        </w:rPr>
      </w:pPr>
      <w:r>
        <w:rPr>
          <w:rFonts w:eastAsia="Times New Roman"/>
          <w:color w:val="000000"/>
          <w:sz w:val="20"/>
          <w:szCs w:val="20"/>
        </w:rPr>
        <w:t xml:space="preserve">We perform on-going reassessments to evaluate whether changes in an entity’s capital structure or changes in the nature of our involvement with the entity result in </w:t>
      </w:r>
      <w:r>
        <w:rPr>
          <w:rFonts w:eastAsia="Times New Roman"/>
          <w:color w:val="000000"/>
          <w:sz w:val="20"/>
          <w:szCs w:val="20"/>
        </w:rPr>
        <w:t>a change to the VIE designation or a change to our consolidation conclusion. See “Note 5—Variable Interest Entities and Securitizations” for further details.</w:t>
      </w:r>
    </w:p>
    <w:p w:rsidR="00000000" w:rsidRDefault="00E0782F">
      <w:pPr>
        <w:divId w:val="1125536982"/>
        <w:rPr>
          <w:rFonts w:eastAsia="Times New Roman"/>
        </w:rPr>
      </w:pPr>
      <w:r>
        <w:rPr>
          <w:rFonts w:eastAsia="Times New Roman"/>
          <w:b/>
          <w:bCs/>
          <w:color w:val="000000"/>
          <w:sz w:val="20"/>
          <w:szCs w:val="20"/>
        </w:rPr>
        <w:t>Balance Sheet Offsetting of Financial Assets and Liabilities</w:t>
      </w:r>
    </w:p>
    <w:p w:rsidR="00000000" w:rsidRDefault="00E0782F">
      <w:pPr>
        <w:jc w:val="both"/>
        <w:divId w:val="1022705644"/>
        <w:rPr>
          <w:rFonts w:eastAsia="Times New Roman"/>
        </w:rPr>
      </w:pPr>
      <w:r>
        <w:rPr>
          <w:rFonts w:eastAsia="Times New Roman"/>
          <w:color w:val="000000"/>
          <w:sz w:val="20"/>
          <w:szCs w:val="20"/>
        </w:rPr>
        <w:t xml:space="preserve">Derivative contracts that we execute </w:t>
      </w:r>
      <w:r>
        <w:rPr>
          <w:rFonts w:eastAsia="Times New Roman"/>
          <w:color w:val="000000"/>
          <w:sz w:val="20"/>
          <w:szCs w:val="20"/>
        </w:rPr>
        <w:t>bilaterally in the over-the-counter (“OTC”) market or are centrally cleared are generally governed by enforceable master netting arrangements where we generally have the right to offset exposure with the same counterparty. Either counterparty can generally</w:t>
      </w:r>
      <w:r>
        <w:rPr>
          <w:rFonts w:eastAsia="Times New Roman"/>
          <w:color w:val="000000"/>
          <w:sz w:val="20"/>
          <w:szCs w:val="20"/>
        </w:rPr>
        <w:t xml:space="preserve"> request to net settle all contracts through a single payment upon default on, or termination of, any one contract. We elect to offset the derivative assets and liabilities under netting arrangements for balance sheet presentation where a right of setoff e</w:t>
      </w:r>
      <w:r>
        <w:rPr>
          <w:rFonts w:eastAsia="Times New Roman"/>
          <w:color w:val="000000"/>
          <w:sz w:val="20"/>
          <w:szCs w:val="20"/>
        </w:rPr>
        <w:t>xists. For derivative contracts entered into under master netting arrangements for which we have not been able to confirm the enforceability of the setoff rights, or those not subject to master netting arrangements, we do not offset our derivative position</w:t>
      </w:r>
      <w:r>
        <w:rPr>
          <w:rFonts w:eastAsia="Times New Roman"/>
          <w:color w:val="000000"/>
          <w:sz w:val="20"/>
          <w:szCs w:val="20"/>
        </w:rPr>
        <w:t xml:space="preserve">s for balance sheet presentation. See “Note 9—Derivative Instruments and Hedging Activities” for more details. </w:t>
      </w:r>
    </w:p>
    <w:p w:rsidR="00000000" w:rsidRDefault="00E0782F">
      <w:pPr>
        <w:jc w:val="both"/>
        <w:divId w:val="1517187347"/>
        <w:rPr>
          <w:rFonts w:eastAsia="Times New Roman"/>
        </w:rPr>
      </w:pPr>
      <w:r>
        <w:rPr>
          <w:rFonts w:eastAsia="Times New Roman"/>
          <w:color w:val="000000"/>
          <w:sz w:val="20"/>
          <w:szCs w:val="20"/>
        </w:rPr>
        <w:t>We also elect to present securities purchased or sold under resale or repurchase agreements on a net basis when a legally enforceable master net</w:t>
      </w:r>
      <w:r>
        <w:rPr>
          <w:rFonts w:eastAsia="Times New Roman"/>
          <w:color w:val="000000"/>
          <w:sz w:val="20"/>
          <w:szCs w:val="20"/>
        </w:rPr>
        <w:t>ting agreement exists and other applicable criteria are met. Security collateral received from or pledged to the counterparties are not eligible for netting and are presented gross in our consolidated balance sheet. See “Note 8—Deposits and Borrowings” and</w:t>
      </w:r>
      <w:r>
        <w:rPr>
          <w:rFonts w:eastAsia="Times New Roman"/>
          <w:color w:val="000000"/>
          <w:sz w:val="20"/>
          <w:szCs w:val="20"/>
        </w:rPr>
        <w:t xml:space="preserve"> “Note 9—Derivative Instruments and Hedging Activities” for more details.</w:t>
      </w:r>
    </w:p>
    <w:p w:rsidR="00000000" w:rsidRDefault="00E0782F">
      <w:pPr>
        <w:divId w:val="84108245"/>
        <w:rPr>
          <w:rFonts w:eastAsia="Times New Roman"/>
        </w:rPr>
      </w:pPr>
      <w:r>
        <w:rPr>
          <w:rFonts w:eastAsia="Times New Roman"/>
          <w:b/>
          <w:bCs/>
          <w:color w:val="000000"/>
          <w:sz w:val="20"/>
          <w:szCs w:val="20"/>
        </w:rPr>
        <w:t>Cash and Cash Equivalents</w:t>
      </w:r>
    </w:p>
    <w:p w:rsidR="00000000" w:rsidRDefault="00E0782F">
      <w:pPr>
        <w:jc w:val="both"/>
        <w:divId w:val="97333412"/>
        <w:rPr>
          <w:rFonts w:eastAsia="Times New Roman"/>
        </w:rPr>
      </w:pPr>
      <w:r>
        <w:rPr>
          <w:rFonts w:eastAsia="Times New Roman"/>
          <w:color w:val="000000"/>
          <w:sz w:val="20"/>
          <w:szCs w:val="20"/>
        </w:rPr>
        <w:t>Cash and cash equivalents include cash and due from banks, interest-bearing deposits and other short-term investments, all of which, if applicable, have sta</w:t>
      </w:r>
      <w:r>
        <w:rPr>
          <w:rFonts w:eastAsia="Times New Roman"/>
          <w:color w:val="000000"/>
          <w:sz w:val="20"/>
          <w:szCs w:val="20"/>
        </w:rPr>
        <w:t>ted maturities of three months or less when acquired.</w:t>
      </w:r>
    </w:p>
    <w:p w:rsidR="00000000" w:rsidRDefault="00E0782F">
      <w:pPr>
        <w:divId w:val="439685739"/>
        <w:rPr>
          <w:rFonts w:eastAsia="Times New Roman"/>
        </w:rPr>
      </w:pPr>
      <w:r>
        <w:rPr>
          <w:rFonts w:eastAsia="Times New Roman"/>
          <w:b/>
          <w:bCs/>
          <w:color w:val="000000"/>
          <w:sz w:val="20"/>
          <w:szCs w:val="20"/>
        </w:rPr>
        <w:t xml:space="preserve">Securities Resale and Repurchase Agreements </w:t>
      </w:r>
    </w:p>
    <w:p w:rsidR="00000000" w:rsidRDefault="00E0782F">
      <w:pPr>
        <w:jc w:val="both"/>
        <w:divId w:val="712272413"/>
        <w:rPr>
          <w:rFonts w:eastAsia="Times New Roman"/>
        </w:rPr>
      </w:pPr>
      <w:r>
        <w:rPr>
          <w:rFonts w:eastAsia="Times New Roman"/>
          <w:color w:val="000000"/>
          <w:sz w:val="20"/>
          <w:szCs w:val="20"/>
        </w:rPr>
        <w:t>Securities purchased under resale agreements and securities loaned or sold under agreements to repurchase, principally U.S. government and agency obligations</w:t>
      </w:r>
      <w:r>
        <w:rPr>
          <w:rFonts w:eastAsia="Times New Roman"/>
          <w:color w:val="000000"/>
          <w:sz w:val="20"/>
          <w:szCs w:val="20"/>
        </w:rPr>
        <w:t>, are not accounted for as sales but as collateralized financing transactions and recorded at the amounts at which the securities were acquired or sold, plus accrued interest. We continually monitor the market value of these securities and deliver addition</w:t>
      </w:r>
      <w:r>
        <w:rPr>
          <w:rFonts w:eastAsia="Times New Roman"/>
          <w:color w:val="000000"/>
          <w:sz w:val="20"/>
          <w:szCs w:val="20"/>
        </w:rPr>
        <w:t>al collateral to or obtain additional collateral from counterparties, as appropriate. See “Note 8—Deposits and Borrowings” for further details.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7548910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7548910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7548910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4" style="width:0;height:1.5pt" o:hralign="center" o:hrstd="t" o:hr="t" fillcolor="#a0a0a0" stroked="f"/>
        </w:pict>
      </w:r>
    </w:p>
    <w:p w:rsidR="00000000" w:rsidRDefault="00E0782F">
      <w:pPr>
        <w:jc w:val="both"/>
        <w:divId w:val="185260410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852604103"/>
        <w:rPr>
          <w:rFonts w:eastAsia="Times New Roman"/>
        </w:rPr>
      </w:pPr>
    </w:p>
    <w:p w:rsidR="00000000" w:rsidRDefault="00E0782F">
      <w:pPr>
        <w:jc w:val="center"/>
        <w:divId w:val="1852604103"/>
        <w:rPr>
          <w:rFonts w:eastAsia="Times New Roman"/>
        </w:rPr>
      </w:pPr>
      <w:r>
        <w:rPr>
          <w:rFonts w:eastAsia="Times New Roman"/>
          <w:b/>
          <w:bCs/>
          <w:color w:val="000000"/>
          <w:sz w:val="20"/>
          <w:szCs w:val="20"/>
        </w:rPr>
        <w:t>CAPITAL ONE FINANCIAL CORPORATION</w:t>
      </w:r>
    </w:p>
    <w:p w:rsidR="00000000" w:rsidRDefault="00E0782F">
      <w:pPr>
        <w:jc w:val="center"/>
        <w:divId w:val="1852604103"/>
        <w:rPr>
          <w:rFonts w:eastAsia="Times New Roman"/>
        </w:rPr>
      </w:pPr>
      <w:r>
        <w:rPr>
          <w:rFonts w:eastAsia="Times New Roman"/>
          <w:b/>
          <w:bCs/>
          <w:color w:val="000000"/>
          <w:sz w:val="20"/>
          <w:szCs w:val="20"/>
        </w:rPr>
        <w:t>NOTES TO CONSOLIDATED FINANCIAL STATEMENTS</w:t>
      </w:r>
    </w:p>
    <w:p w:rsidR="00000000" w:rsidRDefault="00E0782F">
      <w:pPr>
        <w:divId w:val="1046443587"/>
        <w:rPr>
          <w:rFonts w:eastAsia="Times New Roman"/>
        </w:rPr>
      </w:pPr>
      <w:r>
        <w:rPr>
          <w:rFonts w:eastAsia="Times New Roman"/>
          <w:b/>
          <w:bCs/>
          <w:color w:val="000000"/>
          <w:sz w:val="20"/>
          <w:szCs w:val="20"/>
        </w:rPr>
        <w:t>Significant Accounting Policies Impacted by our Adoption of the CECL Standard</w:t>
      </w:r>
    </w:p>
    <w:p w:rsidR="00000000" w:rsidRDefault="00E0782F">
      <w:pPr>
        <w:jc w:val="both"/>
        <w:divId w:val="389689546"/>
        <w:rPr>
          <w:rFonts w:eastAsia="Times New Roman"/>
        </w:rPr>
      </w:pPr>
      <w:r>
        <w:rPr>
          <w:rFonts w:eastAsia="Times New Roman"/>
          <w:color w:val="000000"/>
          <w:sz w:val="20"/>
          <w:szCs w:val="20"/>
        </w:rPr>
        <w:t xml:space="preserve">In the first quarter of 2020, we adopted Accounting Standards Update (“ASU”) No. 2016-13, Financial Instruments—Credit Losses (Topic 326): </w:t>
      </w:r>
      <w:r>
        <w:rPr>
          <w:rFonts w:eastAsia="Times New Roman"/>
          <w:i/>
          <w:iCs/>
          <w:color w:val="000000"/>
          <w:sz w:val="20"/>
          <w:szCs w:val="20"/>
        </w:rPr>
        <w:t>Measurement of Credit Losses on Financi</w:t>
      </w:r>
      <w:r>
        <w:rPr>
          <w:rFonts w:eastAsia="Times New Roman"/>
          <w:i/>
          <w:iCs/>
          <w:color w:val="000000"/>
          <w:sz w:val="20"/>
          <w:szCs w:val="20"/>
        </w:rPr>
        <w:t xml:space="preserve">al Instruments </w:t>
      </w:r>
      <w:r>
        <w:rPr>
          <w:rFonts w:eastAsia="Times New Roman"/>
          <w:color w:val="000000"/>
          <w:sz w:val="20"/>
          <w:szCs w:val="20"/>
        </w:rPr>
        <w:t>(“CECL standard”) and updated the significant accounting policies described under the "Investment Securities" and "Loans" sections below.</w:t>
      </w:r>
    </w:p>
    <w:p w:rsidR="00000000" w:rsidRDefault="00E0782F">
      <w:pPr>
        <w:divId w:val="1477644199"/>
        <w:rPr>
          <w:rFonts w:eastAsia="Times New Roman"/>
        </w:rPr>
      </w:pPr>
      <w:r>
        <w:rPr>
          <w:rFonts w:eastAsia="Times New Roman"/>
          <w:b/>
          <w:bCs/>
          <w:color w:val="000000"/>
          <w:sz w:val="20"/>
          <w:szCs w:val="20"/>
        </w:rPr>
        <w:t xml:space="preserve">Investment Securities </w:t>
      </w:r>
    </w:p>
    <w:p w:rsidR="00000000" w:rsidRDefault="00E0782F">
      <w:pPr>
        <w:jc w:val="both"/>
        <w:divId w:val="402220782"/>
        <w:rPr>
          <w:rFonts w:eastAsia="Times New Roman"/>
        </w:rPr>
      </w:pPr>
      <w:r>
        <w:rPr>
          <w:rFonts w:eastAsia="Times New Roman"/>
          <w:color w:val="000000"/>
          <w:sz w:val="20"/>
          <w:szCs w:val="20"/>
        </w:rPr>
        <w:t>Our investment portfolio consists primarily of the following: U.S. Treasury secu</w:t>
      </w:r>
      <w:r>
        <w:rPr>
          <w:rFonts w:eastAsia="Times New Roman"/>
          <w:color w:val="000000"/>
          <w:sz w:val="20"/>
          <w:szCs w:val="20"/>
        </w:rPr>
        <w:t xml:space="preserve">rities; U.S. government-sponsored enterprise or agency (“Agency”) and non-agency residential mortgage-backed securities (“RMBS”); Agency commercial mortgage-backed securities (“CMBS”); and other securities. The accounting and measurement framework for our </w:t>
      </w:r>
      <w:r>
        <w:rPr>
          <w:rFonts w:eastAsia="Times New Roman"/>
          <w:color w:val="000000"/>
          <w:sz w:val="20"/>
          <w:szCs w:val="20"/>
        </w:rPr>
        <w:t>investment securities differs depending on the security classification.</w:t>
      </w:r>
    </w:p>
    <w:p w:rsidR="00000000" w:rsidRDefault="00E0782F">
      <w:pPr>
        <w:jc w:val="both"/>
        <w:divId w:val="1578054996"/>
        <w:rPr>
          <w:rFonts w:eastAsia="Times New Roman"/>
        </w:rPr>
      </w:pPr>
      <w:r>
        <w:rPr>
          <w:rFonts w:eastAsia="Times New Roman"/>
          <w:color w:val="000000"/>
          <w:sz w:val="20"/>
          <w:szCs w:val="20"/>
        </w:rPr>
        <w:t>We classify securities as available for sale or held to maturity based on our investment strategy and management’s assessment of our intent and ability to hold the securities until mat</w:t>
      </w:r>
      <w:r>
        <w:rPr>
          <w:rFonts w:eastAsia="Times New Roman"/>
          <w:color w:val="000000"/>
          <w:sz w:val="20"/>
          <w:szCs w:val="20"/>
        </w:rPr>
        <w:t xml:space="preserve">urity. On December 31, 2019, we transferred our entire portfolio of held to maturity securities to available for sale. We did not have any securities that were classified as held to maturity as of December 31, 2020 and 2019. </w:t>
      </w:r>
    </w:p>
    <w:p w:rsidR="00000000" w:rsidRDefault="00E0782F">
      <w:pPr>
        <w:jc w:val="both"/>
        <w:divId w:val="1712075125"/>
        <w:rPr>
          <w:rFonts w:eastAsia="Times New Roman"/>
        </w:rPr>
      </w:pPr>
      <w:r>
        <w:rPr>
          <w:rFonts w:eastAsia="Times New Roman"/>
          <w:color w:val="000000"/>
          <w:sz w:val="20"/>
          <w:szCs w:val="20"/>
        </w:rPr>
        <w:t>We report securities available</w:t>
      </w:r>
      <w:r>
        <w:rPr>
          <w:rFonts w:eastAsia="Times New Roman"/>
          <w:color w:val="000000"/>
          <w:sz w:val="20"/>
          <w:szCs w:val="20"/>
        </w:rPr>
        <w:t xml:space="preserve"> for sale on our consolidated balance sheets at fair value. The amortized cost of investment securities reflects the amount for which the security was acquired, adjusted for accrued interest, amortization of premiums, discounts, and net deferred fees and c</w:t>
      </w:r>
      <w:r>
        <w:rPr>
          <w:rFonts w:eastAsia="Times New Roman"/>
          <w:color w:val="000000"/>
          <w:sz w:val="20"/>
          <w:szCs w:val="20"/>
        </w:rPr>
        <w:t>osts, any applicable fair value hedge accounting adjustments, collection of cash, and charge-offs. We elect to present accrued interest for securities available for sale within interest receivable on our consolidated balance sheets. Unrealized gains or los</w:t>
      </w:r>
      <w:r>
        <w:rPr>
          <w:rFonts w:eastAsia="Times New Roman"/>
          <w:color w:val="000000"/>
          <w:sz w:val="20"/>
          <w:szCs w:val="20"/>
        </w:rPr>
        <w:t xml:space="preserve">ses are recorded, net of tax, as a component of accumulated other comprehensive income (“AOCI”). Unamortized premiums, discounts and other basis adjustments for available for sale securities are generally recognized in interest income over the contractual </w:t>
      </w:r>
      <w:r>
        <w:rPr>
          <w:rFonts w:eastAsia="Times New Roman"/>
          <w:color w:val="000000"/>
          <w:sz w:val="20"/>
          <w:szCs w:val="20"/>
        </w:rPr>
        <w:t>lives of the securities using the effective interest method. However, premiums on certain callable investment securities are amortized to the earliest call date. We record purchases and sales of investment securities available for sale on a trade date basi</w:t>
      </w:r>
      <w:r>
        <w:rPr>
          <w:rFonts w:eastAsia="Times New Roman"/>
          <w:color w:val="000000"/>
          <w:sz w:val="20"/>
          <w:szCs w:val="20"/>
        </w:rPr>
        <w:t>s. Realized gains or losses from the sale of debt securities are computed using the first-in first-out method of identification, and are included in non-interest income in our consolidated statements of income. We elect to present accrued interest for secu</w:t>
      </w:r>
      <w:r>
        <w:rPr>
          <w:rFonts w:eastAsia="Times New Roman"/>
          <w:color w:val="000000"/>
          <w:sz w:val="20"/>
          <w:szCs w:val="20"/>
        </w:rPr>
        <w:t xml:space="preserve">rities available for sale within interest receivable on our consolidated balance sheets. </w:t>
      </w:r>
    </w:p>
    <w:p w:rsidR="00000000" w:rsidRDefault="00E0782F">
      <w:pPr>
        <w:jc w:val="both"/>
        <w:divId w:val="1953508282"/>
        <w:rPr>
          <w:rFonts w:eastAsia="Times New Roman"/>
        </w:rPr>
      </w:pPr>
      <w:r>
        <w:rPr>
          <w:rFonts w:eastAsia="Times New Roman"/>
          <w:color w:val="000000"/>
          <w:sz w:val="20"/>
          <w:szCs w:val="20"/>
        </w:rPr>
        <w:t>An individual debt security is impaired when the fair value of the security is less than its amortized cost. If we intend to sell an available for sale security in an</w:t>
      </w:r>
      <w:r>
        <w:rPr>
          <w:rFonts w:eastAsia="Times New Roman"/>
          <w:color w:val="000000"/>
          <w:sz w:val="20"/>
          <w:szCs w:val="20"/>
        </w:rPr>
        <w:t xml:space="preserve"> unrealized loss position or it is more likely than not that we will be required to sell the security prior to recovery of its amortized cost basis, any allowance for credit losses is reversed through our provision for credit losses and the difference betw</w:t>
      </w:r>
      <w:r>
        <w:rPr>
          <w:rFonts w:eastAsia="Times New Roman"/>
          <w:color w:val="000000"/>
          <w:sz w:val="20"/>
          <w:szCs w:val="20"/>
        </w:rPr>
        <w:t>een the amortized cost basis of the security and its fair value is recognized in our consolidated statements of income.</w:t>
      </w:r>
    </w:p>
    <w:p w:rsidR="00000000" w:rsidRDefault="00E0782F">
      <w:pPr>
        <w:jc w:val="both"/>
        <w:divId w:val="94861597"/>
        <w:rPr>
          <w:rFonts w:eastAsia="Times New Roman"/>
        </w:rPr>
      </w:pPr>
      <w:r>
        <w:rPr>
          <w:rFonts w:eastAsia="Times New Roman"/>
          <w:color w:val="000000"/>
          <w:sz w:val="20"/>
          <w:szCs w:val="20"/>
        </w:rPr>
        <w:t>For impaired debt securities that we have both the intent and ability to hold, the securities are evaluated to determine if a credit los</w:t>
      </w:r>
      <w:r>
        <w:rPr>
          <w:rFonts w:eastAsia="Times New Roman"/>
          <w:color w:val="000000"/>
          <w:sz w:val="20"/>
          <w:szCs w:val="20"/>
        </w:rPr>
        <w:t>s exists. The allowance for credit losses on our investment securities is recognized through our provision for credit losses and limited by the unrealized losses of a security measured as the difference between the security’s amortized cost and fair value.</w:t>
      </w:r>
      <w:r>
        <w:rPr>
          <w:rFonts w:eastAsia="Times New Roman"/>
          <w:color w:val="000000"/>
          <w:sz w:val="20"/>
          <w:szCs w:val="20"/>
        </w:rPr>
        <w:t xml:space="preserve"> See further discussion below under the “Allowance for Credit Losses - Available for Sale Investment Securities” section of this Note.</w:t>
      </w:r>
    </w:p>
    <w:p w:rsidR="00000000" w:rsidRDefault="00E0782F">
      <w:pPr>
        <w:jc w:val="both"/>
        <w:divId w:val="1988322249"/>
        <w:rPr>
          <w:rFonts w:eastAsia="Times New Roman"/>
        </w:rPr>
      </w:pPr>
      <w:r>
        <w:rPr>
          <w:rFonts w:eastAsia="Times New Roman"/>
          <w:color w:val="000000"/>
          <w:sz w:val="20"/>
          <w:szCs w:val="20"/>
        </w:rPr>
        <w:t>Our investment portfolio also includes certain debt securities that, at the time of purchase, had experienced a more-than</w:t>
      </w:r>
      <w:r>
        <w:rPr>
          <w:rFonts w:eastAsia="Times New Roman"/>
          <w:color w:val="000000"/>
          <w:sz w:val="20"/>
          <w:szCs w:val="20"/>
        </w:rPr>
        <w:t>-insignificant deterioration in credit quality since origination. Such debt securities are accounted for in accordance with accounting guidance for purchased financial assets with credit deterioration and are herein referred to as purchased credit-deterior</w:t>
      </w:r>
      <w:r>
        <w:rPr>
          <w:rFonts w:eastAsia="Times New Roman"/>
          <w:color w:val="000000"/>
          <w:sz w:val="20"/>
          <w:szCs w:val="20"/>
        </w:rPr>
        <w:t>ated (“PCD”) securities.</w:t>
      </w:r>
    </w:p>
    <w:p w:rsidR="00000000" w:rsidRDefault="00E0782F">
      <w:pPr>
        <w:jc w:val="both"/>
        <w:divId w:val="1240870051"/>
        <w:rPr>
          <w:rFonts w:eastAsia="Times New Roman"/>
        </w:rPr>
      </w:pPr>
      <w:r>
        <w:rPr>
          <w:rFonts w:eastAsia="Times New Roman"/>
          <w:color w:val="000000"/>
          <w:sz w:val="20"/>
          <w:szCs w:val="20"/>
        </w:rPr>
        <w:t>PCD securities require the recognition of an allowance for credit losses at the time of acquisition. The allowance for credit losses is not recognized in provision for credit losses. Instead, the purchase price and the initial allo</w:t>
      </w:r>
      <w:r>
        <w:rPr>
          <w:rFonts w:eastAsia="Times New Roman"/>
          <w:color w:val="000000"/>
          <w:sz w:val="20"/>
          <w:szCs w:val="20"/>
        </w:rPr>
        <w:t>wance collectively represent the amortized cost basis of a PCD security. Any non-credit discount or premium at the date of acquisition is amortized into interest income over the remaining life of the security. Subsequent to the date of purchase, we remeasu</w:t>
      </w:r>
      <w:r>
        <w:rPr>
          <w:rFonts w:eastAsia="Times New Roman"/>
          <w:color w:val="000000"/>
          <w:sz w:val="20"/>
          <w:szCs w:val="20"/>
        </w:rPr>
        <w:t>re the allowance for credit losses on the amortized cost basis using the same policies as for other debt securities available for sale and changes are recognized through our provision for credit losses. See further discussion below under the “Allowance for</w:t>
      </w:r>
      <w:r>
        <w:rPr>
          <w:rFonts w:eastAsia="Times New Roman"/>
          <w:color w:val="000000"/>
          <w:sz w:val="20"/>
          <w:szCs w:val="20"/>
        </w:rPr>
        <w:t xml:space="preserve"> Credit Losses - Available for Sale Investment Securities” section of this Note.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1013525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1013525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1013525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129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5" style="width:0;height:1.5pt" o:hralign="center" o:hrstd="t" o:hr="t" fillcolor="#a0a0a0" stroked="f"/>
        </w:pict>
      </w:r>
    </w:p>
    <w:p w:rsidR="00000000" w:rsidRDefault="00E0782F">
      <w:pPr>
        <w:jc w:val="both"/>
        <w:divId w:val="124703847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247038478"/>
        <w:rPr>
          <w:rFonts w:eastAsia="Times New Roman"/>
        </w:rPr>
      </w:pPr>
    </w:p>
    <w:p w:rsidR="00000000" w:rsidRDefault="00E0782F">
      <w:pPr>
        <w:jc w:val="center"/>
        <w:divId w:val="1247038478"/>
        <w:rPr>
          <w:rFonts w:eastAsia="Times New Roman"/>
        </w:rPr>
      </w:pPr>
      <w:r>
        <w:rPr>
          <w:rFonts w:eastAsia="Times New Roman"/>
          <w:b/>
          <w:bCs/>
          <w:color w:val="000000"/>
          <w:sz w:val="20"/>
          <w:szCs w:val="20"/>
        </w:rPr>
        <w:t>CAPITAL ONE FINANCIAL CORPORATION</w:t>
      </w:r>
    </w:p>
    <w:p w:rsidR="00000000" w:rsidRDefault="00E0782F">
      <w:pPr>
        <w:jc w:val="center"/>
        <w:divId w:val="1247038478"/>
        <w:rPr>
          <w:rFonts w:eastAsia="Times New Roman"/>
        </w:rPr>
      </w:pPr>
      <w:r>
        <w:rPr>
          <w:rFonts w:eastAsia="Times New Roman"/>
          <w:b/>
          <w:bCs/>
          <w:color w:val="000000"/>
          <w:sz w:val="20"/>
          <w:szCs w:val="20"/>
        </w:rPr>
        <w:t>NOTES TO CONSOLIDATED FINANCIAL STATEMENTS</w:t>
      </w:r>
    </w:p>
    <w:p w:rsidR="00000000" w:rsidRDefault="00E0782F">
      <w:pPr>
        <w:jc w:val="both"/>
        <w:divId w:val="1329939245"/>
        <w:rPr>
          <w:rFonts w:eastAsia="Times New Roman"/>
        </w:rPr>
      </w:pPr>
      <w:r>
        <w:rPr>
          <w:rFonts w:eastAsia="Times New Roman"/>
          <w:color w:val="000000"/>
          <w:sz w:val="20"/>
          <w:szCs w:val="20"/>
        </w:rPr>
        <w:t>We charge off any portion of an investment security that we deter</w:t>
      </w:r>
      <w:r>
        <w:rPr>
          <w:rFonts w:eastAsia="Times New Roman"/>
          <w:color w:val="000000"/>
          <w:sz w:val="20"/>
          <w:szCs w:val="20"/>
        </w:rPr>
        <w:t>mine is uncollectible. The amortized cost basis, excluding accrued interest, is charged off through the allowance for credit losses. Accrued interest is charged off as a reduction to interest income. Recoveries of previously charged off principal amounts a</w:t>
      </w:r>
      <w:r>
        <w:rPr>
          <w:rFonts w:eastAsia="Times New Roman"/>
          <w:color w:val="000000"/>
          <w:sz w:val="20"/>
          <w:szCs w:val="20"/>
        </w:rPr>
        <w:t>re recognized in our provision for credit losses when received.</w:t>
      </w:r>
    </w:p>
    <w:p w:rsidR="00000000" w:rsidRDefault="00E0782F">
      <w:pPr>
        <w:divId w:val="687412872"/>
        <w:rPr>
          <w:rFonts w:eastAsia="Times New Roman"/>
        </w:rPr>
      </w:pPr>
      <w:r>
        <w:rPr>
          <w:rFonts w:eastAsia="Times New Roman"/>
          <w:b/>
          <w:bCs/>
          <w:i/>
          <w:iCs/>
          <w:color w:val="000000"/>
          <w:sz w:val="20"/>
          <w:szCs w:val="20"/>
        </w:rPr>
        <w:t>Allowance for Credit Losses - Available for Sale Investment Securities</w:t>
      </w:r>
    </w:p>
    <w:p w:rsidR="00000000" w:rsidRDefault="00E0782F">
      <w:pPr>
        <w:jc w:val="both"/>
        <w:divId w:val="1590650417"/>
        <w:rPr>
          <w:rFonts w:eastAsia="Times New Roman"/>
        </w:rPr>
      </w:pPr>
      <w:r>
        <w:rPr>
          <w:rFonts w:eastAsia="Times New Roman"/>
          <w:color w:val="000000"/>
          <w:sz w:val="20"/>
          <w:szCs w:val="20"/>
        </w:rPr>
        <w:t>We maintain an allowance for credit losses (“allowance”) that represents management’</w:t>
      </w:r>
      <w:r>
        <w:rPr>
          <w:rFonts w:eastAsia="Times New Roman"/>
          <w:color w:val="000000"/>
          <w:sz w:val="20"/>
          <w:szCs w:val="20"/>
        </w:rPr>
        <w:t>s current estimate of expected credit losses over the contractual terms of our investment securities classified as available for sale. When an investment security available for sale is impaired due to credit factors, we recognize a provision for credit los</w:t>
      </w:r>
      <w:r>
        <w:rPr>
          <w:rFonts w:eastAsia="Times New Roman"/>
          <w:color w:val="000000"/>
          <w:sz w:val="20"/>
          <w:szCs w:val="20"/>
        </w:rPr>
        <w:t>ses in our consolidated statements of income and an allowance for credit losses on our consolidated balance sheets. Credit losses recognized in the allowance for credit losses are limited to the amount by which the investment security’s amortized cost basi</w:t>
      </w:r>
      <w:r>
        <w:rPr>
          <w:rFonts w:eastAsia="Times New Roman"/>
          <w:color w:val="000000"/>
          <w:sz w:val="20"/>
          <w:szCs w:val="20"/>
        </w:rPr>
        <w:t>s exceeds its fair value. Investment securities in unrealized gain positions do not have an allowance for credit losses as the investment security could be sold at its fair value to prevent realization of credit losses. We exclude accrued interest from the</w:t>
      </w:r>
      <w:r>
        <w:rPr>
          <w:rFonts w:eastAsia="Times New Roman"/>
          <w:color w:val="000000"/>
          <w:sz w:val="20"/>
          <w:szCs w:val="20"/>
        </w:rPr>
        <w:t xml:space="preserve"> fair value and amortized cost basis of an investment security for purposes of measuring impairment. Charge-offs of uncollectible amounts of investment securities are deducted from the allowance for credit losses.</w:t>
      </w:r>
    </w:p>
    <w:p w:rsidR="00000000" w:rsidRDefault="00E0782F">
      <w:pPr>
        <w:jc w:val="both"/>
        <w:divId w:val="429743818"/>
        <w:rPr>
          <w:rFonts w:eastAsia="Times New Roman"/>
        </w:rPr>
      </w:pPr>
      <w:r>
        <w:rPr>
          <w:rFonts w:eastAsia="Times New Roman"/>
          <w:color w:val="000000"/>
          <w:sz w:val="20"/>
          <w:szCs w:val="20"/>
        </w:rPr>
        <w:t>For certain of our securities available fo</w:t>
      </w:r>
      <w:r>
        <w:rPr>
          <w:rFonts w:eastAsia="Times New Roman"/>
          <w:color w:val="000000"/>
          <w:sz w:val="20"/>
          <w:szCs w:val="20"/>
        </w:rPr>
        <w:t>r sale, we have determined that there is no risk of impairment due to credit factors. These investment securities include high quality debt instruments that are issued and guaranteed by the United States government and its agencies or are issued through ce</w:t>
      </w:r>
      <w:r>
        <w:rPr>
          <w:rFonts w:eastAsia="Times New Roman"/>
          <w:color w:val="000000"/>
          <w:sz w:val="20"/>
          <w:szCs w:val="20"/>
        </w:rPr>
        <w:t>rtain government-sponsored enterprises. Management performs periodic assessments to reevaluate this conclusion by considering any changes in historical losses, current conditions, and reasonable and supportable forecasts.</w:t>
      </w:r>
    </w:p>
    <w:p w:rsidR="00000000" w:rsidRDefault="00E0782F">
      <w:pPr>
        <w:jc w:val="both"/>
        <w:divId w:val="344287413"/>
        <w:rPr>
          <w:rFonts w:eastAsia="Times New Roman"/>
        </w:rPr>
      </w:pPr>
      <w:r>
        <w:rPr>
          <w:rFonts w:eastAsia="Times New Roman"/>
          <w:color w:val="000000"/>
          <w:sz w:val="20"/>
          <w:szCs w:val="20"/>
        </w:rPr>
        <w:t>We evaluate impairment on a quarte</w:t>
      </w:r>
      <w:r>
        <w:rPr>
          <w:rFonts w:eastAsia="Times New Roman"/>
          <w:color w:val="000000"/>
          <w:sz w:val="20"/>
          <w:szCs w:val="20"/>
        </w:rPr>
        <w:t>rly basis at the individual security level and determine whether any portion of the decline in fair value is due to a credit loss. We make this determination through the use of quantitative and qualitative analyses. Our qualitative analysis includes factor</w:t>
      </w:r>
      <w:r>
        <w:rPr>
          <w:rFonts w:eastAsia="Times New Roman"/>
          <w:color w:val="000000"/>
          <w:sz w:val="20"/>
          <w:szCs w:val="20"/>
        </w:rPr>
        <w:t>s such as the extent to which fair value is less than amortized cost, any changes in the security’s credit rating, past defaults or delayed payments, and adverse conditions impacting the security or issuer. A credit loss exists to the extent that managemen</w:t>
      </w:r>
      <w:r>
        <w:rPr>
          <w:rFonts w:eastAsia="Times New Roman"/>
          <w:color w:val="000000"/>
          <w:sz w:val="20"/>
          <w:szCs w:val="20"/>
        </w:rPr>
        <w:t>t does not expect to recover the amortized cost basis.</w:t>
      </w:r>
    </w:p>
    <w:p w:rsidR="00000000" w:rsidRDefault="00E0782F">
      <w:pPr>
        <w:jc w:val="both"/>
        <w:divId w:val="2077850706"/>
        <w:rPr>
          <w:rFonts w:eastAsia="Times New Roman"/>
        </w:rPr>
      </w:pPr>
      <w:r>
        <w:rPr>
          <w:rFonts w:eastAsia="Times New Roman"/>
          <w:color w:val="000000"/>
          <w:sz w:val="20"/>
          <w:szCs w:val="20"/>
        </w:rPr>
        <w:t xml:space="preserve">For investment securities which require further assessment, we perform a quantitative analysis using a discounted cash flow methodology and compare the present value of expected future cash flows from </w:t>
      </w:r>
      <w:r>
        <w:rPr>
          <w:rFonts w:eastAsia="Times New Roman"/>
          <w:color w:val="000000"/>
          <w:sz w:val="20"/>
          <w:szCs w:val="20"/>
        </w:rPr>
        <w:t>the security available for sale to the security’s amortized cost basis. Projected future cash flows reflect management’s best estimate and are based on our understanding of past events, current conditions, reasonable and supportable forecasts, and are disc</w:t>
      </w:r>
      <w:r>
        <w:rPr>
          <w:rFonts w:eastAsia="Times New Roman"/>
          <w:color w:val="000000"/>
          <w:sz w:val="20"/>
          <w:szCs w:val="20"/>
        </w:rPr>
        <w:t xml:space="preserve">ounted by the security’s effective interest rate adjusted for prepayments. The allowance for credit losses for investment securities reflects the difference by which the amortized cost basis exceeds the present value of future cash flows and is limited to </w:t>
      </w:r>
      <w:r>
        <w:rPr>
          <w:rFonts w:eastAsia="Times New Roman"/>
          <w:color w:val="000000"/>
          <w:sz w:val="20"/>
          <w:szCs w:val="20"/>
        </w:rPr>
        <w:t>the amount by which the security’s amortized cost exceeds its fair value. See “Note 2—Investment Securities” for additional information.</w:t>
      </w:r>
    </w:p>
    <w:p w:rsidR="00000000" w:rsidRDefault="00E0782F">
      <w:pPr>
        <w:divId w:val="190462207"/>
        <w:rPr>
          <w:rFonts w:eastAsia="Times New Roman"/>
        </w:rPr>
      </w:pPr>
      <w:r>
        <w:rPr>
          <w:rFonts w:eastAsia="Times New Roman"/>
          <w:b/>
          <w:bCs/>
          <w:color w:val="000000"/>
          <w:sz w:val="20"/>
          <w:szCs w:val="20"/>
        </w:rPr>
        <w:t>Loans</w:t>
      </w:r>
    </w:p>
    <w:p w:rsidR="00000000" w:rsidRDefault="00E0782F">
      <w:pPr>
        <w:jc w:val="both"/>
        <w:divId w:val="372534296"/>
        <w:rPr>
          <w:rFonts w:eastAsia="Times New Roman"/>
        </w:rPr>
      </w:pPr>
      <w:r>
        <w:rPr>
          <w:rFonts w:eastAsia="Times New Roman"/>
          <w:color w:val="000000"/>
          <w:sz w:val="20"/>
          <w:szCs w:val="20"/>
        </w:rPr>
        <w:t>Our loan portfolio consists of loans held for investment, including loans underlying our consolidated securitizat</w:t>
      </w:r>
      <w:r>
        <w:rPr>
          <w:rFonts w:eastAsia="Times New Roman"/>
          <w:color w:val="000000"/>
          <w:sz w:val="20"/>
          <w:szCs w:val="20"/>
        </w:rPr>
        <w:t xml:space="preserve">ion trusts, and loans held for sale and is divided into three portfolio segments: credit card, consumer banking and commercial banking loans. Credit card loans consist of domestic and international credit card loans. Consumer banking loans consist of auto </w:t>
      </w:r>
      <w:r>
        <w:rPr>
          <w:rFonts w:eastAsia="Times New Roman"/>
          <w:color w:val="000000"/>
          <w:sz w:val="20"/>
          <w:szCs w:val="20"/>
        </w:rPr>
        <w:t>and retail banking loans. Commercial banking loans consist of commercial and multifamily real estate loans as well as commercial and industrial 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3273820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3273820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3273820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6" style="width:0;height:1.5pt" o:hralign="center" o:hrstd="t" o:hr="t" fillcolor="#a0a0a0" stroked="f"/>
        </w:pict>
      </w:r>
    </w:p>
    <w:p w:rsidR="00000000" w:rsidRDefault="00E0782F">
      <w:pPr>
        <w:jc w:val="both"/>
        <w:divId w:val="110692035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106920356"/>
        <w:rPr>
          <w:rFonts w:eastAsia="Times New Roman"/>
        </w:rPr>
      </w:pPr>
    </w:p>
    <w:p w:rsidR="00000000" w:rsidRDefault="00E0782F">
      <w:pPr>
        <w:jc w:val="center"/>
        <w:divId w:val="1106920356"/>
        <w:rPr>
          <w:rFonts w:eastAsia="Times New Roman"/>
        </w:rPr>
      </w:pPr>
      <w:r>
        <w:rPr>
          <w:rFonts w:eastAsia="Times New Roman"/>
          <w:b/>
          <w:bCs/>
          <w:color w:val="000000"/>
          <w:sz w:val="20"/>
          <w:szCs w:val="20"/>
        </w:rPr>
        <w:t>CAPITAL ONE FINANCIAL CORPORATION</w:t>
      </w:r>
    </w:p>
    <w:p w:rsidR="00000000" w:rsidRDefault="00E0782F">
      <w:pPr>
        <w:jc w:val="center"/>
        <w:divId w:val="1106920356"/>
        <w:rPr>
          <w:rFonts w:eastAsia="Times New Roman"/>
        </w:rPr>
      </w:pPr>
      <w:r>
        <w:rPr>
          <w:rFonts w:eastAsia="Times New Roman"/>
          <w:b/>
          <w:bCs/>
          <w:color w:val="000000"/>
          <w:sz w:val="20"/>
          <w:szCs w:val="20"/>
        </w:rPr>
        <w:t>NOTES TO CONSOLIDATED FINANCIAL STATEMENTS</w:t>
      </w:r>
    </w:p>
    <w:p w:rsidR="00000000" w:rsidRDefault="00E0782F">
      <w:pPr>
        <w:divId w:val="2128159071"/>
        <w:rPr>
          <w:rFonts w:eastAsia="Times New Roman"/>
        </w:rPr>
      </w:pPr>
      <w:r>
        <w:rPr>
          <w:rFonts w:eastAsia="Times New Roman"/>
          <w:b/>
          <w:bCs/>
          <w:i/>
          <w:iCs/>
          <w:color w:val="000000"/>
          <w:sz w:val="20"/>
          <w:szCs w:val="20"/>
        </w:rPr>
        <w:t xml:space="preserve">Loan Classification </w:t>
      </w:r>
    </w:p>
    <w:p w:rsidR="00000000" w:rsidRDefault="00E0782F">
      <w:pPr>
        <w:jc w:val="both"/>
        <w:divId w:val="1186627029"/>
        <w:rPr>
          <w:rFonts w:eastAsia="Times New Roman"/>
        </w:rPr>
      </w:pPr>
      <w:r>
        <w:rPr>
          <w:rFonts w:eastAsia="Times New Roman"/>
          <w:color w:val="000000"/>
          <w:sz w:val="20"/>
          <w:szCs w:val="20"/>
        </w:rPr>
        <w:t>We classify loans as held for investment or held for sale based on our investment strategy and management’s intent and ability with regard to the loans, which may change over time. The account</w:t>
      </w:r>
      <w:r>
        <w:rPr>
          <w:rFonts w:eastAsia="Times New Roman"/>
          <w:color w:val="000000"/>
          <w:sz w:val="20"/>
          <w:szCs w:val="20"/>
        </w:rPr>
        <w:t>ing and measurement framework for loans differs depending on the loan classification, whether we elect the fair value option, whether the loans are originated or purchased and whether purchased loans are considered to have experienced a more-than-insignifi</w:t>
      </w:r>
      <w:r>
        <w:rPr>
          <w:rFonts w:eastAsia="Times New Roman"/>
          <w:color w:val="000000"/>
          <w:sz w:val="20"/>
          <w:szCs w:val="20"/>
        </w:rPr>
        <w:t>cant deterioration in credit quality since origination. The presentation within the consolidated statements of cash flows is based on management’s intent at acquisition or origination. Cash flows related to loans that are acquired or originated with the in</w:t>
      </w:r>
      <w:r>
        <w:rPr>
          <w:rFonts w:eastAsia="Times New Roman"/>
          <w:color w:val="000000"/>
          <w:sz w:val="20"/>
          <w:szCs w:val="20"/>
        </w:rPr>
        <w:t>tent to hold for investment are included in cash flows from investing activities on our consolidated statements of cash flows. Cash flows related to loans that are acquired or originated with the intent to sell are included in cash flows from operating act</w:t>
      </w:r>
      <w:r>
        <w:rPr>
          <w:rFonts w:eastAsia="Times New Roman"/>
          <w:color w:val="000000"/>
          <w:sz w:val="20"/>
          <w:szCs w:val="20"/>
        </w:rPr>
        <w:t>ivities on our consolidated statements of cash flows.</w:t>
      </w:r>
    </w:p>
    <w:p w:rsidR="00000000" w:rsidRDefault="00E0782F">
      <w:pPr>
        <w:jc w:val="both"/>
        <w:divId w:val="1955601003"/>
        <w:rPr>
          <w:rFonts w:eastAsia="Times New Roman"/>
        </w:rPr>
      </w:pPr>
      <w:r>
        <w:rPr>
          <w:rFonts w:eastAsia="Times New Roman"/>
          <w:i/>
          <w:iCs/>
          <w:color w:val="000000"/>
          <w:sz w:val="20"/>
          <w:szCs w:val="20"/>
        </w:rPr>
        <w:t>Loans Held for Investment</w:t>
      </w:r>
    </w:p>
    <w:p w:rsidR="00000000" w:rsidRDefault="00E0782F">
      <w:pPr>
        <w:jc w:val="both"/>
        <w:divId w:val="2005891256"/>
        <w:rPr>
          <w:rFonts w:eastAsia="Times New Roman"/>
        </w:rPr>
      </w:pPr>
      <w:r>
        <w:rPr>
          <w:rFonts w:eastAsia="Times New Roman"/>
          <w:color w:val="000000"/>
          <w:sz w:val="20"/>
          <w:szCs w:val="20"/>
        </w:rPr>
        <w:t>Loans that we have the ability and intent to hold for the foreseeable future and loans associated with consolidated securitization transactions are classified as held for inves</w:t>
      </w:r>
      <w:r>
        <w:rPr>
          <w:rFonts w:eastAsia="Times New Roman"/>
          <w:color w:val="000000"/>
          <w:sz w:val="20"/>
          <w:szCs w:val="20"/>
        </w:rPr>
        <w:t>tment. Loans classified as held for investment, except for credit card loans, are reported at their amortized cost basis, excluding accrued interest. For these loans, we elect to present accrued interest within interest receivable on our consolidated balan</w:t>
      </w:r>
      <w:r>
        <w:rPr>
          <w:rFonts w:eastAsia="Times New Roman"/>
          <w:color w:val="000000"/>
          <w:sz w:val="20"/>
          <w:szCs w:val="20"/>
        </w:rPr>
        <w:t>ce sheets. For credit card loans, billed finance charges and fees are included in loans held for investment. Unbilled finance charges and fees on credit card loans are included in interest receivable.</w:t>
      </w:r>
    </w:p>
    <w:p w:rsidR="00000000" w:rsidRDefault="00E0782F">
      <w:pPr>
        <w:jc w:val="both"/>
        <w:divId w:val="1270813690"/>
        <w:rPr>
          <w:rFonts w:eastAsia="Times New Roman"/>
        </w:rPr>
      </w:pPr>
      <w:r>
        <w:rPr>
          <w:rFonts w:eastAsia="Times New Roman"/>
          <w:color w:val="000000"/>
          <w:sz w:val="20"/>
          <w:szCs w:val="20"/>
        </w:rPr>
        <w:t>Interest income is recognized on performing loans on an</w:t>
      </w:r>
      <w:r>
        <w:rPr>
          <w:rFonts w:eastAsia="Times New Roman"/>
          <w:color w:val="000000"/>
          <w:sz w:val="20"/>
          <w:szCs w:val="20"/>
        </w:rPr>
        <w:t xml:space="preserve"> accrual basis. We defer loan origination fees and direct loan origination costs on originated loans, premiums and discounts on purchased loans and loan commitment fees. We recognize these amounts in interest income as yield adjustments over the life of th</w:t>
      </w:r>
      <w:r>
        <w:rPr>
          <w:rFonts w:eastAsia="Times New Roman"/>
          <w:color w:val="000000"/>
          <w:sz w:val="20"/>
          <w:szCs w:val="20"/>
        </w:rPr>
        <w:t>e loan and/or commitment period using the effective interest method. For credit card loans, loan origination fees and direct loan origination costs are amortized on a straight-line basis over a 12-month period. The amortized cost of loans held for investme</w:t>
      </w:r>
      <w:r>
        <w:rPr>
          <w:rFonts w:eastAsia="Times New Roman"/>
          <w:color w:val="000000"/>
          <w:sz w:val="20"/>
          <w:szCs w:val="20"/>
        </w:rPr>
        <w:t>nt is subject to our allowance for credit losses methodology described below under the “Allowance for Credit Losses - Loans Held for Investment” section of this Note.</w:t>
      </w:r>
    </w:p>
    <w:p w:rsidR="00000000" w:rsidRDefault="00E0782F">
      <w:pPr>
        <w:jc w:val="both"/>
        <w:divId w:val="1627660895"/>
        <w:rPr>
          <w:rFonts w:eastAsia="Times New Roman"/>
        </w:rPr>
      </w:pPr>
      <w:r>
        <w:rPr>
          <w:rFonts w:eastAsia="Times New Roman"/>
          <w:i/>
          <w:iCs/>
          <w:color w:val="000000"/>
          <w:sz w:val="20"/>
          <w:szCs w:val="20"/>
        </w:rPr>
        <w:t>Loans Held for Sale</w:t>
      </w:r>
    </w:p>
    <w:p w:rsidR="00000000" w:rsidRDefault="00E0782F">
      <w:pPr>
        <w:jc w:val="both"/>
        <w:divId w:val="633754245"/>
        <w:rPr>
          <w:rFonts w:eastAsia="Times New Roman"/>
        </w:rPr>
      </w:pPr>
      <w:r>
        <w:rPr>
          <w:rFonts w:eastAsia="Times New Roman"/>
          <w:color w:val="000000"/>
          <w:sz w:val="20"/>
          <w:szCs w:val="20"/>
        </w:rPr>
        <w:t xml:space="preserve">Loans that we intend to sell or for which we do not have the ability </w:t>
      </w:r>
      <w:r>
        <w:rPr>
          <w:rFonts w:eastAsia="Times New Roman"/>
          <w:color w:val="000000"/>
          <w:sz w:val="20"/>
          <w:szCs w:val="20"/>
        </w:rPr>
        <w:t xml:space="preserve">and intent to hold for the foreseeable future are classified as held for sale. Multifamily commercial real estate loans originated with the intent to sell to government-sponsored enterprises are accounted for under the fair value option. We elect the fair </w:t>
      </w:r>
      <w:r>
        <w:rPr>
          <w:rFonts w:eastAsia="Times New Roman"/>
          <w:color w:val="000000"/>
          <w:sz w:val="20"/>
          <w:szCs w:val="20"/>
        </w:rPr>
        <w:t>value option on these loans as part of our management of interest rate risk along with the corresponding forward sale commitments. Loan origination fees and direct loan origination costs are recognized as incurred and are reported in other non-interest inc</w:t>
      </w:r>
      <w:r>
        <w:rPr>
          <w:rFonts w:eastAsia="Times New Roman"/>
          <w:color w:val="000000"/>
          <w:sz w:val="20"/>
          <w:szCs w:val="20"/>
        </w:rPr>
        <w:t>ome in the consolidated statements of income. Interest income is calculated based on the loan's stated rate of interest and is reported in interest income in the consolidated statements of income. Fair value adjustments are recorded in other non-interest i</w:t>
      </w:r>
      <w:r>
        <w:rPr>
          <w:rFonts w:eastAsia="Times New Roman"/>
          <w:color w:val="000000"/>
          <w:sz w:val="20"/>
          <w:szCs w:val="20"/>
        </w:rPr>
        <w:t>ncome in the consolidated statements of income.</w:t>
      </w:r>
    </w:p>
    <w:p w:rsidR="00000000" w:rsidRDefault="00E0782F">
      <w:pPr>
        <w:jc w:val="both"/>
        <w:divId w:val="1300647345"/>
        <w:rPr>
          <w:rFonts w:eastAsia="Times New Roman"/>
        </w:rPr>
      </w:pPr>
      <w:r>
        <w:rPr>
          <w:rFonts w:eastAsia="Times New Roman"/>
          <w:color w:val="000000"/>
          <w:sz w:val="20"/>
          <w:szCs w:val="20"/>
        </w:rPr>
        <w:t xml:space="preserve">All other loans classified as held for sale are recorded at the lower of cost or fair value. Loan origination fees, direct loan origination costs and any discounts and premiums are deferred until the loan is </w:t>
      </w:r>
      <w:r>
        <w:rPr>
          <w:rFonts w:eastAsia="Times New Roman"/>
          <w:color w:val="000000"/>
          <w:sz w:val="20"/>
          <w:szCs w:val="20"/>
        </w:rPr>
        <w:t>sold and are then recognized as part of the total gain or loss on sale. The fair value of loans held for sale is determined on an aggregate portfolio basis for each loan type. Fair value adjustments are recorded in other non-interest income in the consolid</w:t>
      </w:r>
      <w:r>
        <w:rPr>
          <w:rFonts w:eastAsia="Times New Roman"/>
          <w:color w:val="000000"/>
          <w:sz w:val="20"/>
          <w:szCs w:val="20"/>
        </w:rPr>
        <w:t>ated statements of income.</w:t>
      </w:r>
    </w:p>
    <w:p w:rsidR="00000000" w:rsidRDefault="00E0782F">
      <w:pPr>
        <w:jc w:val="both"/>
        <w:divId w:val="547575493"/>
        <w:rPr>
          <w:rFonts w:eastAsia="Times New Roman"/>
        </w:rPr>
      </w:pPr>
      <w:r>
        <w:rPr>
          <w:rFonts w:eastAsia="Times New Roman"/>
          <w:color w:val="000000"/>
          <w:sz w:val="20"/>
          <w:szCs w:val="20"/>
        </w:rPr>
        <w:t>If a loan is transferred from held for investment to held for sale, then on the transfer date, any decline in fair value related to credit is recorded as a charge-off and any allowance for credit losses is reversed through our pr</w:t>
      </w:r>
      <w:r>
        <w:rPr>
          <w:rFonts w:eastAsia="Times New Roman"/>
          <w:color w:val="000000"/>
          <w:sz w:val="20"/>
          <w:szCs w:val="20"/>
        </w:rPr>
        <w:t>ovision for credit losses. The loan is then reclassified to held for sale at its amortized cost at the date of the transfer. A valuation allowance is established, if needed, such that the loan held for sale is recorded at the lower of cost or fair value. S</w:t>
      </w:r>
      <w:r>
        <w:rPr>
          <w:rFonts w:eastAsia="Times New Roman"/>
          <w:color w:val="000000"/>
          <w:sz w:val="20"/>
          <w:szCs w:val="20"/>
        </w:rPr>
        <w:t>ubsequent to transfer, we report write-downs or recoveries in fair value up to the carrying value at the date of transfer and realized gains or losses on loans held for sale in our consolidated statements of income as a component of other non-interest inco</w:t>
      </w:r>
      <w:r>
        <w:rPr>
          <w:rFonts w:eastAsia="Times New Roman"/>
          <w:color w:val="000000"/>
          <w:sz w:val="20"/>
          <w:szCs w:val="20"/>
        </w:rPr>
        <w:t>me. We calculate the gain or loss on loan sales as the difference between the proceeds received and the carrying value of the loans sold, net of the fair value of any residual interests retained.</w:t>
      </w:r>
    </w:p>
    <w:p w:rsidR="00000000" w:rsidRDefault="00E0782F">
      <w:pPr>
        <w:jc w:val="both"/>
        <w:divId w:val="1760560969"/>
        <w:rPr>
          <w:rFonts w:eastAsia="Times New Roman"/>
        </w:rPr>
      </w:pPr>
      <w:r>
        <w:rPr>
          <w:rFonts w:eastAsia="Times New Roman"/>
          <w:b/>
          <w:bCs/>
          <w:i/>
          <w:iCs/>
          <w:color w:val="000000"/>
          <w:sz w:val="20"/>
          <w:szCs w:val="20"/>
        </w:rPr>
        <w:t>Loans Acquired</w:t>
      </w:r>
    </w:p>
    <w:p w:rsidR="00000000" w:rsidRDefault="00E0782F">
      <w:pPr>
        <w:jc w:val="both"/>
        <w:divId w:val="1967200832"/>
        <w:rPr>
          <w:rFonts w:eastAsia="Times New Roman"/>
        </w:rPr>
      </w:pPr>
      <w:r>
        <w:rPr>
          <w:rFonts w:eastAsia="Times New Roman"/>
          <w:color w:val="000000"/>
          <w:sz w:val="20"/>
          <w:szCs w:val="20"/>
        </w:rPr>
        <w:t>All purchased loans, including loans transferred in a business combination, are initially recorded at fair value, which includes consideration of expected future losses, as of the date of the acquisition. To determine the fair value of loans at acquisition</w:t>
      </w:r>
      <w:r>
        <w:rPr>
          <w:rFonts w:eastAsia="Times New Roman"/>
          <w:color w:val="000000"/>
          <w:sz w:val="20"/>
          <w:szCs w:val="20"/>
        </w:rPr>
        <w:t xml:space="preserve">, we estimate discounted contractual cash flows due using an observable market rate of interest, when available, adjusted for factors that a market participant would consider in determining fair value. In determining fair value, contractual cash flows are </w:t>
      </w:r>
      <w:r>
        <w:rPr>
          <w:rFonts w:eastAsia="Times New Roman"/>
          <w:color w:val="000000"/>
          <w:sz w:val="20"/>
          <w:szCs w:val="20"/>
        </w:rPr>
        <w:t xml:space="preserve">adjusted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3505192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3505192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3505192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7" style="width:0;height:1.5pt" o:hralign="center" o:hrstd="t" o:hr="t" fillcolor="#a0a0a0" stroked="f"/>
        </w:pict>
      </w:r>
    </w:p>
    <w:p w:rsidR="00000000" w:rsidRDefault="00E0782F">
      <w:pPr>
        <w:jc w:val="both"/>
        <w:divId w:val="14208897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2088974"/>
        <w:rPr>
          <w:rFonts w:eastAsia="Times New Roman"/>
        </w:rPr>
      </w:pPr>
    </w:p>
    <w:p w:rsidR="00000000" w:rsidRDefault="00E0782F">
      <w:pPr>
        <w:jc w:val="center"/>
        <w:divId w:val="142088974"/>
        <w:rPr>
          <w:rFonts w:eastAsia="Times New Roman"/>
        </w:rPr>
      </w:pPr>
      <w:r>
        <w:rPr>
          <w:rFonts w:eastAsia="Times New Roman"/>
          <w:b/>
          <w:bCs/>
          <w:color w:val="000000"/>
          <w:sz w:val="20"/>
          <w:szCs w:val="20"/>
        </w:rPr>
        <w:t>CAPITAL ONE FINANCIAL CORPORATION</w:t>
      </w:r>
    </w:p>
    <w:p w:rsidR="00000000" w:rsidRDefault="00E0782F">
      <w:pPr>
        <w:jc w:val="center"/>
        <w:divId w:val="142088974"/>
        <w:rPr>
          <w:rFonts w:eastAsia="Times New Roman"/>
        </w:rPr>
      </w:pPr>
      <w:r>
        <w:rPr>
          <w:rFonts w:eastAsia="Times New Roman"/>
          <w:b/>
          <w:bCs/>
          <w:color w:val="000000"/>
          <w:sz w:val="20"/>
          <w:szCs w:val="20"/>
        </w:rPr>
        <w:t>NOTES TO CONSOLIDATED FINANCIAL STATEMENTS</w:t>
      </w:r>
    </w:p>
    <w:p w:rsidR="00000000" w:rsidRDefault="00E0782F">
      <w:pPr>
        <w:jc w:val="both"/>
        <w:divId w:val="2136215020"/>
        <w:rPr>
          <w:rFonts w:eastAsia="Times New Roman"/>
        </w:rPr>
      </w:pPr>
      <w:r>
        <w:rPr>
          <w:rFonts w:eastAsia="Times New Roman"/>
          <w:color w:val="000000"/>
          <w:sz w:val="20"/>
          <w:szCs w:val="20"/>
        </w:rPr>
        <w:t>to include prepayment estimates based upon historical payment trends, forecasted default rates and loss severities and other relevant factors. The difference between the fair value and the contractual cash flows is recorded as a loan premium or discount, w</w:t>
      </w:r>
      <w:r>
        <w:rPr>
          <w:rFonts w:eastAsia="Times New Roman"/>
          <w:color w:val="000000"/>
          <w:sz w:val="20"/>
          <w:szCs w:val="20"/>
        </w:rPr>
        <w:t>hich may relate to either credit or non-credit factors, at acquisition.</w:t>
      </w:r>
    </w:p>
    <w:p w:rsidR="00000000" w:rsidRDefault="00E0782F">
      <w:pPr>
        <w:jc w:val="both"/>
        <w:divId w:val="756632692"/>
        <w:rPr>
          <w:rFonts w:eastAsia="Times New Roman"/>
        </w:rPr>
      </w:pPr>
      <w:r>
        <w:rPr>
          <w:rFonts w:eastAsia="Times New Roman"/>
          <w:color w:val="000000"/>
          <w:sz w:val="20"/>
          <w:szCs w:val="20"/>
        </w:rPr>
        <w:t>We account for purchased loans under the accounting guidance for purchased financial assets with credit deterioration when, at the time of purchase, the loans have experienced a more-t</w:t>
      </w:r>
      <w:r>
        <w:rPr>
          <w:rFonts w:eastAsia="Times New Roman"/>
          <w:color w:val="000000"/>
          <w:sz w:val="20"/>
          <w:szCs w:val="20"/>
        </w:rPr>
        <w:t>han-insignificant deterioration in credit quality since origination. We also account for loans under this guidance when the loans were previously accounted for under the accounting guidance for purchased credit impaired loans and debt securities (“PCI”) pr</w:t>
      </w:r>
      <w:r>
        <w:rPr>
          <w:rFonts w:eastAsia="Times New Roman"/>
          <w:color w:val="000000"/>
          <w:sz w:val="20"/>
          <w:szCs w:val="20"/>
        </w:rPr>
        <w:t>ior to our adoption of the CECL standard. We refer to these loans which are accounted for under accounting guidance for purchased financial assets with more-than-insignificant deterioration in credit quality since origination as “PCD loans”.</w:t>
      </w:r>
    </w:p>
    <w:p w:rsidR="00000000" w:rsidRDefault="00E0782F">
      <w:pPr>
        <w:jc w:val="both"/>
        <w:divId w:val="530800696"/>
        <w:rPr>
          <w:rFonts w:eastAsia="Times New Roman"/>
        </w:rPr>
      </w:pPr>
      <w:r>
        <w:rPr>
          <w:rFonts w:eastAsia="Times New Roman"/>
          <w:color w:val="000000"/>
          <w:sz w:val="20"/>
          <w:szCs w:val="20"/>
        </w:rPr>
        <w:t>We recognize a</w:t>
      </w:r>
      <w:r>
        <w:rPr>
          <w:rFonts w:eastAsia="Times New Roman"/>
          <w:color w:val="000000"/>
          <w:sz w:val="20"/>
          <w:szCs w:val="20"/>
        </w:rPr>
        <w:t>n allowance for credit losses on purchased loans that have not experienced a more-than-insignificant deterioration in credit quality since origination at the time of purchase through earnings in a manner that is consistent with originated loans. The polici</w:t>
      </w:r>
      <w:r>
        <w:rPr>
          <w:rFonts w:eastAsia="Times New Roman"/>
          <w:color w:val="000000"/>
          <w:sz w:val="20"/>
          <w:szCs w:val="20"/>
        </w:rPr>
        <w:t>es relating to the allowance for credit losses on loans is described below in the “Allowance for Credit Losses - Loans Held for Investment” section of this Note.</w:t>
      </w:r>
    </w:p>
    <w:p w:rsidR="00000000" w:rsidRDefault="00E0782F">
      <w:pPr>
        <w:divId w:val="1618368508"/>
        <w:rPr>
          <w:rFonts w:eastAsia="Times New Roman"/>
        </w:rPr>
      </w:pPr>
      <w:r>
        <w:rPr>
          <w:rFonts w:eastAsia="Times New Roman"/>
          <w:b/>
          <w:bCs/>
          <w:i/>
          <w:iCs/>
          <w:color w:val="000000"/>
          <w:sz w:val="20"/>
          <w:szCs w:val="20"/>
        </w:rPr>
        <w:t xml:space="preserve">Loan Modifications and Restructurings </w:t>
      </w:r>
    </w:p>
    <w:p w:rsidR="00000000" w:rsidRDefault="00E0782F">
      <w:pPr>
        <w:jc w:val="both"/>
        <w:divId w:val="113646249"/>
        <w:rPr>
          <w:rFonts w:eastAsia="Times New Roman"/>
        </w:rPr>
      </w:pPr>
      <w:r>
        <w:rPr>
          <w:rFonts w:eastAsia="Times New Roman"/>
          <w:color w:val="000000"/>
          <w:sz w:val="20"/>
          <w:szCs w:val="20"/>
        </w:rPr>
        <w:t xml:space="preserve">As part of our loss mitigation efforts, we may provide </w:t>
      </w:r>
      <w:r>
        <w:rPr>
          <w:rFonts w:eastAsia="Times New Roman"/>
          <w:color w:val="000000"/>
          <w:sz w:val="20"/>
          <w:szCs w:val="20"/>
        </w:rPr>
        <w:t>modifications to a borrower experiencing financial difficulty to improve long-term collectability of the loan and to avoid the need for foreclosure or repossession of collateral, if any. Our loan modifications typically include short-term payment deferrals</w:t>
      </w:r>
      <w:r>
        <w:rPr>
          <w:rFonts w:eastAsia="Times New Roman"/>
          <w:color w:val="000000"/>
          <w:sz w:val="20"/>
          <w:szCs w:val="20"/>
        </w:rPr>
        <w:t>, an extension of the loan term, a reduction in the interest rate, a reduction in the loan balance, or a combination of these concessions. A loan modification in which a concession is granted to a borrower experiencing financial difficulty is accounted for</w:t>
      </w:r>
      <w:r>
        <w:rPr>
          <w:rFonts w:eastAsia="Times New Roman"/>
          <w:color w:val="000000"/>
          <w:sz w:val="20"/>
          <w:szCs w:val="20"/>
        </w:rPr>
        <w:t xml:space="preserve"> and reported as a troubled debt restructuring (“TDR”). See “Note 3—Loans” for additional information on our loan modifications and restructurings, including those in response to the COVID-19 pandemic. </w:t>
      </w:r>
    </w:p>
    <w:p w:rsidR="00000000" w:rsidRDefault="00E0782F">
      <w:pPr>
        <w:divId w:val="1544291016"/>
        <w:rPr>
          <w:rFonts w:eastAsia="Times New Roman"/>
        </w:rPr>
      </w:pPr>
      <w:r>
        <w:rPr>
          <w:rFonts w:eastAsia="Times New Roman"/>
          <w:b/>
          <w:bCs/>
          <w:i/>
          <w:iCs/>
          <w:color w:val="000000"/>
          <w:sz w:val="20"/>
          <w:szCs w:val="20"/>
        </w:rPr>
        <w:t>Delinquent and Nonperforming Loans</w:t>
      </w:r>
    </w:p>
    <w:p w:rsidR="00000000" w:rsidRDefault="00E0782F">
      <w:pPr>
        <w:jc w:val="both"/>
        <w:divId w:val="951278261"/>
        <w:rPr>
          <w:rFonts w:eastAsia="Times New Roman"/>
        </w:rPr>
      </w:pPr>
      <w:r>
        <w:rPr>
          <w:rFonts w:eastAsia="Times New Roman"/>
          <w:color w:val="000000"/>
          <w:sz w:val="20"/>
          <w:szCs w:val="20"/>
        </w:rPr>
        <w:t>The entire balance</w:t>
      </w:r>
      <w:r>
        <w:rPr>
          <w:rFonts w:eastAsia="Times New Roman"/>
          <w:color w:val="000000"/>
          <w:sz w:val="20"/>
          <w:szCs w:val="20"/>
        </w:rPr>
        <w:t xml:space="preserve"> of a loan is considered contractually delinquent if the minimum required payment is not received by the first statement cycle date equal to or following the due date specified on the customer’s billing statement. Delinquency is reported on loans that are </w:t>
      </w:r>
      <w:r>
        <w:rPr>
          <w:rFonts w:eastAsia="Times New Roman"/>
          <w:color w:val="000000"/>
          <w:sz w:val="20"/>
          <w:szCs w:val="20"/>
        </w:rPr>
        <w:t>30 or more days past due. Interest and fees continue to accrue on past due loans until the date the loan is placed on nonaccrual status, if applicable. For loan modifications, delinquency and nonaccrual status are reported in accordance with the revised te</w:t>
      </w:r>
      <w:r>
        <w:rPr>
          <w:rFonts w:eastAsia="Times New Roman"/>
          <w:color w:val="000000"/>
          <w:sz w:val="20"/>
          <w:szCs w:val="20"/>
        </w:rPr>
        <w:t xml:space="preserve">rms of the loans. We generally place loans on nonaccrual status when we believe the collectability of interest and principal is not reasonably assured. </w:t>
      </w:r>
    </w:p>
    <w:p w:rsidR="00000000" w:rsidRDefault="00E0782F">
      <w:pPr>
        <w:jc w:val="both"/>
        <w:divId w:val="2042657970"/>
        <w:rPr>
          <w:rFonts w:eastAsia="Times New Roman"/>
        </w:rPr>
      </w:pPr>
      <w:r>
        <w:rPr>
          <w:rFonts w:eastAsia="Times New Roman"/>
          <w:color w:val="000000"/>
          <w:sz w:val="20"/>
          <w:szCs w:val="20"/>
        </w:rPr>
        <w:t>Nonperforming loans generally include loans that have been placed on nonaccrual status. We do not repor</w:t>
      </w:r>
      <w:r>
        <w:rPr>
          <w:rFonts w:eastAsia="Times New Roman"/>
          <w:color w:val="000000"/>
          <w:sz w:val="20"/>
          <w:szCs w:val="20"/>
        </w:rPr>
        <w:t>t loans classified as held for sale as nonperforming.</w:t>
      </w:r>
    </w:p>
    <w:p w:rsidR="00000000" w:rsidRDefault="00E0782F">
      <w:pPr>
        <w:jc w:val="both"/>
        <w:divId w:val="1751585680"/>
        <w:rPr>
          <w:rFonts w:eastAsia="Times New Roman"/>
        </w:rPr>
      </w:pPr>
      <w:r>
        <w:rPr>
          <w:rFonts w:eastAsia="Times New Roman"/>
          <w:color w:val="000000"/>
          <w:sz w:val="20"/>
          <w:szCs w:val="20"/>
        </w:rPr>
        <w:t>Our policies for classifying loans as nonperforming, by loan category, are as follows:</w:t>
      </w:r>
    </w:p>
    <w:p w:rsidR="00000000" w:rsidRDefault="00E0782F">
      <w:pPr>
        <w:jc w:val="both"/>
        <w:divId w:val="415975696"/>
        <w:rPr>
          <w:rFonts w:eastAsia="Times New Roman"/>
        </w:rPr>
      </w:pPr>
      <w:r>
        <w:rPr>
          <w:rFonts w:eastAsia="Times New Roman"/>
          <w:color w:val="000000"/>
          <w:sz w:val="20"/>
          <w:szCs w:val="20"/>
        </w:rPr>
        <w:t>•</w:t>
      </w:r>
      <w:r>
        <w:rPr>
          <w:rFonts w:eastAsia="Times New Roman"/>
          <w:i/>
          <w:iCs/>
          <w:color w:val="000000"/>
          <w:sz w:val="20"/>
          <w:szCs w:val="20"/>
        </w:rPr>
        <w:t>Credit card loans:</w:t>
      </w:r>
      <w:r>
        <w:rPr>
          <w:rFonts w:eastAsia="Times New Roman"/>
          <w:color w:val="000000"/>
          <w:sz w:val="20"/>
          <w:szCs w:val="20"/>
        </w:rPr>
        <w:t xml:space="preserve"> As permitted by regulatory guidance issued by the Federal Financial Institutions Examination Co</w:t>
      </w:r>
      <w:r>
        <w:rPr>
          <w:rFonts w:eastAsia="Times New Roman"/>
          <w:color w:val="000000"/>
          <w:sz w:val="20"/>
          <w:szCs w:val="20"/>
        </w:rPr>
        <w:t>uncil (“FFIEC”), our policy is generally to exempt credit card loans from being classified as nonperforming, as these loans are generally charged off in the period the account becomes 180 days past due. Consistent with industry conventions, we generally co</w:t>
      </w:r>
      <w:r>
        <w:rPr>
          <w:rFonts w:eastAsia="Times New Roman"/>
          <w:color w:val="000000"/>
          <w:sz w:val="20"/>
          <w:szCs w:val="20"/>
        </w:rPr>
        <w:t>ntinue to accrue interest and fees on delinquent credit card loans until the loans are charged off.</w:t>
      </w:r>
    </w:p>
    <w:p w:rsidR="00000000" w:rsidRDefault="00E0782F">
      <w:pPr>
        <w:jc w:val="both"/>
        <w:divId w:val="70660373"/>
        <w:rPr>
          <w:rFonts w:eastAsia="Times New Roman"/>
        </w:rPr>
      </w:pPr>
      <w:r>
        <w:rPr>
          <w:rFonts w:eastAsia="Times New Roman"/>
          <w:color w:val="000000"/>
          <w:sz w:val="20"/>
          <w:szCs w:val="20"/>
        </w:rPr>
        <w:t>•</w:t>
      </w:r>
      <w:r>
        <w:rPr>
          <w:rFonts w:eastAsia="Times New Roman"/>
          <w:i/>
          <w:iCs/>
          <w:color w:val="000000"/>
          <w:sz w:val="20"/>
          <w:szCs w:val="20"/>
        </w:rPr>
        <w:t>Consumer banking loans:</w:t>
      </w:r>
      <w:r>
        <w:rPr>
          <w:rFonts w:eastAsia="Times New Roman"/>
          <w:color w:val="000000"/>
          <w:sz w:val="20"/>
          <w:szCs w:val="20"/>
        </w:rPr>
        <w:t xml:space="preserve"> We classify consumer banking loans as nonperforming when we determine that the collectability of all interest and principal on the </w:t>
      </w:r>
      <w:r>
        <w:rPr>
          <w:rFonts w:eastAsia="Times New Roman"/>
          <w:color w:val="000000"/>
          <w:sz w:val="20"/>
          <w:szCs w:val="20"/>
        </w:rPr>
        <w:t>loan is not reasonably assured, generally when the loan becomes 90 days past due.</w:t>
      </w:r>
    </w:p>
    <w:p w:rsidR="00000000" w:rsidRDefault="00E0782F">
      <w:pPr>
        <w:jc w:val="both"/>
        <w:divId w:val="464587856"/>
        <w:rPr>
          <w:rFonts w:eastAsia="Times New Roman"/>
        </w:rPr>
      </w:pPr>
      <w:r>
        <w:rPr>
          <w:rFonts w:eastAsia="Times New Roman"/>
          <w:color w:val="000000"/>
          <w:sz w:val="20"/>
          <w:szCs w:val="20"/>
        </w:rPr>
        <w:t>•</w:t>
      </w:r>
      <w:r>
        <w:rPr>
          <w:rFonts w:eastAsia="Times New Roman"/>
          <w:i/>
          <w:iCs/>
          <w:color w:val="000000"/>
          <w:sz w:val="20"/>
          <w:szCs w:val="20"/>
        </w:rPr>
        <w:t>Commercial banking loans</w:t>
      </w:r>
      <w:r>
        <w:rPr>
          <w:rFonts w:eastAsia="Times New Roman"/>
          <w:color w:val="000000"/>
          <w:sz w:val="20"/>
          <w:szCs w:val="20"/>
        </w:rPr>
        <w:t>: We classify commercial banking loans as nonperforming as of the date we determine that the collectability of all interest and principal on the loan</w:t>
      </w:r>
      <w:r>
        <w:rPr>
          <w:rFonts w:eastAsia="Times New Roman"/>
          <w:color w:val="000000"/>
          <w:sz w:val="20"/>
          <w:szCs w:val="20"/>
        </w:rPr>
        <w:t xml:space="preserve"> is not reasonably assured.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5933450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5933450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5933450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8" style="width:0;height:1.5pt" o:hralign="center" o:hrstd="t" o:hr="t" fillcolor="#a0a0a0" stroked="f"/>
        </w:pict>
      </w:r>
    </w:p>
    <w:p w:rsidR="00000000" w:rsidRDefault="00E0782F">
      <w:pPr>
        <w:jc w:val="both"/>
        <w:divId w:val="50898481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08984811"/>
        <w:rPr>
          <w:rFonts w:eastAsia="Times New Roman"/>
        </w:rPr>
      </w:pPr>
    </w:p>
    <w:p w:rsidR="00000000" w:rsidRDefault="00E0782F">
      <w:pPr>
        <w:jc w:val="center"/>
        <w:divId w:val="508984811"/>
        <w:rPr>
          <w:rFonts w:eastAsia="Times New Roman"/>
        </w:rPr>
      </w:pPr>
      <w:r>
        <w:rPr>
          <w:rFonts w:eastAsia="Times New Roman"/>
          <w:b/>
          <w:bCs/>
          <w:color w:val="000000"/>
          <w:sz w:val="20"/>
          <w:szCs w:val="20"/>
        </w:rPr>
        <w:t>CAPITAL ONE FINANCIAL CORPORATION</w:t>
      </w:r>
    </w:p>
    <w:p w:rsidR="00000000" w:rsidRDefault="00E0782F">
      <w:pPr>
        <w:jc w:val="center"/>
        <w:divId w:val="508984811"/>
        <w:rPr>
          <w:rFonts w:eastAsia="Times New Roman"/>
        </w:rPr>
      </w:pPr>
      <w:r>
        <w:rPr>
          <w:rFonts w:eastAsia="Times New Roman"/>
          <w:b/>
          <w:bCs/>
          <w:color w:val="000000"/>
          <w:sz w:val="20"/>
          <w:szCs w:val="20"/>
        </w:rPr>
        <w:t>NOTES TO CONSOLIDATED FINANCIAL STATEMENTS</w:t>
      </w:r>
    </w:p>
    <w:p w:rsidR="00000000" w:rsidRDefault="00E0782F">
      <w:pPr>
        <w:jc w:val="both"/>
        <w:divId w:val="1216939037"/>
        <w:rPr>
          <w:rFonts w:eastAsia="Times New Roman"/>
        </w:rPr>
      </w:pPr>
      <w:r>
        <w:rPr>
          <w:rFonts w:eastAsia="Times New Roman"/>
          <w:color w:val="000000"/>
          <w:sz w:val="20"/>
          <w:szCs w:val="20"/>
        </w:rPr>
        <w:t>•</w:t>
      </w:r>
      <w:r>
        <w:rPr>
          <w:rFonts w:eastAsia="Times New Roman"/>
          <w:i/>
          <w:iCs/>
          <w:color w:val="000000"/>
          <w:sz w:val="20"/>
          <w:szCs w:val="20"/>
        </w:rPr>
        <w:t>Modified loans and troubled debt restructurings:</w:t>
      </w:r>
      <w:r>
        <w:rPr>
          <w:rFonts w:eastAsia="Times New Roman"/>
          <w:color w:val="000000"/>
          <w:sz w:val="20"/>
          <w:szCs w:val="20"/>
        </w:rPr>
        <w:t xml:space="preserve"> Modified loans, including TDRs, that are current at the time of the restructuring remain in accrual status if there is demonstrated performance prior to the restructuring and continued performance under the </w:t>
      </w:r>
      <w:r>
        <w:rPr>
          <w:rFonts w:eastAsia="Times New Roman"/>
          <w:color w:val="000000"/>
          <w:sz w:val="20"/>
          <w:szCs w:val="20"/>
        </w:rPr>
        <w:t>modified terms is expected. Otherwise, the modified loan is classified as nonperforming.</w:t>
      </w:r>
    </w:p>
    <w:p w:rsidR="00000000" w:rsidRDefault="00E0782F">
      <w:pPr>
        <w:jc w:val="both"/>
        <w:divId w:val="1412578396"/>
        <w:rPr>
          <w:rFonts w:eastAsia="Times New Roman"/>
        </w:rPr>
      </w:pPr>
      <w:r>
        <w:rPr>
          <w:rFonts w:eastAsia="Times New Roman"/>
          <w:color w:val="000000"/>
          <w:sz w:val="20"/>
          <w:szCs w:val="20"/>
        </w:rPr>
        <w:t xml:space="preserve">Interest and fees accrued but not collected at the date a loan is placed on nonaccrual status are reversed against earnings. In addition, the amortization of deferred </w:t>
      </w:r>
      <w:r>
        <w:rPr>
          <w:rFonts w:eastAsia="Times New Roman"/>
          <w:color w:val="000000"/>
          <w:sz w:val="20"/>
          <w:szCs w:val="20"/>
        </w:rPr>
        <w:t>loan fees, costs, premiums and discounts is suspended. Interest and fee income are subsequently recognized only upon the receipt of cash payments. However, if there is doubt regarding the ultimate collectability of loan principal, cash received is generall</w:t>
      </w:r>
      <w:r>
        <w:rPr>
          <w:rFonts w:eastAsia="Times New Roman"/>
          <w:color w:val="000000"/>
          <w:sz w:val="20"/>
          <w:szCs w:val="20"/>
        </w:rPr>
        <w:t>y applied against the principal balance of the loan. Nonaccrual loans are generally returned to accrual status when all principal and interest is current and repayment of the remaining contractual principal and interest is reasonably assured, or when the l</w:t>
      </w:r>
      <w:r>
        <w:rPr>
          <w:rFonts w:eastAsia="Times New Roman"/>
          <w:color w:val="000000"/>
          <w:sz w:val="20"/>
          <w:szCs w:val="20"/>
        </w:rPr>
        <w:t>oan is both well-secured and in the process of collection and collectability is no longer doubtful.</w:t>
      </w:r>
    </w:p>
    <w:p w:rsidR="00000000" w:rsidRDefault="00E0782F">
      <w:pPr>
        <w:divId w:val="927351133"/>
        <w:rPr>
          <w:rFonts w:eastAsia="Times New Roman"/>
        </w:rPr>
      </w:pPr>
      <w:r>
        <w:rPr>
          <w:rFonts w:eastAsia="Times New Roman"/>
          <w:b/>
          <w:bCs/>
          <w:i/>
          <w:iCs/>
          <w:color w:val="000000"/>
          <w:sz w:val="20"/>
          <w:szCs w:val="20"/>
        </w:rPr>
        <w:t>Charge-Offs</w:t>
      </w:r>
    </w:p>
    <w:p w:rsidR="00000000" w:rsidRDefault="00E0782F">
      <w:pPr>
        <w:jc w:val="both"/>
        <w:divId w:val="967978334"/>
        <w:rPr>
          <w:rFonts w:eastAsia="Times New Roman"/>
        </w:rPr>
      </w:pPr>
      <w:r>
        <w:rPr>
          <w:rFonts w:eastAsia="Times New Roman"/>
          <w:color w:val="000000"/>
          <w:sz w:val="20"/>
          <w:szCs w:val="20"/>
        </w:rPr>
        <w:t xml:space="preserve">We charge off loans when we determine that the loan is uncollectible. The amortized cost basis, excluding accrued interest, is charged off as a </w:t>
      </w:r>
      <w:r>
        <w:rPr>
          <w:rFonts w:eastAsia="Times New Roman"/>
          <w:color w:val="000000"/>
          <w:sz w:val="20"/>
          <w:szCs w:val="20"/>
        </w:rPr>
        <w:t>reduction to the allowance for credit losses based on the time frames presented below. Accrued interest on loans other than credit card loans determined to be uncollectible is reversed as a reduction of interest income when the loan is classified as nonper</w:t>
      </w:r>
      <w:r>
        <w:rPr>
          <w:rFonts w:eastAsia="Times New Roman"/>
          <w:color w:val="000000"/>
          <w:sz w:val="20"/>
          <w:szCs w:val="20"/>
        </w:rPr>
        <w:t>forming. For credit card loans, accrued interest is charged off simultaneously with the charge off of other components of amortized cost and as a reduction of interest income. When received, recoveries of previously charged off amounts are recorded as an i</w:t>
      </w:r>
      <w:r>
        <w:rPr>
          <w:rFonts w:eastAsia="Times New Roman"/>
          <w:color w:val="000000"/>
          <w:sz w:val="20"/>
          <w:szCs w:val="20"/>
        </w:rPr>
        <w:t>ncrease to the allowance for credit losses (see the “Allowance for Credit Losses - Loans Held for Investment” section of this Note for information on how we account for expected recoveries). Costs to recover charged off loans are recorded as collection exp</w:t>
      </w:r>
      <w:r>
        <w:rPr>
          <w:rFonts w:eastAsia="Times New Roman"/>
          <w:color w:val="000000"/>
          <w:sz w:val="20"/>
          <w:szCs w:val="20"/>
        </w:rPr>
        <w:t>ense and included in our consolidated statements of income as a component of other non-interest expense as incurred. Our charge-off time frames by loan type are presented below.</w:t>
      </w:r>
    </w:p>
    <w:p w:rsidR="00000000" w:rsidRDefault="00E0782F">
      <w:pPr>
        <w:jc w:val="both"/>
        <w:divId w:val="41368353"/>
        <w:rPr>
          <w:rFonts w:eastAsia="Times New Roman"/>
        </w:rPr>
      </w:pPr>
      <w:r>
        <w:rPr>
          <w:rFonts w:eastAsia="Times New Roman"/>
          <w:color w:val="000000"/>
          <w:sz w:val="20"/>
          <w:szCs w:val="20"/>
        </w:rPr>
        <w:t>•</w:t>
      </w:r>
      <w:r>
        <w:rPr>
          <w:rFonts w:eastAsia="Times New Roman"/>
          <w:i/>
          <w:iCs/>
          <w:color w:val="000000"/>
          <w:sz w:val="20"/>
          <w:szCs w:val="20"/>
        </w:rPr>
        <w:t>Credit card loans</w:t>
      </w:r>
      <w:r>
        <w:rPr>
          <w:rFonts w:eastAsia="Times New Roman"/>
          <w:color w:val="000000"/>
          <w:sz w:val="20"/>
          <w:szCs w:val="20"/>
        </w:rPr>
        <w:t>: We generally charge off credit card loans in the period th</w:t>
      </w:r>
      <w:r>
        <w:rPr>
          <w:rFonts w:eastAsia="Times New Roman"/>
          <w:color w:val="000000"/>
          <w:sz w:val="20"/>
          <w:szCs w:val="20"/>
        </w:rPr>
        <w:t>e account becomes 180 days past due. We charge off delinquent credit card loans for which revolving privileges have been revoked as part of loan workout when the account becomes 120 days past due. Credit card loans in bankruptcy are generally charged off b</w:t>
      </w:r>
      <w:r>
        <w:rPr>
          <w:rFonts w:eastAsia="Times New Roman"/>
          <w:color w:val="000000"/>
          <w:sz w:val="20"/>
          <w:szCs w:val="20"/>
        </w:rPr>
        <w:t>y the end of the month following 30 days after the receipt of a complete bankruptcy notification from the bankruptcy court. Credit card loans of deceased account holders are generally charged off 5 days after receipt of notification.</w:t>
      </w:r>
    </w:p>
    <w:p w:rsidR="00000000" w:rsidRDefault="00E0782F">
      <w:pPr>
        <w:jc w:val="both"/>
        <w:divId w:val="1888297583"/>
        <w:rPr>
          <w:rFonts w:eastAsia="Times New Roman"/>
        </w:rPr>
      </w:pPr>
      <w:r>
        <w:rPr>
          <w:rFonts w:eastAsia="Times New Roman"/>
          <w:color w:val="000000"/>
          <w:sz w:val="20"/>
          <w:szCs w:val="20"/>
        </w:rPr>
        <w:t>•</w:t>
      </w:r>
      <w:r>
        <w:rPr>
          <w:rFonts w:eastAsia="Times New Roman"/>
          <w:i/>
          <w:iCs/>
          <w:color w:val="000000"/>
          <w:sz w:val="20"/>
          <w:szCs w:val="20"/>
        </w:rPr>
        <w:t>Consumer banking loan</w:t>
      </w:r>
      <w:r>
        <w:rPr>
          <w:rFonts w:eastAsia="Times New Roman"/>
          <w:i/>
          <w:iCs/>
          <w:color w:val="000000"/>
          <w:sz w:val="20"/>
          <w:szCs w:val="20"/>
        </w:rPr>
        <w:t>s:</w:t>
      </w:r>
      <w:r>
        <w:rPr>
          <w:rFonts w:eastAsia="Times New Roman"/>
          <w:color w:val="000000"/>
          <w:sz w:val="20"/>
          <w:szCs w:val="20"/>
        </w:rPr>
        <w:t xml:space="preserve"> We generally charge off consumer banking loans at the earlier of the date when the account is a specified number of days past due or upon repossession of the underlying collateral. Our charge-off period for auto loans is 120 days past due. Small busines</w:t>
      </w:r>
      <w:r>
        <w:rPr>
          <w:rFonts w:eastAsia="Times New Roman"/>
          <w:color w:val="000000"/>
          <w:sz w:val="20"/>
          <w:szCs w:val="20"/>
        </w:rPr>
        <w:t>s banking loans generally charge off at 120 days past due based on the date the amortized cost basis is deemed uncollectible. Auto loans that have not been previously charged off where the borrower has filed for bankruptcy and the loan has not been reaffir</w:t>
      </w:r>
      <w:r>
        <w:rPr>
          <w:rFonts w:eastAsia="Times New Roman"/>
          <w:color w:val="000000"/>
          <w:sz w:val="20"/>
          <w:szCs w:val="20"/>
        </w:rPr>
        <w:t>med charge off in the period that the loan is 60 days from the bankruptcy notification date, regardless of delinquency status. Auto loans that have not been previously charged off and have been discharged under Chapter 7 bankruptcy are charged off at the e</w:t>
      </w:r>
      <w:r>
        <w:rPr>
          <w:rFonts w:eastAsia="Times New Roman"/>
          <w:color w:val="000000"/>
          <w:sz w:val="20"/>
          <w:szCs w:val="20"/>
        </w:rPr>
        <w:t>nd of the month in which the bankruptcy discharge occurs. Remaining consumer loans generally are charged off within 40 days of receipt of notification from the bankruptcy court. Consumer loans of deceased account holders are charged off by the end of the m</w:t>
      </w:r>
      <w:r>
        <w:rPr>
          <w:rFonts w:eastAsia="Times New Roman"/>
          <w:color w:val="000000"/>
          <w:sz w:val="20"/>
          <w:szCs w:val="20"/>
        </w:rPr>
        <w:t>onth following 60 days of receipt of notification.</w:t>
      </w:r>
    </w:p>
    <w:p w:rsidR="00000000" w:rsidRDefault="00E0782F">
      <w:pPr>
        <w:jc w:val="both"/>
        <w:divId w:val="98257683"/>
        <w:rPr>
          <w:rFonts w:eastAsia="Times New Roman"/>
        </w:rPr>
      </w:pPr>
      <w:r>
        <w:rPr>
          <w:rFonts w:eastAsia="Times New Roman"/>
          <w:color w:val="000000"/>
          <w:sz w:val="20"/>
          <w:szCs w:val="20"/>
        </w:rPr>
        <w:t>•</w:t>
      </w:r>
      <w:r>
        <w:rPr>
          <w:rFonts w:eastAsia="Times New Roman"/>
          <w:i/>
          <w:iCs/>
          <w:color w:val="000000"/>
          <w:sz w:val="20"/>
          <w:szCs w:val="20"/>
        </w:rPr>
        <w:t xml:space="preserve">Commercial banking loans: </w:t>
      </w:r>
      <w:r>
        <w:rPr>
          <w:rFonts w:eastAsia="Times New Roman"/>
          <w:color w:val="000000"/>
          <w:sz w:val="20"/>
          <w:szCs w:val="20"/>
        </w:rPr>
        <w:t>We charge off commercial loans in the period we determine that the amortized cost basis is uncollectible.</w:t>
      </w:r>
    </w:p>
    <w:p w:rsidR="00000000" w:rsidRDefault="00E0782F">
      <w:pPr>
        <w:divId w:val="916667389"/>
        <w:rPr>
          <w:rFonts w:eastAsia="Times New Roman"/>
        </w:rPr>
      </w:pPr>
      <w:r>
        <w:rPr>
          <w:rFonts w:eastAsia="Times New Roman"/>
          <w:b/>
          <w:bCs/>
          <w:i/>
          <w:iCs/>
          <w:color w:val="000000"/>
          <w:sz w:val="20"/>
          <w:szCs w:val="20"/>
        </w:rPr>
        <w:t>Allowance for Credit Losses - Loans Held for Investment</w:t>
      </w:r>
    </w:p>
    <w:p w:rsidR="00000000" w:rsidRDefault="00E0782F">
      <w:pPr>
        <w:jc w:val="both"/>
        <w:divId w:val="1798716592"/>
        <w:rPr>
          <w:rFonts w:eastAsia="Times New Roman"/>
        </w:rPr>
      </w:pPr>
      <w:r>
        <w:rPr>
          <w:rFonts w:eastAsia="Times New Roman"/>
          <w:color w:val="000000"/>
          <w:sz w:val="20"/>
          <w:szCs w:val="20"/>
        </w:rPr>
        <w:t>We maintain an a</w:t>
      </w:r>
      <w:r>
        <w:rPr>
          <w:rFonts w:eastAsia="Times New Roman"/>
          <w:color w:val="000000"/>
          <w:sz w:val="20"/>
          <w:szCs w:val="20"/>
        </w:rPr>
        <w:t>llowance for credit losses (“allowance”) that represents management’s current estimate of expected credit losses over the contractual terms of our loans held for investment. We measure the allowance on a quarterly basis through consideration of past events</w:t>
      </w:r>
      <w:r>
        <w:rPr>
          <w:rFonts w:eastAsia="Times New Roman"/>
          <w:color w:val="000000"/>
          <w:sz w:val="20"/>
          <w:szCs w:val="20"/>
        </w:rPr>
        <w:t>, including historical experience, current conditions and reasonable and supportable forecasts.</w:t>
      </w:r>
    </w:p>
    <w:p w:rsidR="00000000" w:rsidRDefault="00E0782F">
      <w:pPr>
        <w:jc w:val="both"/>
        <w:divId w:val="1452751155"/>
        <w:rPr>
          <w:rFonts w:eastAsia="Times New Roman"/>
        </w:rPr>
      </w:pPr>
      <w:r>
        <w:rPr>
          <w:rFonts w:eastAsia="Times New Roman"/>
          <w:color w:val="000000"/>
          <w:sz w:val="20"/>
          <w:szCs w:val="20"/>
        </w:rPr>
        <w:t>We measure current expected credit losses over the contractual terms of our loans. The contractual terms are adjusted for expected prepayments but are not exten</w:t>
      </w:r>
      <w:r>
        <w:rPr>
          <w:rFonts w:eastAsia="Times New Roman"/>
          <w:color w:val="000000"/>
          <w:sz w:val="20"/>
          <w:szCs w:val="20"/>
        </w:rPr>
        <w:t>ded for renewals or extensions, except when an extension or renewal arises from a borrower option that is not unconditionally cancellable or through a TDR that is reasonably expected to occur.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70200825"/>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7020082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7020082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59" style="width:0;height:1.5pt" o:hralign="center" o:hrstd="t" o:hr="t" fillcolor="#a0a0a0" stroked="f"/>
        </w:pict>
      </w:r>
    </w:p>
    <w:p w:rsidR="00000000" w:rsidRDefault="00E0782F">
      <w:pPr>
        <w:jc w:val="both"/>
        <w:divId w:val="19007721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90077210"/>
        <w:rPr>
          <w:rFonts w:eastAsia="Times New Roman"/>
        </w:rPr>
      </w:pPr>
    </w:p>
    <w:p w:rsidR="00000000" w:rsidRDefault="00E0782F">
      <w:pPr>
        <w:jc w:val="center"/>
        <w:divId w:val="190077210"/>
        <w:rPr>
          <w:rFonts w:eastAsia="Times New Roman"/>
        </w:rPr>
      </w:pPr>
      <w:r>
        <w:rPr>
          <w:rFonts w:eastAsia="Times New Roman"/>
          <w:b/>
          <w:bCs/>
          <w:color w:val="000000"/>
          <w:sz w:val="20"/>
          <w:szCs w:val="20"/>
        </w:rPr>
        <w:t>CAPITAL ONE FINANCIAL CORPORATION</w:t>
      </w:r>
    </w:p>
    <w:p w:rsidR="00000000" w:rsidRDefault="00E0782F">
      <w:pPr>
        <w:jc w:val="center"/>
        <w:divId w:val="190077210"/>
        <w:rPr>
          <w:rFonts w:eastAsia="Times New Roman"/>
        </w:rPr>
      </w:pPr>
      <w:r>
        <w:rPr>
          <w:rFonts w:eastAsia="Times New Roman"/>
          <w:b/>
          <w:bCs/>
          <w:color w:val="000000"/>
          <w:sz w:val="20"/>
          <w:szCs w:val="20"/>
        </w:rPr>
        <w:t>NOTES TO CONSOLIDATED FINANCIAL STATEMENTS</w:t>
      </w:r>
    </w:p>
    <w:p w:rsidR="00000000" w:rsidRDefault="00E0782F">
      <w:pPr>
        <w:jc w:val="both"/>
        <w:divId w:val="1788622752"/>
        <w:rPr>
          <w:rFonts w:eastAsia="Times New Roman"/>
        </w:rPr>
      </w:pPr>
      <w:r>
        <w:rPr>
          <w:rFonts w:eastAsia="Times New Roman"/>
          <w:color w:val="000000"/>
          <w:sz w:val="20"/>
          <w:szCs w:val="20"/>
        </w:rPr>
        <w:t>We aggregate loans sharing similar risk characteristics into pool</w:t>
      </w:r>
      <w:r>
        <w:rPr>
          <w:rFonts w:eastAsia="Times New Roman"/>
          <w:color w:val="000000"/>
          <w:sz w:val="20"/>
          <w:szCs w:val="20"/>
        </w:rPr>
        <w:t>s for purposes of measuring expected credit losses. Pools are reassessed periodically to confirm that all loans within each pool continue to share similar risk characteristics. Expected credit losses for loans that do not share similar risk characteristics</w:t>
      </w:r>
      <w:r>
        <w:rPr>
          <w:rFonts w:eastAsia="Times New Roman"/>
          <w:color w:val="000000"/>
          <w:sz w:val="20"/>
          <w:szCs w:val="20"/>
        </w:rPr>
        <w:t xml:space="preserve"> with other financial assets are measured individually.</w:t>
      </w:r>
    </w:p>
    <w:p w:rsidR="00000000" w:rsidRDefault="00E0782F">
      <w:pPr>
        <w:jc w:val="both"/>
        <w:divId w:val="353842838"/>
        <w:rPr>
          <w:rFonts w:eastAsia="Times New Roman"/>
        </w:rPr>
      </w:pPr>
      <w:r>
        <w:rPr>
          <w:rFonts w:eastAsia="Times New Roman"/>
          <w:color w:val="000000"/>
          <w:sz w:val="20"/>
          <w:szCs w:val="20"/>
        </w:rPr>
        <w:t>Expected recoveries of amounts previously charged off or expected to be charged off are recognized within the allowance, with a corresponding reduction to our provision for credit losses. At times exp</w:t>
      </w:r>
      <w:r>
        <w:rPr>
          <w:rFonts w:eastAsia="Times New Roman"/>
          <w:color w:val="000000"/>
          <w:sz w:val="20"/>
          <w:szCs w:val="20"/>
        </w:rPr>
        <w:t>ected recoveries may result in a negative allowance. We limit the allowance to amounts previously charged off and expected to be charged off. Charge-offs of uncollectible amounts result in a reduction to the allowance and recoveries of previously charged o</w:t>
      </w:r>
      <w:r>
        <w:rPr>
          <w:rFonts w:eastAsia="Times New Roman"/>
          <w:color w:val="000000"/>
          <w:sz w:val="20"/>
          <w:szCs w:val="20"/>
        </w:rPr>
        <w:t>ff amounts result in an increase to the allowance.</w:t>
      </w:r>
    </w:p>
    <w:p w:rsidR="00000000" w:rsidRDefault="00E0782F">
      <w:pPr>
        <w:jc w:val="both"/>
        <w:divId w:val="747459293"/>
        <w:rPr>
          <w:rFonts w:eastAsia="Times New Roman"/>
        </w:rPr>
      </w:pPr>
      <w:r>
        <w:rPr>
          <w:rFonts w:eastAsia="Times New Roman"/>
          <w:color w:val="000000"/>
          <w:sz w:val="20"/>
          <w:szCs w:val="20"/>
        </w:rPr>
        <w:t>When developing an estimate of expected credit losses, we use both quantitative and qualitative methods in considering all available information relevant to assessing collectability. This may include inter</w:t>
      </w:r>
      <w:r>
        <w:rPr>
          <w:rFonts w:eastAsia="Times New Roman"/>
          <w:color w:val="000000"/>
          <w:sz w:val="20"/>
          <w:szCs w:val="20"/>
        </w:rPr>
        <w:t>nal information, external information, or a combination of both relating to past events, current conditions, and reasonable and supportable forecasts. Significant judgment is applied to the development and duration of reasonable and supportable forecasts u</w:t>
      </w:r>
      <w:r>
        <w:rPr>
          <w:rFonts w:eastAsia="Times New Roman"/>
          <w:color w:val="000000"/>
          <w:sz w:val="20"/>
          <w:szCs w:val="20"/>
        </w:rPr>
        <w:t>sed in our estimation of lifetime losses. We estimate expected credit losses over the duration of those forecasts and then revert, on a rational and systematic basis, to historical losses at each relevant loss component of the estimate. Expected losses for</w:t>
      </w:r>
      <w:r>
        <w:rPr>
          <w:rFonts w:eastAsia="Times New Roman"/>
          <w:color w:val="000000"/>
          <w:sz w:val="20"/>
          <w:szCs w:val="20"/>
        </w:rPr>
        <w:t xml:space="preserve"> contractual terms extending beyond the reasonable and supportable forecast and reversion periods are based on those historical losses.</w:t>
      </w:r>
    </w:p>
    <w:p w:rsidR="00000000" w:rsidRDefault="00E0782F">
      <w:pPr>
        <w:jc w:val="both"/>
        <w:divId w:val="424807918"/>
        <w:rPr>
          <w:rFonts w:eastAsia="Times New Roman"/>
        </w:rPr>
      </w:pPr>
      <w:r>
        <w:rPr>
          <w:rFonts w:eastAsia="Times New Roman"/>
          <w:color w:val="000000"/>
          <w:sz w:val="20"/>
          <w:szCs w:val="20"/>
        </w:rPr>
        <w:t>Management will consider and may qualitatively adjust for conditions, changes and trends in loan portfolios that may not</w:t>
      </w:r>
      <w:r>
        <w:rPr>
          <w:rFonts w:eastAsia="Times New Roman"/>
          <w:color w:val="000000"/>
          <w:sz w:val="20"/>
          <w:szCs w:val="20"/>
        </w:rPr>
        <w:t xml:space="preserve"> be captured in modeled results. These adjustments are referred to as qualitative factors and represent management’s judgment of the imprecision and risks inherent in the processes and assumptions used in establishing the allowance for credit losses. Manag</w:t>
      </w:r>
      <w:r>
        <w:rPr>
          <w:rFonts w:eastAsia="Times New Roman"/>
          <w:color w:val="000000"/>
          <w:sz w:val="20"/>
          <w:szCs w:val="20"/>
        </w:rPr>
        <w:t>ement’s judgment may involve an assessment of current and forward-looking conditions including but not limited to changes in lending policies and procedures, nature and volume of the portfolio, external factors, and uncertainty as it relates to economic, m</w:t>
      </w:r>
      <w:r>
        <w:rPr>
          <w:rFonts w:eastAsia="Times New Roman"/>
          <w:color w:val="000000"/>
          <w:sz w:val="20"/>
          <w:szCs w:val="20"/>
        </w:rPr>
        <w:t>odel or forecast risks, where not already captured in the modeled results.</w:t>
      </w:r>
    </w:p>
    <w:p w:rsidR="00000000" w:rsidRDefault="00E0782F">
      <w:pPr>
        <w:jc w:val="both"/>
        <w:divId w:val="1596287963"/>
        <w:rPr>
          <w:rFonts w:eastAsia="Times New Roman"/>
        </w:rPr>
      </w:pPr>
      <w:r>
        <w:rPr>
          <w:rFonts w:eastAsia="Times New Roman"/>
          <w:color w:val="000000"/>
          <w:sz w:val="20"/>
          <w:szCs w:val="20"/>
        </w:rPr>
        <w:t>Expected credit losses for collateral-dependent loans are based on the fair value of the underlying collateral. When we intend to liquidate the collateral, the fair value of the col</w:t>
      </w:r>
      <w:r>
        <w:rPr>
          <w:rFonts w:eastAsia="Times New Roman"/>
          <w:color w:val="000000"/>
          <w:sz w:val="20"/>
          <w:szCs w:val="20"/>
        </w:rPr>
        <w:t>lateral is adjusted for expected costs to sell. A loan is deemed to be a collateral-dependent loan when (i) we determine foreclosure or repossession of the underlying collateral is probable, or (ii) foreclosure or repossession is not probable, but the borr</w:t>
      </w:r>
      <w:r>
        <w:rPr>
          <w:rFonts w:eastAsia="Times New Roman"/>
          <w:color w:val="000000"/>
          <w:sz w:val="20"/>
          <w:szCs w:val="20"/>
        </w:rPr>
        <w:t>ower is experiencing financial difficulty and we expect repayment to be provided substantially through the operation or sale of the collateral. The allowance for a collateral-dependent loan reflects the difference between the loan’s amortized cost basis an</w:t>
      </w:r>
      <w:r>
        <w:rPr>
          <w:rFonts w:eastAsia="Times New Roman"/>
          <w:color w:val="000000"/>
          <w:sz w:val="20"/>
          <w:szCs w:val="20"/>
        </w:rPr>
        <w:t>d the fair value (less selling costs, where applicable) of the loan's underlying collateral.</w:t>
      </w:r>
    </w:p>
    <w:p w:rsidR="00000000" w:rsidRDefault="00E0782F">
      <w:pPr>
        <w:jc w:val="both"/>
        <w:divId w:val="1586721202"/>
        <w:rPr>
          <w:rFonts w:eastAsia="Times New Roman"/>
        </w:rPr>
      </w:pPr>
      <w:r>
        <w:rPr>
          <w:rFonts w:eastAsia="Times New Roman"/>
          <w:color w:val="000000"/>
          <w:sz w:val="20"/>
          <w:szCs w:val="20"/>
        </w:rPr>
        <w:t>Our credit card and consumer banking loan portfolios consist of smaller-balance, homogeneous loans. The consumer banking loan portfolio is divided into two primary</w:t>
      </w:r>
      <w:r>
        <w:rPr>
          <w:rFonts w:eastAsia="Times New Roman"/>
          <w:color w:val="000000"/>
          <w:sz w:val="20"/>
          <w:szCs w:val="20"/>
        </w:rPr>
        <w:t xml:space="preserve"> portfolio segments: auto loans and retail banking loans. The credit card and consumer banking loan portfolios are further divided by our business units into groups based on common risk characteristics, such as origination year, contract type, interest rat</w:t>
      </w:r>
      <w:r>
        <w:rPr>
          <w:rFonts w:eastAsia="Times New Roman"/>
          <w:color w:val="000000"/>
          <w:sz w:val="20"/>
          <w:szCs w:val="20"/>
        </w:rPr>
        <w:t>e, borrower credit score and geography. The commercial banking loan portfolio is primarily composed of larger-balance, non-homogeneous loans. These loans are subject to reviews that result in internal risk ratings. In assessing the risk rating of a particu</w:t>
      </w:r>
      <w:r>
        <w:rPr>
          <w:rFonts w:eastAsia="Times New Roman"/>
          <w:color w:val="000000"/>
          <w:sz w:val="20"/>
          <w:szCs w:val="20"/>
        </w:rPr>
        <w:t xml:space="preserve">lar commercial banking loan, among the factors we consider are the financial condition of the borrower, geography, collateral performance, historical loss experience and industry-specific information that management believes is relevant in determining and </w:t>
      </w:r>
      <w:r>
        <w:rPr>
          <w:rFonts w:eastAsia="Times New Roman"/>
          <w:color w:val="000000"/>
          <w:sz w:val="20"/>
          <w:szCs w:val="20"/>
        </w:rPr>
        <w:t>measuring expected credit losses. Subjective assessment and interpretation are involved. Emphasizing one factor over another or considering additional factors could impact the risk rating assigned to that commercial banking loan.</w:t>
      </w:r>
    </w:p>
    <w:p w:rsidR="00000000" w:rsidRDefault="00E0782F">
      <w:pPr>
        <w:jc w:val="both"/>
        <w:divId w:val="1373067873"/>
        <w:rPr>
          <w:rFonts w:eastAsia="Times New Roman"/>
        </w:rPr>
      </w:pPr>
      <w:r>
        <w:rPr>
          <w:rFonts w:eastAsia="Times New Roman"/>
          <w:color w:val="000000"/>
          <w:sz w:val="20"/>
          <w:szCs w:val="20"/>
        </w:rPr>
        <w:t>For consumer banking and commercial banking loans, the contractual period typically does not include renewals or extensions because the renewals and extensions are generally not at the borrower’s exclusive option to exercise. Management has determined that</w:t>
      </w:r>
      <w:r>
        <w:rPr>
          <w:rFonts w:eastAsia="Times New Roman"/>
          <w:color w:val="000000"/>
          <w:sz w:val="20"/>
          <w:szCs w:val="20"/>
        </w:rPr>
        <w:t xml:space="preserve"> the undrawn credit exposure that is associated with our credit card loans is unconditionally cancellable. For this reason, expected credit losses are measured based on the drawn balance at each quarterly measurement date, but not on the undrawn exposure. </w:t>
      </w:r>
      <w:r>
        <w:rPr>
          <w:rFonts w:eastAsia="Times New Roman"/>
          <w:color w:val="000000"/>
          <w:sz w:val="20"/>
          <w:szCs w:val="20"/>
        </w:rPr>
        <w:t xml:space="preserve">Because credit card loans do not have a defined contractual life, management estimates both the volume and application of payments to determine a contractual life of the drawn balance at the measurement date over which expected credit losses are developed </w:t>
      </w:r>
      <w:r>
        <w:rPr>
          <w:rFonts w:eastAsia="Times New Roman"/>
          <w:color w:val="000000"/>
          <w:sz w:val="20"/>
          <w:szCs w:val="20"/>
        </w:rPr>
        <w:t>for credit card 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0835695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0835695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0835695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0" style="width:0;height:1.5pt" o:hralign="center" o:hrstd="t" o:hr="t" fillcolor="#a0a0a0" stroked="f"/>
        </w:pict>
      </w:r>
    </w:p>
    <w:p w:rsidR="00000000" w:rsidRDefault="00E0782F">
      <w:pPr>
        <w:jc w:val="both"/>
        <w:divId w:val="117738439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177384395"/>
        <w:rPr>
          <w:rFonts w:eastAsia="Times New Roman"/>
        </w:rPr>
      </w:pPr>
    </w:p>
    <w:p w:rsidR="00000000" w:rsidRDefault="00E0782F">
      <w:pPr>
        <w:jc w:val="center"/>
        <w:divId w:val="1177384395"/>
        <w:rPr>
          <w:rFonts w:eastAsia="Times New Roman"/>
        </w:rPr>
      </w:pPr>
      <w:r>
        <w:rPr>
          <w:rFonts w:eastAsia="Times New Roman"/>
          <w:b/>
          <w:bCs/>
          <w:color w:val="000000"/>
          <w:sz w:val="20"/>
          <w:szCs w:val="20"/>
        </w:rPr>
        <w:t>CAPITAL ONE FINANCIAL CORPORATION</w:t>
      </w:r>
    </w:p>
    <w:p w:rsidR="00000000" w:rsidRDefault="00E0782F">
      <w:pPr>
        <w:jc w:val="center"/>
        <w:divId w:val="1177384395"/>
        <w:rPr>
          <w:rFonts w:eastAsia="Times New Roman"/>
        </w:rPr>
      </w:pPr>
      <w:r>
        <w:rPr>
          <w:rFonts w:eastAsia="Times New Roman"/>
          <w:b/>
          <w:bCs/>
          <w:color w:val="000000"/>
          <w:sz w:val="20"/>
          <w:szCs w:val="20"/>
        </w:rPr>
        <w:t>NOTES TO CONSOLIDATED FINANCIAL STATEMENTS</w:t>
      </w:r>
    </w:p>
    <w:p w:rsidR="00000000" w:rsidRDefault="00E0782F">
      <w:pPr>
        <w:jc w:val="both"/>
        <w:divId w:val="524560408"/>
        <w:rPr>
          <w:rFonts w:eastAsia="Times New Roman"/>
        </w:rPr>
      </w:pPr>
      <w:r>
        <w:rPr>
          <w:rFonts w:eastAsia="Times New Roman"/>
          <w:color w:val="000000"/>
          <w:sz w:val="20"/>
          <w:szCs w:val="20"/>
        </w:rPr>
        <w:t>With the exception of credit card loans, we have made a policy el</w:t>
      </w:r>
      <w:r>
        <w:rPr>
          <w:rFonts w:eastAsia="Times New Roman"/>
          <w:color w:val="000000"/>
          <w:sz w:val="20"/>
          <w:szCs w:val="20"/>
        </w:rPr>
        <w:t>ection to not measure an allowance on accrued interest for loans held for investment because we reverse uncollectible accrued interest in a timely manner. See the “Delinquent and Nonperforming Loans” and “Charge-Offs - Loans” sections of this Note for info</w:t>
      </w:r>
      <w:r>
        <w:rPr>
          <w:rFonts w:eastAsia="Times New Roman"/>
          <w:color w:val="000000"/>
          <w:sz w:val="20"/>
          <w:szCs w:val="20"/>
        </w:rPr>
        <w:t>rmation on what we consider timely. For credit card loans, we do not make this election, as we reserve for uncollectible accrued interest relating to credit card loans in the allowance.</w:t>
      </w:r>
    </w:p>
    <w:p w:rsidR="00000000" w:rsidRDefault="00E0782F">
      <w:pPr>
        <w:jc w:val="both"/>
        <w:divId w:val="1046418874"/>
        <w:rPr>
          <w:rFonts w:eastAsia="Times New Roman"/>
        </w:rPr>
      </w:pPr>
      <w:r>
        <w:rPr>
          <w:rFonts w:eastAsia="Times New Roman"/>
          <w:color w:val="000000"/>
          <w:sz w:val="20"/>
          <w:szCs w:val="20"/>
        </w:rPr>
        <w:t>The allowance related to credit card and consumer banking loans assess</w:t>
      </w:r>
      <w:r>
        <w:rPr>
          <w:rFonts w:eastAsia="Times New Roman"/>
          <w:color w:val="000000"/>
          <w:sz w:val="20"/>
          <w:szCs w:val="20"/>
        </w:rPr>
        <w:t>ed on a pooled basis is based on a modeled calculation, which is supplemented by management judgment as described above. Because of the homogeneous nature of our consumer loan portfolios, the allowance is based on the aggregated portfolio segment evaluatio</w:t>
      </w:r>
      <w:r>
        <w:rPr>
          <w:rFonts w:eastAsia="Times New Roman"/>
          <w:color w:val="000000"/>
          <w:sz w:val="20"/>
          <w:szCs w:val="20"/>
        </w:rPr>
        <w:t>ns. The allowance is established through a process that begins with estimates of historical losses in each pool based upon various statistical analyses, with adjustments for current conditions and reasonable and supportable forecasts of conditions, which i</w:t>
      </w:r>
      <w:r>
        <w:rPr>
          <w:rFonts w:eastAsia="Times New Roman"/>
          <w:color w:val="000000"/>
          <w:sz w:val="20"/>
          <w:szCs w:val="20"/>
        </w:rPr>
        <w:t>ncludes expected economic conditions. Loss forecast models are utilized to estimate expected credit losses and consider several portfolio indicators including, but not limited to, expected economic conditions, historical loss experience, account seasoning,</w:t>
      </w:r>
      <w:r>
        <w:rPr>
          <w:rFonts w:eastAsia="Times New Roman"/>
          <w:color w:val="000000"/>
          <w:sz w:val="20"/>
          <w:szCs w:val="20"/>
        </w:rPr>
        <w:t xml:space="preserve"> the value of collateral underlying secured loans, estimated foreclosures or defaults based on observable trends, delinquencies, bankruptcy filings, unemployment, borrower credit scores and general business trends. Management believes these factors are rel</w:t>
      </w:r>
      <w:r>
        <w:rPr>
          <w:rFonts w:eastAsia="Times New Roman"/>
          <w:color w:val="000000"/>
          <w:sz w:val="20"/>
          <w:szCs w:val="20"/>
        </w:rPr>
        <w:t>evant in estimating expected credit losses and also considers an evaluation of overall portfolio credit quality based on indicators such as changes in our credit evaluation, underwriting and collection management policies, the effect of other external fact</w:t>
      </w:r>
      <w:r>
        <w:rPr>
          <w:rFonts w:eastAsia="Times New Roman"/>
          <w:color w:val="000000"/>
          <w:sz w:val="20"/>
          <w:szCs w:val="20"/>
        </w:rPr>
        <w:t>ors such as competition and legal and regulatory requirements, general economic conditions and business trends, and uncertainties in forecasting and modeling techniques used in estimating our allowance.</w:t>
      </w:r>
    </w:p>
    <w:p w:rsidR="00000000" w:rsidRDefault="00E0782F">
      <w:pPr>
        <w:jc w:val="both"/>
        <w:divId w:val="269095408"/>
        <w:rPr>
          <w:rFonts w:eastAsia="Times New Roman"/>
        </w:rPr>
      </w:pPr>
      <w:r>
        <w:rPr>
          <w:rFonts w:eastAsia="Times New Roman"/>
          <w:color w:val="000000"/>
          <w:sz w:val="20"/>
          <w:szCs w:val="20"/>
        </w:rPr>
        <w:t>The allowance related to commercial banking loans ass</w:t>
      </w:r>
      <w:r>
        <w:rPr>
          <w:rFonts w:eastAsia="Times New Roman"/>
          <w:color w:val="000000"/>
          <w:sz w:val="20"/>
          <w:szCs w:val="20"/>
        </w:rPr>
        <w:t>essed on a pooled basis is based on our historical loss experience for loans with similar risk characteristics and consideration of the current credit quality of the portfolio, which is supplemented by management judgment as described above. These are adju</w:t>
      </w:r>
      <w:r>
        <w:rPr>
          <w:rFonts w:eastAsia="Times New Roman"/>
          <w:color w:val="000000"/>
          <w:sz w:val="20"/>
          <w:szCs w:val="20"/>
        </w:rPr>
        <w:t>sted for current conditions, and reasonable and supportable forecasts of conditions likely to cause future losses which vary from historical levels. We apply internal risk ratings to commercial banking loans, which we use to assess credit quality and deriv</w:t>
      </w:r>
      <w:r>
        <w:rPr>
          <w:rFonts w:eastAsia="Times New Roman"/>
          <w:color w:val="000000"/>
          <w:sz w:val="20"/>
          <w:szCs w:val="20"/>
        </w:rPr>
        <w:t>e a total loss estimate based on an estimated probability of default (“default rate”) and loss given default (“loss severity”). Management may also apply judgment to adjust the loss factors derived, taking into consideration both quantitative and qualitati</w:t>
      </w:r>
      <w:r>
        <w:rPr>
          <w:rFonts w:eastAsia="Times New Roman"/>
          <w:color w:val="000000"/>
          <w:sz w:val="20"/>
          <w:szCs w:val="20"/>
        </w:rPr>
        <w:t xml:space="preserve">ve factors, including general economic conditions, industry-specific and geographic trends, portfolio concentrations, trends in internal credit quality indicators, and current and past underwriting standards that have occurred but are not yet reflected in </w:t>
      </w:r>
      <w:r>
        <w:rPr>
          <w:rFonts w:eastAsia="Times New Roman"/>
          <w:color w:val="000000"/>
          <w:sz w:val="20"/>
          <w:szCs w:val="20"/>
        </w:rPr>
        <w:t>the historical data underlying our loss estimates.</w:t>
      </w:r>
    </w:p>
    <w:p w:rsidR="00000000" w:rsidRDefault="00E0782F">
      <w:pPr>
        <w:jc w:val="both"/>
        <w:divId w:val="609161514"/>
        <w:rPr>
          <w:rFonts w:eastAsia="Times New Roman"/>
        </w:rPr>
      </w:pPr>
      <w:r>
        <w:rPr>
          <w:rFonts w:eastAsia="Times New Roman"/>
          <w:color w:val="000000"/>
          <w:sz w:val="20"/>
          <w:szCs w:val="20"/>
        </w:rPr>
        <w:t xml:space="preserve">The allowance related to smaller-balance homogeneous credit card and consumer banking loans whose terms have been modified in a TDR is calculated on a pool basis using historical loss experience, adjusted </w:t>
      </w:r>
      <w:r>
        <w:rPr>
          <w:rFonts w:eastAsia="Times New Roman"/>
          <w:color w:val="000000"/>
          <w:sz w:val="20"/>
          <w:szCs w:val="20"/>
        </w:rPr>
        <w:t>for current conditions and reasonable and supportable forecasts of conditions likely to cause future losses which vary from historical levels for the respective class of assets. The allowance related to consumer banking loans that are assessed at a loan-le</w:t>
      </w:r>
      <w:r>
        <w:rPr>
          <w:rFonts w:eastAsia="Times New Roman"/>
          <w:color w:val="000000"/>
          <w:sz w:val="20"/>
          <w:szCs w:val="20"/>
        </w:rPr>
        <w:t xml:space="preserve">vel is determined based on key considerations that include the borrower’s overall financial condition, resources and payment history, prospects for support from financially responsible guarantors, and when applicable, the estimated realizable value of any </w:t>
      </w:r>
      <w:r>
        <w:rPr>
          <w:rFonts w:eastAsia="Times New Roman"/>
          <w:color w:val="000000"/>
          <w:sz w:val="20"/>
          <w:szCs w:val="20"/>
        </w:rPr>
        <w:t>collateral. The allowance related to commercial banking loans that are assessed at a loan-level is generally determined in accordance with our policy for estimating expected credit losses for collateral-dependent loans as described above.</w:t>
      </w:r>
    </w:p>
    <w:p w:rsidR="00000000" w:rsidRDefault="00E0782F">
      <w:pPr>
        <w:divId w:val="154107077"/>
        <w:rPr>
          <w:rFonts w:eastAsia="Times New Roman"/>
        </w:rPr>
      </w:pPr>
      <w:r>
        <w:rPr>
          <w:rFonts w:eastAsia="Times New Roman"/>
          <w:b/>
          <w:bCs/>
          <w:i/>
          <w:iCs/>
          <w:color w:val="000000"/>
          <w:sz w:val="20"/>
          <w:szCs w:val="20"/>
        </w:rPr>
        <w:t>Off-balance sheet</w:t>
      </w:r>
      <w:r>
        <w:rPr>
          <w:rFonts w:eastAsia="Times New Roman"/>
          <w:b/>
          <w:bCs/>
          <w:i/>
          <w:iCs/>
          <w:color w:val="000000"/>
          <w:sz w:val="20"/>
          <w:szCs w:val="20"/>
        </w:rPr>
        <w:t xml:space="preserve"> credit exposures</w:t>
      </w:r>
    </w:p>
    <w:p w:rsidR="00000000" w:rsidRDefault="00E0782F">
      <w:pPr>
        <w:jc w:val="both"/>
        <w:divId w:val="1375231176"/>
        <w:rPr>
          <w:rFonts w:eastAsia="Times New Roman"/>
        </w:rPr>
      </w:pPr>
      <w:r>
        <w:rPr>
          <w:rFonts w:eastAsia="Times New Roman"/>
          <w:color w:val="000000"/>
          <w:sz w:val="20"/>
          <w:szCs w:val="20"/>
        </w:rPr>
        <w:t xml:space="preserve">In addition to the allowance, we also measure expected credit losses related to unfunded lending commitments that are not unconditionally cancellable in our Commercial Banking business. This reserve is measured using the same measurement objectives as the </w:t>
      </w:r>
      <w:r>
        <w:rPr>
          <w:rFonts w:eastAsia="Times New Roman"/>
          <w:color w:val="000000"/>
          <w:sz w:val="20"/>
          <w:szCs w:val="20"/>
        </w:rPr>
        <w:t>allowance for loans held for investment and is recorded within other liabilities on our consolidated balance sheets. These commitments are segregated by risk according to our internal risk rating scale, which we use to assess credit quality and derive an e</w:t>
      </w:r>
      <w:r>
        <w:rPr>
          <w:rFonts w:eastAsia="Times New Roman"/>
          <w:color w:val="000000"/>
          <w:sz w:val="20"/>
          <w:szCs w:val="20"/>
        </w:rPr>
        <w:t>xpected credit loss estimate. We assess these risk classifications, taking into consideration both quantitative and qualitative factors, including historical loss experience, adjusted for current conditions and reasonable and supportable forecasts of condi</w:t>
      </w:r>
      <w:r>
        <w:rPr>
          <w:rFonts w:eastAsia="Times New Roman"/>
          <w:color w:val="000000"/>
          <w:sz w:val="20"/>
          <w:szCs w:val="20"/>
        </w:rPr>
        <w:t>tions likely to cause future losses which vary from historical levels, and utilization assumptions to estimate the reserve for unfunded lending commitments. Expected credit losses are not measured on unfunded lending commitments that are unconditionally ca</w:t>
      </w:r>
      <w:r>
        <w:rPr>
          <w:rFonts w:eastAsia="Times New Roman"/>
          <w:color w:val="000000"/>
          <w:sz w:val="20"/>
          <w:szCs w:val="20"/>
        </w:rPr>
        <w:t>ncellable, including all of our unfunded credit card and consumer banking lending commitments and certain of our unfunded commercial banking lending commitments.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648198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648198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648198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1" style="width:0;height:1.5pt" o:hralign="center" o:hrstd="t" o:hr="t" fillcolor="#a0a0a0" stroked="f"/>
        </w:pict>
      </w:r>
    </w:p>
    <w:p w:rsidR="00000000" w:rsidRDefault="00E0782F">
      <w:pPr>
        <w:jc w:val="both"/>
        <w:divId w:val="145425244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54252440"/>
        <w:rPr>
          <w:rFonts w:eastAsia="Times New Roman"/>
        </w:rPr>
      </w:pPr>
    </w:p>
    <w:p w:rsidR="00000000" w:rsidRDefault="00E0782F">
      <w:pPr>
        <w:jc w:val="center"/>
        <w:divId w:val="1454252440"/>
        <w:rPr>
          <w:rFonts w:eastAsia="Times New Roman"/>
        </w:rPr>
      </w:pPr>
      <w:r>
        <w:rPr>
          <w:rFonts w:eastAsia="Times New Roman"/>
          <w:b/>
          <w:bCs/>
          <w:color w:val="000000"/>
          <w:sz w:val="20"/>
          <w:szCs w:val="20"/>
        </w:rPr>
        <w:t>CAPITAL ONE FINANCIAL CORPORATION</w:t>
      </w:r>
    </w:p>
    <w:p w:rsidR="00000000" w:rsidRDefault="00E0782F">
      <w:pPr>
        <w:jc w:val="center"/>
        <w:divId w:val="1454252440"/>
        <w:rPr>
          <w:rFonts w:eastAsia="Times New Roman"/>
        </w:rPr>
      </w:pPr>
      <w:r>
        <w:rPr>
          <w:rFonts w:eastAsia="Times New Roman"/>
          <w:b/>
          <w:bCs/>
          <w:color w:val="000000"/>
          <w:sz w:val="20"/>
          <w:szCs w:val="20"/>
        </w:rPr>
        <w:t>NOTES TO CONSOLIDATED FINANCIAL STATEMENTS</w:t>
      </w:r>
    </w:p>
    <w:p w:rsidR="00000000" w:rsidRDefault="00E0782F">
      <w:pPr>
        <w:jc w:val="both"/>
        <w:divId w:val="1653679965"/>
        <w:rPr>
          <w:rFonts w:eastAsia="Times New Roman"/>
        </w:rPr>
      </w:pPr>
      <w:r>
        <w:rPr>
          <w:rFonts w:eastAsia="Times New Roman"/>
          <w:color w:val="000000"/>
          <w:sz w:val="20"/>
          <w:szCs w:val="20"/>
        </w:rPr>
        <w:t>Determining the appropriateness of the allowance and the reserve for unfunded lending commitments is complex and requires judgment by management about the effect of matters that are inherently uncertain. Subsequent evaluations of the loan portfolio, in lig</w:t>
      </w:r>
      <w:r>
        <w:rPr>
          <w:rFonts w:eastAsia="Times New Roman"/>
          <w:color w:val="000000"/>
          <w:sz w:val="20"/>
          <w:szCs w:val="20"/>
        </w:rPr>
        <w:t>ht of the factors then prevailing, may result in significant changes in the reserve for unfunded lending commitments in future periods. See “Note 4—Allowance for Credit Losses and Reserve for Unfunded Lending Commitments” for additional information.</w:t>
      </w:r>
    </w:p>
    <w:p w:rsidR="00000000" w:rsidRDefault="00E0782F">
      <w:pPr>
        <w:divId w:val="899752883"/>
        <w:rPr>
          <w:rFonts w:eastAsia="Times New Roman"/>
        </w:rPr>
      </w:pPr>
      <w:r>
        <w:rPr>
          <w:rFonts w:eastAsia="Times New Roman"/>
          <w:b/>
          <w:bCs/>
          <w:i/>
          <w:iCs/>
          <w:color w:val="000000"/>
          <w:sz w:val="20"/>
          <w:szCs w:val="20"/>
        </w:rPr>
        <w:t>Signif</w:t>
      </w:r>
      <w:r>
        <w:rPr>
          <w:rFonts w:eastAsia="Times New Roman"/>
          <w:b/>
          <w:bCs/>
          <w:i/>
          <w:iCs/>
          <w:color w:val="000000"/>
          <w:sz w:val="20"/>
          <w:szCs w:val="20"/>
        </w:rPr>
        <w:t>icant Accounting Policies Prior to our Adoption of the CECL Standard</w:t>
      </w:r>
    </w:p>
    <w:p w:rsidR="00000000" w:rsidRDefault="00E0782F">
      <w:pPr>
        <w:divId w:val="431435909"/>
        <w:rPr>
          <w:rFonts w:eastAsia="Times New Roman"/>
        </w:rPr>
      </w:pPr>
      <w:r>
        <w:rPr>
          <w:rFonts w:eastAsia="Times New Roman"/>
          <w:i/>
          <w:iCs/>
          <w:color w:val="000000"/>
          <w:sz w:val="20"/>
          <w:szCs w:val="20"/>
        </w:rPr>
        <w:t>Loans Held for Investment - Estimate of Incurred Loan and Lease Losses</w:t>
      </w:r>
    </w:p>
    <w:p w:rsidR="00000000" w:rsidRDefault="00E0782F">
      <w:pPr>
        <w:jc w:val="both"/>
        <w:divId w:val="1881046567"/>
        <w:rPr>
          <w:rFonts w:eastAsia="Times New Roman"/>
        </w:rPr>
      </w:pPr>
      <w:r>
        <w:rPr>
          <w:rFonts w:eastAsia="Times New Roman"/>
          <w:color w:val="000000"/>
          <w:sz w:val="20"/>
          <w:szCs w:val="20"/>
        </w:rPr>
        <w:t xml:space="preserve">In periods prior to 2020, the allowance represented management’s current estimate of incurred loan and lease losses </w:t>
      </w:r>
      <w:r>
        <w:rPr>
          <w:rFonts w:eastAsia="Times New Roman"/>
          <w:color w:val="000000"/>
          <w:sz w:val="20"/>
          <w:szCs w:val="20"/>
        </w:rPr>
        <w:t>inherent in our loans held for investment portfolio as of each balance sheet date. The provision for credit losses reflected credit losses we believed had been incurred and would eventually be recognized over time through charge-offs.</w:t>
      </w:r>
    </w:p>
    <w:p w:rsidR="00000000" w:rsidRDefault="00E0782F">
      <w:pPr>
        <w:jc w:val="both"/>
        <w:divId w:val="1150515458"/>
        <w:rPr>
          <w:rFonts w:eastAsia="Times New Roman"/>
        </w:rPr>
      </w:pPr>
      <w:r>
        <w:rPr>
          <w:rFonts w:eastAsia="Times New Roman"/>
          <w:color w:val="000000"/>
          <w:sz w:val="20"/>
          <w:szCs w:val="20"/>
        </w:rPr>
        <w:t xml:space="preserve">Management performed </w:t>
      </w:r>
      <w:r>
        <w:rPr>
          <w:rFonts w:eastAsia="Times New Roman"/>
          <w:color w:val="000000"/>
          <w:sz w:val="20"/>
          <w:szCs w:val="20"/>
        </w:rPr>
        <w:t>a quarterly analysis of our loan portfolio to determine if impairment had occurred and to assess the adequacy of the allowance based on historical and current trends as well as other factors affecting credit losses. We applied documented systematic methodo</w:t>
      </w:r>
      <w:r>
        <w:rPr>
          <w:rFonts w:eastAsia="Times New Roman"/>
          <w:color w:val="000000"/>
          <w:sz w:val="20"/>
          <w:szCs w:val="20"/>
        </w:rPr>
        <w:t>logies to separately calculate the allowance for our credit card, consumer banking and commercial banking loan portfolios. Our allowance for loan and lease losses consisted of three components that were allocated to cover the estimated probable losses in e</w:t>
      </w:r>
      <w:r>
        <w:rPr>
          <w:rFonts w:eastAsia="Times New Roman"/>
          <w:color w:val="000000"/>
          <w:sz w:val="20"/>
          <w:szCs w:val="20"/>
        </w:rPr>
        <w:t xml:space="preserve">ach loan portfolio based on the results of our detailed review and loan impairment assessment process: (i) a component for loans collectively evaluated for impairment; (ii) an asset-specific component for individually impaired loans; and (iii) a component </w:t>
      </w:r>
      <w:r>
        <w:rPr>
          <w:rFonts w:eastAsia="Times New Roman"/>
          <w:color w:val="000000"/>
          <w:sz w:val="20"/>
          <w:szCs w:val="20"/>
        </w:rPr>
        <w:t>related to PCI loans that experienced significant decreases in expected cash flows subsequent to acquisition. Each of our allowance components was supplemented by an amount that represented management’s qualitative judgment of the imprecision and risks inh</w:t>
      </w:r>
      <w:r>
        <w:rPr>
          <w:rFonts w:eastAsia="Times New Roman"/>
          <w:color w:val="000000"/>
          <w:sz w:val="20"/>
          <w:szCs w:val="20"/>
        </w:rPr>
        <w:t>erent in the processes and assumptions used in establishing the allowance.</w:t>
      </w:r>
    </w:p>
    <w:p w:rsidR="00000000" w:rsidRDefault="00E0782F">
      <w:pPr>
        <w:jc w:val="both"/>
        <w:divId w:val="1614480503"/>
        <w:rPr>
          <w:rFonts w:eastAsia="Times New Roman"/>
        </w:rPr>
      </w:pPr>
      <w:r>
        <w:rPr>
          <w:rFonts w:eastAsia="Times New Roman"/>
          <w:color w:val="000000"/>
          <w:sz w:val="20"/>
          <w:szCs w:val="20"/>
        </w:rPr>
        <w:t xml:space="preserve">The component of the allowance related to credit card and consumer banking loans that we collectively evaluated for impairment was based on a statistical calculation. The component </w:t>
      </w:r>
      <w:r>
        <w:rPr>
          <w:rFonts w:eastAsia="Times New Roman"/>
          <w:color w:val="000000"/>
          <w:sz w:val="20"/>
          <w:szCs w:val="20"/>
        </w:rPr>
        <w:t>of the allowance for commercial banking loans that we collectively evaluated for impairment was based on our historical loss experience for loans with similar risk characteristics and consideration of the current credit quality of the portfolio. The asset-</w:t>
      </w:r>
      <w:r>
        <w:rPr>
          <w:rFonts w:eastAsia="Times New Roman"/>
          <w:color w:val="000000"/>
          <w:sz w:val="20"/>
          <w:szCs w:val="20"/>
        </w:rPr>
        <w:t>specific component of the allowance includes smaller-balance homogeneous credit card and consumer banking loans whose terms have been modified in a TDR and larger-balance nonperforming, non-homogeneous commercial banking loans. We generally measured the as</w:t>
      </w:r>
      <w:r>
        <w:rPr>
          <w:rFonts w:eastAsia="Times New Roman"/>
          <w:color w:val="000000"/>
          <w:sz w:val="20"/>
          <w:szCs w:val="20"/>
        </w:rPr>
        <w:t>set-specific component of the allowance based on the difference between the recorded investment of individually impaired loans and the present value of expected future cash flows. In addition to the allowance, we also estimated probable losses related to c</w:t>
      </w:r>
      <w:r>
        <w:rPr>
          <w:rFonts w:eastAsia="Times New Roman"/>
          <w:color w:val="000000"/>
          <w:sz w:val="20"/>
          <w:szCs w:val="20"/>
        </w:rPr>
        <w:t>ontractually binding unfunded lending commitments.</w:t>
      </w:r>
    </w:p>
    <w:p w:rsidR="00000000" w:rsidRDefault="00E0782F">
      <w:pPr>
        <w:jc w:val="both"/>
        <w:divId w:val="1173958891"/>
        <w:rPr>
          <w:rFonts w:eastAsia="Times New Roman"/>
        </w:rPr>
      </w:pPr>
      <w:r>
        <w:rPr>
          <w:rFonts w:eastAsia="Times New Roman"/>
          <w:i/>
          <w:iCs/>
          <w:color w:val="000000"/>
          <w:sz w:val="20"/>
          <w:szCs w:val="20"/>
        </w:rPr>
        <w:t>Loans Acquired - Credit Impaired</w:t>
      </w:r>
    </w:p>
    <w:p w:rsidR="00000000" w:rsidRDefault="00E0782F">
      <w:pPr>
        <w:jc w:val="both"/>
        <w:divId w:val="1357274466"/>
        <w:rPr>
          <w:rFonts w:eastAsia="Times New Roman"/>
        </w:rPr>
      </w:pPr>
      <w:r>
        <w:rPr>
          <w:rFonts w:eastAsia="Times New Roman"/>
          <w:color w:val="000000"/>
          <w:sz w:val="20"/>
          <w:szCs w:val="20"/>
        </w:rPr>
        <w:t>For PCI loans, we aggregated loans acquired in the same fiscal quarter into one or more pools if the loans have common risk characteristics. A pool is then accounted for as</w:t>
      </w:r>
      <w:r>
        <w:rPr>
          <w:rFonts w:eastAsia="Times New Roman"/>
          <w:color w:val="000000"/>
          <w:sz w:val="20"/>
          <w:szCs w:val="20"/>
        </w:rPr>
        <w:t xml:space="preserve"> a single asset, with a single composite interest rate and an aggregate fair value and expected cash flows. </w:t>
      </w:r>
    </w:p>
    <w:p w:rsidR="00000000" w:rsidRDefault="00E0782F">
      <w:pPr>
        <w:jc w:val="both"/>
        <w:divId w:val="525799265"/>
        <w:rPr>
          <w:rFonts w:eastAsia="Times New Roman"/>
        </w:rPr>
      </w:pPr>
      <w:r>
        <w:rPr>
          <w:rFonts w:eastAsia="Times New Roman"/>
          <w:color w:val="000000"/>
          <w:sz w:val="20"/>
          <w:szCs w:val="20"/>
        </w:rPr>
        <w:t xml:space="preserve">Subsequent to acquisition, decreases in expected cash flows resulting from credit deterioration subsequent to acquisition generally resulted in an </w:t>
      </w:r>
      <w:r>
        <w:rPr>
          <w:rFonts w:eastAsia="Times New Roman"/>
          <w:color w:val="000000"/>
          <w:sz w:val="20"/>
          <w:szCs w:val="20"/>
        </w:rPr>
        <w:t>impairment charge recognized in our provision for credit losses and an increase in the allowance for loan and lease losses. Significant increases in the cash flows expected to be collected would first reduce any previously recorded allowance for loan and l</w:t>
      </w:r>
      <w:r>
        <w:rPr>
          <w:rFonts w:eastAsia="Times New Roman"/>
          <w:color w:val="000000"/>
          <w:sz w:val="20"/>
          <w:szCs w:val="20"/>
        </w:rPr>
        <w:t>ease losses. See “Note 3—Loans” for additional information.</w:t>
      </w:r>
    </w:p>
    <w:p w:rsidR="00000000" w:rsidRDefault="00E0782F">
      <w:pPr>
        <w:jc w:val="both"/>
        <w:divId w:val="2070178726"/>
        <w:rPr>
          <w:rFonts w:eastAsia="Times New Roman"/>
        </w:rPr>
      </w:pPr>
      <w:r>
        <w:rPr>
          <w:rFonts w:eastAsia="Times New Roman"/>
          <w:color w:val="000000"/>
          <w:sz w:val="20"/>
          <w:szCs w:val="20"/>
        </w:rPr>
        <w:t>We recorded charge-offs on PCI loans only if actual losses exceed estimated credit losses incorporated into the fair value recorded at acquisition. Further, PCI loans are not classified as delinqu</w:t>
      </w:r>
      <w:r>
        <w:rPr>
          <w:rFonts w:eastAsia="Times New Roman"/>
          <w:color w:val="000000"/>
          <w:sz w:val="20"/>
          <w:szCs w:val="20"/>
        </w:rPr>
        <w:t>ent or nonperforming.</w:t>
      </w:r>
    </w:p>
    <w:p w:rsidR="00000000" w:rsidRDefault="00E0782F">
      <w:pPr>
        <w:divId w:val="1753702753"/>
        <w:rPr>
          <w:rFonts w:eastAsia="Times New Roman"/>
        </w:rPr>
      </w:pPr>
      <w:r>
        <w:rPr>
          <w:rFonts w:eastAsia="Times New Roman"/>
          <w:b/>
          <w:bCs/>
          <w:color w:val="000000"/>
          <w:sz w:val="20"/>
          <w:szCs w:val="20"/>
        </w:rPr>
        <w:t>Securitization of Loans</w:t>
      </w:r>
    </w:p>
    <w:p w:rsidR="00000000" w:rsidRDefault="00E0782F">
      <w:pPr>
        <w:jc w:val="both"/>
        <w:divId w:val="2066489969"/>
        <w:rPr>
          <w:rFonts w:eastAsia="Times New Roman"/>
        </w:rPr>
      </w:pPr>
      <w:r>
        <w:rPr>
          <w:rFonts w:eastAsia="Times New Roman"/>
          <w:color w:val="000000"/>
          <w:sz w:val="20"/>
          <w:szCs w:val="20"/>
        </w:rPr>
        <w:t xml:space="preserve">Our loan securitization activities primarily involve the securitization of credit card and auto loans, which provides a source of funding for us. See “Note 5—Variable Interest Entities and Securitizations” for </w:t>
      </w:r>
      <w:r>
        <w:rPr>
          <w:rFonts w:eastAsia="Times New Roman"/>
          <w:color w:val="000000"/>
          <w:sz w:val="20"/>
          <w:szCs w:val="20"/>
        </w:rPr>
        <w:t>additional details. Loan securitization involves the transfer of a pool of loan receivables from our portfolio to a trust. The trust then sells an undivided interest in the pool of loan receivables to third-party investors through the issuance of debt secu</w:t>
      </w:r>
      <w:r>
        <w:rPr>
          <w:rFonts w:eastAsia="Times New Roman"/>
          <w:color w:val="000000"/>
          <w:sz w:val="20"/>
          <w:szCs w:val="20"/>
        </w:rPr>
        <w:t xml:space="preserve">rities and transfers the proceeds from the debt issuance to us as consideration for the loan receivables transferred. The debt securities are collateralized by the loan receivables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9981018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9981018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9981018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2" style="width:0;height:1.5pt" o:hralign="center" o:hrstd="t" o:hr="t" fillcolor="#a0a0a0" stroked="f"/>
        </w:pict>
      </w:r>
    </w:p>
    <w:p w:rsidR="00000000" w:rsidRDefault="00E0782F">
      <w:pPr>
        <w:jc w:val="both"/>
        <w:divId w:val="81580419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815804190"/>
        <w:rPr>
          <w:rFonts w:eastAsia="Times New Roman"/>
        </w:rPr>
      </w:pPr>
    </w:p>
    <w:p w:rsidR="00000000" w:rsidRDefault="00E0782F">
      <w:pPr>
        <w:jc w:val="center"/>
        <w:divId w:val="815804190"/>
        <w:rPr>
          <w:rFonts w:eastAsia="Times New Roman"/>
        </w:rPr>
      </w:pPr>
      <w:r>
        <w:rPr>
          <w:rFonts w:eastAsia="Times New Roman"/>
          <w:b/>
          <w:bCs/>
          <w:color w:val="000000"/>
          <w:sz w:val="20"/>
          <w:szCs w:val="20"/>
        </w:rPr>
        <w:t>CAPITAL ONE FINANCIAL CORPORATION</w:t>
      </w:r>
    </w:p>
    <w:p w:rsidR="00000000" w:rsidRDefault="00E0782F">
      <w:pPr>
        <w:jc w:val="center"/>
        <w:divId w:val="815804190"/>
        <w:rPr>
          <w:rFonts w:eastAsia="Times New Roman"/>
        </w:rPr>
      </w:pPr>
      <w:r>
        <w:rPr>
          <w:rFonts w:eastAsia="Times New Roman"/>
          <w:b/>
          <w:bCs/>
          <w:color w:val="000000"/>
          <w:sz w:val="20"/>
          <w:szCs w:val="20"/>
        </w:rPr>
        <w:t>NOTES TO CONSOLIDATED FINANCIAL STATEMENTS</w:t>
      </w:r>
    </w:p>
    <w:p w:rsidR="00000000" w:rsidRDefault="00E0782F">
      <w:pPr>
        <w:jc w:val="both"/>
        <w:divId w:val="924531346"/>
        <w:rPr>
          <w:rFonts w:eastAsia="Times New Roman"/>
        </w:rPr>
      </w:pPr>
      <w:r>
        <w:rPr>
          <w:rFonts w:eastAsia="Times New Roman"/>
          <w:color w:val="000000"/>
          <w:sz w:val="20"/>
          <w:szCs w:val="20"/>
        </w:rPr>
        <w:t>transferred from our portfolio. We remove loans from our consolidated balance sheets when securitizations qualify as sales to non-consolidated VIEs, recognize assets retained and liabilities assumed at fair value and record a gain or loss on the transferre</w:t>
      </w:r>
      <w:r>
        <w:rPr>
          <w:rFonts w:eastAsia="Times New Roman"/>
          <w:color w:val="000000"/>
          <w:sz w:val="20"/>
          <w:szCs w:val="20"/>
        </w:rPr>
        <w:t>d loans. Alternatively, when the transfer does not qualify as a sale but instead is considered a secured borrowing, the assets will remain on our consolidated balance sheets with an offsetting liability recognized for the amount of proceeds received.</w:t>
      </w:r>
    </w:p>
    <w:p w:rsidR="00000000" w:rsidRDefault="00E0782F">
      <w:pPr>
        <w:divId w:val="261030342"/>
        <w:rPr>
          <w:rFonts w:eastAsia="Times New Roman"/>
        </w:rPr>
      </w:pPr>
      <w:r>
        <w:rPr>
          <w:rFonts w:eastAsia="Times New Roman"/>
          <w:b/>
          <w:bCs/>
          <w:color w:val="000000"/>
          <w:sz w:val="20"/>
          <w:szCs w:val="20"/>
        </w:rPr>
        <w:t>Premi</w:t>
      </w:r>
      <w:r>
        <w:rPr>
          <w:rFonts w:eastAsia="Times New Roman"/>
          <w:b/>
          <w:bCs/>
          <w:color w:val="000000"/>
          <w:sz w:val="20"/>
          <w:szCs w:val="20"/>
        </w:rPr>
        <w:t>ses, Equipment and Leases</w:t>
      </w:r>
    </w:p>
    <w:p w:rsidR="00000000" w:rsidRDefault="00E0782F">
      <w:pPr>
        <w:divId w:val="123474229"/>
        <w:rPr>
          <w:rFonts w:eastAsia="Times New Roman"/>
        </w:rPr>
      </w:pPr>
      <w:r>
        <w:rPr>
          <w:rFonts w:eastAsia="Times New Roman"/>
          <w:b/>
          <w:bCs/>
          <w:i/>
          <w:iCs/>
          <w:color w:val="000000"/>
          <w:sz w:val="20"/>
          <w:szCs w:val="20"/>
        </w:rPr>
        <w:t>Premises and Equipment</w:t>
      </w:r>
    </w:p>
    <w:p w:rsidR="00000000" w:rsidRDefault="00E0782F">
      <w:pPr>
        <w:jc w:val="both"/>
        <w:divId w:val="1017922756"/>
        <w:rPr>
          <w:rFonts w:eastAsia="Times New Roman"/>
        </w:rPr>
      </w:pPr>
      <w:r>
        <w:rPr>
          <w:rFonts w:eastAsia="Times New Roman"/>
          <w:color w:val="000000"/>
          <w:sz w:val="20"/>
          <w:szCs w:val="20"/>
        </w:rPr>
        <w:t>Premises and equipment, including leasehold improvements, are carried at cost less accumulated depreciation and amortization. Land is carried at cost. We capitalize direct costs incurred during the applicati</w:t>
      </w:r>
      <w:r>
        <w:rPr>
          <w:rFonts w:eastAsia="Times New Roman"/>
          <w:color w:val="000000"/>
          <w:sz w:val="20"/>
          <w:szCs w:val="20"/>
        </w:rPr>
        <w:t>on development stage of internally developed software projects. Depreciation and amortization expenses are calculated using the straight-line method over the estimated useful lives of the assets. Useful lives for premises and equipment are estimated as fol</w:t>
      </w:r>
      <w:r>
        <w:rPr>
          <w:rFonts w:eastAsia="Times New Roman"/>
          <w:color w:val="000000"/>
          <w:sz w:val="20"/>
          <w:szCs w:val="20"/>
        </w:rPr>
        <w:t>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5800"/>
        <w:gridCol w:w="37"/>
        <w:gridCol w:w="36"/>
        <w:gridCol w:w="36"/>
        <w:gridCol w:w="36"/>
        <w:gridCol w:w="45"/>
        <w:gridCol w:w="2219"/>
        <w:gridCol w:w="37"/>
      </w:tblGrid>
      <w:tr w:rsidR="00000000">
        <w:trPr>
          <w:divId w:val="614020098"/>
        </w:trPr>
        <w:tc>
          <w:tcPr>
            <w:tcW w:w="50" w:type="pct"/>
            <w:vAlign w:val="center"/>
            <w:hideMark/>
          </w:tcPr>
          <w:p w:rsidR="00000000" w:rsidRDefault="00E0782F">
            <w:pPr>
              <w:jc w:val="both"/>
              <w:rPr>
                <w:rFonts w:eastAsia="Times New Roman"/>
              </w:rPr>
            </w:pPr>
          </w:p>
        </w:tc>
        <w:tc>
          <w:tcPr>
            <w:tcW w:w="35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34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14020098"/>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Premises and Equipment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Useful Lives</w:t>
            </w:r>
          </w:p>
        </w:tc>
      </w:tr>
      <w:tr w:rsidR="00000000">
        <w:trPr>
          <w:divId w:val="61402009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Buildings and improvements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8"/>
                <w:szCs w:val="18"/>
              </w:rPr>
              <w:t>5-39 years</w:t>
            </w:r>
          </w:p>
        </w:tc>
      </w:tr>
      <w:tr w:rsidR="00000000">
        <w:trPr>
          <w:divId w:val="614020098"/>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Furniture and equipment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8"/>
                <w:szCs w:val="18"/>
              </w:rPr>
              <w:t>3-10 years</w:t>
            </w:r>
          </w:p>
        </w:tc>
      </w:tr>
      <w:tr w:rsidR="00000000">
        <w:trPr>
          <w:divId w:val="614020098"/>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Computer software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8"/>
                <w:szCs w:val="18"/>
              </w:rPr>
              <w:t>3 years</w:t>
            </w:r>
          </w:p>
        </w:tc>
      </w:tr>
      <w:tr w:rsidR="00000000">
        <w:trPr>
          <w:divId w:val="614020098"/>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Leasehold improvements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8"/>
                <w:szCs w:val="18"/>
              </w:rPr>
              <w:t>Lesser of the useful life or the remaining lease term</w:t>
            </w:r>
          </w:p>
        </w:tc>
      </w:tr>
    </w:tbl>
    <w:p w:rsidR="00000000" w:rsidRDefault="00E0782F">
      <w:pPr>
        <w:jc w:val="both"/>
        <w:divId w:val="1277523677"/>
        <w:rPr>
          <w:rFonts w:eastAsia="Times New Roman"/>
        </w:rPr>
      </w:pPr>
      <w:r>
        <w:rPr>
          <w:rFonts w:eastAsia="Times New Roman"/>
          <w:color w:val="000000"/>
          <w:sz w:val="20"/>
          <w:szCs w:val="20"/>
        </w:rPr>
        <w:t>Expenditures for maintenance and repairs are expensed as incurred and gains or losses upon disposition are recognized in our consolidated statements of income as realized. See “Note 7—Premises, Equipment and Leases” for additional information.</w:t>
      </w:r>
    </w:p>
    <w:p w:rsidR="00000000" w:rsidRDefault="00E0782F">
      <w:pPr>
        <w:divId w:val="560792891"/>
        <w:rPr>
          <w:rFonts w:eastAsia="Times New Roman"/>
        </w:rPr>
      </w:pPr>
      <w:r>
        <w:rPr>
          <w:rFonts w:eastAsia="Times New Roman"/>
          <w:b/>
          <w:bCs/>
          <w:i/>
          <w:iCs/>
          <w:color w:val="000000"/>
          <w:sz w:val="20"/>
          <w:szCs w:val="20"/>
        </w:rPr>
        <w:t>Leases</w:t>
      </w:r>
    </w:p>
    <w:p w:rsidR="00000000" w:rsidRDefault="00E0782F">
      <w:pPr>
        <w:jc w:val="both"/>
        <w:divId w:val="685786802"/>
        <w:rPr>
          <w:rFonts w:eastAsia="Times New Roman"/>
        </w:rPr>
      </w:pPr>
      <w:r>
        <w:rPr>
          <w:rFonts w:eastAsia="Times New Roman"/>
          <w:color w:val="000000"/>
          <w:sz w:val="20"/>
          <w:szCs w:val="20"/>
        </w:rPr>
        <w:t>Lease</w:t>
      </w:r>
      <w:r>
        <w:rPr>
          <w:rFonts w:eastAsia="Times New Roman"/>
          <w:color w:val="000000"/>
          <w:sz w:val="20"/>
          <w:szCs w:val="20"/>
        </w:rPr>
        <w:t xml:space="preserve"> classification is determined at inception for all lease transactions with an initial term greater than one year. Operating leases are included as right-of-use (“ROU”) assets within other assets, and operating lease liabilities are classified as other liab</w:t>
      </w:r>
      <w:r>
        <w:rPr>
          <w:rFonts w:eastAsia="Times New Roman"/>
          <w:color w:val="000000"/>
          <w:sz w:val="20"/>
          <w:szCs w:val="20"/>
        </w:rPr>
        <w:t>ilities on our consolidated balance sheets. Finance leases are included in premises and equipment, and other borrowings on our consolidated balance sheets. Our operating lease expense is included in occupancy and equipment within non-interest expense in ou</w:t>
      </w:r>
      <w:r>
        <w:rPr>
          <w:rFonts w:eastAsia="Times New Roman"/>
          <w:color w:val="000000"/>
          <w:sz w:val="20"/>
          <w:szCs w:val="20"/>
        </w:rPr>
        <w:t>r consolidated statements of income. Lease expense for minimum lease payments are recognized on a straight-line basis over the lease term. See “Note 7—Premises, Equipment and Leases” for additional information.</w:t>
      </w:r>
    </w:p>
    <w:p w:rsidR="00000000" w:rsidRDefault="00E0782F">
      <w:pPr>
        <w:divId w:val="1155991501"/>
        <w:rPr>
          <w:rFonts w:eastAsia="Times New Roman"/>
        </w:rPr>
      </w:pPr>
      <w:r>
        <w:rPr>
          <w:rFonts w:eastAsia="Times New Roman"/>
          <w:b/>
          <w:bCs/>
          <w:color w:val="000000"/>
          <w:sz w:val="20"/>
          <w:szCs w:val="20"/>
        </w:rPr>
        <w:t xml:space="preserve">Goodwill and Intangible Assets </w:t>
      </w:r>
    </w:p>
    <w:p w:rsidR="00000000" w:rsidRDefault="00E0782F">
      <w:pPr>
        <w:jc w:val="both"/>
        <w:divId w:val="1335380951"/>
        <w:rPr>
          <w:rFonts w:eastAsia="Times New Roman"/>
        </w:rPr>
      </w:pPr>
      <w:r>
        <w:rPr>
          <w:rFonts w:eastAsia="Times New Roman"/>
          <w:color w:val="000000"/>
          <w:sz w:val="20"/>
          <w:szCs w:val="20"/>
        </w:rPr>
        <w:t>Goodwill repr</w:t>
      </w:r>
      <w:r>
        <w:rPr>
          <w:rFonts w:eastAsia="Times New Roman"/>
          <w:color w:val="000000"/>
          <w:sz w:val="20"/>
          <w:szCs w:val="20"/>
        </w:rPr>
        <w:t>esents the excess of the acquisition price of an acquired business over the fair value of assets acquired and liabilities assumed and is assigned to one or more reporting units at the date of acquisition. A reporting unit is defined as an operating segment</w:t>
      </w:r>
      <w:r>
        <w:rPr>
          <w:rFonts w:eastAsia="Times New Roman"/>
          <w:color w:val="000000"/>
          <w:sz w:val="20"/>
          <w:szCs w:val="20"/>
        </w:rPr>
        <w:t>, or a business unit that is one level below an operating segment. We have four reporting units: Credit Card, Auto, Other Consumer Banking and Commercial Banking. Goodwill is not amortized but is tested for impairment at the reporting unit level annually o</w:t>
      </w:r>
      <w:r>
        <w:rPr>
          <w:rFonts w:eastAsia="Times New Roman"/>
          <w:color w:val="000000"/>
          <w:sz w:val="20"/>
          <w:szCs w:val="20"/>
        </w:rPr>
        <w:t>r more frequently if adverse circumstances indicate that it is more likely than not that the carrying amount of a reporting unit exceeds its fair value. These indicators could include a sustained, significant decline in the Company’s stock price, a decline</w:t>
      </w:r>
      <w:r>
        <w:rPr>
          <w:rFonts w:eastAsia="Times New Roman"/>
          <w:color w:val="000000"/>
          <w:sz w:val="20"/>
          <w:szCs w:val="20"/>
        </w:rPr>
        <w:t xml:space="preserve"> in expected future cash flows, significant disposition activity, a significant adverse change in the economic or business environment, and the testing for recoverability of a significant asset group, among others. </w:t>
      </w:r>
    </w:p>
    <w:p w:rsidR="00000000" w:rsidRDefault="00E0782F">
      <w:pPr>
        <w:jc w:val="both"/>
        <w:divId w:val="649990977"/>
        <w:rPr>
          <w:rFonts w:eastAsia="Times New Roman"/>
        </w:rPr>
      </w:pPr>
      <w:r>
        <w:rPr>
          <w:rFonts w:eastAsia="Times New Roman"/>
          <w:color w:val="000000"/>
          <w:sz w:val="20"/>
          <w:szCs w:val="20"/>
        </w:rPr>
        <w:t>Intangible assets with finite useful liv</w:t>
      </w:r>
      <w:r>
        <w:rPr>
          <w:rFonts w:eastAsia="Times New Roman"/>
          <w:color w:val="000000"/>
          <w:sz w:val="20"/>
          <w:szCs w:val="20"/>
        </w:rPr>
        <w:t>es are amortized on either an accelerated or straight-line basis over their estimated useful lives and are evaluated for impairment whenever events or changes in circumstances indicate the carrying amount of the assets may not be recoverable. See “Note 6—G</w:t>
      </w:r>
      <w:r>
        <w:rPr>
          <w:rFonts w:eastAsia="Times New Roman"/>
          <w:color w:val="000000"/>
          <w:sz w:val="20"/>
          <w:szCs w:val="20"/>
        </w:rPr>
        <w:t>oodwill and Intangible Assets” for additional information.</w:t>
      </w:r>
    </w:p>
    <w:p w:rsidR="00000000" w:rsidRDefault="00E0782F">
      <w:pPr>
        <w:divId w:val="926427360"/>
        <w:rPr>
          <w:rFonts w:eastAsia="Times New Roman"/>
        </w:rPr>
      </w:pPr>
      <w:r>
        <w:rPr>
          <w:rFonts w:eastAsia="Times New Roman"/>
          <w:b/>
          <w:bCs/>
          <w:color w:val="000000"/>
          <w:sz w:val="20"/>
          <w:szCs w:val="20"/>
        </w:rPr>
        <w:t xml:space="preserve">Mortgage Servicing Rights </w:t>
      </w:r>
    </w:p>
    <w:p w:rsidR="00000000" w:rsidRDefault="00E0782F">
      <w:pPr>
        <w:jc w:val="both"/>
        <w:divId w:val="1039473241"/>
        <w:rPr>
          <w:rFonts w:eastAsia="Times New Roman"/>
        </w:rPr>
      </w:pPr>
      <w:r>
        <w:rPr>
          <w:rFonts w:eastAsia="Times New Roman"/>
          <w:color w:val="000000"/>
          <w:sz w:val="20"/>
          <w:szCs w:val="20"/>
        </w:rPr>
        <w:t>Mortgage servicing rights (“MSRs”) are initially recorded at fair value when mortgage loans are sold or securitized in the secondary market and the right to service these</w:t>
      </w:r>
      <w:r>
        <w:rPr>
          <w:rFonts w:eastAsia="Times New Roman"/>
          <w:color w:val="000000"/>
          <w:sz w:val="20"/>
          <w:szCs w:val="20"/>
        </w:rPr>
        <w:t xml:space="preserve"> loans is retained for a fee. Commercial MSRs are subsequently accounted for under the amortization method. We evaluate for impairment as of each reporting date and recognize any impairment in other non-interest income. See “Note 6—Goodwill and Intangible </w:t>
      </w:r>
      <w:r>
        <w:rPr>
          <w:rFonts w:eastAsia="Times New Roman"/>
          <w:color w:val="000000"/>
          <w:sz w:val="20"/>
          <w:szCs w:val="20"/>
        </w:rPr>
        <w:t xml:space="preserve">Assets” for additional information.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6588800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6588800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6588800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3" style="width:0;height:1.5pt" o:hralign="center" o:hrstd="t" o:hr="t" fillcolor="#a0a0a0" stroked="f"/>
        </w:pict>
      </w:r>
    </w:p>
    <w:p w:rsidR="00000000" w:rsidRDefault="00E0782F">
      <w:pPr>
        <w:jc w:val="both"/>
        <w:divId w:val="202540115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25401154"/>
        <w:rPr>
          <w:rFonts w:eastAsia="Times New Roman"/>
        </w:rPr>
      </w:pPr>
    </w:p>
    <w:p w:rsidR="00000000" w:rsidRDefault="00E0782F">
      <w:pPr>
        <w:jc w:val="center"/>
        <w:divId w:val="2025401154"/>
        <w:rPr>
          <w:rFonts w:eastAsia="Times New Roman"/>
        </w:rPr>
      </w:pPr>
      <w:r>
        <w:rPr>
          <w:rFonts w:eastAsia="Times New Roman"/>
          <w:b/>
          <w:bCs/>
          <w:color w:val="000000"/>
          <w:sz w:val="20"/>
          <w:szCs w:val="20"/>
        </w:rPr>
        <w:t>CAPITAL ONE FINANCIAL CORPORATION</w:t>
      </w:r>
    </w:p>
    <w:p w:rsidR="00000000" w:rsidRDefault="00E0782F">
      <w:pPr>
        <w:jc w:val="center"/>
        <w:divId w:val="2025401154"/>
        <w:rPr>
          <w:rFonts w:eastAsia="Times New Roman"/>
        </w:rPr>
      </w:pPr>
      <w:r>
        <w:rPr>
          <w:rFonts w:eastAsia="Times New Roman"/>
          <w:b/>
          <w:bCs/>
          <w:color w:val="000000"/>
          <w:sz w:val="20"/>
          <w:szCs w:val="20"/>
        </w:rPr>
        <w:t>NOTES TO CONSOLIDATED FINANCIAL STATEMENTS</w:t>
      </w:r>
    </w:p>
    <w:p w:rsidR="00000000" w:rsidRDefault="00E0782F">
      <w:pPr>
        <w:divId w:val="571620811"/>
        <w:rPr>
          <w:rFonts w:eastAsia="Times New Roman"/>
        </w:rPr>
      </w:pPr>
      <w:r>
        <w:rPr>
          <w:rFonts w:eastAsia="Times New Roman"/>
          <w:b/>
          <w:bCs/>
          <w:color w:val="000000"/>
          <w:sz w:val="20"/>
          <w:szCs w:val="20"/>
        </w:rPr>
        <w:t xml:space="preserve">Foreclosed Property and Repossessed Assets </w:t>
      </w:r>
    </w:p>
    <w:p w:rsidR="00000000" w:rsidRDefault="00E0782F">
      <w:pPr>
        <w:jc w:val="both"/>
        <w:divId w:val="614482785"/>
        <w:rPr>
          <w:rFonts w:eastAsia="Times New Roman"/>
        </w:rPr>
      </w:pPr>
      <w:r>
        <w:rPr>
          <w:rFonts w:eastAsia="Times New Roman"/>
          <w:color w:val="000000"/>
          <w:sz w:val="20"/>
          <w:szCs w:val="20"/>
        </w:rPr>
        <w:t>Foreclosed property and repossessed assets obtained through our lending activities typically include commercial real estate or personal property, such as automobiles, and are recorded at net realizable value. For</w:t>
      </w:r>
      <w:r>
        <w:rPr>
          <w:rFonts w:eastAsia="Times New Roman"/>
          <w:color w:val="000000"/>
          <w:sz w:val="20"/>
          <w:szCs w:val="20"/>
        </w:rPr>
        <w:t xml:space="preserve"> foreclosed property and repossessed assets, we generally reclassify the loan to repossessed assets upon repossession of the property in satisfaction of the loan. Net realizable value is the estimated fair value of the underlying collateral less estimated </w:t>
      </w:r>
      <w:r>
        <w:rPr>
          <w:rFonts w:eastAsia="Times New Roman"/>
          <w:color w:val="000000"/>
          <w:sz w:val="20"/>
          <w:szCs w:val="20"/>
        </w:rPr>
        <w:t>selling costs and is based on appraisals, when available. Subsequent to initial recognition, foreclosed property and repossessed assets are recorded at the lower of our initial cost basis or net realizable value, which is routinely monitored and updated. A</w:t>
      </w:r>
      <w:r>
        <w:rPr>
          <w:rFonts w:eastAsia="Times New Roman"/>
          <w:color w:val="000000"/>
          <w:sz w:val="20"/>
          <w:szCs w:val="20"/>
        </w:rPr>
        <w:t>ny changes in net realizable value and gains or losses realized from disposition of the property are recorded in other non-interest expense. See “Note 16—Fair Value Measurement” for details.</w:t>
      </w:r>
    </w:p>
    <w:p w:rsidR="00000000" w:rsidRDefault="00E0782F">
      <w:pPr>
        <w:divId w:val="2088068994"/>
        <w:rPr>
          <w:rFonts w:eastAsia="Times New Roman"/>
        </w:rPr>
      </w:pPr>
      <w:r>
        <w:rPr>
          <w:rFonts w:eastAsia="Times New Roman"/>
          <w:b/>
          <w:bCs/>
          <w:color w:val="000000"/>
          <w:sz w:val="20"/>
          <w:szCs w:val="20"/>
        </w:rPr>
        <w:t>Restricted Equity Investments</w:t>
      </w:r>
    </w:p>
    <w:p w:rsidR="00000000" w:rsidRDefault="00E0782F">
      <w:pPr>
        <w:jc w:val="both"/>
        <w:divId w:val="36197682"/>
        <w:rPr>
          <w:rFonts w:eastAsia="Times New Roman"/>
        </w:rPr>
      </w:pPr>
      <w:r>
        <w:rPr>
          <w:rFonts w:eastAsia="Times New Roman"/>
          <w:color w:val="000000"/>
          <w:sz w:val="20"/>
          <w:szCs w:val="20"/>
        </w:rPr>
        <w:t>We have investments in Federal Home</w:t>
      </w:r>
      <w:r>
        <w:rPr>
          <w:rFonts w:eastAsia="Times New Roman"/>
          <w:color w:val="000000"/>
          <w:sz w:val="20"/>
          <w:szCs w:val="20"/>
        </w:rPr>
        <w:t xml:space="preserve"> Loan Banks (“FHLB”) stock and in the Board of Governors of the Federal Reserve System (“Federal Reserve”) stock. These investments, which are included in other assets on our consolidated balance sheets, are not marketable, are carried at cost, and are rev</w:t>
      </w:r>
      <w:r>
        <w:rPr>
          <w:rFonts w:eastAsia="Times New Roman"/>
          <w:color w:val="000000"/>
          <w:sz w:val="20"/>
          <w:szCs w:val="20"/>
        </w:rPr>
        <w:t>iewed for impairment if there is any indicator of impairment.</w:t>
      </w:r>
    </w:p>
    <w:p w:rsidR="00000000" w:rsidRDefault="00E0782F">
      <w:pPr>
        <w:divId w:val="1851720856"/>
        <w:rPr>
          <w:rFonts w:eastAsia="Times New Roman"/>
        </w:rPr>
      </w:pPr>
      <w:r>
        <w:rPr>
          <w:rFonts w:eastAsia="Times New Roman"/>
          <w:b/>
          <w:bCs/>
          <w:color w:val="000000"/>
          <w:sz w:val="20"/>
          <w:szCs w:val="20"/>
        </w:rPr>
        <w:t>Litigation</w:t>
      </w:r>
    </w:p>
    <w:p w:rsidR="00000000" w:rsidRDefault="00E0782F">
      <w:pPr>
        <w:jc w:val="both"/>
        <w:divId w:val="1250845701"/>
        <w:rPr>
          <w:rFonts w:eastAsia="Times New Roman"/>
        </w:rPr>
      </w:pPr>
      <w:r>
        <w:rPr>
          <w:rFonts w:eastAsia="Times New Roman"/>
          <w:color w:val="000000"/>
          <w:sz w:val="20"/>
          <w:szCs w:val="20"/>
        </w:rPr>
        <w:t>We establish reserves for litigation-related matters, including mortgage representation and warranty related matters, that arise from the ordinary course of our business activities wh</w:t>
      </w:r>
      <w:r>
        <w:rPr>
          <w:rFonts w:eastAsia="Times New Roman"/>
          <w:color w:val="000000"/>
          <w:sz w:val="20"/>
          <w:szCs w:val="20"/>
        </w:rPr>
        <w:t>en it is probable that a loss associated with a claim or proceeding has been incurred and the amount of the loss can be reasonably estimated. Professional service fees, including lawyers’ and experts’ fees, expected to be incurred in connection with a loss</w:t>
      </w:r>
      <w:r>
        <w:rPr>
          <w:rFonts w:eastAsia="Times New Roman"/>
          <w:color w:val="000000"/>
          <w:sz w:val="20"/>
          <w:szCs w:val="20"/>
        </w:rPr>
        <w:t xml:space="preserve"> contingency are expensed as services are provided. See “Note 18—Commitments, Contingencies, Guarantees and Others” for additional information.</w:t>
      </w:r>
    </w:p>
    <w:p w:rsidR="00000000" w:rsidRDefault="00E0782F">
      <w:pPr>
        <w:divId w:val="1082871319"/>
        <w:rPr>
          <w:rFonts w:eastAsia="Times New Roman"/>
        </w:rPr>
      </w:pPr>
      <w:r>
        <w:rPr>
          <w:rFonts w:eastAsia="Times New Roman"/>
          <w:b/>
          <w:bCs/>
          <w:color w:val="000000"/>
          <w:sz w:val="20"/>
          <w:szCs w:val="20"/>
        </w:rPr>
        <w:t xml:space="preserve">Customer Rewards Reserve </w:t>
      </w:r>
    </w:p>
    <w:p w:rsidR="00000000" w:rsidRDefault="00E0782F">
      <w:pPr>
        <w:jc w:val="both"/>
        <w:divId w:val="1577520575"/>
        <w:rPr>
          <w:rFonts w:eastAsia="Times New Roman"/>
        </w:rPr>
      </w:pPr>
      <w:r>
        <w:rPr>
          <w:rFonts w:eastAsia="Times New Roman"/>
          <w:color w:val="000000"/>
          <w:sz w:val="20"/>
          <w:szCs w:val="20"/>
        </w:rPr>
        <w:t>We offer products, primarily credit cards, which include programs that allow members t</w:t>
      </w:r>
      <w:r>
        <w:rPr>
          <w:rFonts w:eastAsia="Times New Roman"/>
          <w:color w:val="000000"/>
          <w:sz w:val="20"/>
          <w:szCs w:val="20"/>
        </w:rPr>
        <w:t>o earn rewards based on account activity that can be redeemed for cash (primarily in the form of statement credits), gift cards, travel, or covering eligible charges. The amount of reward that a customer earns varies based on the terms and conditions of th</w:t>
      </w:r>
      <w:r>
        <w:rPr>
          <w:rFonts w:eastAsia="Times New Roman"/>
          <w:color w:val="000000"/>
          <w:sz w:val="20"/>
          <w:szCs w:val="20"/>
        </w:rPr>
        <w:t>e rewards program and product.</w:t>
      </w:r>
      <w:r>
        <w:rPr>
          <w:rFonts w:eastAsia="Times New Roman"/>
          <w:color w:val="0000FF"/>
          <w:sz w:val="20"/>
          <w:szCs w:val="20"/>
        </w:rPr>
        <w:t xml:space="preserve"> </w:t>
      </w:r>
      <w:r>
        <w:rPr>
          <w:rFonts w:eastAsia="Times New Roman"/>
          <w:color w:val="000000"/>
          <w:sz w:val="20"/>
          <w:szCs w:val="20"/>
        </w:rPr>
        <w:t>When rewards are earned by a customer, rewards expense is generally recorded as an offset to interchange income, with a corresponding increase to the customer rewards reserve. The customer rewards reserve is computed based on</w:t>
      </w:r>
      <w:r>
        <w:rPr>
          <w:rFonts w:eastAsia="Times New Roman"/>
          <w:color w:val="000000"/>
          <w:sz w:val="20"/>
          <w:szCs w:val="20"/>
        </w:rPr>
        <w:t xml:space="preserve"> the estimated future cost of earned rewards that are expected to be redeemed and is reduced as rewards are redeemed. In estimating the customer rewards reserve, we consider historical redemption and spending behavior, as well as the terms and conditions o</w:t>
      </w:r>
      <w:r>
        <w:rPr>
          <w:rFonts w:eastAsia="Times New Roman"/>
          <w:color w:val="000000"/>
          <w:sz w:val="20"/>
          <w:szCs w:val="20"/>
        </w:rPr>
        <w:t>f the current rewards programs, among other factors. We expect the vast majority of all rewards earned will eventually be redeemed. The customer rewards reserve, which is included in other liabilities on our consolidated balance sheets, totaled $5.4 billio</w:t>
      </w:r>
      <w:r>
        <w:rPr>
          <w:rFonts w:eastAsia="Times New Roman"/>
          <w:color w:val="000000"/>
          <w:sz w:val="20"/>
          <w:szCs w:val="20"/>
        </w:rPr>
        <w:t>n and $4.7 billion as of December 31, 2020 and 2019, respectively.</w:t>
      </w:r>
    </w:p>
    <w:p w:rsidR="00000000" w:rsidRDefault="00E0782F">
      <w:pPr>
        <w:divId w:val="1886529403"/>
        <w:rPr>
          <w:rFonts w:eastAsia="Times New Roman"/>
        </w:rPr>
      </w:pPr>
      <w:r>
        <w:rPr>
          <w:rFonts w:eastAsia="Times New Roman"/>
          <w:b/>
          <w:bCs/>
          <w:color w:val="000000"/>
          <w:sz w:val="20"/>
          <w:szCs w:val="20"/>
        </w:rPr>
        <w:t xml:space="preserve">Revenue Recognition </w:t>
      </w:r>
    </w:p>
    <w:p w:rsidR="00000000" w:rsidRDefault="00E0782F">
      <w:pPr>
        <w:divId w:val="743264725"/>
        <w:rPr>
          <w:rFonts w:eastAsia="Times New Roman"/>
        </w:rPr>
      </w:pPr>
      <w:r>
        <w:rPr>
          <w:rFonts w:eastAsia="Times New Roman"/>
          <w:b/>
          <w:bCs/>
          <w:i/>
          <w:iCs/>
          <w:color w:val="000000"/>
          <w:sz w:val="20"/>
          <w:szCs w:val="20"/>
        </w:rPr>
        <w:t>Interest Income and Fees</w:t>
      </w:r>
    </w:p>
    <w:p w:rsidR="00000000" w:rsidRDefault="00E0782F">
      <w:pPr>
        <w:jc w:val="both"/>
        <w:divId w:val="1834101739"/>
        <w:rPr>
          <w:rFonts w:eastAsia="Times New Roman"/>
        </w:rPr>
      </w:pPr>
      <w:r>
        <w:rPr>
          <w:rFonts w:eastAsia="Times New Roman"/>
          <w:color w:val="000000"/>
          <w:sz w:val="20"/>
          <w:szCs w:val="20"/>
        </w:rPr>
        <w:t>Interest income and fees on loans and investment securities are recognized based on the contractual provisions of the underlying arrangements.</w:t>
      </w:r>
    </w:p>
    <w:p w:rsidR="00000000" w:rsidRDefault="00E0782F">
      <w:pPr>
        <w:jc w:val="both"/>
        <w:divId w:val="1739671845"/>
        <w:rPr>
          <w:rFonts w:eastAsia="Times New Roman"/>
        </w:rPr>
      </w:pPr>
      <w:r>
        <w:rPr>
          <w:rFonts w:eastAsia="Times New Roman"/>
          <w:color w:val="000000"/>
          <w:sz w:val="20"/>
          <w:szCs w:val="20"/>
        </w:rPr>
        <w:t>Loan origination fees and costs and premiums and discounts on loans held for investment are deferred and generall</w:t>
      </w:r>
      <w:r>
        <w:rPr>
          <w:rFonts w:eastAsia="Times New Roman"/>
          <w:color w:val="000000"/>
          <w:sz w:val="20"/>
          <w:szCs w:val="20"/>
        </w:rPr>
        <w:t>y amortized into interest income as yield adjustments over the contractual life and/or commitment period using the effective interest method. Costs deferred include direct origination costs such as bounties paid to third parties for new accounts and incent</w:t>
      </w:r>
      <w:r>
        <w:rPr>
          <w:rFonts w:eastAsia="Times New Roman"/>
          <w:color w:val="000000"/>
          <w:sz w:val="20"/>
          <w:szCs w:val="20"/>
        </w:rPr>
        <w:t>ives paid to our network of auto dealers for loan referrals. In certain circumstances, we elect to factor prepayment estimates into the calculation of the constant effective yield necessary to apply the interest method. Prepayment estimates are based on hi</w:t>
      </w:r>
      <w:r>
        <w:rPr>
          <w:rFonts w:eastAsia="Times New Roman"/>
          <w:color w:val="000000"/>
          <w:sz w:val="20"/>
          <w:szCs w:val="20"/>
        </w:rPr>
        <w:t>storical prepayment data, existing and forecasted interest rates, and economic data. For credit card loans, loan origination fees and direct loan origination costs are amortized on a straight-line basis over a 12-month period.</w:t>
      </w:r>
    </w:p>
    <w:p w:rsidR="00000000" w:rsidRDefault="00E0782F">
      <w:pPr>
        <w:jc w:val="both"/>
        <w:divId w:val="621612207"/>
        <w:rPr>
          <w:rFonts w:eastAsia="Times New Roman"/>
        </w:rPr>
      </w:pPr>
      <w:r>
        <w:rPr>
          <w:rFonts w:eastAsia="Times New Roman"/>
          <w:color w:val="000000"/>
          <w:sz w:val="20"/>
          <w:szCs w:val="20"/>
        </w:rPr>
        <w:t>Unamortized premiums, discoun</w:t>
      </w:r>
      <w:r>
        <w:rPr>
          <w:rFonts w:eastAsia="Times New Roman"/>
          <w:color w:val="000000"/>
          <w:sz w:val="20"/>
          <w:szCs w:val="20"/>
        </w:rPr>
        <w:t>ts and other basis adjustments on investment securities are generally recognized in interest income over the contractual lives of the securities using the effective interest method. However, premiums for certain callable investment securities are amortized</w:t>
      </w:r>
      <w:r>
        <w:rPr>
          <w:rFonts w:eastAsia="Times New Roman"/>
          <w:color w:val="000000"/>
          <w:sz w:val="20"/>
          <w:szCs w:val="20"/>
        </w:rPr>
        <w:t xml:space="preserve"> to the earliest call date.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931506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9931506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9931506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4" style="width:0;height:1.5pt" o:hralign="center" o:hrstd="t" o:hr="t" fillcolor="#a0a0a0" stroked="f"/>
        </w:pict>
      </w:r>
    </w:p>
    <w:p w:rsidR="00000000" w:rsidRDefault="00E0782F">
      <w:pPr>
        <w:jc w:val="both"/>
        <w:divId w:val="11954201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19542010"/>
        <w:rPr>
          <w:rFonts w:eastAsia="Times New Roman"/>
        </w:rPr>
      </w:pPr>
    </w:p>
    <w:p w:rsidR="00000000" w:rsidRDefault="00E0782F">
      <w:pPr>
        <w:jc w:val="center"/>
        <w:divId w:val="119542010"/>
        <w:rPr>
          <w:rFonts w:eastAsia="Times New Roman"/>
        </w:rPr>
      </w:pPr>
      <w:r>
        <w:rPr>
          <w:rFonts w:eastAsia="Times New Roman"/>
          <w:b/>
          <w:bCs/>
          <w:color w:val="000000"/>
          <w:sz w:val="20"/>
          <w:szCs w:val="20"/>
        </w:rPr>
        <w:t>CAPITAL ONE FINANCIAL CORPORATION</w:t>
      </w:r>
    </w:p>
    <w:p w:rsidR="00000000" w:rsidRDefault="00E0782F">
      <w:pPr>
        <w:jc w:val="center"/>
        <w:divId w:val="119542010"/>
        <w:rPr>
          <w:rFonts w:eastAsia="Times New Roman"/>
        </w:rPr>
      </w:pPr>
      <w:r>
        <w:rPr>
          <w:rFonts w:eastAsia="Times New Roman"/>
          <w:b/>
          <w:bCs/>
          <w:color w:val="000000"/>
          <w:sz w:val="20"/>
          <w:szCs w:val="20"/>
        </w:rPr>
        <w:t>NOTES TO CONSOLIDATED FINANCIAL STATEMENTS</w:t>
      </w:r>
    </w:p>
    <w:p w:rsidR="00000000" w:rsidRDefault="00E0782F">
      <w:pPr>
        <w:jc w:val="both"/>
        <w:divId w:val="1530607271"/>
        <w:rPr>
          <w:rFonts w:eastAsia="Times New Roman"/>
        </w:rPr>
      </w:pPr>
      <w:r>
        <w:rPr>
          <w:rFonts w:eastAsia="Times New Roman"/>
          <w:color w:val="000000"/>
          <w:sz w:val="20"/>
          <w:szCs w:val="20"/>
        </w:rPr>
        <w:t>Finance charges and fees on credit card loans are recorded in revenue when earned. Billed finance charges and fees on credit card loans are included in loan receivables. Unbilled finance charges and fees on credit card loans are included in interest receiv</w:t>
      </w:r>
      <w:r>
        <w:rPr>
          <w:rFonts w:eastAsia="Times New Roman"/>
          <w:color w:val="000000"/>
          <w:sz w:val="20"/>
          <w:szCs w:val="20"/>
        </w:rPr>
        <w:t>able on our consolidated balance sheets. Annual membership fees are classified as service charges and other customer-related fees in our consolidated statements of income and are deferred and amortized into income over 12 months on a straight-line basis. W</w:t>
      </w:r>
      <w:r>
        <w:rPr>
          <w:rFonts w:eastAsia="Times New Roman"/>
          <w:color w:val="000000"/>
          <w:sz w:val="20"/>
          <w:szCs w:val="20"/>
        </w:rPr>
        <w:t>e continue to accrue finance charges and fees on credit card loans until the account is charged off.</w:t>
      </w:r>
    </w:p>
    <w:p w:rsidR="00000000" w:rsidRDefault="00E0782F">
      <w:pPr>
        <w:divId w:val="1334646211"/>
        <w:rPr>
          <w:rFonts w:eastAsia="Times New Roman"/>
        </w:rPr>
      </w:pPr>
      <w:r>
        <w:rPr>
          <w:rFonts w:eastAsia="Times New Roman"/>
          <w:b/>
          <w:bCs/>
          <w:i/>
          <w:iCs/>
          <w:color w:val="000000"/>
          <w:sz w:val="20"/>
          <w:szCs w:val="20"/>
        </w:rPr>
        <w:t xml:space="preserve">Interchange Income </w:t>
      </w:r>
    </w:p>
    <w:p w:rsidR="00000000" w:rsidRDefault="00E0782F">
      <w:pPr>
        <w:jc w:val="both"/>
        <w:divId w:val="1428383796"/>
        <w:rPr>
          <w:rFonts w:eastAsia="Times New Roman"/>
        </w:rPr>
      </w:pPr>
      <w:r>
        <w:rPr>
          <w:rFonts w:eastAsia="Times New Roman"/>
          <w:color w:val="000000"/>
          <w:sz w:val="20"/>
          <w:szCs w:val="20"/>
        </w:rPr>
        <w:t>Interchange income generally represents fees for standing ready to authorize and providing settlement on credit and debit card transact</w:t>
      </w:r>
      <w:r>
        <w:rPr>
          <w:rFonts w:eastAsia="Times New Roman"/>
          <w:color w:val="000000"/>
          <w:sz w:val="20"/>
          <w:szCs w:val="20"/>
        </w:rPr>
        <w:t>ions processed through the MasterCard® (“MasterCard”) and Visa® (“Visa”) interchange networks. The levels and structure of interchange rates set by MasterCard and Visa and can vary based on cardholder purchase volumes, among other factors. We recognize int</w:t>
      </w:r>
      <w:r>
        <w:rPr>
          <w:rFonts w:eastAsia="Times New Roman"/>
          <w:color w:val="000000"/>
          <w:sz w:val="20"/>
          <w:szCs w:val="20"/>
        </w:rPr>
        <w:t>erchange income upon settlement. See “Note 17—Business Segments and Revenue from Contracts with Customers” for additional details.</w:t>
      </w:r>
    </w:p>
    <w:p w:rsidR="00000000" w:rsidRDefault="00E0782F">
      <w:pPr>
        <w:divId w:val="1211260698"/>
        <w:rPr>
          <w:rFonts w:eastAsia="Times New Roman"/>
        </w:rPr>
      </w:pPr>
      <w:r>
        <w:rPr>
          <w:rFonts w:eastAsia="Times New Roman"/>
          <w:b/>
          <w:bCs/>
          <w:i/>
          <w:iCs/>
          <w:color w:val="000000"/>
          <w:sz w:val="20"/>
          <w:szCs w:val="20"/>
        </w:rPr>
        <w:t xml:space="preserve">Card Partnership Agreements </w:t>
      </w:r>
    </w:p>
    <w:p w:rsidR="00000000" w:rsidRDefault="00E0782F">
      <w:pPr>
        <w:jc w:val="both"/>
        <w:divId w:val="125395860"/>
        <w:rPr>
          <w:rFonts w:eastAsia="Times New Roman"/>
        </w:rPr>
      </w:pPr>
      <w:r>
        <w:rPr>
          <w:rFonts w:eastAsia="Times New Roman"/>
          <w:color w:val="000000"/>
          <w:sz w:val="20"/>
          <w:szCs w:val="20"/>
        </w:rPr>
        <w:t xml:space="preserve">We have contractual agreements with certain retailers and other partners to provide lending and </w:t>
      </w:r>
      <w:r>
        <w:rPr>
          <w:rFonts w:eastAsia="Times New Roman"/>
          <w:color w:val="000000"/>
          <w:sz w:val="20"/>
          <w:szCs w:val="20"/>
        </w:rPr>
        <w:t xml:space="preserve">other services to mutual customers. We primarily issue private-label and cobrand credit card loans to these customers over the term of the partnership agreements, which typically range from two years to ten years. </w:t>
      </w:r>
    </w:p>
    <w:p w:rsidR="00000000" w:rsidRDefault="00E0782F">
      <w:pPr>
        <w:jc w:val="both"/>
        <w:divId w:val="1269653258"/>
        <w:rPr>
          <w:rFonts w:eastAsia="Times New Roman"/>
        </w:rPr>
      </w:pPr>
      <w:r>
        <w:rPr>
          <w:rFonts w:eastAsia="Times New Roman"/>
          <w:color w:val="000000"/>
          <w:sz w:val="20"/>
          <w:szCs w:val="20"/>
        </w:rPr>
        <w:t>Certain partners assist in or perform mar</w:t>
      </w:r>
      <w:r>
        <w:rPr>
          <w:rFonts w:eastAsia="Times New Roman"/>
          <w:color w:val="000000"/>
          <w:sz w:val="20"/>
          <w:szCs w:val="20"/>
        </w:rPr>
        <w:t xml:space="preserve">keting activities on our behalf and promote our products and services to their customers. As compensation for providing these services, we often pay royalties, bounties or other special bonuses to these partners. Depending upon the nature of the payments, </w:t>
      </w:r>
      <w:r>
        <w:rPr>
          <w:rFonts w:eastAsia="Times New Roman"/>
          <w:color w:val="000000"/>
          <w:sz w:val="20"/>
          <w:szCs w:val="20"/>
        </w:rPr>
        <w:t>they are recorded as reductions of revenue, marketing expenses or other operating expenses. Our credit card partnership agreements may also provide for profit or revenue sharing payments which are presented as a reduction of the related revenue line item(s</w:t>
      </w:r>
      <w:r>
        <w:rPr>
          <w:rFonts w:eastAsia="Times New Roman"/>
          <w:color w:val="000000"/>
          <w:sz w:val="20"/>
          <w:szCs w:val="20"/>
        </w:rPr>
        <w:t>) when owed to the partner.</w:t>
      </w:r>
    </w:p>
    <w:p w:rsidR="00000000" w:rsidRDefault="00E0782F">
      <w:pPr>
        <w:jc w:val="both"/>
        <w:divId w:val="597718323"/>
        <w:rPr>
          <w:rFonts w:eastAsia="Times New Roman"/>
        </w:rPr>
      </w:pPr>
      <w:r>
        <w:rPr>
          <w:rFonts w:eastAsia="Times New Roman"/>
          <w:color w:val="000000"/>
          <w:sz w:val="20"/>
          <w:szCs w:val="20"/>
        </w:rPr>
        <w:t xml:space="preserve">When a partner agrees to share a portion of the credit losses associated with the partnership, we evaluate the contractual provisions for the loss share payments as well as applicable accounting guidance to determine whether to </w:t>
      </w:r>
      <w:r>
        <w:rPr>
          <w:rFonts w:eastAsia="Times New Roman"/>
          <w:color w:val="000000"/>
          <w:sz w:val="20"/>
          <w:szCs w:val="20"/>
        </w:rPr>
        <w:t>present the sharing of losses on a gross or net basis in our consolidated financial statements. When loss sharing amounts due from partners are presented on a net basis, they are recorded as a reduction to our provision for credit losses in our consolidate</w:t>
      </w:r>
      <w:r>
        <w:rPr>
          <w:rFonts w:eastAsia="Times New Roman"/>
          <w:color w:val="000000"/>
          <w:sz w:val="20"/>
          <w:szCs w:val="20"/>
        </w:rPr>
        <w:t>d statements of income and reduce the charge-off amounts that we report. The allowance for credit losses attributable to these portfolios is also reduced by the expected reimbursements from these partners for loss sharing amounts. See “Note 4—Allowance for</w:t>
      </w:r>
      <w:r>
        <w:rPr>
          <w:rFonts w:eastAsia="Times New Roman"/>
          <w:color w:val="000000"/>
          <w:sz w:val="20"/>
          <w:szCs w:val="20"/>
        </w:rPr>
        <w:t xml:space="preserve"> Credit Losses and Reserve for Unfunded Lending Commitments” for additional information related to our loss sharing arrangements. For loss sharing arrangements presented on a gross basis, any loss share payments due from the partner are recorded as a part </w:t>
      </w:r>
      <w:r>
        <w:rPr>
          <w:rFonts w:eastAsia="Times New Roman"/>
          <w:color w:val="000000"/>
          <w:sz w:val="20"/>
          <w:szCs w:val="20"/>
        </w:rPr>
        <w:t>of revenue, and the allowance for credit losses is not reduced by the expected loss share reimbursements, but rather an indemnification asset is recorded. Our consolidated net income is the same regardless of how revenue and loss sharing arrangements are r</w:t>
      </w:r>
      <w:r>
        <w:rPr>
          <w:rFonts w:eastAsia="Times New Roman"/>
          <w:color w:val="000000"/>
          <w:sz w:val="20"/>
          <w:szCs w:val="20"/>
        </w:rPr>
        <w:t>eported.</w:t>
      </w:r>
    </w:p>
    <w:p w:rsidR="00000000" w:rsidRDefault="00E0782F">
      <w:pPr>
        <w:divId w:val="1101610186"/>
        <w:rPr>
          <w:rFonts w:eastAsia="Times New Roman"/>
        </w:rPr>
      </w:pPr>
      <w:r>
        <w:rPr>
          <w:rFonts w:eastAsia="Times New Roman"/>
          <w:b/>
          <w:bCs/>
          <w:i/>
          <w:iCs/>
          <w:color w:val="000000"/>
          <w:sz w:val="20"/>
          <w:szCs w:val="20"/>
        </w:rPr>
        <w:t xml:space="preserve">Collaborative Arrangements </w:t>
      </w:r>
    </w:p>
    <w:p w:rsidR="00000000" w:rsidRDefault="00E0782F">
      <w:pPr>
        <w:jc w:val="both"/>
        <w:divId w:val="451049911"/>
        <w:rPr>
          <w:rFonts w:eastAsia="Times New Roman"/>
        </w:rPr>
      </w:pPr>
      <w:r>
        <w:rPr>
          <w:rFonts w:eastAsia="Times New Roman"/>
          <w:color w:val="000000"/>
          <w:sz w:val="20"/>
          <w:szCs w:val="20"/>
        </w:rPr>
        <w:t xml:space="preserve">A collaborative arrangement is a contractual arrangement that involves a joint operating activity between two or more parties that are active participants in the activity. These parties are exposed to significant risks </w:t>
      </w:r>
      <w:r>
        <w:rPr>
          <w:rFonts w:eastAsia="Times New Roman"/>
          <w:color w:val="000000"/>
          <w:sz w:val="20"/>
          <w:szCs w:val="20"/>
        </w:rPr>
        <w:t>and rewards based upon the economic success of the joint operating activity. We assess each of our partnership agreements with profit, revenue or loss sharing payments to determine if a collaborative arrangement exists and, if so, how revenue generated fro</w:t>
      </w:r>
      <w:r>
        <w:rPr>
          <w:rFonts w:eastAsia="Times New Roman"/>
          <w:color w:val="000000"/>
          <w:sz w:val="20"/>
          <w:szCs w:val="20"/>
        </w:rPr>
        <w:t>m third parties, costs incurred and transactions between participants in the collaborative arrangement should be accounted for and reported on our consolidated financial statements.</w:t>
      </w:r>
    </w:p>
    <w:p w:rsidR="00000000" w:rsidRDefault="00E0782F">
      <w:pPr>
        <w:jc w:val="both"/>
        <w:divId w:val="89619855"/>
        <w:rPr>
          <w:rFonts w:eastAsia="Times New Roman"/>
        </w:rPr>
      </w:pPr>
      <w:r>
        <w:rPr>
          <w:rFonts w:eastAsia="Times New Roman"/>
          <w:color w:val="000000"/>
          <w:sz w:val="20"/>
          <w:szCs w:val="20"/>
        </w:rPr>
        <w:t>We currently have one partnership agreement that meets the definition of a</w:t>
      </w:r>
      <w:r>
        <w:rPr>
          <w:rFonts w:eastAsia="Times New Roman"/>
          <w:color w:val="000000"/>
          <w:sz w:val="20"/>
          <w:szCs w:val="20"/>
        </w:rPr>
        <w:t xml:space="preserve"> collaborative agreement. We share a fixed percentage of revenues, consisting of finance charges and late fees, with the partner, and the partner is required to reimburse us for a fixed percentage of credit losses incurred. Revenues and losses related to t</w:t>
      </w:r>
      <w:r>
        <w:rPr>
          <w:rFonts w:eastAsia="Times New Roman"/>
          <w:color w:val="000000"/>
          <w:sz w:val="20"/>
          <w:szCs w:val="20"/>
        </w:rPr>
        <w:t>he partner’s credit card program and partnership agreement are reported on a net basis in our consolidated financial statements. Revenue sharing amounts attributable to the partner are recorded as an offset against total net revenue in our consolidated sta</w:t>
      </w:r>
      <w:r>
        <w:rPr>
          <w:rFonts w:eastAsia="Times New Roman"/>
          <w:color w:val="000000"/>
          <w:sz w:val="20"/>
          <w:szCs w:val="20"/>
        </w:rPr>
        <w:t xml:space="preserve">tements of income. Interest income was reduced by $1.1 billion, $1.0 billion and $1.3 billion in December 31, 2020, 2019 and 2018, respectively, for amounts earned by the partner pursuant to the partnership agreement. The impact of all of our loss sharing </w:t>
      </w:r>
      <w:r>
        <w:rPr>
          <w:rFonts w:eastAsia="Times New Roman"/>
          <w:color w:val="000000"/>
          <w:sz w:val="20"/>
          <w:szCs w:val="20"/>
        </w:rPr>
        <w:t>arrangements that are presented on a net basis is included in “Note 4—Allowance for Credit Losses and Reserve for Unfunded Lending Commitments.”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4683171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4683171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4683171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139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5" style="width:0;height:1.5pt" o:hralign="center" o:hrstd="t" o:hr="t" fillcolor="#a0a0a0" stroked="f"/>
        </w:pict>
      </w:r>
    </w:p>
    <w:p w:rsidR="00000000" w:rsidRDefault="00E0782F">
      <w:pPr>
        <w:jc w:val="both"/>
        <w:divId w:val="203321502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33215022"/>
        <w:rPr>
          <w:rFonts w:eastAsia="Times New Roman"/>
        </w:rPr>
      </w:pPr>
    </w:p>
    <w:p w:rsidR="00000000" w:rsidRDefault="00E0782F">
      <w:pPr>
        <w:jc w:val="center"/>
        <w:divId w:val="2033215022"/>
        <w:rPr>
          <w:rFonts w:eastAsia="Times New Roman"/>
        </w:rPr>
      </w:pPr>
      <w:r>
        <w:rPr>
          <w:rFonts w:eastAsia="Times New Roman"/>
          <w:b/>
          <w:bCs/>
          <w:color w:val="000000"/>
          <w:sz w:val="20"/>
          <w:szCs w:val="20"/>
        </w:rPr>
        <w:t>CAPITAL ONE FINANCIAL CORPORATION</w:t>
      </w:r>
    </w:p>
    <w:p w:rsidR="00000000" w:rsidRDefault="00E0782F">
      <w:pPr>
        <w:jc w:val="center"/>
        <w:divId w:val="2033215022"/>
        <w:rPr>
          <w:rFonts w:eastAsia="Times New Roman"/>
        </w:rPr>
      </w:pPr>
      <w:r>
        <w:rPr>
          <w:rFonts w:eastAsia="Times New Roman"/>
          <w:b/>
          <w:bCs/>
          <w:color w:val="000000"/>
          <w:sz w:val="20"/>
          <w:szCs w:val="20"/>
        </w:rPr>
        <w:t>NOTES TO CONSOLIDATED FINANCIAL STATEMENTS</w:t>
      </w:r>
    </w:p>
    <w:p w:rsidR="00000000" w:rsidRDefault="00E0782F">
      <w:pPr>
        <w:divId w:val="334191964"/>
        <w:rPr>
          <w:rFonts w:eastAsia="Times New Roman"/>
        </w:rPr>
      </w:pPr>
      <w:r>
        <w:rPr>
          <w:rFonts w:eastAsia="Times New Roman"/>
          <w:b/>
          <w:bCs/>
          <w:color w:val="000000"/>
          <w:sz w:val="20"/>
          <w:szCs w:val="20"/>
        </w:rPr>
        <w:t xml:space="preserve">Stock-Based Compensation </w:t>
      </w:r>
    </w:p>
    <w:p w:rsidR="00000000" w:rsidRDefault="00E0782F">
      <w:pPr>
        <w:jc w:val="both"/>
        <w:divId w:val="651829959"/>
        <w:rPr>
          <w:rFonts w:eastAsia="Times New Roman"/>
        </w:rPr>
      </w:pPr>
      <w:r>
        <w:rPr>
          <w:rFonts w:eastAsia="Times New Roman"/>
          <w:color w:val="000000"/>
          <w:sz w:val="20"/>
          <w:szCs w:val="20"/>
        </w:rPr>
        <w:t>We are authorized to issue stock–based compensation to employees and directors in various forms, primarily as restricted stock units (“RSUs”), performance share units and stock options. In addition, we also issue cash equity units and cash-settled restrict</w:t>
      </w:r>
      <w:r>
        <w:rPr>
          <w:rFonts w:eastAsia="Times New Roman"/>
          <w:color w:val="000000"/>
          <w:sz w:val="20"/>
          <w:szCs w:val="20"/>
        </w:rPr>
        <w:t>ed stock units which are not counted against the common shares reserved for issuance or available for issuance because they are settled in cash. </w:t>
      </w:r>
    </w:p>
    <w:p w:rsidR="00000000" w:rsidRDefault="00E0782F">
      <w:pPr>
        <w:jc w:val="both"/>
        <w:divId w:val="1371414638"/>
        <w:rPr>
          <w:rFonts w:eastAsia="Times New Roman"/>
        </w:rPr>
      </w:pPr>
      <w:r>
        <w:rPr>
          <w:rFonts w:eastAsia="Times New Roman"/>
          <w:color w:val="000000"/>
          <w:sz w:val="20"/>
          <w:szCs w:val="20"/>
        </w:rPr>
        <w:t>For awards settled in shares, we generally recognize compensation expense on a straight-line basis over the aw</w:t>
      </w:r>
      <w:r>
        <w:rPr>
          <w:rFonts w:eastAsia="Times New Roman"/>
          <w:color w:val="000000"/>
          <w:sz w:val="20"/>
          <w:szCs w:val="20"/>
        </w:rPr>
        <w:t>ard’s requisite service period based on the fair value of the award at the grant date. If an award settled in shares contains a performance condition with graded vesting, we recognize compensation expense using the accelerated attribution method. Equity un</w:t>
      </w:r>
      <w:r>
        <w:rPr>
          <w:rFonts w:eastAsia="Times New Roman"/>
          <w:color w:val="000000"/>
          <w:sz w:val="20"/>
          <w:szCs w:val="20"/>
        </w:rPr>
        <w:t xml:space="preserve">its and restricted stock units that are cash-settled are accounted for as liability awards which results in quarterly expense fluctuations based on changes in our stock price through the date that the awards are settled. Awards that continue to vest after </w:t>
      </w:r>
      <w:r>
        <w:rPr>
          <w:rFonts w:eastAsia="Times New Roman"/>
          <w:color w:val="000000"/>
          <w:sz w:val="20"/>
          <w:szCs w:val="20"/>
        </w:rPr>
        <w:t xml:space="preserve">retirement are expensed over the shorter of the time period between the grant date and the final vesting period or between the grant date and when the participant becomes retirement eligible. Awards to participants who are retirement eligible at the grant </w:t>
      </w:r>
      <w:r>
        <w:rPr>
          <w:rFonts w:eastAsia="Times New Roman"/>
          <w:color w:val="000000"/>
          <w:sz w:val="20"/>
          <w:szCs w:val="20"/>
        </w:rPr>
        <w:t xml:space="preserve">date are subject to immediate expense recognition. Stock-based compensation expense is included in salaries and associate benefits in the consolidated statements of income. </w:t>
      </w:r>
    </w:p>
    <w:p w:rsidR="00000000" w:rsidRDefault="00E0782F">
      <w:pPr>
        <w:jc w:val="both"/>
        <w:divId w:val="988944176"/>
        <w:rPr>
          <w:rFonts w:eastAsia="Times New Roman"/>
        </w:rPr>
      </w:pPr>
      <w:r>
        <w:rPr>
          <w:rFonts w:eastAsia="Times New Roman"/>
          <w:color w:val="000000"/>
          <w:sz w:val="20"/>
          <w:szCs w:val="20"/>
        </w:rPr>
        <w:t>For RSUs and performance share units, the fair value of stock-based compensation u</w:t>
      </w:r>
      <w:r>
        <w:rPr>
          <w:rFonts w:eastAsia="Times New Roman"/>
          <w:color w:val="000000"/>
          <w:sz w:val="20"/>
          <w:szCs w:val="20"/>
        </w:rPr>
        <w:t>sed in determining compensation expense will generally equal the fair market value of our common stock on the date of grant. Stock-based compensation expense for equity classified stock options is based on the grant date fair value, which is estimated usin</w:t>
      </w:r>
      <w:r>
        <w:rPr>
          <w:rFonts w:eastAsia="Times New Roman"/>
          <w:color w:val="000000"/>
          <w:sz w:val="20"/>
          <w:szCs w:val="20"/>
        </w:rPr>
        <w:t>g a Black-Scholes option pricing model. Certain share-settled awards have discretionary vesting conditions which result in the remeasurement of these awards at fair value each reporting period and the potential for compensation expense to fluctuate with ch</w:t>
      </w:r>
      <w:r>
        <w:rPr>
          <w:rFonts w:eastAsia="Times New Roman"/>
          <w:color w:val="000000"/>
          <w:sz w:val="20"/>
          <w:szCs w:val="20"/>
        </w:rPr>
        <w:t>anges in our stock price. See “Note 13—Stock-Based Compensation Plans” for additional details.</w:t>
      </w:r>
    </w:p>
    <w:p w:rsidR="00000000" w:rsidRDefault="00E0782F">
      <w:pPr>
        <w:divId w:val="704907793"/>
        <w:rPr>
          <w:rFonts w:eastAsia="Times New Roman"/>
        </w:rPr>
      </w:pPr>
      <w:r>
        <w:rPr>
          <w:rFonts w:eastAsia="Times New Roman"/>
          <w:b/>
          <w:bCs/>
          <w:color w:val="000000"/>
          <w:sz w:val="20"/>
          <w:szCs w:val="20"/>
        </w:rPr>
        <w:t xml:space="preserve">Marketing Expenses </w:t>
      </w:r>
    </w:p>
    <w:p w:rsidR="00000000" w:rsidRDefault="00E0782F">
      <w:pPr>
        <w:jc w:val="both"/>
        <w:divId w:val="1237327013"/>
        <w:rPr>
          <w:rFonts w:eastAsia="Times New Roman"/>
        </w:rPr>
      </w:pPr>
      <w:r>
        <w:rPr>
          <w:rFonts w:eastAsia="Times New Roman"/>
          <w:color w:val="000000"/>
          <w:sz w:val="20"/>
          <w:szCs w:val="20"/>
        </w:rPr>
        <w:t>Marketing expense includes the cost of our various promotional efforts to attract and retain customers such as advertising, promotional mater</w:t>
      </w:r>
      <w:r>
        <w:rPr>
          <w:rFonts w:eastAsia="Times New Roman"/>
          <w:color w:val="000000"/>
          <w:sz w:val="20"/>
          <w:szCs w:val="20"/>
        </w:rPr>
        <w:t xml:space="preserve">ials, and certain customer incentives. We expense marketing costs as incurred. </w:t>
      </w:r>
    </w:p>
    <w:p w:rsidR="00000000" w:rsidRDefault="00E0782F">
      <w:pPr>
        <w:divId w:val="1914392942"/>
        <w:rPr>
          <w:rFonts w:eastAsia="Times New Roman"/>
        </w:rPr>
      </w:pPr>
      <w:r>
        <w:rPr>
          <w:rFonts w:eastAsia="Times New Roman"/>
          <w:b/>
          <w:bCs/>
          <w:color w:val="000000"/>
          <w:sz w:val="20"/>
          <w:szCs w:val="20"/>
        </w:rPr>
        <w:t>Income Taxes</w:t>
      </w:r>
    </w:p>
    <w:p w:rsidR="00000000" w:rsidRDefault="00E0782F">
      <w:pPr>
        <w:jc w:val="both"/>
        <w:divId w:val="51849056"/>
        <w:rPr>
          <w:rFonts w:eastAsia="Times New Roman"/>
        </w:rPr>
      </w:pPr>
      <w:r>
        <w:rPr>
          <w:rFonts w:eastAsia="Times New Roman"/>
          <w:color w:val="000000"/>
          <w:sz w:val="20"/>
          <w:szCs w:val="20"/>
        </w:rPr>
        <w:t xml:space="preserve">We recognize the current and deferred tax consequences of all transactions that have been recognized in the financial statements using the provisions of the enacted tax laws. Current income tax expense represents our estimated taxes to be paid or refunded </w:t>
      </w:r>
      <w:r>
        <w:rPr>
          <w:rFonts w:eastAsia="Times New Roman"/>
          <w:color w:val="000000"/>
          <w:sz w:val="20"/>
          <w:szCs w:val="20"/>
        </w:rPr>
        <w:t>for the current period and includes income tax expense related to our uncertain tax positions, as well as tax-related interest and penalties. Deferred tax assets and liabilities are determined based on differences between the financial reporting and tax ba</w:t>
      </w:r>
      <w:r>
        <w:rPr>
          <w:rFonts w:eastAsia="Times New Roman"/>
          <w:color w:val="000000"/>
          <w:sz w:val="20"/>
          <w:szCs w:val="20"/>
        </w:rPr>
        <w:t>sis of assets and liabilities and are measured using the enacted tax rates and laws that will be in effect when the differences are expected to reverse. We record valuation allowances to reduce deferred tax assets to the amount that is more likely than not</w:t>
      </w:r>
      <w:r>
        <w:rPr>
          <w:rFonts w:eastAsia="Times New Roman"/>
          <w:color w:val="000000"/>
          <w:sz w:val="20"/>
          <w:szCs w:val="20"/>
        </w:rPr>
        <w:t xml:space="preserve"> to be realized. We record the effect of remeasuring deferred tax assets and liabilities due to a change in tax rates or laws as a component of income tax expense related to continuing operations for the period in which the change is enacted. We subsequent</w:t>
      </w:r>
      <w:r>
        <w:rPr>
          <w:rFonts w:eastAsia="Times New Roman"/>
          <w:color w:val="000000"/>
          <w:sz w:val="20"/>
          <w:szCs w:val="20"/>
        </w:rPr>
        <w:t>ly release income tax effects stranded in AOCI using a portfolio approach. Income tax benefits are recognized when, based on their technical merits, they are more likely than not to be sustained upon examination. The amount recognized is the largest amount</w:t>
      </w:r>
      <w:r>
        <w:rPr>
          <w:rFonts w:eastAsia="Times New Roman"/>
          <w:color w:val="000000"/>
          <w:sz w:val="20"/>
          <w:szCs w:val="20"/>
        </w:rPr>
        <w:t xml:space="preserve"> of benefit that is more likely than not to be realized upon settlement. See “Note 15—Income Taxes” for additional details.</w:t>
      </w:r>
    </w:p>
    <w:p w:rsidR="00000000" w:rsidRDefault="00E0782F">
      <w:pPr>
        <w:divId w:val="567036142"/>
        <w:rPr>
          <w:rFonts w:eastAsia="Times New Roman"/>
        </w:rPr>
      </w:pPr>
      <w:r>
        <w:rPr>
          <w:rFonts w:eastAsia="Times New Roman"/>
          <w:b/>
          <w:bCs/>
          <w:color w:val="000000"/>
          <w:sz w:val="20"/>
          <w:szCs w:val="20"/>
        </w:rPr>
        <w:t>Earnings Per Share</w:t>
      </w:r>
    </w:p>
    <w:p w:rsidR="00000000" w:rsidRDefault="00E0782F">
      <w:pPr>
        <w:jc w:val="both"/>
        <w:divId w:val="1843616825"/>
        <w:rPr>
          <w:rFonts w:eastAsia="Times New Roman"/>
        </w:rPr>
      </w:pPr>
      <w:r>
        <w:rPr>
          <w:rFonts w:eastAsia="Times New Roman"/>
          <w:color w:val="000000"/>
          <w:sz w:val="20"/>
          <w:szCs w:val="20"/>
        </w:rPr>
        <w:t>Earnings per share is calculated and reported under the “two-class” method. The “two-class” method is an earnings</w:t>
      </w:r>
      <w:r>
        <w:rPr>
          <w:rFonts w:eastAsia="Times New Roman"/>
          <w:color w:val="000000"/>
          <w:sz w:val="20"/>
          <w:szCs w:val="20"/>
        </w:rPr>
        <w:t xml:space="preserve"> allocation method under which earnings per share is calculated for each class of common stock and participating security considering both dividends declared or accumulated and participation rights in undistributed earnings as if all such earnings had been</w:t>
      </w:r>
      <w:r>
        <w:rPr>
          <w:rFonts w:eastAsia="Times New Roman"/>
          <w:color w:val="000000"/>
          <w:sz w:val="20"/>
          <w:szCs w:val="20"/>
        </w:rPr>
        <w:t xml:space="preserve"> distributed during the period. We have unvested share-based payment awards which have a right to receive non-forfeitable dividends, which are deemed to be participating securities.</w:t>
      </w:r>
    </w:p>
    <w:p w:rsidR="00000000" w:rsidRDefault="00E0782F">
      <w:pPr>
        <w:jc w:val="both"/>
        <w:divId w:val="256669553"/>
        <w:rPr>
          <w:rFonts w:eastAsia="Times New Roman"/>
        </w:rPr>
      </w:pPr>
      <w:r>
        <w:rPr>
          <w:rFonts w:eastAsia="Times New Roman"/>
          <w:color w:val="000000"/>
          <w:sz w:val="20"/>
          <w:szCs w:val="20"/>
        </w:rPr>
        <w:t>We calculate basic earnings per share by dividing net income, after deduct</w:t>
      </w:r>
      <w:r>
        <w:rPr>
          <w:rFonts w:eastAsia="Times New Roman"/>
          <w:color w:val="000000"/>
          <w:sz w:val="20"/>
          <w:szCs w:val="20"/>
        </w:rPr>
        <w:t>ing dividends on preferred stock and participating securities as well as undistributed earnings allocated to participating securities, by the average number of common shares outstanding during the period, net of any treasury shares. We calculate diluted ea</w:t>
      </w:r>
      <w:r>
        <w:rPr>
          <w:rFonts w:eastAsia="Times New Roman"/>
          <w:color w:val="000000"/>
          <w:sz w:val="20"/>
          <w:szCs w:val="20"/>
        </w:rPr>
        <w:t xml:space="preserve">rnings per share in a similar manner after consideration of the potential dilutive effect of common stock equivalents on the average number of common shares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6078629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6078629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6078629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6" style="width:0;height:1.5pt" o:hralign="center" o:hrstd="t" o:hr="t" fillcolor="#a0a0a0" stroked="f"/>
        </w:pict>
      </w:r>
    </w:p>
    <w:p w:rsidR="00000000" w:rsidRDefault="00E0782F">
      <w:pPr>
        <w:jc w:val="both"/>
        <w:divId w:val="135600558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356005581"/>
        <w:rPr>
          <w:rFonts w:eastAsia="Times New Roman"/>
        </w:rPr>
      </w:pPr>
    </w:p>
    <w:p w:rsidR="00000000" w:rsidRDefault="00E0782F">
      <w:pPr>
        <w:jc w:val="center"/>
        <w:divId w:val="1356005581"/>
        <w:rPr>
          <w:rFonts w:eastAsia="Times New Roman"/>
        </w:rPr>
      </w:pPr>
      <w:r>
        <w:rPr>
          <w:rFonts w:eastAsia="Times New Roman"/>
          <w:b/>
          <w:bCs/>
          <w:color w:val="000000"/>
          <w:sz w:val="20"/>
          <w:szCs w:val="20"/>
        </w:rPr>
        <w:t>CAPITAL ONE FINANCIAL CORPORATION</w:t>
      </w:r>
    </w:p>
    <w:p w:rsidR="00000000" w:rsidRDefault="00E0782F">
      <w:pPr>
        <w:jc w:val="center"/>
        <w:divId w:val="1356005581"/>
        <w:rPr>
          <w:rFonts w:eastAsia="Times New Roman"/>
        </w:rPr>
      </w:pPr>
      <w:r>
        <w:rPr>
          <w:rFonts w:eastAsia="Times New Roman"/>
          <w:b/>
          <w:bCs/>
          <w:color w:val="000000"/>
          <w:sz w:val="20"/>
          <w:szCs w:val="20"/>
        </w:rPr>
        <w:t>NOTES TO CONSOLIDATED FINANCIAL STATEMENTS</w:t>
      </w:r>
    </w:p>
    <w:p w:rsidR="00000000" w:rsidRDefault="00E0782F">
      <w:pPr>
        <w:jc w:val="both"/>
        <w:divId w:val="1208713138"/>
        <w:rPr>
          <w:rFonts w:eastAsia="Times New Roman"/>
        </w:rPr>
      </w:pPr>
      <w:r>
        <w:rPr>
          <w:rFonts w:eastAsia="Times New Roman"/>
          <w:color w:val="000000"/>
          <w:sz w:val="20"/>
          <w:szCs w:val="20"/>
        </w:rPr>
        <w:t>outstanding during the period. Common stock equivalents include w</w:t>
      </w:r>
      <w:r>
        <w:rPr>
          <w:rFonts w:eastAsia="Times New Roman"/>
          <w:color w:val="000000"/>
          <w:sz w:val="20"/>
          <w:szCs w:val="20"/>
        </w:rPr>
        <w:t>arrants, stock options, restricted stock awards and units, and performance share awards and units. Common stock equivalents are calculated based upon the treasury stock method using an average market price of common shares during the period. Dilution is no</w:t>
      </w:r>
      <w:r>
        <w:rPr>
          <w:rFonts w:eastAsia="Times New Roman"/>
          <w:color w:val="000000"/>
          <w:sz w:val="20"/>
          <w:szCs w:val="20"/>
        </w:rPr>
        <w:t>t considered when a net loss is reported. Common stock equivalents that have an antidilutive effect are excluded from the computation of diluted earnings per share. See “Note 12—Earnings Per Common Share” for additional details.</w:t>
      </w:r>
    </w:p>
    <w:p w:rsidR="00000000" w:rsidRDefault="00E0782F">
      <w:pPr>
        <w:divId w:val="1818690872"/>
        <w:rPr>
          <w:rFonts w:eastAsia="Times New Roman"/>
        </w:rPr>
      </w:pPr>
      <w:r>
        <w:rPr>
          <w:rFonts w:eastAsia="Times New Roman"/>
          <w:b/>
          <w:bCs/>
          <w:color w:val="000000"/>
          <w:sz w:val="20"/>
          <w:szCs w:val="20"/>
        </w:rPr>
        <w:t xml:space="preserve">Derivative Instruments and </w:t>
      </w:r>
      <w:r>
        <w:rPr>
          <w:rFonts w:eastAsia="Times New Roman"/>
          <w:b/>
          <w:bCs/>
          <w:color w:val="000000"/>
          <w:sz w:val="20"/>
          <w:szCs w:val="20"/>
        </w:rPr>
        <w:t>Hedging Activities</w:t>
      </w:r>
    </w:p>
    <w:p w:rsidR="00000000" w:rsidRDefault="00E0782F">
      <w:pPr>
        <w:jc w:val="both"/>
        <w:divId w:val="1049374756"/>
        <w:rPr>
          <w:rFonts w:eastAsia="Times New Roman"/>
        </w:rPr>
      </w:pPr>
      <w:r>
        <w:rPr>
          <w:rFonts w:eastAsia="Times New Roman"/>
          <w:color w:val="000000"/>
          <w:sz w:val="20"/>
          <w:szCs w:val="20"/>
        </w:rPr>
        <w:t>All derivative financial instruments, whether designated for hedge accounting or not, are reported at their fair value on our consolidated balance sheets as either assets or liabilities, with consideration of legally enforceable master n</w:t>
      </w:r>
      <w:r>
        <w:rPr>
          <w:rFonts w:eastAsia="Times New Roman"/>
          <w:color w:val="000000"/>
          <w:sz w:val="20"/>
          <w:szCs w:val="20"/>
        </w:rPr>
        <w:t xml:space="preserve">etting arrangements that allow us to net settle positive and negative positions and offset cash collateral with the same counterparty. We report net derivatives in a gain position, or derivative assets, on our consolidated balance sheets as a component of </w:t>
      </w:r>
      <w:r>
        <w:rPr>
          <w:rFonts w:eastAsia="Times New Roman"/>
          <w:color w:val="000000"/>
          <w:sz w:val="20"/>
          <w:szCs w:val="20"/>
        </w:rPr>
        <w:t>other assets. We report net derivatives in a loss position, or derivative liabilities, on our consolidated balance sheets as a component of other liabilities. See “Note 9—Derivative Instruments and Hedging Activities” for additional details.</w:t>
      </w:r>
    </w:p>
    <w:p w:rsidR="00000000" w:rsidRDefault="00E0782F">
      <w:pPr>
        <w:divId w:val="1736514554"/>
        <w:rPr>
          <w:rFonts w:eastAsia="Times New Roman"/>
        </w:rPr>
      </w:pPr>
      <w:r>
        <w:rPr>
          <w:rFonts w:eastAsia="Times New Roman"/>
          <w:b/>
          <w:bCs/>
          <w:color w:val="000000"/>
          <w:sz w:val="20"/>
          <w:szCs w:val="20"/>
        </w:rPr>
        <w:t xml:space="preserve">Fair Value </w:t>
      </w:r>
    </w:p>
    <w:p w:rsidR="00000000" w:rsidRDefault="00E0782F">
      <w:pPr>
        <w:jc w:val="both"/>
        <w:divId w:val="1260523680"/>
        <w:rPr>
          <w:rFonts w:eastAsia="Times New Roman"/>
        </w:rPr>
      </w:pPr>
      <w:r>
        <w:rPr>
          <w:rFonts w:eastAsia="Times New Roman"/>
          <w:color w:val="000000"/>
          <w:sz w:val="20"/>
          <w:szCs w:val="20"/>
        </w:rPr>
        <w:t>Fa</w:t>
      </w:r>
      <w:r>
        <w:rPr>
          <w:rFonts w:eastAsia="Times New Roman"/>
          <w:color w:val="000000"/>
          <w:sz w:val="20"/>
          <w:szCs w:val="20"/>
        </w:rPr>
        <w:t>ir value, also referred to as an exit price, is defined as the price that would be received for an asset or paid to transfer a liability in an orderly transaction between market participants on the measurement date. The fair value accounting guidance provi</w:t>
      </w:r>
      <w:r>
        <w:rPr>
          <w:rFonts w:eastAsia="Times New Roman"/>
          <w:color w:val="000000"/>
          <w:sz w:val="20"/>
          <w:szCs w:val="20"/>
        </w:rPr>
        <w:t>des a three-level fair value hierarchy for classifying financial instruments. This hierarchy is based on whether the inputs to the valuation techniques used to measure fair value are observable or unobservable. Fair value measurement of a financial asset o</w:t>
      </w:r>
      <w:r>
        <w:rPr>
          <w:rFonts w:eastAsia="Times New Roman"/>
          <w:color w:val="000000"/>
          <w:sz w:val="20"/>
          <w:szCs w:val="20"/>
        </w:rPr>
        <w:t xml:space="preserve">r liability is assigned to a level based on the lowest level of any input that is significant to the fair value measurement in its entirety. The three levels of the fair value hierarchy are described below: </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611"/>
        <w:gridCol w:w="36"/>
        <w:gridCol w:w="36"/>
        <w:gridCol w:w="36"/>
        <w:gridCol w:w="36"/>
        <w:gridCol w:w="38"/>
        <w:gridCol w:w="7394"/>
        <w:gridCol w:w="37"/>
      </w:tblGrid>
      <w:tr w:rsidR="00000000">
        <w:trPr>
          <w:divId w:val="1539706936"/>
          <w:jc w:val="center"/>
        </w:trPr>
        <w:tc>
          <w:tcPr>
            <w:tcW w:w="50" w:type="pct"/>
            <w:vAlign w:val="center"/>
            <w:hideMark/>
          </w:tcPr>
          <w:p w:rsidR="00000000" w:rsidRDefault="00E0782F">
            <w:pPr>
              <w:jc w:val="both"/>
              <w:rPr>
                <w:rFonts w:eastAsia="Times New Roman"/>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7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39706936"/>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trPr>
          <w:divId w:val="1539706936"/>
          <w:jc w:val="center"/>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20"/>
                <w:szCs w:val="20"/>
              </w:rPr>
              <w:t>Valuation is based on observable market-based inputs other than Level 1 prices, such as quoted prices for similar assets or liabilities</w:t>
            </w:r>
            <w:r>
              <w:rPr>
                <w:rFonts w:eastAsia="Times New Roman"/>
                <w:color w:val="000000"/>
                <w:sz w:val="20"/>
                <w:szCs w:val="20"/>
              </w:rPr>
              <w:t>, quoted prices in markets that are not active, or other inputs that are observable or can be corroborated by observable market data for substantially the full term of the assets or liabilities.</w:t>
            </w:r>
          </w:p>
        </w:tc>
      </w:tr>
      <w:tr w:rsidR="00000000">
        <w:trPr>
          <w:divId w:val="1539706936"/>
          <w:jc w:val="center"/>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hideMark/>
          </w:tcPr>
          <w:p w:rsidR="00000000" w:rsidRDefault="00E0782F">
            <w:pPr>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flow methodologies or similar techniques.</w:t>
            </w:r>
          </w:p>
        </w:tc>
      </w:tr>
    </w:tbl>
    <w:p w:rsidR="00000000" w:rsidRDefault="00E0782F">
      <w:pPr>
        <w:jc w:val="both"/>
        <w:divId w:val="974063535"/>
        <w:rPr>
          <w:rFonts w:eastAsia="Times New Roman"/>
        </w:rPr>
      </w:pPr>
      <w:r>
        <w:rPr>
          <w:rFonts w:eastAsia="Times New Roman"/>
          <w:color w:val="000000"/>
          <w:sz w:val="20"/>
          <w:szCs w:val="20"/>
        </w:rPr>
        <w:t>The accounting guidance for fair value requires that we maximize the use of observable inputs and minimize the use of unobservable inputs in determining fair value. The accounting guidance also provides for the irrevocable option to elect, on a contract-by</w:t>
      </w:r>
      <w:r>
        <w:rPr>
          <w:rFonts w:eastAsia="Times New Roman"/>
          <w:color w:val="000000"/>
          <w:sz w:val="20"/>
          <w:szCs w:val="20"/>
        </w:rPr>
        <w:t>-contract basis, to measure certain financial assets and liabilities at fair value at inception of the contract and record any subsequent changes to fair value in the consolidated statements of income. See “Note 16—Fair Value Measurement” for additional in</w:t>
      </w:r>
      <w:r>
        <w:rPr>
          <w:rFonts w:eastAsia="Times New Roman"/>
          <w:color w:val="000000"/>
          <w:sz w:val="20"/>
          <w:szCs w:val="20"/>
        </w:rPr>
        <w:t>formation.</w:t>
      </w:r>
    </w:p>
    <w:p w:rsidR="00000000" w:rsidRDefault="00E0782F">
      <w:pPr>
        <w:divId w:val="1218977258"/>
        <w:rPr>
          <w:rFonts w:eastAsia="Times New Roman"/>
        </w:rPr>
      </w:pPr>
      <w:r>
        <w:rPr>
          <w:rFonts w:eastAsia="Times New Roman"/>
          <w:b/>
          <w:bCs/>
          <w:color w:val="000000"/>
          <w:sz w:val="20"/>
          <w:szCs w:val="20"/>
        </w:rPr>
        <w:t xml:space="preserve">Accounting for Acquisitions </w:t>
      </w:r>
    </w:p>
    <w:p w:rsidR="00000000" w:rsidRDefault="00E0782F">
      <w:pPr>
        <w:jc w:val="both"/>
        <w:divId w:val="747531696"/>
        <w:rPr>
          <w:rFonts w:eastAsia="Times New Roman"/>
        </w:rPr>
      </w:pPr>
      <w:r>
        <w:rPr>
          <w:rFonts w:eastAsia="Times New Roman"/>
          <w:color w:val="000000"/>
          <w:sz w:val="20"/>
          <w:szCs w:val="20"/>
        </w:rPr>
        <w:t>We account for business combinations under the acquisition method of accounting. Under the acquisition method, tangible and intangible identifiable assets acquired, liabilities assumed and any noncontrolling interest</w:t>
      </w:r>
      <w:r>
        <w:rPr>
          <w:rFonts w:eastAsia="Times New Roman"/>
          <w:color w:val="000000"/>
          <w:sz w:val="20"/>
          <w:szCs w:val="20"/>
        </w:rPr>
        <w:t xml:space="preserve"> in the acquiree are recorded at fair value as of the acquisition date, with limited exceptions. Transaction costs and costs to restructure the acquired company are expensed as incurred. Goodwill is recognized as the excess of the acquisition price over th</w:t>
      </w:r>
      <w:r>
        <w:rPr>
          <w:rFonts w:eastAsia="Times New Roman"/>
          <w:color w:val="000000"/>
          <w:sz w:val="20"/>
          <w:szCs w:val="20"/>
        </w:rPr>
        <w:t xml:space="preserve">e estimated fair value of the identifiable net assets acquired. Likewise, if the fair value of the net assets acquired is greater than the acquisition price, a bargain purchase gain is recognized and recorded in other non-interest income. </w:t>
      </w:r>
    </w:p>
    <w:p w:rsidR="00000000" w:rsidRDefault="00E0782F">
      <w:pPr>
        <w:jc w:val="both"/>
        <w:divId w:val="690912684"/>
        <w:rPr>
          <w:rFonts w:eastAsia="Times New Roman"/>
        </w:rPr>
      </w:pPr>
      <w:r>
        <w:rPr>
          <w:rFonts w:eastAsia="Times New Roman"/>
          <w:color w:val="000000"/>
          <w:sz w:val="20"/>
          <w:szCs w:val="20"/>
        </w:rPr>
        <w:t xml:space="preserve">If the acquired </w:t>
      </w:r>
      <w:r>
        <w:rPr>
          <w:rFonts w:eastAsia="Times New Roman"/>
          <w:color w:val="000000"/>
          <w:sz w:val="20"/>
          <w:szCs w:val="20"/>
        </w:rPr>
        <w:t xml:space="preserve">set of activities and assets do not meet the accounting definition of a business, the transaction is accounted for as an asset acquisition. In an asset acquisition, the assets acquired are recorded at the purchase price plus any transaction costs incurred </w:t>
      </w:r>
      <w:r>
        <w:rPr>
          <w:rFonts w:eastAsia="Times New Roman"/>
          <w:color w:val="000000"/>
          <w:sz w:val="20"/>
          <w:szCs w:val="20"/>
        </w:rPr>
        <w:t>and no goodwill is recognized.</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2217141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2217141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2217141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7" style="width:0;height:1.5pt" o:hralign="center" o:hrstd="t" o:hr="t" fillcolor="#a0a0a0" stroked="f"/>
        </w:pict>
      </w:r>
    </w:p>
    <w:p w:rsidR="00000000" w:rsidRDefault="00E0782F">
      <w:pPr>
        <w:jc w:val="both"/>
        <w:divId w:val="45325607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453256074"/>
        <w:rPr>
          <w:rFonts w:eastAsia="Times New Roman"/>
        </w:rPr>
      </w:pPr>
    </w:p>
    <w:p w:rsidR="00000000" w:rsidRDefault="00E0782F">
      <w:pPr>
        <w:jc w:val="center"/>
        <w:divId w:val="453256074"/>
        <w:rPr>
          <w:rFonts w:eastAsia="Times New Roman"/>
        </w:rPr>
      </w:pPr>
      <w:r>
        <w:rPr>
          <w:rFonts w:eastAsia="Times New Roman"/>
          <w:b/>
          <w:bCs/>
          <w:color w:val="000000"/>
          <w:sz w:val="20"/>
          <w:szCs w:val="20"/>
        </w:rPr>
        <w:t>CAPITAL ONE FINANCIAL CORPORATION</w:t>
      </w:r>
    </w:p>
    <w:p w:rsidR="00000000" w:rsidRDefault="00E0782F">
      <w:pPr>
        <w:jc w:val="center"/>
        <w:divId w:val="453256074"/>
        <w:rPr>
          <w:rFonts w:eastAsia="Times New Roman"/>
        </w:rPr>
      </w:pPr>
      <w:r>
        <w:rPr>
          <w:rFonts w:eastAsia="Times New Roman"/>
          <w:b/>
          <w:bCs/>
          <w:color w:val="000000"/>
          <w:sz w:val="20"/>
          <w:szCs w:val="20"/>
        </w:rPr>
        <w:t>NOTES TO CONSOLIDATED FINANCIAL STATEMENTS</w:t>
      </w:r>
    </w:p>
    <w:p w:rsidR="00000000" w:rsidRDefault="00E0782F">
      <w:pPr>
        <w:divId w:val="1885865140"/>
        <w:rPr>
          <w:rFonts w:eastAsia="Times New Roman"/>
        </w:rPr>
      </w:pPr>
      <w:r>
        <w:rPr>
          <w:rFonts w:eastAsia="Times New Roman"/>
          <w:b/>
          <w:bCs/>
          <w:color w:val="000000"/>
          <w:sz w:val="20"/>
          <w:szCs w:val="20"/>
        </w:rPr>
        <w:t>Accounting Standards Adopted During the Twelve Months Ended Decem</w:t>
      </w:r>
      <w:r>
        <w:rPr>
          <w:rFonts w:eastAsia="Times New Roman"/>
          <w:b/>
          <w:bCs/>
          <w:color w:val="000000"/>
          <w:sz w:val="20"/>
          <w:szCs w:val="20"/>
        </w:rPr>
        <w:t>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264"/>
        <w:gridCol w:w="36"/>
        <w:gridCol w:w="36"/>
        <w:gridCol w:w="36"/>
        <w:gridCol w:w="36"/>
        <w:gridCol w:w="40"/>
        <w:gridCol w:w="2788"/>
        <w:gridCol w:w="36"/>
        <w:gridCol w:w="36"/>
        <w:gridCol w:w="36"/>
        <w:gridCol w:w="36"/>
        <w:gridCol w:w="42"/>
        <w:gridCol w:w="2788"/>
        <w:gridCol w:w="38"/>
      </w:tblGrid>
      <w:tr w:rsidR="00000000">
        <w:trPr>
          <w:divId w:val="844589017"/>
          <w:jc w:val="center"/>
        </w:trPr>
        <w:tc>
          <w:tcPr>
            <w:tcW w:w="50" w:type="pct"/>
            <w:vAlign w:val="center"/>
            <w:hideMark/>
          </w:tcPr>
          <w:p w:rsidR="00000000" w:rsidRDefault="00E0782F">
            <w:pPr>
              <w:rPr>
                <w:rFonts w:eastAsia="Times New Roman"/>
              </w:rPr>
            </w:pPr>
          </w:p>
        </w:tc>
        <w:tc>
          <w:tcPr>
            <w:tcW w:w="137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6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6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44589017"/>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Standard</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Guidance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Adoption Timing and Financial Statement Impacts</w:t>
            </w:r>
          </w:p>
        </w:tc>
      </w:tr>
      <w:tr w:rsidR="00000000">
        <w:trPr>
          <w:divId w:val="844589017"/>
          <w:jc w:val="center"/>
        </w:trPr>
        <w:tc>
          <w:tcPr>
            <w:tcW w:w="0" w:type="auto"/>
            <w:gridSpan w:val="3"/>
            <w:tcBorders>
              <w:top w:val="single" w:sz="8" w:space="0" w:color="000000"/>
            </w:tcBorders>
            <w:tcMar>
              <w:top w:w="30" w:type="dxa"/>
              <w:left w:w="20" w:type="dxa"/>
              <w:bottom w:w="30" w:type="dxa"/>
              <w:right w:w="20" w:type="dxa"/>
            </w:tcMar>
            <w:hideMark/>
          </w:tcPr>
          <w:p w:rsidR="00000000" w:rsidRDefault="00E0782F">
            <w:pPr>
              <w:divId w:val="1915235300"/>
              <w:rPr>
                <w:rFonts w:eastAsia="Times New Roman"/>
              </w:rPr>
            </w:pPr>
            <w:r>
              <w:rPr>
                <w:rFonts w:eastAsia="Times New Roman"/>
                <w:b/>
                <w:bCs/>
                <w:color w:val="000000"/>
                <w:sz w:val="18"/>
                <w:szCs w:val="18"/>
              </w:rPr>
              <w:t>Cloud Computing</w:t>
            </w:r>
          </w:p>
          <w:p w:rsidR="00000000" w:rsidRDefault="00E0782F">
            <w:pPr>
              <w:divId w:val="1275795679"/>
              <w:rPr>
                <w:rFonts w:eastAsia="Times New Roman"/>
              </w:rPr>
            </w:pPr>
            <w:r>
              <w:rPr>
                <w:rFonts w:eastAsia="Times New Roman"/>
                <w:color w:val="000000"/>
                <w:sz w:val="18"/>
                <w:szCs w:val="18"/>
              </w:rPr>
              <w:t xml:space="preserve">ASU No. 2018-15, Intangibles—Goodwill and Other—Internal-Use Software (Subtopic 350-40): </w:t>
            </w:r>
            <w:r>
              <w:rPr>
                <w:rFonts w:eastAsia="Times New Roman"/>
                <w:i/>
                <w:iCs/>
                <w:color w:val="000000"/>
                <w:sz w:val="18"/>
                <w:szCs w:val="18"/>
              </w:rPr>
              <w:t>Customer’</w:t>
            </w:r>
            <w:r>
              <w:rPr>
                <w:rFonts w:eastAsia="Times New Roman"/>
                <w:i/>
                <w:iCs/>
                <w:color w:val="000000"/>
                <w:sz w:val="18"/>
                <w:szCs w:val="18"/>
              </w:rPr>
              <w:t>s Accounting for Implementation Costs Incurred in a Cloud Computing Arrangement That Is a Service Contract</w:t>
            </w:r>
          </w:p>
          <w:p w:rsidR="00000000" w:rsidRDefault="00E0782F">
            <w:pPr>
              <w:divId w:val="590503119"/>
              <w:rPr>
                <w:rFonts w:eastAsia="Times New Roman"/>
              </w:rPr>
            </w:pPr>
            <w:r>
              <w:rPr>
                <w:rFonts w:eastAsia="Times New Roman"/>
                <w:i/>
                <w:iCs/>
                <w:color w:val="000000"/>
                <w:sz w:val="18"/>
                <w:szCs w:val="18"/>
              </w:rPr>
              <w:t>Issued August 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divId w:val="650866448"/>
              <w:rPr>
                <w:rFonts w:eastAsia="Times New Roman"/>
              </w:rPr>
            </w:pPr>
            <w:r>
              <w:rPr>
                <w:rFonts w:eastAsia="Times New Roman"/>
                <w:color w:val="000000"/>
                <w:sz w:val="18"/>
                <w:szCs w:val="18"/>
              </w:rPr>
              <w:t>Aligns the requirements for capitalizing implemen</w:t>
            </w:r>
            <w:r>
              <w:rPr>
                <w:rFonts w:eastAsia="Times New Roman"/>
                <w:color w:val="000000"/>
                <w:sz w:val="18"/>
                <w:szCs w:val="18"/>
              </w:rPr>
              <w:t>tation costs incurred in a hosting arrangement that is a service contract with the requirements for capitalizing implementation costs incurred to develop or obtain internal-use software (and hosting arrangements that include an internal-use software licens</w:t>
            </w:r>
            <w:r>
              <w:rPr>
                <w:rFonts w:eastAsia="Times New Roman"/>
                <w:color w:val="000000"/>
                <w:sz w:val="18"/>
                <w:szCs w:val="18"/>
              </w:rPr>
              <w: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divId w:val="1595476188"/>
              <w:rPr>
                <w:rFonts w:eastAsia="Times New Roman"/>
              </w:rPr>
            </w:pPr>
            <w:r>
              <w:rPr>
                <w:rFonts w:eastAsia="Times New Roman"/>
                <w:color w:val="000000"/>
                <w:sz w:val="18"/>
                <w:szCs w:val="18"/>
              </w:rPr>
              <w:t>We adopted this guidance in the first quarter of 2020 using the prospective method of adoption.</w:t>
            </w:r>
          </w:p>
          <w:p w:rsidR="00000000" w:rsidRDefault="00E0782F">
            <w:pPr>
              <w:divId w:val="1698460184"/>
              <w:rPr>
                <w:rFonts w:eastAsia="Times New Roman"/>
              </w:rPr>
            </w:pPr>
            <w:r>
              <w:rPr>
                <w:rFonts w:eastAsia="Times New Roman"/>
                <w:color w:val="000000"/>
                <w:sz w:val="18"/>
                <w:szCs w:val="18"/>
              </w:rPr>
              <w:t>Our adoption of this standard did not have a material impact on our consolidated financial statements.</w:t>
            </w:r>
          </w:p>
        </w:tc>
      </w:tr>
      <w:tr w:rsidR="00000000">
        <w:trPr>
          <w:divId w:val="844589017"/>
          <w:jc w:val="center"/>
        </w:trPr>
        <w:tc>
          <w:tcPr>
            <w:tcW w:w="0" w:type="auto"/>
            <w:gridSpan w:val="3"/>
            <w:tcBorders>
              <w:top w:val="single" w:sz="8" w:space="0" w:color="000000"/>
            </w:tcBorders>
            <w:tcMar>
              <w:top w:w="30" w:type="dxa"/>
              <w:left w:w="20" w:type="dxa"/>
              <w:bottom w:w="30" w:type="dxa"/>
              <w:right w:w="20" w:type="dxa"/>
            </w:tcMar>
            <w:hideMark/>
          </w:tcPr>
          <w:p w:rsidR="00000000" w:rsidRDefault="00E0782F">
            <w:pPr>
              <w:divId w:val="1040669912"/>
              <w:rPr>
                <w:rFonts w:eastAsia="Times New Roman"/>
              </w:rPr>
            </w:pPr>
            <w:r>
              <w:rPr>
                <w:rFonts w:eastAsia="Times New Roman"/>
                <w:b/>
                <w:bCs/>
                <w:color w:val="000000"/>
                <w:sz w:val="18"/>
                <w:szCs w:val="18"/>
              </w:rPr>
              <w:t>Goodwill Impairment Test Simplification</w:t>
            </w:r>
          </w:p>
          <w:p w:rsidR="00000000" w:rsidRDefault="00E0782F">
            <w:pPr>
              <w:divId w:val="1602303441"/>
              <w:rPr>
                <w:rFonts w:eastAsia="Times New Roman"/>
              </w:rPr>
            </w:pPr>
            <w:r>
              <w:rPr>
                <w:rFonts w:eastAsia="Times New Roman"/>
                <w:color w:val="000000"/>
                <w:sz w:val="18"/>
                <w:szCs w:val="18"/>
              </w:rPr>
              <w:t>ASU N</w:t>
            </w:r>
            <w:r>
              <w:rPr>
                <w:rFonts w:eastAsia="Times New Roman"/>
                <w:color w:val="000000"/>
                <w:sz w:val="18"/>
                <w:szCs w:val="18"/>
              </w:rPr>
              <w:t xml:space="preserve">o. 2017-04, Intangibles—Goodwill and Other (Topic 350): </w:t>
            </w:r>
            <w:r>
              <w:rPr>
                <w:rFonts w:eastAsia="Times New Roman"/>
                <w:i/>
                <w:iCs/>
                <w:color w:val="000000"/>
                <w:sz w:val="18"/>
                <w:szCs w:val="18"/>
              </w:rPr>
              <w:t>Simplifying the Test for Goodwill Impairment</w:t>
            </w:r>
          </w:p>
          <w:p w:rsidR="00000000" w:rsidRDefault="00E0782F">
            <w:pPr>
              <w:divId w:val="617301778"/>
              <w:rPr>
                <w:rFonts w:eastAsia="Times New Roman"/>
              </w:rPr>
            </w:pPr>
            <w:r>
              <w:rPr>
                <w:rFonts w:eastAsia="Times New Roman"/>
                <w:i/>
                <w:iCs/>
                <w:color w:val="000000"/>
                <w:sz w:val="18"/>
                <w:szCs w:val="18"/>
              </w:rPr>
              <w:t>Issued January 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divId w:val="612634563"/>
              <w:rPr>
                <w:rFonts w:eastAsia="Times New Roman"/>
              </w:rPr>
            </w:pPr>
            <w:r>
              <w:rPr>
                <w:rFonts w:eastAsia="Times New Roman"/>
                <w:color w:val="000000"/>
                <w:sz w:val="18"/>
                <w:szCs w:val="18"/>
              </w:rPr>
              <w:t xml:space="preserve">Historical guidance for goodwill impairment testing prescribed that the company must compare each reporting unit’s carrying value </w:t>
            </w:r>
            <w:r>
              <w:rPr>
                <w:rFonts w:eastAsia="Times New Roman"/>
                <w:color w:val="000000"/>
                <w:sz w:val="18"/>
                <w:szCs w:val="18"/>
              </w:rPr>
              <w:t>to its fair value. If the carrying value exceeds fair value, an entity performs the second step, which assigns the reporting unit’s fair value to its assets and liabilities, including unrecognized assets and liabilities, in the same manner as required in p</w:t>
            </w:r>
            <w:r>
              <w:rPr>
                <w:rFonts w:eastAsia="Times New Roman"/>
                <w:color w:val="000000"/>
                <w:sz w:val="18"/>
                <w:szCs w:val="18"/>
              </w:rPr>
              <w:t>urchase accounting and then records an impairment. This ASU eliminates the second step.</w:t>
            </w:r>
          </w:p>
          <w:p w:rsidR="00000000" w:rsidRDefault="00E0782F">
            <w:pPr>
              <w:divId w:val="970743459"/>
              <w:rPr>
                <w:rFonts w:eastAsia="Times New Roman"/>
              </w:rPr>
            </w:pPr>
            <w:r>
              <w:rPr>
                <w:rFonts w:eastAsia="Times New Roman"/>
                <w:color w:val="000000"/>
                <w:sz w:val="18"/>
                <w:szCs w:val="18"/>
              </w:rPr>
              <w:t>Under the new guidance, an impairment of a reporting unit’</w:t>
            </w:r>
            <w:r>
              <w:rPr>
                <w:rFonts w:eastAsia="Times New Roman"/>
                <w:color w:val="000000"/>
                <w:sz w:val="18"/>
                <w:szCs w:val="18"/>
              </w:rPr>
              <w:t>s goodwill is determined based on the amount by which the reporting unit’s carrying value exceeds its fair value, limited to the amount of goodwill allocated to the reporting unit.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divId w:val="704451432"/>
              <w:rPr>
                <w:rFonts w:eastAsia="Times New Roman"/>
              </w:rPr>
            </w:pPr>
            <w:r>
              <w:rPr>
                <w:rFonts w:eastAsia="Times New Roman"/>
                <w:color w:val="000000"/>
                <w:sz w:val="18"/>
                <w:szCs w:val="18"/>
              </w:rPr>
              <w:t>We adopted this guidance in the first quarter of 2020 using the prospe</w:t>
            </w:r>
            <w:r>
              <w:rPr>
                <w:rFonts w:eastAsia="Times New Roman"/>
                <w:color w:val="000000"/>
                <w:sz w:val="18"/>
                <w:szCs w:val="18"/>
              </w:rPr>
              <w:t xml:space="preserve">ctive method of adoption. </w:t>
            </w:r>
          </w:p>
          <w:p w:rsidR="00000000" w:rsidRDefault="00E0782F">
            <w:pPr>
              <w:divId w:val="295643276"/>
              <w:rPr>
                <w:rFonts w:eastAsia="Times New Roman"/>
              </w:rPr>
            </w:pPr>
            <w:r>
              <w:rPr>
                <w:rFonts w:eastAsia="Times New Roman"/>
                <w:color w:val="000000"/>
                <w:sz w:val="18"/>
                <w:szCs w:val="18"/>
              </w:rPr>
              <w:t>Our adoption of this standard did not have a material impact on our consolidated financial statements.</w:t>
            </w:r>
          </w:p>
        </w:tc>
      </w:tr>
      <w:tr w:rsidR="00000000">
        <w:trPr>
          <w:divId w:val="844589017"/>
          <w:jc w:val="center"/>
        </w:trPr>
        <w:tc>
          <w:tcPr>
            <w:tcW w:w="0" w:type="auto"/>
            <w:gridSpan w:val="3"/>
            <w:tcBorders>
              <w:top w:val="single" w:sz="8" w:space="0" w:color="000000"/>
            </w:tcBorders>
            <w:tcMar>
              <w:top w:w="30" w:type="dxa"/>
              <w:left w:w="20" w:type="dxa"/>
              <w:bottom w:w="30" w:type="dxa"/>
              <w:right w:w="20" w:type="dxa"/>
            </w:tcMar>
            <w:hideMark/>
          </w:tcPr>
          <w:p w:rsidR="00000000" w:rsidRDefault="00E0782F">
            <w:pPr>
              <w:divId w:val="661079651"/>
              <w:rPr>
                <w:rFonts w:eastAsia="Times New Roman"/>
              </w:rPr>
            </w:pPr>
            <w:r>
              <w:rPr>
                <w:rFonts w:eastAsia="Times New Roman"/>
                <w:b/>
                <w:bCs/>
                <w:color w:val="000000"/>
                <w:sz w:val="18"/>
                <w:szCs w:val="18"/>
              </w:rPr>
              <w:t>Current Expected Credit Loss (“CECL”)</w:t>
            </w:r>
          </w:p>
          <w:p w:rsidR="00000000" w:rsidRDefault="00E0782F">
            <w:pPr>
              <w:divId w:val="1792286043"/>
              <w:rPr>
                <w:rFonts w:eastAsia="Times New Roman"/>
              </w:rPr>
            </w:pPr>
            <w:r>
              <w:rPr>
                <w:rFonts w:eastAsia="Times New Roman"/>
                <w:color w:val="000000"/>
                <w:sz w:val="18"/>
                <w:szCs w:val="18"/>
              </w:rPr>
              <w:t xml:space="preserve">ASU No. 2016-13, Financial Instruments—Credit Losses (Topic 326): </w:t>
            </w:r>
            <w:r>
              <w:rPr>
                <w:rFonts w:eastAsia="Times New Roman"/>
                <w:i/>
                <w:iCs/>
                <w:color w:val="000000"/>
                <w:sz w:val="18"/>
                <w:szCs w:val="18"/>
              </w:rPr>
              <w:t>Measurement of Cred</w:t>
            </w:r>
            <w:r>
              <w:rPr>
                <w:rFonts w:eastAsia="Times New Roman"/>
                <w:i/>
                <w:iCs/>
                <w:color w:val="000000"/>
                <w:sz w:val="18"/>
                <w:szCs w:val="18"/>
              </w:rPr>
              <w:t>it Losses on Financial Instruments</w:t>
            </w:r>
          </w:p>
          <w:p w:rsidR="00000000" w:rsidRDefault="00E0782F">
            <w:pPr>
              <w:divId w:val="1135413633"/>
              <w:rPr>
                <w:rFonts w:eastAsia="Times New Roman"/>
              </w:rPr>
            </w:pPr>
            <w:r>
              <w:rPr>
                <w:rFonts w:eastAsia="Times New Roman"/>
                <w:i/>
                <w:iCs/>
                <w:color w:val="000000"/>
                <w:sz w:val="18"/>
                <w:szCs w:val="18"/>
              </w:rPr>
              <w:t>Issued June 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divId w:val="788551477"/>
              <w:rPr>
                <w:rFonts w:eastAsia="Times New Roman"/>
              </w:rPr>
            </w:pPr>
            <w:r>
              <w:rPr>
                <w:rFonts w:eastAsia="Times New Roman"/>
                <w:color w:val="000000"/>
                <w:sz w:val="18"/>
                <w:szCs w:val="18"/>
              </w:rPr>
              <w:t>Requires use of the current expected credit loss model that is based on expected losses (net of expected recoveries), rather than incurred losses, to determine our allowance for credit losses on fina</w:t>
            </w:r>
            <w:r>
              <w:rPr>
                <w:rFonts w:eastAsia="Times New Roman"/>
                <w:color w:val="000000"/>
                <w:sz w:val="18"/>
                <w:szCs w:val="18"/>
              </w:rPr>
              <w:t>ncial assets measured at amortized cost, certain net investments in leases and certain off-balance sheet arrangements.</w:t>
            </w:r>
          </w:p>
          <w:p w:rsidR="00000000" w:rsidRDefault="00E0782F">
            <w:pPr>
              <w:divId w:val="1089348152"/>
              <w:rPr>
                <w:rFonts w:eastAsia="Times New Roman"/>
              </w:rPr>
            </w:pPr>
          </w:p>
          <w:p w:rsidR="00000000" w:rsidRDefault="00E0782F">
            <w:pPr>
              <w:divId w:val="1044208895"/>
              <w:rPr>
                <w:rFonts w:eastAsia="Times New Roman"/>
              </w:rPr>
            </w:pPr>
            <w:r>
              <w:rPr>
                <w:rFonts w:eastAsia="Times New Roman"/>
                <w:color w:val="000000"/>
                <w:sz w:val="18"/>
                <w:szCs w:val="18"/>
              </w:rPr>
              <w:t>Replaces current accounting for purchased credit-impaired (“PCI”) and impaired loans.</w:t>
            </w:r>
          </w:p>
          <w:p w:rsidR="00000000" w:rsidRDefault="00E0782F">
            <w:pPr>
              <w:divId w:val="978417896"/>
              <w:rPr>
                <w:rFonts w:eastAsia="Times New Roman"/>
              </w:rPr>
            </w:pPr>
          </w:p>
          <w:p w:rsidR="00000000" w:rsidRDefault="00E0782F">
            <w:pPr>
              <w:divId w:val="65539620"/>
              <w:rPr>
                <w:rFonts w:eastAsia="Times New Roman"/>
              </w:rPr>
            </w:pPr>
            <w:r>
              <w:rPr>
                <w:rFonts w:eastAsia="Times New Roman"/>
                <w:color w:val="000000"/>
                <w:sz w:val="18"/>
                <w:szCs w:val="18"/>
              </w:rPr>
              <w:t>Amends the other-than-temporary impairment mode</w:t>
            </w:r>
            <w:r>
              <w:rPr>
                <w:rFonts w:eastAsia="Times New Roman"/>
                <w:color w:val="000000"/>
                <w:sz w:val="18"/>
                <w:szCs w:val="18"/>
              </w:rPr>
              <w:t>l for available for sale debt securities. The new guidance requires that credit losses be recorded through an allowance approach, rather than through permanent write-downs for credit losses and subsequent accretion of positive changes through interest inco</w:t>
            </w:r>
            <w:r>
              <w:rPr>
                <w:rFonts w:eastAsia="Times New Roman"/>
                <w:color w:val="000000"/>
                <w:sz w:val="18"/>
                <w:szCs w:val="18"/>
              </w:rPr>
              <w:t>me over time.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divId w:val="2076657358"/>
              <w:rPr>
                <w:rFonts w:eastAsia="Times New Roman"/>
              </w:rPr>
            </w:pPr>
            <w:r>
              <w:rPr>
                <w:rFonts w:eastAsia="Times New Roman"/>
                <w:color w:val="000000"/>
                <w:sz w:val="18"/>
                <w:szCs w:val="18"/>
              </w:rPr>
              <w:t>We adopted this guidance in the first quarter of 2020, using the modified retrospective method of adoption.</w:t>
            </w:r>
          </w:p>
          <w:p w:rsidR="00000000" w:rsidRDefault="00E0782F">
            <w:pPr>
              <w:divId w:val="1834182969"/>
              <w:rPr>
                <w:rFonts w:eastAsia="Times New Roman"/>
              </w:rPr>
            </w:pPr>
          </w:p>
          <w:p w:rsidR="00000000" w:rsidRDefault="00E0782F">
            <w:pPr>
              <w:divId w:val="1525827232"/>
              <w:rPr>
                <w:rFonts w:eastAsia="Times New Roman"/>
              </w:rPr>
            </w:pPr>
            <w:r>
              <w:rPr>
                <w:rFonts w:eastAsia="Times New Roman"/>
                <w:color w:val="000000"/>
                <w:sz w:val="18"/>
                <w:szCs w:val="18"/>
              </w:rPr>
              <w:t xml:space="preserve">Upon adoption, we recorded an increase to our reserves for credit losses of $2.9 billion, an increase to our deferred tax assets of $694 million, and a decrease to our retained earnings of $2.2 billion. </w:t>
            </w:r>
          </w:p>
          <w:p w:rsidR="00000000" w:rsidRDefault="00E0782F">
            <w:pPr>
              <w:divId w:val="1990942292"/>
              <w:rPr>
                <w:rFonts w:eastAsia="Times New Roman"/>
              </w:rPr>
            </w:pPr>
          </w:p>
          <w:p w:rsidR="00000000" w:rsidRDefault="00E0782F">
            <w:pPr>
              <w:divId w:val="1397317387"/>
              <w:rPr>
                <w:rFonts w:eastAsia="Times New Roman"/>
              </w:rPr>
            </w:pPr>
            <w:r>
              <w:rPr>
                <w:rFonts w:eastAsia="Times New Roman"/>
                <w:color w:val="000000"/>
                <w:sz w:val="18"/>
                <w:szCs w:val="18"/>
              </w:rPr>
              <w:t>Additionally, we made a prospective change to pres</w:t>
            </w:r>
            <w:r>
              <w:rPr>
                <w:rFonts w:eastAsia="Times New Roman"/>
                <w:color w:val="000000"/>
                <w:sz w:val="18"/>
                <w:szCs w:val="18"/>
              </w:rPr>
              <w:t>ent our finance charge and fee reserve as a component of our allowance for credit losses instead of as an offset to our loans held for investment. This balance sheet reclassification increased our allowance for credit losses by $462 million as of January 1</w:t>
            </w:r>
            <w:r>
              <w:rPr>
                <w:rFonts w:eastAsia="Times New Roman"/>
                <w:color w:val="000000"/>
                <w:sz w:val="18"/>
                <w:szCs w:val="18"/>
              </w:rPr>
              <w:t xml:space="preserve">, 2020, with a corresponding increase to our loans held for investment. </w:t>
            </w:r>
          </w:p>
        </w:tc>
      </w:tr>
      <w:tr w:rsidR="00000000">
        <w:trPr>
          <w:divId w:val="844589017"/>
          <w:jc w:val="center"/>
        </w:trPr>
        <w:tc>
          <w:tcPr>
            <w:tcW w:w="0" w:type="auto"/>
            <w:gridSpan w:val="3"/>
            <w:tcBorders>
              <w:top w:val="single" w:sz="8" w:space="0" w:color="000000"/>
            </w:tcBorders>
            <w:tcMar>
              <w:top w:w="30" w:type="dxa"/>
              <w:left w:w="20" w:type="dxa"/>
              <w:bottom w:w="30" w:type="dxa"/>
              <w:right w:w="20" w:type="dxa"/>
            </w:tcMar>
            <w:hideMark/>
          </w:tcPr>
          <w:p w:rsidR="00000000" w:rsidRDefault="00E0782F">
            <w:pPr>
              <w:divId w:val="1014764528"/>
              <w:rPr>
                <w:rFonts w:eastAsia="Times New Roman"/>
              </w:rPr>
            </w:pPr>
            <w:r>
              <w:rPr>
                <w:rFonts w:eastAsia="Times New Roman"/>
                <w:b/>
                <w:bCs/>
                <w:color w:val="000000"/>
                <w:sz w:val="18"/>
                <w:szCs w:val="18"/>
              </w:rPr>
              <w:t>Reference Rate Reform</w:t>
            </w:r>
          </w:p>
          <w:p w:rsidR="00000000" w:rsidRDefault="00E0782F">
            <w:pPr>
              <w:divId w:val="1594625428"/>
              <w:rPr>
                <w:rFonts w:eastAsia="Times New Roman"/>
              </w:rPr>
            </w:pPr>
          </w:p>
          <w:p w:rsidR="00000000" w:rsidRDefault="00E0782F">
            <w:pPr>
              <w:divId w:val="2067991034"/>
              <w:rPr>
                <w:rFonts w:eastAsia="Times New Roman"/>
              </w:rPr>
            </w:pPr>
            <w:r>
              <w:rPr>
                <w:rFonts w:eastAsia="Times New Roman"/>
                <w:color w:val="000000"/>
                <w:sz w:val="18"/>
                <w:szCs w:val="18"/>
              </w:rPr>
              <w:t>ASU No. 2020-04, Reference Rate Reform (Topic 848): Facilitation of the Effect of Reference Rate Reform on Financial Reporting</w:t>
            </w:r>
          </w:p>
          <w:p w:rsidR="00000000" w:rsidRDefault="00E0782F">
            <w:pPr>
              <w:divId w:val="924654877"/>
              <w:rPr>
                <w:rFonts w:eastAsia="Times New Roman"/>
              </w:rPr>
            </w:pPr>
          </w:p>
          <w:p w:rsidR="00000000" w:rsidRDefault="00E0782F">
            <w:pPr>
              <w:divId w:val="1679235921"/>
              <w:rPr>
                <w:rFonts w:eastAsia="Times New Roman"/>
              </w:rPr>
            </w:pPr>
            <w:r>
              <w:rPr>
                <w:rFonts w:eastAsia="Times New Roman"/>
                <w:i/>
                <w:iCs/>
                <w:color w:val="000000"/>
                <w:sz w:val="18"/>
                <w:szCs w:val="18"/>
              </w:rPr>
              <w:t>Issued March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 xml:space="preserve">The </w:t>
            </w:r>
            <w:r>
              <w:rPr>
                <w:rFonts w:eastAsia="Times New Roman"/>
                <w:color w:val="000000"/>
                <w:sz w:val="18"/>
                <w:szCs w:val="18"/>
              </w:rPr>
              <w:t>amendments in this ASU provide optional expedients and exceptions for applying generally accepted accounting principles (GAAP) to contracts, hedging relationships, and other transactions affected by reference rate reform if certain criteria are met.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divId w:val="209419967"/>
              <w:rPr>
                <w:rFonts w:eastAsia="Times New Roman"/>
              </w:rPr>
            </w:pPr>
            <w:r>
              <w:rPr>
                <w:rFonts w:eastAsia="Times New Roman"/>
                <w:color w:val="000000"/>
                <w:sz w:val="18"/>
                <w:szCs w:val="18"/>
              </w:rPr>
              <w:t>This ASU is effective from March 12, 2020 through December 31, 2022 with early adoption as of January 1, 2020 permitted.</w:t>
            </w:r>
          </w:p>
          <w:p w:rsidR="00000000" w:rsidRDefault="00E0782F">
            <w:pPr>
              <w:divId w:val="403991126"/>
              <w:rPr>
                <w:rFonts w:eastAsia="Times New Roman"/>
              </w:rPr>
            </w:pPr>
          </w:p>
          <w:p w:rsidR="00000000" w:rsidRDefault="00E0782F">
            <w:pPr>
              <w:divId w:val="364525701"/>
              <w:rPr>
                <w:rFonts w:eastAsia="Times New Roman"/>
              </w:rPr>
            </w:pPr>
            <w:r>
              <w:rPr>
                <w:rFonts w:eastAsia="Times New Roman"/>
                <w:color w:val="000000"/>
                <w:sz w:val="18"/>
                <w:szCs w:val="18"/>
              </w:rPr>
              <w:t>We adopted certain provisions related to derivative contract modifications and hedge accounting in this guidance in the fourth quarte</w:t>
            </w:r>
            <w:r>
              <w:rPr>
                <w:rFonts w:eastAsia="Times New Roman"/>
                <w:color w:val="000000"/>
                <w:sz w:val="18"/>
                <w:szCs w:val="18"/>
              </w:rPr>
              <w:t xml:space="preserve">r of 2020, using the prospective method of adoption. </w:t>
            </w:r>
          </w:p>
          <w:p w:rsidR="00000000" w:rsidRDefault="00E0782F">
            <w:pPr>
              <w:divId w:val="1409156157"/>
              <w:rPr>
                <w:rFonts w:eastAsia="Times New Roman"/>
              </w:rPr>
            </w:pPr>
          </w:p>
          <w:p w:rsidR="00000000" w:rsidRDefault="00E0782F">
            <w:pPr>
              <w:divId w:val="730542744"/>
              <w:rPr>
                <w:rFonts w:eastAsia="Times New Roman"/>
              </w:rPr>
            </w:pPr>
            <w:r>
              <w:rPr>
                <w:rFonts w:eastAsia="Times New Roman"/>
                <w:color w:val="000000"/>
                <w:sz w:val="18"/>
                <w:szCs w:val="18"/>
              </w:rPr>
              <w:t>The early adoption of the expedients in the guidance eased the administrative burden of accounting for London Interbank Offering Rate (“LIBOR”) related contract modifications. Our adoption of this sta</w:t>
            </w:r>
            <w:r>
              <w:rPr>
                <w:rFonts w:eastAsia="Times New Roman"/>
                <w:color w:val="000000"/>
                <w:sz w:val="18"/>
                <w:szCs w:val="18"/>
              </w:rPr>
              <w:t>ndard did not have a material impact on our consolidated financial statements.</w:t>
            </w:r>
          </w:p>
        </w:tc>
      </w:tr>
    </w:tbl>
    <w:p w:rsidR="00000000" w:rsidRDefault="00E0782F">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40086812"/>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4008681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4008681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8" style="width:0;height:1.5pt" o:hralign="center" o:hrstd="t" o:hr="t" fillcolor="#a0a0a0" stroked="f"/>
        </w:pict>
      </w:r>
    </w:p>
    <w:p w:rsidR="00000000" w:rsidRDefault="00E0782F">
      <w:pPr>
        <w:jc w:val="both"/>
        <w:divId w:val="29071981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90719817"/>
        <w:rPr>
          <w:rFonts w:eastAsia="Times New Roman"/>
        </w:rPr>
      </w:pPr>
    </w:p>
    <w:p w:rsidR="00000000" w:rsidRDefault="00E0782F">
      <w:pPr>
        <w:jc w:val="center"/>
        <w:divId w:val="290719817"/>
        <w:rPr>
          <w:rFonts w:eastAsia="Times New Roman"/>
        </w:rPr>
      </w:pPr>
      <w:r>
        <w:rPr>
          <w:rFonts w:eastAsia="Times New Roman"/>
          <w:b/>
          <w:bCs/>
          <w:color w:val="000000"/>
          <w:sz w:val="20"/>
          <w:szCs w:val="20"/>
        </w:rPr>
        <w:t>CAPITAL ONE FINANCIAL CORPORATION</w:t>
      </w:r>
    </w:p>
    <w:p w:rsidR="00000000" w:rsidRDefault="00E0782F">
      <w:pPr>
        <w:jc w:val="center"/>
        <w:divId w:val="29071981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06378464"/>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90637846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2—INVESTMENT SECURITIES</w:t>
            </w:r>
          </w:p>
        </w:tc>
      </w:tr>
    </w:tbl>
    <w:p w:rsidR="00000000" w:rsidRDefault="00E0782F">
      <w:pPr>
        <w:jc w:val="both"/>
        <w:divId w:val="1211185058"/>
        <w:rPr>
          <w:rFonts w:eastAsia="Times New Roman"/>
        </w:rPr>
      </w:pPr>
      <w:r>
        <w:rPr>
          <w:rFonts w:eastAsia="Times New Roman"/>
          <w:color w:val="000000"/>
          <w:sz w:val="20"/>
          <w:szCs w:val="20"/>
        </w:rPr>
        <w:t>Our investment securities portfolio consists of the following: U.S. government-sponsored enterprise or agency (“Agency”) and non-agency residential mortgage-backed securities (“RMBS”), Agency commercial mortgage-backed securities (“CMBS”), U.S. Treasury se</w:t>
      </w:r>
      <w:r>
        <w:rPr>
          <w:rFonts w:eastAsia="Times New Roman"/>
          <w:color w:val="000000"/>
          <w:sz w:val="20"/>
          <w:szCs w:val="20"/>
        </w:rPr>
        <w:t>curities and other securities. Agency securities include Government National Mortgage Association (“Ginnie Mae”) guaranteed securities, Federal National Mortgage Association (“Fannie Mae”) and Federal Home Loan Mortgage Corporation (“Freddie Mac”) issued s</w:t>
      </w:r>
      <w:r>
        <w:rPr>
          <w:rFonts w:eastAsia="Times New Roman"/>
          <w:color w:val="000000"/>
          <w:sz w:val="20"/>
          <w:szCs w:val="20"/>
        </w:rPr>
        <w:t>ecurities. The carrying value of our investments in Agency and U.S. Treasury securities represented 96% of our total investment securities portfolio as of both December 31, 2020 and 2019.</w:t>
      </w:r>
    </w:p>
    <w:p w:rsidR="00000000" w:rsidRDefault="00E0782F">
      <w:pPr>
        <w:jc w:val="both"/>
        <w:divId w:val="1245918503"/>
        <w:rPr>
          <w:rFonts w:eastAsia="Times New Roman"/>
        </w:rPr>
      </w:pPr>
      <w:r>
        <w:rPr>
          <w:rFonts w:eastAsia="Times New Roman"/>
          <w:color w:val="000000"/>
          <w:sz w:val="20"/>
          <w:szCs w:val="20"/>
        </w:rPr>
        <w:t>In the first quarter of 2020, we adopted the CECL standard which res</w:t>
      </w:r>
      <w:r>
        <w:rPr>
          <w:rFonts w:eastAsia="Times New Roman"/>
          <w:color w:val="000000"/>
          <w:sz w:val="20"/>
          <w:szCs w:val="20"/>
        </w:rPr>
        <w:t>ulted in an increase of the amortized cost basis and related allowance for credit losses of PCD securities classified as available for sale. The allowance for credit losses for these PCD securities is limited to the amount by which the amortized cost basis</w:t>
      </w:r>
      <w:r>
        <w:rPr>
          <w:rFonts w:eastAsia="Times New Roman"/>
          <w:color w:val="000000"/>
          <w:sz w:val="20"/>
          <w:szCs w:val="20"/>
        </w:rPr>
        <w:t xml:space="preserve"> of the security exceeds its fair value. This limitation resulted in an increase of $11 million to our retained earnings with a corresponding decrease in AOCI at adoption. Our disclosures below reflect these adoption changes. Prior period presentation was </w:t>
      </w:r>
      <w:r>
        <w:rPr>
          <w:rFonts w:eastAsia="Times New Roman"/>
          <w:color w:val="000000"/>
          <w:sz w:val="20"/>
          <w:szCs w:val="20"/>
        </w:rPr>
        <w:t>not reclassified to conform to the current period presentation. See “Note 1—Summary of Significant Accounting Policies” for additional information.</w:t>
      </w:r>
    </w:p>
    <w:p w:rsidR="00000000" w:rsidRDefault="00E0782F">
      <w:pPr>
        <w:jc w:val="both"/>
        <w:divId w:val="878399490"/>
        <w:rPr>
          <w:rFonts w:eastAsia="Times New Roman"/>
        </w:rPr>
      </w:pPr>
      <w:r>
        <w:rPr>
          <w:rFonts w:eastAsia="Times New Roman"/>
          <w:color w:val="000000"/>
          <w:sz w:val="20"/>
          <w:szCs w:val="20"/>
        </w:rPr>
        <w:t>The table below presents the amortized cost, gross unrealized gains and losses, and fair value of securities</w:t>
      </w:r>
      <w:r>
        <w:rPr>
          <w:rFonts w:eastAsia="Times New Roman"/>
          <w:color w:val="000000"/>
          <w:sz w:val="20"/>
          <w:szCs w:val="20"/>
        </w:rPr>
        <w:t xml:space="preserve"> available for sale as of December 31, 2020 and 2019. Accrued interest receivable of $230 million as of December 31, 2020 is not included in the below table. </w:t>
      </w:r>
    </w:p>
    <w:p w:rsidR="00000000" w:rsidRDefault="00E0782F">
      <w:pPr>
        <w:divId w:val="1937403129"/>
        <w:rPr>
          <w:rFonts w:eastAsia="Times New Roman"/>
        </w:rPr>
      </w:pPr>
      <w:r>
        <w:rPr>
          <w:rFonts w:eastAsia="Times New Roman"/>
          <w:b/>
          <w:bCs/>
          <w:color w:val="000000"/>
          <w:sz w:val="18"/>
          <w:szCs w:val="18"/>
        </w:rPr>
        <w:t xml:space="preserve">Table 2.1: Investment Securities Available for Sale </w:t>
      </w:r>
    </w:p>
    <w:tbl>
      <w:tblPr>
        <w:tblW w:w="4978" w:type="pct"/>
        <w:tblCellMar>
          <w:top w:w="15" w:type="dxa"/>
          <w:left w:w="15" w:type="dxa"/>
          <w:bottom w:w="15" w:type="dxa"/>
          <w:right w:w="15" w:type="dxa"/>
        </w:tblCellMar>
        <w:tblLook w:val="04A0" w:firstRow="1" w:lastRow="0" w:firstColumn="1" w:lastColumn="0" w:noHBand="0" w:noVBand="1"/>
      </w:tblPr>
      <w:tblGrid>
        <w:gridCol w:w="38"/>
        <w:gridCol w:w="3577"/>
        <w:gridCol w:w="37"/>
        <w:gridCol w:w="36"/>
        <w:gridCol w:w="36"/>
        <w:gridCol w:w="36"/>
        <w:gridCol w:w="111"/>
        <w:gridCol w:w="674"/>
        <w:gridCol w:w="36"/>
        <w:gridCol w:w="36"/>
        <w:gridCol w:w="36"/>
        <w:gridCol w:w="36"/>
        <w:gridCol w:w="111"/>
        <w:gridCol w:w="659"/>
        <w:gridCol w:w="36"/>
        <w:gridCol w:w="36"/>
        <w:gridCol w:w="36"/>
        <w:gridCol w:w="36"/>
        <w:gridCol w:w="111"/>
        <w:gridCol w:w="690"/>
        <w:gridCol w:w="36"/>
        <w:gridCol w:w="36"/>
        <w:gridCol w:w="36"/>
        <w:gridCol w:w="36"/>
        <w:gridCol w:w="111"/>
        <w:gridCol w:w="690"/>
        <w:gridCol w:w="36"/>
        <w:gridCol w:w="36"/>
        <w:gridCol w:w="36"/>
        <w:gridCol w:w="36"/>
        <w:gridCol w:w="110"/>
        <w:gridCol w:w="630"/>
        <w:gridCol w:w="36"/>
      </w:tblGrid>
      <w:tr w:rsidR="00000000">
        <w:trPr>
          <w:divId w:val="1619335070"/>
        </w:trPr>
        <w:tc>
          <w:tcPr>
            <w:tcW w:w="50" w:type="pct"/>
            <w:vAlign w:val="center"/>
            <w:hideMark/>
          </w:tcPr>
          <w:p w:rsidR="00000000" w:rsidRDefault="00E0782F">
            <w:pPr>
              <w:rPr>
                <w:rFonts w:eastAsia="Times New Roman"/>
              </w:rPr>
            </w:pPr>
          </w:p>
        </w:tc>
        <w:tc>
          <w:tcPr>
            <w:tcW w:w="25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1933507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161933507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Allowance</w:t>
            </w:r>
            <w:r>
              <w:rPr>
                <w:rFonts w:eastAsia="Times New Roman"/>
                <w:b/>
                <w:bCs/>
                <w:color w:val="000000"/>
                <w:sz w:val="16"/>
                <w:szCs w:val="16"/>
              </w:rPr>
              <w:br/>
              <w:t>for Credit</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16193350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61933507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933507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61933507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73,248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933507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933507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74,283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76,703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933507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11,298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11,735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9335070"/>
        </w:trPr>
        <w:tc>
          <w:tcPr>
            <w:tcW w:w="0" w:type="auto"/>
            <w:gridSpan w:val="3"/>
            <w:shd w:val="clear" w:color="auto" w:fill="FFFFFF"/>
            <w:tcMar>
              <w:top w:w="30" w:type="dxa"/>
              <w:left w:w="20" w:type="dxa"/>
              <w:bottom w:w="30" w:type="dxa"/>
              <w:right w:w="20" w:type="dxa"/>
            </w:tcMar>
            <w:vAlign w:val="center"/>
            <w:hideMark/>
          </w:tcPr>
          <w:p w:rsidR="00000000" w:rsidRDefault="00E0782F">
            <w:pPr>
              <w:divId w:val="944190501"/>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933507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97,569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2,997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100,445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4971"/>
        <w:gridCol w:w="144"/>
        <w:gridCol w:w="144"/>
        <w:gridCol w:w="144"/>
        <w:gridCol w:w="144"/>
        <w:gridCol w:w="144"/>
        <w:gridCol w:w="648"/>
        <w:gridCol w:w="144"/>
        <w:gridCol w:w="144"/>
        <w:gridCol w:w="144"/>
        <w:gridCol w:w="144"/>
        <w:gridCol w:w="144"/>
        <w:gridCol w:w="648"/>
        <w:gridCol w:w="144"/>
        <w:gridCol w:w="144"/>
        <w:gridCol w:w="144"/>
        <w:gridCol w:w="144"/>
        <w:gridCol w:w="144"/>
        <w:gridCol w:w="648"/>
        <w:gridCol w:w="144"/>
        <w:gridCol w:w="144"/>
        <w:gridCol w:w="144"/>
        <w:gridCol w:w="144"/>
        <w:gridCol w:w="144"/>
        <w:gridCol w:w="649"/>
        <w:gridCol w:w="144"/>
      </w:tblGrid>
      <w:tr w:rsidR="00000000">
        <w:tc>
          <w:tcPr>
            <w:tcW w:w="50" w:type="pct"/>
            <w:vAlign w:val="center"/>
            <w:hideMark/>
          </w:tcPr>
          <w:p w:rsidR="00000000" w:rsidRDefault="00E0782F">
            <w:pPr>
              <w:rPr>
                <w:rFonts w:eastAsia="Times New Roman"/>
              </w:rPr>
            </w:pPr>
          </w:p>
        </w:tc>
        <w:tc>
          <w:tcPr>
            <w:tcW w:w="300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Amortized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62,003 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62,839 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63,238 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64,338 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445779661"/>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79,213 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394964049"/>
        <w:rPr>
          <w:rFonts w:eastAsia="Times New Roman"/>
        </w:rPr>
      </w:pPr>
      <w:r>
        <w:rPr>
          <w:rFonts w:eastAsia="Times New Roman"/>
          <w:b/>
          <w:bCs/>
          <w:color w:val="000000"/>
          <w:sz w:val="18"/>
          <w:szCs w:val="18"/>
        </w:rPr>
        <w:t>__________</w:t>
      </w:r>
    </w:p>
    <w:p w:rsidR="00000000" w:rsidRDefault="00E0782F">
      <w:pPr>
        <w:ind w:hanging="360"/>
        <w:jc w:val="both"/>
        <w:divId w:val="97209971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$1.8 billion and $117 million of asset-backed securities (“ABS”) a</w:t>
      </w:r>
      <w:r>
        <w:rPr>
          <w:rFonts w:eastAsia="Times New Roman"/>
          <w:color w:val="000000"/>
          <w:sz w:val="16"/>
          <w:szCs w:val="16"/>
        </w:rPr>
        <w:t>s of December 31, 2020, and 2019, respectively. The remaining amount is primarily comprised of supranational bonds and foreign government bonds.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09033241"/>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10903324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10903324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69" style="width:0;height:1.5pt" o:hralign="center" o:hrstd="t" o:hr="t" fillcolor="#a0a0a0" stroked="f"/>
        </w:pict>
      </w:r>
    </w:p>
    <w:p w:rsidR="00000000" w:rsidRDefault="00E0782F">
      <w:pPr>
        <w:jc w:val="both"/>
        <w:divId w:val="50070492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00704923"/>
        <w:rPr>
          <w:rFonts w:eastAsia="Times New Roman"/>
        </w:rPr>
      </w:pPr>
    </w:p>
    <w:p w:rsidR="00000000" w:rsidRDefault="00E0782F">
      <w:pPr>
        <w:jc w:val="center"/>
        <w:divId w:val="500704923"/>
        <w:rPr>
          <w:rFonts w:eastAsia="Times New Roman"/>
        </w:rPr>
      </w:pPr>
      <w:r>
        <w:rPr>
          <w:rFonts w:eastAsia="Times New Roman"/>
          <w:b/>
          <w:bCs/>
          <w:color w:val="000000"/>
          <w:sz w:val="20"/>
          <w:szCs w:val="20"/>
        </w:rPr>
        <w:t>CAPITAL ONE FINANCIAL CORPORATION</w:t>
      </w:r>
    </w:p>
    <w:p w:rsidR="00000000" w:rsidRDefault="00E0782F">
      <w:pPr>
        <w:jc w:val="center"/>
        <w:divId w:val="500704923"/>
        <w:rPr>
          <w:rFonts w:eastAsia="Times New Roman"/>
        </w:rPr>
      </w:pPr>
      <w:r>
        <w:rPr>
          <w:rFonts w:eastAsia="Times New Roman"/>
          <w:b/>
          <w:bCs/>
          <w:color w:val="000000"/>
          <w:sz w:val="20"/>
          <w:szCs w:val="20"/>
        </w:rPr>
        <w:t>NOTES TO CONSOLIDATED FINANCIAL STATEMENTS</w:t>
      </w:r>
    </w:p>
    <w:p w:rsidR="00000000" w:rsidRDefault="00E0782F">
      <w:pPr>
        <w:divId w:val="598410383"/>
        <w:rPr>
          <w:rFonts w:eastAsia="Times New Roman"/>
        </w:rPr>
      </w:pPr>
      <w:r>
        <w:rPr>
          <w:rFonts w:eastAsia="Times New Roman"/>
          <w:b/>
          <w:bCs/>
          <w:color w:val="000000"/>
          <w:sz w:val="20"/>
          <w:szCs w:val="20"/>
        </w:rPr>
        <w:t>Investment Securities in a Gross Unrealized Loss Position</w:t>
      </w:r>
    </w:p>
    <w:p w:rsidR="00000000" w:rsidRDefault="00E0782F">
      <w:pPr>
        <w:jc w:val="both"/>
        <w:divId w:val="1570726791"/>
        <w:rPr>
          <w:rFonts w:eastAsia="Times New Roman"/>
        </w:rPr>
      </w:pPr>
      <w:r>
        <w:rPr>
          <w:rFonts w:eastAsia="Times New Roman"/>
          <w:color w:val="000000"/>
          <w:sz w:val="20"/>
          <w:szCs w:val="20"/>
        </w:rPr>
        <w:t>The tab</w:t>
      </w:r>
      <w:r>
        <w:rPr>
          <w:rFonts w:eastAsia="Times New Roman"/>
          <w:color w:val="000000"/>
          <w:sz w:val="20"/>
          <w:szCs w:val="20"/>
        </w:rPr>
        <w:t>le below provides the gross unrealized losses and fair value of our securities available for sale aggregated by major security type and the length of time that individual securities have been in a continuous unrealized loss position as of December 31, 2020</w:t>
      </w:r>
      <w:r>
        <w:rPr>
          <w:rFonts w:eastAsia="Times New Roman"/>
          <w:color w:val="000000"/>
          <w:sz w:val="20"/>
          <w:szCs w:val="20"/>
        </w:rPr>
        <w:t xml:space="preserve"> and 2019. The amounts as of December 31, 2020 only include securities available for sale without an allowance for credit losses. </w:t>
      </w:r>
    </w:p>
    <w:p w:rsidR="00000000" w:rsidRDefault="00E0782F">
      <w:pPr>
        <w:divId w:val="1336150108"/>
        <w:rPr>
          <w:rFonts w:eastAsia="Times New Roman"/>
        </w:rPr>
      </w:pPr>
      <w:r>
        <w:rPr>
          <w:rFonts w:eastAsia="Times New Roman"/>
          <w:b/>
          <w:bCs/>
          <w:color w:val="000000"/>
          <w:sz w:val="18"/>
          <w:szCs w:val="18"/>
        </w:rPr>
        <w:t>Table 2.2: Securities in a Gross Unrealized Loss Position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2615"/>
        <w:gridCol w:w="37"/>
        <w:gridCol w:w="36"/>
        <w:gridCol w:w="36"/>
        <w:gridCol w:w="36"/>
        <w:gridCol w:w="111"/>
        <w:gridCol w:w="676"/>
        <w:gridCol w:w="36"/>
        <w:gridCol w:w="36"/>
        <w:gridCol w:w="36"/>
        <w:gridCol w:w="36"/>
        <w:gridCol w:w="111"/>
        <w:gridCol w:w="686"/>
        <w:gridCol w:w="36"/>
        <w:gridCol w:w="36"/>
        <w:gridCol w:w="36"/>
        <w:gridCol w:w="36"/>
        <w:gridCol w:w="111"/>
        <w:gridCol w:w="675"/>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448425083"/>
        </w:trPr>
        <w:tc>
          <w:tcPr>
            <w:tcW w:w="50" w:type="pct"/>
            <w:vAlign w:val="center"/>
            <w:hideMark/>
          </w:tcPr>
          <w:p w:rsidR="00000000" w:rsidRDefault="00E0782F">
            <w:pPr>
              <w:rPr>
                <w:rFonts w:eastAsia="Times New Roman"/>
              </w:rPr>
            </w:pPr>
          </w:p>
        </w:tc>
        <w:tc>
          <w:tcPr>
            <w:tcW w:w="213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4842508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1448425083"/>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144842508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144842508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Investment securities available for sale without an 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48425083"/>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4842508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4842508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4842508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4842508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7,436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9,227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4842508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48425083"/>
        </w:trPr>
        <w:tc>
          <w:tcPr>
            <w:tcW w:w="0" w:type="auto"/>
            <w:gridSpan w:val="3"/>
            <w:shd w:val="clear" w:color="auto" w:fill="FFFFFF"/>
            <w:tcMar>
              <w:top w:w="30" w:type="dxa"/>
              <w:left w:w="20" w:type="dxa"/>
              <w:bottom w:w="30" w:type="dxa"/>
              <w:right w:w="20" w:type="dxa"/>
            </w:tcMar>
            <w:vAlign w:val="center"/>
            <w:hideMark/>
          </w:tcPr>
          <w:p w:rsidR="00000000" w:rsidRDefault="00E0782F">
            <w:pPr>
              <w:divId w:val="1135870963"/>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48425083"/>
        </w:trPr>
        <w:tc>
          <w:tcPr>
            <w:tcW w:w="0" w:type="auto"/>
            <w:gridSpan w:val="3"/>
            <w:shd w:val="clear" w:color="auto" w:fill="CCEEFF"/>
            <w:tcMar>
              <w:top w:w="30" w:type="dxa"/>
              <w:left w:w="20" w:type="dxa"/>
              <w:bottom w:w="30" w:type="dxa"/>
              <w:right w:w="20" w:type="dxa"/>
            </w:tcMar>
            <w:vAlign w:val="bottom"/>
            <w:hideMark/>
          </w:tcPr>
          <w:p w:rsidR="00000000" w:rsidRDefault="00E0782F">
            <w:pPr>
              <w:divId w:val="69695423"/>
              <w:rPr>
                <w:rFonts w:eastAsia="Times New Roman"/>
              </w:rPr>
            </w:pPr>
            <w:r>
              <w:rPr>
                <w:rFonts w:eastAsia="Times New Roman"/>
                <w:color w:val="000000"/>
                <w:sz w:val="18"/>
                <w:szCs w:val="18"/>
              </w:rPr>
              <w:t>Total investment securities available for sale in a gross unrealized loss position without an allowance for credit losse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9,095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11,154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17"/>
        <w:gridCol w:w="37"/>
        <w:gridCol w:w="36"/>
        <w:gridCol w:w="36"/>
        <w:gridCol w:w="36"/>
        <w:gridCol w:w="111"/>
        <w:gridCol w:w="676"/>
        <w:gridCol w:w="36"/>
        <w:gridCol w:w="36"/>
        <w:gridCol w:w="36"/>
        <w:gridCol w:w="36"/>
        <w:gridCol w:w="111"/>
        <w:gridCol w:w="686"/>
        <w:gridCol w:w="36"/>
        <w:gridCol w:w="36"/>
        <w:gridCol w:w="36"/>
        <w:gridCol w:w="36"/>
        <w:gridCol w:w="111"/>
        <w:gridCol w:w="673"/>
        <w:gridCol w:w="37"/>
        <w:gridCol w:w="36"/>
        <w:gridCol w:w="36"/>
        <w:gridCol w:w="36"/>
        <w:gridCol w:w="111"/>
        <w:gridCol w:w="686"/>
        <w:gridCol w:w="36"/>
        <w:gridCol w:w="36"/>
        <w:gridCol w:w="36"/>
        <w:gridCol w:w="36"/>
        <w:gridCol w:w="111"/>
        <w:gridCol w:w="676"/>
        <w:gridCol w:w="36"/>
        <w:gridCol w:w="36"/>
        <w:gridCol w:w="36"/>
        <w:gridCol w:w="36"/>
        <w:gridCol w:w="111"/>
        <w:gridCol w:w="686"/>
        <w:gridCol w:w="36"/>
      </w:tblGrid>
      <w:tr w:rsidR="00000000">
        <w:trPr>
          <w:divId w:val="1187863470"/>
        </w:trPr>
        <w:tc>
          <w:tcPr>
            <w:tcW w:w="50" w:type="pct"/>
            <w:vAlign w:val="center"/>
            <w:hideMark/>
          </w:tcPr>
          <w:p w:rsidR="00000000" w:rsidRDefault="00E0782F">
            <w:pPr>
              <w:jc w:val="both"/>
              <w:rPr>
                <w:rFonts w:eastAsia="Times New Roman"/>
              </w:rPr>
            </w:pPr>
          </w:p>
        </w:tc>
        <w:tc>
          <w:tcPr>
            <w:tcW w:w="213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8786347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18786347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Less than 12 Months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12 Months or Longer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118786347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Unrealized</w:t>
            </w:r>
            <w:r>
              <w:rPr>
                <w:rFonts w:eastAsia="Times New Roman"/>
                <w:b/>
                <w:bCs/>
                <w:color w:val="000000"/>
                <w:sz w:val="16"/>
                <w:szCs w:val="16"/>
              </w:rPr>
              <w:br/>
              <w:t>Losses</w:t>
            </w:r>
          </w:p>
        </w:tc>
      </w:tr>
      <w:tr w:rsidR="00000000">
        <w:trPr>
          <w:divId w:val="118786347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Investment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8786347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8786347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8786347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10,494 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21,061 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8786347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8786347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10,529 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21,112 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8786347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 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4,143 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87863470"/>
        </w:trPr>
        <w:tc>
          <w:tcPr>
            <w:tcW w:w="0" w:type="auto"/>
            <w:gridSpan w:val="3"/>
            <w:shd w:val="clear" w:color="auto" w:fill="FFFFFF"/>
            <w:tcMar>
              <w:top w:w="30" w:type="dxa"/>
              <w:left w:w="20" w:type="dxa"/>
              <w:bottom w:w="30" w:type="dxa"/>
              <w:right w:w="20" w:type="dxa"/>
            </w:tcMar>
            <w:vAlign w:val="center"/>
            <w:hideMark/>
          </w:tcPr>
          <w:p w:rsidR="00000000" w:rsidRDefault="00E0782F">
            <w:pPr>
              <w:divId w:val="454836510"/>
              <w:rPr>
                <w:rFonts w:eastAsia="Times New Roman"/>
              </w:rPr>
            </w:pPr>
            <w:r>
              <w:rPr>
                <w:rFonts w:eastAsia="Times New Roman"/>
                <w:color w:val="000000"/>
                <w:sz w:val="18"/>
                <w:szCs w:val="18"/>
              </w:rPr>
              <w:t>Other securitie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87863470"/>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 investment securities available for sale in a gross unrealized loss position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12,252 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divId w:val="979111331"/>
        <w:rPr>
          <w:rFonts w:eastAsia="Times New Roman"/>
        </w:rPr>
      </w:pPr>
      <w:r>
        <w:rPr>
          <w:rFonts w:eastAsia="Times New Roman"/>
          <w:color w:val="000000"/>
          <w:sz w:val="20"/>
          <w:szCs w:val="20"/>
        </w:rPr>
        <w:t>__________</w:t>
      </w:r>
    </w:p>
    <w:p w:rsidR="00000000" w:rsidRDefault="00E0782F">
      <w:pPr>
        <w:ind w:hanging="360"/>
        <w:jc w:val="both"/>
        <w:divId w:val="60280567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w:t>
      </w:r>
      <w:r>
        <w:rPr>
          <w:rFonts w:eastAsia="Times New Roman"/>
          <w:color w:val="000000"/>
          <w:sz w:val="16"/>
          <w:szCs w:val="16"/>
        </w:rPr>
        <w:t>Includes primarily other asset-backed securities, foreign government bonds, and supranational bonds.</w:t>
      </w:r>
    </w:p>
    <w:p w:rsidR="00000000" w:rsidRDefault="00E0782F">
      <w:pPr>
        <w:ind w:hanging="360"/>
        <w:jc w:val="both"/>
        <w:divId w:val="157400678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Consists of approxima</w:t>
      </w:r>
      <w:r>
        <w:rPr>
          <w:rFonts w:eastAsia="Times New Roman"/>
          <w:color w:val="000000"/>
          <w:sz w:val="16"/>
          <w:szCs w:val="16"/>
          <w:shd w:val="clear" w:color="auto" w:fill="FFFFFF"/>
        </w:rPr>
        <w:t xml:space="preserve">tely </w:t>
      </w:r>
      <w:r>
        <w:rPr>
          <w:rFonts w:eastAsia="Times New Roman"/>
          <w:color w:val="000000"/>
          <w:sz w:val="16"/>
          <w:szCs w:val="16"/>
        </w:rPr>
        <w:t>320 se</w:t>
      </w:r>
      <w:r>
        <w:rPr>
          <w:rFonts w:eastAsia="Times New Roman"/>
          <w:color w:val="000000"/>
          <w:sz w:val="16"/>
          <w:szCs w:val="16"/>
          <w:shd w:val="clear" w:color="auto" w:fill="FFFFFF"/>
        </w:rPr>
        <w:t>cur</w:t>
      </w:r>
      <w:r>
        <w:rPr>
          <w:rFonts w:eastAsia="Times New Roman"/>
          <w:color w:val="000000"/>
          <w:sz w:val="16"/>
          <w:szCs w:val="16"/>
        </w:rPr>
        <w:t>ities in gross unrealized loss positions as of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93605707"/>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9360570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9360570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0" style="width:0;height:1.5pt" o:hralign="center" o:hrstd="t" o:hr="t" fillcolor="#a0a0a0" stroked="f"/>
        </w:pict>
      </w:r>
    </w:p>
    <w:p w:rsidR="00000000" w:rsidRDefault="00E0782F">
      <w:pPr>
        <w:jc w:val="both"/>
        <w:divId w:val="139843598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398435982"/>
        <w:rPr>
          <w:rFonts w:eastAsia="Times New Roman"/>
        </w:rPr>
      </w:pPr>
    </w:p>
    <w:p w:rsidR="00000000" w:rsidRDefault="00E0782F">
      <w:pPr>
        <w:jc w:val="center"/>
        <w:divId w:val="1398435982"/>
        <w:rPr>
          <w:rFonts w:eastAsia="Times New Roman"/>
        </w:rPr>
      </w:pPr>
      <w:r>
        <w:rPr>
          <w:rFonts w:eastAsia="Times New Roman"/>
          <w:b/>
          <w:bCs/>
          <w:color w:val="000000"/>
          <w:sz w:val="20"/>
          <w:szCs w:val="20"/>
        </w:rPr>
        <w:t>CAPITAL ONE FINANCIAL CORPORATION</w:t>
      </w:r>
    </w:p>
    <w:p w:rsidR="00000000" w:rsidRDefault="00E0782F">
      <w:pPr>
        <w:jc w:val="center"/>
        <w:divId w:val="1398435982"/>
        <w:rPr>
          <w:rFonts w:eastAsia="Times New Roman"/>
        </w:rPr>
      </w:pPr>
      <w:r>
        <w:rPr>
          <w:rFonts w:eastAsia="Times New Roman"/>
          <w:b/>
          <w:bCs/>
          <w:color w:val="000000"/>
          <w:sz w:val="20"/>
          <w:szCs w:val="20"/>
        </w:rPr>
        <w:t>NOTES TO CONSOLIDATED FINANCIAL STATEMENTS</w:t>
      </w:r>
    </w:p>
    <w:p w:rsidR="00000000" w:rsidRDefault="00E0782F">
      <w:pPr>
        <w:divId w:val="433289825"/>
        <w:rPr>
          <w:rFonts w:eastAsia="Times New Roman"/>
        </w:rPr>
      </w:pPr>
      <w:r>
        <w:rPr>
          <w:rFonts w:eastAsia="Times New Roman"/>
          <w:b/>
          <w:bCs/>
          <w:color w:val="000000"/>
          <w:sz w:val="20"/>
          <w:szCs w:val="20"/>
        </w:rPr>
        <w:t>Maturities and Yields of Investment Securities</w:t>
      </w:r>
    </w:p>
    <w:p w:rsidR="00000000" w:rsidRDefault="00E0782F">
      <w:pPr>
        <w:jc w:val="both"/>
        <w:divId w:val="362706653"/>
        <w:rPr>
          <w:rFonts w:eastAsia="Times New Roman"/>
        </w:rPr>
      </w:pPr>
      <w:r>
        <w:rPr>
          <w:rFonts w:eastAsia="Times New Roman"/>
          <w:color w:val="000000"/>
          <w:sz w:val="20"/>
          <w:szCs w:val="20"/>
        </w:rPr>
        <w:t xml:space="preserve">The table below summarizes, by major security type, the contractual maturities and weighted-average yields of our investment securities as of December 31, 2020. Because borrowers may have the right to call or </w:t>
      </w:r>
      <w:r>
        <w:rPr>
          <w:rFonts w:eastAsia="Times New Roman"/>
          <w:color w:val="000000"/>
          <w:sz w:val="20"/>
          <w:szCs w:val="20"/>
        </w:rPr>
        <w:t>prepay certain obligations, the expected maturities of our securities are likely to differ from the scheduled contractual maturities presented below. The weighted-average yield below represents the effective yield for the investment securities and is calcu</w:t>
      </w:r>
      <w:r>
        <w:rPr>
          <w:rFonts w:eastAsia="Times New Roman"/>
          <w:color w:val="000000"/>
          <w:sz w:val="20"/>
          <w:szCs w:val="20"/>
        </w:rPr>
        <w:t>lated based on the amortized cost of each security.</w:t>
      </w:r>
    </w:p>
    <w:p w:rsidR="00000000" w:rsidRDefault="00E0782F">
      <w:pPr>
        <w:divId w:val="811404008"/>
        <w:rPr>
          <w:rFonts w:eastAsia="Times New Roman"/>
        </w:rPr>
      </w:pPr>
      <w:r>
        <w:rPr>
          <w:rFonts w:eastAsia="Times New Roman"/>
          <w:b/>
          <w:bCs/>
          <w:color w:val="000000"/>
          <w:sz w:val="18"/>
          <w:szCs w:val="18"/>
        </w:rPr>
        <w:t>Table 2.3: Contractual Maturities and Weighted-Average Yields of Securities</w:t>
      </w:r>
    </w:p>
    <w:tbl>
      <w:tblPr>
        <w:tblW w:w="4985" w:type="pct"/>
        <w:tblCellMar>
          <w:top w:w="15" w:type="dxa"/>
          <w:left w:w="15" w:type="dxa"/>
          <w:bottom w:w="15" w:type="dxa"/>
          <w:right w:w="15" w:type="dxa"/>
        </w:tblCellMar>
        <w:tblLook w:val="04A0" w:firstRow="1" w:lastRow="0" w:firstColumn="1" w:lastColumn="0" w:noHBand="0" w:noVBand="1"/>
      </w:tblPr>
      <w:tblGrid>
        <w:gridCol w:w="39"/>
        <w:gridCol w:w="3314"/>
        <w:gridCol w:w="38"/>
        <w:gridCol w:w="36"/>
        <w:gridCol w:w="36"/>
        <w:gridCol w:w="36"/>
        <w:gridCol w:w="110"/>
        <w:gridCol w:w="541"/>
        <w:gridCol w:w="200"/>
        <w:gridCol w:w="36"/>
        <w:gridCol w:w="36"/>
        <w:gridCol w:w="36"/>
        <w:gridCol w:w="110"/>
        <w:gridCol w:w="542"/>
        <w:gridCol w:w="200"/>
        <w:gridCol w:w="36"/>
        <w:gridCol w:w="36"/>
        <w:gridCol w:w="36"/>
        <w:gridCol w:w="110"/>
        <w:gridCol w:w="543"/>
        <w:gridCol w:w="200"/>
        <w:gridCol w:w="36"/>
        <w:gridCol w:w="36"/>
        <w:gridCol w:w="36"/>
        <w:gridCol w:w="110"/>
        <w:gridCol w:w="544"/>
        <w:gridCol w:w="200"/>
        <w:gridCol w:w="36"/>
        <w:gridCol w:w="36"/>
        <w:gridCol w:w="36"/>
        <w:gridCol w:w="110"/>
        <w:gridCol w:w="630"/>
        <w:gridCol w:w="200"/>
      </w:tblGrid>
      <w:tr w:rsidR="00000000">
        <w:trPr>
          <w:divId w:val="882132196"/>
        </w:trPr>
        <w:tc>
          <w:tcPr>
            <w:tcW w:w="50" w:type="pct"/>
            <w:vAlign w:val="center"/>
            <w:hideMark/>
          </w:tcPr>
          <w:p w:rsidR="00000000" w:rsidRDefault="00E0782F">
            <w:pPr>
              <w:rPr>
                <w:rFonts w:eastAsia="Times New Roman"/>
              </w:rPr>
            </w:pPr>
          </w:p>
        </w:tc>
        <w:tc>
          <w:tcPr>
            <w:tcW w:w="21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8213219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88213219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Due in </w:t>
            </w:r>
            <w:r>
              <w:rPr>
                <w:rFonts w:eastAsia="Times New Roman"/>
                <w:b/>
                <w:bCs/>
                <w:color w:val="000000"/>
                <w:sz w:val="16"/>
                <w:szCs w:val="16"/>
              </w:rPr>
              <w:br/>
            </w:r>
            <w:r>
              <w:rPr>
                <w:rFonts w:eastAsia="Times New Roman"/>
                <w:b/>
                <w:bCs/>
                <w:color w:val="000000"/>
                <w:sz w:val="16"/>
                <w:szCs w:val="16"/>
              </w:rPr>
              <w:t>1 Year or Less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Due &gt; 1 Year</w:t>
            </w:r>
            <w:r>
              <w:rPr>
                <w:rFonts w:eastAsia="Times New Roman"/>
                <w:b/>
                <w:bCs/>
                <w:color w:val="000000"/>
                <w:sz w:val="16"/>
                <w:szCs w:val="16"/>
              </w:rPr>
              <w:br/>
              <w:t>through</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Due &gt; 5 Years</w:t>
            </w:r>
            <w:r>
              <w:rPr>
                <w:rFonts w:eastAsia="Times New Roman"/>
                <w:b/>
                <w:bCs/>
                <w:color w:val="000000"/>
                <w:sz w:val="16"/>
                <w:szCs w:val="16"/>
              </w:rPr>
              <w:br/>
              <w:t>through</w:t>
            </w:r>
            <w:r>
              <w:rPr>
                <w:rFonts w:eastAsia="Times New Roman"/>
                <w:b/>
                <w:bCs/>
                <w:color w:val="000000"/>
                <w:sz w:val="16"/>
                <w:szCs w:val="16"/>
              </w:rPr>
              <w:br/>
              <w:t>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Due &gt;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8821321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Fair value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821321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9,116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9,318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CCEEFF"/>
            <w:tcMar>
              <w:top w:w="30" w:type="dxa"/>
              <w:left w:w="20" w:type="dxa"/>
              <w:bottom w:w="30" w:type="dxa"/>
              <w:right w:w="20" w:type="dxa"/>
            </w:tcMar>
            <w:vAlign w:val="center"/>
            <w:hideMark/>
          </w:tcPr>
          <w:p w:rsidR="00000000" w:rsidRDefault="00E0782F">
            <w:pPr>
              <w:divId w:val="63183661"/>
              <w:rPr>
                <w:rFonts w:eastAsia="Times New Roman"/>
              </w:rPr>
            </w:pPr>
            <w:r>
              <w:rPr>
                <w:rFonts w:eastAsia="Times New Roman"/>
                <w:color w:val="000000"/>
                <w:sz w:val="18"/>
                <w:szCs w:val="18"/>
              </w:rPr>
              <w:t>RMB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8213219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Agency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74,226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75,466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Non-agency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75,463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76,703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CCEEFF"/>
            <w:tcMar>
              <w:top w:w="30" w:type="dxa"/>
              <w:left w:w="20" w:type="dxa"/>
              <w:bottom w:w="30" w:type="dxa"/>
              <w:right w:w="20" w:type="dxa"/>
            </w:tcMar>
            <w:vAlign w:val="center"/>
            <w:hideMark/>
          </w:tcPr>
          <w:p w:rsidR="00000000" w:rsidRDefault="00E0782F">
            <w:pPr>
              <w:divId w:val="675424074"/>
              <w:rPr>
                <w:rFonts w:eastAsia="Times New Roman"/>
              </w:rPr>
            </w:pPr>
            <w:r>
              <w:rPr>
                <w:rFonts w:eastAsia="Times New Roman"/>
                <w:color w:val="000000"/>
                <w:sz w:val="18"/>
                <w:szCs w:val="18"/>
              </w:rPr>
              <w:t>Agency CMB</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2,896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5,645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11,735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2,689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14,150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7,096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78,567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100,445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Amortized cost of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628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14,091</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6,860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75,990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97,569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21321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Weighted-average yield for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r>
      <w:tr w:rsidR="00000000">
        <w:trPr>
          <w:divId w:val="882132196"/>
        </w:trPr>
        <w:tc>
          <w:tcPr>
            <w:tcW w:w="0" w:type="auto"/>
            <w:gridSpan w:val="3"/>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8213219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8213219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8213219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8213219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8213219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82132196"/>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207494990"/>
        <w:rPr>
          <w:rFonts w:eastAsia="Times New Roman"/>
        </w:rPr>
      </w:pPr>
      <w:r>
        <w:rPr>
          <w:rFonts w:eastAsia="Times New Roman"/>
          <w:color w:val="000000"/>
          <w:sz w:val="20"/>
          <w:szCs w:val="20"/>
        </w:rPr>
        <w:t>__________</w:t>
      </w:r>
    </w:p>
    <w:p w:rsidR="00000000" w:rsidRDefault="00E0782F">
      <w:pPr>
        <w:ind w:hanging="360"/>
        <w:jc w:val="both"/>
        <w:divId w:val="193023649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As of December 31, 2020, the weighted-average expected maturities of RMBS and Agency CMBS are 4.0 years and 5.6 years, respectively.</w:t>
      </w:r>
    </w:p>
    <w:p w:rsidR="00000000" w:rsidRDefault="00E0782F">
      <w:pPr>
        <w:divId w:val="1044938492"/>
        <w:rPr>
          <w:rFonts w:eastAsia="Times New Roman"/>
        </w:rPr>
      </w:pPr>
      <w:r>
        <w:rPr>
          <w:rFonts w:eastAsia="Times New Roman"/>
          <w:b/>
          <w:bCs/>
          <w:color w:val="000000"/>
          <w:sz w:val="20"/>
          <w:szCs w:val="20"/>
        </w:rPr>
        <w:t>Net Securities Gains or Losses and Proceeds from Sales</w:t>
      </w:r>
    </w:p>
    <w:p w:rsidR="00000000" w:rsidRDefault="00E0782F">
      <w:pPr>
        <w:jc w:val="both"/>
        <w:divId w:val="981345147"/>
        <w:rPr>
          <w:rFonts w:eastAsia="Times New Roman"/>
        </w:rPr>
      </w:pPr>
      <w:r>
        <w:rPr>
          <w:rFonts w:eastAsia="Times New Roman"/>
          <w:color w:val="000000"/>
          <w:sz w:val="20"/>
          <w:szCs w:val="20"/>
        </w:rPr>
        <w:t>The following table presents the gross realized gains or losses and proceeds from the sale of securities available for sale for the years ended December 31, 2020, 2019 and 2018. We did not sell any investment securities that were classified as held to matu</w:t>
      </w:r>
      <w:r>
        <w:rPr>
          <w:rFonts w:eastAsia="Times New Roman"/>
          <w:color w:val="000000"/>
          <w:sz w:val="20"/>
          <w:szCs w:val="20"/>
        </w:rPr>
        <w:t>rity in those periods where we had securities in that classification.</w:t>
      </w:r>
    </w:p>
    <w:p w:rsidR="00000000" w:rsidRDefault="00E0782F">
      <w:pPr>
        <w:divId w:val="1234050418"/>
        <w:rPr>
          <w:rFonts w:eastAsia="Times New Roman"/>
        </w:rPr>
      </w:pPr>
      <w:r>
        <w:rPr>
          <w:rFonts w:eastAsia="Times New Roman"/>
          <w:b/>
          <w:bCs/>
          <w:color w:val="000000"/>
          <w:sz w:val="18"/>
          <w:szCs w:val="18"/>
        </w:rPr>
        <w:t xml:space="preserve">Table 2.4: Realized Gains and Losses on Securities </w:t>
      </w:r>
    </w:p>
    <w:tbl>
      <w:tblPr>
        <w:tblW w:w="5000" w:type="pct"/>
        <w:tblCellMar>
          <w:top w:w="15" w:type="dxa"/>
          <w:left w:w="15" w:type="dxa"/>
          <w:bottom w:w="15" w:type="dxa"/>
          <w:right w:w="15" w:type="dxa"/>
        </w:tblCellMar>
        <w:tblLook w:val="04A0" w:firstRow="1" w:lastRow="0" w:firstColumn="1" w:lastColumn="0" w:noHBand="0" w:noVBand="1"/>
      </w:tblPr>
      <w:tblGrid>
        <w:gridCol w:w="39"/>
        <w:gridCol w:w="5366"/>
        <w:gridCol w:w="38"/>
        <w:gridCol w:w="36"/>
        <w:gridCol w:w="36"/>
        <w:gridCol w:w="36"/>
        <w:gridCol w:w="110"/>
        <w:gridCol w:w="699"/>
        <w:gridCol w:w="36"/>
        <w:gridCol w:w="36"/>
        <w:gridCol w:w="36"/>
        <w:gridCol w:w="36"/>
        <w:gridCol w:w="110"/>
        <w:gridCol w:w="701"/>
        <w:gridCol w:w="36"/>
        <w:gridCol w:w="36"/>
        <w:gridCol w:w="36"/>
        <w:gridCol w:w="36"/>
        <w:gridCol w:w="110"/>
        <w:gridCol w:w="701"/>
        <w:gridCol w:w="36"/>
      </w:tblGrid>
      <w:tr w:rsidR="00000000">
        <w:trPr>
          <w:divId w:val="1467578451"/>
        </w:trPr>
        <w:tc>
          <w:tcPr>
            <w:tcW w:w="50" w:type="pct"/>
            <w:vAlign w:val="center"/>
            <w:hideMark/>
          </w:tcPr>
          <w:p w:rsidR="00000000" w:rsidRDefault="00E0782F">
            <w:pPr>
              <w:rPr>
                <w:rFonts w:eastAsia="Times New Roman"/>
              </w:rPr>
            </w:pPr>
          </w:p>
        </w:tc>
        <w:tc>
          <w:tcPr>
            <w:tcW w:w="32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67578451"/>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1467578451"/>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146757845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Realized gains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6757845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Gross realized gains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757845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Gross realized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6757845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realized gains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467578451"/>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6757845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6757845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6757845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6757845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46757845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proceeds from sales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812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4,780 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6,399 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775176375"/>
        <w:rPr>
          <w:rFonts w:eastAsia="Times New Roman"/>
        </w:rPr>
      </w:pPr>
      <w:r>
        <w:rPr>
          <w:rFonts w:eastAsia="Times New Roman"/>
          <w:b/>
          <w:bCs/>
          <w:color w:val="000000"/>
          <w:sz w:val="20"/>
          <w:szCs w:val="20"/>
        </w:rPr>
        <w:t>Securities Pledged and Received</w:t>
      </w:r>
    </w:p>
    <w:p w:rsidR="00000000" w:rsidRDefault="00E0782F">
      <w:pPr>
        <w:jc w:val="both"/>
        <w:divId w:val="1316645500"/>
        <w:rPr>
          <w:rFonts w:eastAsia="Times New Roman"/>
        </w:rPr>
      </w:pPr>
      <w:r>
        <w:rPr>
          <w:rFonts w:eastAsia="Times New Roman"/>
          <w:color w:val="000000"/>
          <w:sz w:val="20"/>
          <w:szCs w:val="20"/>
        </w:rPr>
        <w:t>We pledged investment securities totaling $16.5 billion and $14.0 billion as of December 31, 2020 and 2019, respectively. These securities are primarily pledged to secur</w:t>
      </w:r>
      <w:r>
        <w:rPr>
          <w:rFonts w:eastAsia="Times New Roman"/>
          <w:color w:val="000000"/>
          <w:sz w:val="20"/>
          <w:szCs w:val="20"/>
        </w:rPr>
        <w:t>e FHLB advances and Public Funds deposits, as well as for other purposes as required or permitted by law. We accepted pledges of securities with a fair value of approximately $1 million as of both December 31, 2020 and 2019, related to our derivative trans</w:t>
      </w:r>
      <w:r>
        <w:rPr>
          <w:rFonts w:eastAsia="Times New Roman"/>
          <w:color w:val="000000"/>
          <w:sz w:val="20"/>
          <w:szCs w:val="20"/>
        </w:rPr>
        <w:t>actions.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0393539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0393539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0393539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1" style="width:0;height:1.5pt" o:hralign="center" o:hrstd="t" o:hr="t" fillcolor="#a0a0a0" stroked="f"/>
        </w:pict>
      </w:r>
    </w:p>
    <w:p w:rsidR="00000000" w:rsidRDefault="00E0782F">
      <w:pPr>
        <w:jc w:val="both"/>
        <w:divId w:val="143034756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30347562"/>
        <w:rPr>
          <w:rFonts w:eastAsia="Times New Roman"/>
        </w:rPr>
      </w:pPr>
    </w:p>
    <w:p w:rsidR="00000000" w:rsidRDefault="00E0782F">
      <w:pPr>
        <w:jc w:val="center"/>
        <w:divId w:val="1430347562"/>
        <w:rPr>
          <w:rFonts w:eastAsia="Times New Roman"/>
        </w:rPr>
      </w:pPr>
      <w:r>
        <w:rPr>
          <w:rFonts w:eastAsia="Times New Roman"/>
          <w:b/>
          <w:bCs/>
          <w:color w:val="000000"/>
          <w:sz w:val="20"/>
          <w:szCs w:val="20"/>
        </w:rPr>
        <w:t>CAPITAL ONE FINANCIAL CORPORATION</w:t>
      </w:r>
    </w:p>
    <w:p w:rsidR="00000000" w:rsidRDefault="00E0782F">
      <w:pPr>
        <w:jc w:val="center"/>
        <w:divId w:val="1430347562"/>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77747282"/>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7774728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3—LOANS</w:t>
            </w:r>
          </w:p>
        </w:tc>
      </w:tr>
    </w:tbl>
    <w:p w:rsidR="00000000" w:rsidRDefault="00E0782F">
      <w:pPr>
        <w:jc w:val="both"/>
        <w:divId w:val="1386180581"/>
        <w:rPr>
          <w:rFonts w:eastAsia="Times New Roman"/>
        </w:rPr>
      </w:pPr>
      <w:r>
        <w:rPr>
          <w:rFonts w:eastAsia="Times New Roman"/>
          <w:color w:val="000000"/>
          <w:sz w:val="20"/>
          <w:szCs w:val="20"/>
        </w:rPr>
        <w:t xml:space="preserve">Our loan portfolio consists of loans held for investment, including loans held in our consolidated trusts, and loans held for sale. We further divide our loans held for investment into three portfolio segments: credit card, consumer banking and commercial </w:t>
      </w:r>
      <w:r>
        <w:rPr>
          <w:rFonts w:eastAsia="Times New Roman"/>
          <w:color w:val="000000"/>
          <w:sz w:val="20"/>
          <w:szCs w:val="20"/>
        </w:rPr>
        <w:t>banking. Credit card loans consist of domestic and international credit card loans. Consumer banking loans consist of auto and retail banking loans. Commercial banking loans consist of commercial and multifamily real estate as well as commercial and indust</w:t>
      </w:r>
      <w:r>
        <w:rPr>
          <w:rFonts w:eastAsia="Times New Roman"/>
          <w:color w:val="000000"/>
          <w:sz w:val="20"/>
          <w:szCs w:val="20"/>
        </w:rPr>
        <w:t xml:space="preserve">rial loans. We sold all of our consumer home loan portfolio and the related servicing during 2018. The information presented in this section excludes loans held for sale, which are carried at either fair value (if we elect the fair value option) or at the </w:t>
      </w:r>
      <w:r>
        <w:rPr>
          <w:rFonts w:eastAsia="Times New Roman"/>
          <w:color w:val="000000"/>
          <w:sz w:val="20"/>
          <w:szCs w:val="20"/>
        </w:rPr>
        <w:t>lower of cost or fair value.</w:t>
      </w:r>
    </w:p>
    <w:p w:rsidR="00000000" w:rsidRDefault="00E0782F">
      <w:pPr>
        <w:jc w:val="both"/>
        <w:divId w:val="1432314633"/>
        <w:rPr>
          <w:rFonts w:eastAsia="Times New Roman"/>
        </w:rPr>
      </w:pPr>
      <w:r>
        <w:rPr>
          <w:rFonts w:eastAsia="Times New Roman"/>
          <w:color w:val="000000"/>
          <w:sz w:val="20"/>
          <w:szCs w:val="20"/>
        </w:rPr>
        <w:t>In the first quarter of 2020, we adopted</w:t>
      </w:r>
      <w:r>
        <w:rPr>
          <w:rFonts w:eastAsia="Times New Roman"/>
          <w:i/>
          <w:iCs/>
          <w:color w:val="000000"/>
          <w:sz w:val="20"/>
          <w:szCs w:val="20"/>
        </w:rPr>
        <w:t xml:space="preserve"> </w:t>
      </w:r>
      <w:r>
        <w:rPr>
          <w:rFonts w:eastAsia="Times New Roman"/>
          <w:color w:val="000000"/>
          <w:sz w:val="20"/>
          <w:szCs w:val="20"/>
        </w:rPr>
        <w:t xml:space="preserve">the CECL standard. Accordingly, our disclosures below reflect these adoption changes. Prior period presentation was not modified to conform to the current period presentation. See “Note </w:t>
      </w:r>
      <w:r>
        <w:rPr>
          <w:rFonts w:eastAsia="Times New Roman"/>
          <w:color w:val="000000"/>
          <w:sz w:val="20"/>
          <w:szCs w:val="20"/>
        </w:rPr>
        <w:t>1—Summary of Significant Accounting Policies” for additional information. Amounts as of December 31, 2020 include the impacts of COVID-19 customer assistance programs where applicable.</w:t>
      </w:r>
    </w:p>
    <w:p w:rsidR="00000000" w:rsidRDefault="00E0782F">
      <w:pPr>
        <w:jc w:val="both"/>
        <w:divId w:val="2002199977"/>
        <w:rPr>
          <w:rFonts w:eastAsia="Times New Roman"/>
        </w:rPr>
      </w:pPr>
      <w:r>
        <w:rPr>
          <w:rFonts w:eastAsia="Times New Roman"/>
          <w:color w:val="000000"/>
          <w:sz w:val="20"/>
          <w:szCs w:val="20"/>
        </w:rPr>
        <w:t>Accrued interest receivable of</w:t>
      </w:r>
      <w:r>
        <w:rPr>
          <w:rFonts w:eastAsia="Times New Roman"/>
          <w:color w:val="000000"/>
          <w:sz w:val="20"/>
          <w:szCs w:val="20"/>
          <w:shd w:val="clear" w:color="auto" w:fill="FFFFFF"/>
        </w:rPr>
        <w:t xml:space="preserve"> </w:t>
      </w:r>
      <w:r>
        <w:rPr>
          <w:rFonts w:eastAsia="Times New Roman"/>
          <w:color w:val="000000"/>
          <w:sz w:val="20"/>
          <w:szCs w:val="20"/>
        </w:rPr>
        <w:t xml:space="preserve">$1.2 billion as of December 31, 2020 is </w:t>
      </w:r>
      <w:r>
        <w:rPr>
          <w:rFonts w:eastAsia="Times New Roman"/>
          <w:color w:val="000000"/>
          <w:sz w:val="20"/>
          <w:szCs w:val="20"/>
        </w:rPr>
        <w:t>not included in the tables in this note. The table below presents the composition and aging analysis of our loans held for investment portfolio as of December 31, 2020 and 2019. The delinquency aging includes all past due loans, both performing and nonperf</w:t>
      </w:r>
      <w:r>
        <w:rPr>
          <w:rFonts w:eastAsia="Times New Roman"/>
          <w:color w:val="000000"/>
          <w:sz w:val="20"/>
          <w:szCs w:val="20"/>
        </w:rPr>
        <w:t xml:space="preserve">orming. </w:t>
      </w:r>
    </w:p>
    <w:p w:rsidR="00000000" w:rsidRDefault="00E0782F">
      <w:pPr>
        <w:divId w:val="1408722212"/>
        <w:rPr>
          <w:rFonts w:eastAsia="Times New Roman"/>
        </w:rPr>
      </w:pPr>
      <w:r>
        <w:rPr>
          <w:rFonts w:eastAsia="Times New Roman"/>
          <w:b/>
          <w:bCs/>
          <w:color w:val="000000"/>
          <w:sz w:val="18"/>
          <w:szCs w:val="18"/>
        </w:rPr>
        <w:t>Table 3.1: Loan Portfolio Composition and Aging Analysis</w:t>
      </w:r>
    </w:p>
    <w:tbl>
      <w:tblPr>
        <w:tblW w:w="5000" w:type="pct"/>
        <w:tblCellMar>
          <w:top w:w="15" w:type="dxa"/>
          <w:left w:w="15" w:type="dxa"/>
          <w:bottom w:w="15" w:type="dxa"/>
          <w:right w:w="15" w:type="dxa"/>
        </w:tblCellMar>
        <w:tblLook w:val="04A0" w:firstRow="1" w:lastRow="0" w:firstColumn="1" w:lastColumn="0" w:noHBand="0" w:noVBand="1"/>
      </w:tblPr>
      <w:tblGrid>
        <w:gridCol w:w="40"/>
        <w:gridCol w:w="2348"/>
        <w:gridCol w:w="38"/>
        <w:gridCol w:w="36"/>
        <w:gridCol w:w="36"/>
        <w:gridCol w:w="36"/>
        <w:gridCol w:w="110"/>
        <w:gridCol w:w="630"/>
        <w:gridCol w:w="200"/>
        <w:gridCol w:w="36"/>
        <w:gridCol w:w="36"/>
        <w:gridCol w:w="36"/>
        <w:gridCol w:w="110"/>
        <w:gridCol w:w="459"/>
        <w:gridCol w:w="200"/>
        <w:gridCol w:w="36"/>
        <w:gridCol w:w="36"/>
        <w:gridCol w:w="36"/>
        <w:gridCol w:w="110"/>
        <w:gridCol w:w="466"/>
        <w:gridCol w:w="200"/>
        <w:gridCol w:w="36"/>
        <w:gridCol w:w="36"/>
        <w:gridCol w:w="36"/>
        <w:gridCol w:w="110"/>
        <w:gridCol w:w="466"/>
        <w:gridCol w:w="200"/>
        <w:gridCol w:w="36"/>
        <w:gridCol w:w="36"/>
        <w:gridCol w:w="36"/>
        <w:gridCol w:w="111"/>
        <w:gridCol w:w="720"/>
        <w:gridCol w:w="200"/>
        <w:gridCol w:w="36"/>
        <w:gridCol w:w="36"/>
        <w:gridCol w:w="36"/>
        <w:gridCol w:w="110"/>
        <w:gridCol w:w="630"/>
        <w:gridCol w:w="200"/>
      </w:tblGrid>
      <w:tr w:rsidR="00000000">
        <w:trPr>
          <w:divId w:val="257519621"/>
        </w:trPr>
        <w:tc>
          <w:tcPr>
            <w:tcW w:w="50" w:type="pct"/>
            <w:vAlign w:val="center"/>
            <w:hideMark/>
          </w:tcPr>
          <w:p w:rsidR="00000000" w:rsidRDefault="00E0782F">
            <w:pPr>
              <w:rPr>
                <w:rFonts w:eastAsia="Times New Roman"/>
              </w:rPr>
            </w:pPr>
          </w:p>
        </w:tc>
        <w:tc>
          <w:tcPr>
            <w:tcW w:w="15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57519621"/>
        </w:trPr>
        <w:tc>
          <w:tcPr>
            <w:tcW w:w="0" w:type="auto"/>
            <w:gridSpan w:val="3"/>
            <w:tcMar>
              <w:top w:w="30" w:type="dxa"/>
              <w:left w:w="155"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257519621"/>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519621"/>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E0782F">
            <w:pPr>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25751962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51962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96,116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98,504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104,334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51962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62,381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65,762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65,445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51962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30,340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44,941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75,281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499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CCEEFF"/>
            <w:tcMar>
              <w:top w:w="30" w:type="dxa"/>
              <w:left w:w="20" w:type="dxa"/>
              <w:bottom w:w="30" w:type="dxa"/>
              <w:right w:w="20" w:type="dxa"/>
            </w:tcMar>
            <w:vAlign w:val="center"/>
            <w:hideMark/>
          </w:tcPr>
          <w:p w:rsidR="00000000" w:rsidRDefault="00E0782F">
            <w:pPr>
              <w:divId w:val="1243881071"/>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245,060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3,330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6,564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5751962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97.4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0.7</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r>
      <w:tr w:rsidR="00000000">
        <w:trPr>
          <w:divId w:val="257519621"/>
        </w:trPr>
        <w:tc>
          <w:tcPr>
            <w:tcW w:w="0" w:type="auto"/>
            <w:gridSpan w:val="3"/>
            <w:vAlign w:val="center"/>
            <w:hideMark/>
          </w:tcPr>
          <w:p w:rsidR="00000000" w:rsidRDefault="00E0782F">
            <w:pPr>
              <w:jc w:val="right"/>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57519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2" style="width:0;height:1.5pt" o:hralign="center" o:hrstd="t" o:hr="t" fillcolor="#a0a0a0" stroked="f"/>
        </w:pict>
      </w:r>
    </w:p>
    <w:p w:rsidR="00000000" w:rsidRDefault="00E0782F">
      <w:pPr>
        <w:jc w:val="both"/>
        <w:divId w:val="31001671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10016717"/>
        <w:rPr>
          <w:rFonts w:eastAsia="Times New Roman"/>
        </w:rPr>
      </w:pPr>
    </w:p>
    <w:p w:rsidR="00000000" w:rsidRDefault="00E0782F">
      <w:pPr>
        <w:jc w:val="center"/>
        <w:divId w:val="310016717"/>
        <w:rPr>
          <w:rFonts w:eastAsia="Times New Roman"/>
        </w:rPr>
      </w:pPr>
      <w:r>
        <w:rPr>
          <w:rFonts w:eastAsia="Times New Roman"/>
          <w:b/>
          <w:bCs/>
          <w:color w:val="000000"/>
          <w:sz w:val="20"/>
          <w:szCs w:val="20"/>
        </w:rPr>
        <w:t>CAPITAL ONE FINANCIAL CORPORATION</w:t>
      </w:r>
    </w:p>
    <w:p w:rsidR="00000000" w:rsidRDefault="00E0782F">
      <w:pPr>
        <w:jc w:val="center"/>
        <w:divId w:val="31001671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1891"/>
        <w:gridCol w:w="38"/>
        <w:gridCol w:w="36"/>
        <w:gridCol w:w="36"/>
        <w:gridCol w:w="36"/>
        <w:gridCol w:w="110"/>
        <w:gridCol w:w="630"/>
        <w:gridCol w:w="170"/>
        <w:gridCol w:w="36"/>
        <w:gridCol w:w="36"/>
        <w:gridCol w:w="36"/>
        <w:gridCol w:w="110"/>
        <w:gridCol w:w="450"/>
        <w:gridCol w:w="170"/>
        <w:gridCol w:w="36"/>
        <w:gridCol w:w="36"/>
        <w:gridCol w:w="36"/>
        <w:gridCol w:w="110"/>
        <w:gridCol w:w="450"/>
        <w:gridCol w:w="170"/>
        <w:gridCol w:w="36"/>
        <w:gridCol w:w="36"/>
        <w:gridCol w:w="36"/>
        <w:gridCol w:w="110"/>
        <w:gridCol w:w="450"/>
        <w:gridCol w:w="170"/>
        <w:gridCol w:w="36"/>
        <w:gridCol w:w="36"/>
        <w:gridCol w:w="36"/>
        <w:gridCol w:w="111"/>
        <w:gridCol w:w="696"/>
        <w:gridCol w:w="170"/>
        <w:gridCol w:w="36"/>
        <w:gridCol w:w="36"/>
        <w:gridCol w:w="36"/>
        <w:gridCol w:w="110"/>
        <w:gridCol w:w="315"/>
        <w:gridCol w:w="170"/>
        <w:gridCol w:w="36"/>
        <w:gridCol w:w="36"/>
        <w:gridCol w:w="36"/>
        <w:gridCol w:w="110"/>
        <w:gridCol w:w="630"/>
        <w:gridCol w:w="170"/>
      </w:tblGrid>
      <w:tr w:rsidR="00000000">
        <w:trPr>
          <w:divId w:val="1551767669"/>
        </w:trPr>
        <w:tc>
          <w:tcPr>
            <w:tcW w:w="50" w:type="pct"/>
            <w:vAlign w:val="center"/>
            <w:hideMark/>
          </w:tcPr>
          <w:p w:rsidR="00000000" w:rsidRDefault="00E0782F">
            <w:pPr>
              <w:jc w:val="center"/>
              <w:rPr>
                <w:rFonts w:eastAsia="Times New Roman"/>
              </w:rPr>
            </w:pPr>
          </w:p>
        </w:tc>
        <w:tc>
          <w:tcPr>
            <w:tcW w:w="157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5176766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551767669"/>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Borders>
              <w:top w:val="single" w:sz="8" w:space="0" w:color="000000"/>
            </w:tcBorders>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Delinquent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5176766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Current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30-59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60-89</w:t>
            </w:r>
            <w:r>
              <w:rPr>
                <w:rFonts w:eastAsia="Times New Roman"/>
                <w:b/>
                <w:bCs/>
                <w:color w:val="000000"/>
                <w:sz w:val="16"/>
                <w:szCs w:val="16"/>
              </w:rPr>
              <w:b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w:t>
            </w:r>
          </w:p>
          <w:p w:rsidR="00000000" w:rsidRDefault="00E0782F">
            <w:pPr>
              <w:jc w:val="center"/>
              <w:rPr>
                <w:rFonts w:eastAsia="Times New Roman"/>
              </w:rPr>
            </w:pPr>
            <w:r>
              <w:rPr>
                <w:rFonts w:eastAsia="Times New Roman"/>
                <w:b/>
                <w:bCs/>
                <w:color w:val="000000"/>
                <w:sz w:val="16"/>
                <w:szCs w:val="16"/>
              </w:rPr>
              <w:t>Days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Delinquent</w:t>
            </w:r>
            <w:r>
              <w:rPr>
                <w:rFonts w:eastAsia="Times New Roman"/>
                <w:b/>
                <w:bCs/>
                <w:color w:val="000000"/>
                <w:sz w:val="16"/>
                <w:szCs w:val="16"/>
              </w:rPr>
              <w:br/>
              <w:t>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PCI</w:t>
            </w:r>
            <w:r>
              <w:rPr>
                <w:rFonts w:eastAsia="Times New Roman"/>
                <w:b/>
                <w:bCs/>
                <w:color w:val="000000"/>
                <w:sz w:val="16"/>
                <w:szCs w:val="16"/>
              </w:rPr>
              <w:br/>
              <w:t>Loans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Loans</w:t>
            </w:r>
          </w:p>
        </w:tc>
      </w:tr>
      <w:tr w:rsidR="00000000">
        <w:trPr>
          <w:divId w:val="155176766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55176766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113,857 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118,606 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9,277 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123,134 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128,236 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5176766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55,778 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2,828 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60,362 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58,436 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2,852 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63,065 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5176766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30,157 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30,245 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44,009 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44,263 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74,166 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5176766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E0782F">
        <w:trPr>
          <w:divId w:val="1551767669"/>
        </w:trPr>
        <w:tc>
          <w:tcPr>
            <w:tcW w:w="0" w:type="auto"/>
            <w:gridSpan w:val="3"/>
            <w:shd w:val="clear" w:color="auto" w:fill="CCEEFF"/>
            <w:tcMar>
              <w:top w:w="30" w:type="dxa"/>
              <w:left w:w="20" w:type="dxa"/>
              <w:bottom w:w="30" w:type="dxa"/>
              <w:right w:w="20" w:type="dxa"/>
            </w:tcMar>
            <w:vAlign w:val="center"/>
            <w:hideMark/>
          </w:tcPr>
          <w:p w:rsidR="00000000" w:rsidRDefault="00E0782F">
            <w:pPr>
              <w:divId w:val="1103767301"/>
              <w:rPr>
                <w:rFonts w:eastAsia="Times New Roman"/>
              </w:rPr>
            </w:pPr>
            <w:r>
              <w:rPr>
                <w:rFonts w:eastAsia="Times New Roman"/>
                <w:color w:val="000000"/>
                <w:sz w:val="18"/>
                <w:szCs w:val="18"/>
              </w:rPr>
              <w:t>Total loan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255,736 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4,444 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9,947 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265,809 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5176766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of Total loans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96.2 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0.1 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1278483086"/>
        <w:rPr>
          <w:rFonts w:eastAsia="Times New Roman"/>
        </w:rPr>
      </w:pPr>
      <w:r>
        <w:rPr>
          <w:rFonts w:eastAsia="Times New Roman"/>
          <w:color w:val="000000"/>
          <w:sz w:val="20"/>
          <w:szCs w:val="20"/>
        </w:rPr>
        <w:t>__________</w:t>
      </w:r>
    </w:p>
    <w:p w:rsidR="00000000" w:rsidRDefault="00E0782F">
      <w:pPr>
        <w:ind w:hanging="360"/>
        <w:jc w:val="both"/>
        <w:divId w:val="1366562231"/>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Loans include unamortized premiums and discounts, and unamortized defe</w:t>
      </w:r>
      <w:r>
        <w:rPr>
          <w:rFonts w:eastAsia="Times New Roman"/>
          <w:color w:val="000000"/>
          <w:sz w:val="16"/>
          <w:szCs w:val="16"/>
        </w:rPr>
        <w:t xml:space="preserve">rred fees and costs totaling $1.1 billion as of both December 31, 2020 and 2019. </w:t>
      </w:r>
    </w:p>
    <w:p w:rsidR="00000000" w:rsidRDefault="00E0782F">
      <w:pPr>
        <w:jc w:val="both"/>
        <w:divId w:val="255865388"/>
        <w:rPr>
          <w:rFonts w:eastAsia="Times New Roman"/>
        </w:rPr>
      </w:pPr>
      <w:r>
        <w:rPr>
          <w:rFonts w:eastAsia="Times New Roman"/>
          <w:color w:val="000000"/>
          <w:sz w:val="20"/>
          <w:szCs w:val="20"/>
        </w:rPr>
        <w:t>The following table presents our loans held for investment that are 90 days or more past due that continue to accrue interest and loans that are classified as nonperforming a</w:t>
      </w:r>
      <w:r>
        <w:rPr>
          <w:rFonts w:eastAsia="Times New Roman"/>
          <w:color w:val="000000"/>
          <w:sz w:val="20"/>
          <w:szCs w:val="20"/>
        </w:rPr>
        <w:t>s of December 31, 2020 and 2019. We also present nonperforming loans without an allowance as of December 31, 2020. Nonperforming loans generally include loans that have been placed on nonaccrual status.</w:t>
      </w:r>
    </w:p>
    <w:p w:rsidR="00000000" w:rsidRDefault="00E0782F">
      <w:pPr>
        <w:divId w:val="1191141204"/>
        <w:rPr>
          <w:rFonts w:eastAsia="Times New Roman"/>
        </w:rPr>
      </w:pPr>
      <w:r>
        <w:rPr>
          <w:rFonts w:eastAsia="Times New Roman"/>
          <w:b/>
          <w:bCs/>
          <w:color w:val="000000"/>
          <w:sz w:val="18"/>
          <w:szCs w:val="18"/>
        </w:rPr>
        <w:t>Table 3.2: 90+ Day Delinquent Loans Accruing Interest</w:t>
      </w:r>
      <w:r>
        <w:rPr>
          <w:rFonts w:eastAsia="Times New Roman"/>
          <w:b/>
          <w:bCs/>
          <w:color w:val="000000"/>
          <w:sz w:val="18"/>
          <w:szCs w:val="18"/>
        </w:rPr>
        <w:t xml:space="preserve"> and Nonperforming Loans</w:t>
      </w:r>
    </w:p>
    <w:tbl>
      <w:tblPr>
        <w:tblW w:w="5000" w:type="pct"/>
        <w:tblCellMar>
          <w:top w:w="15" w:type="dxa"/>
          <w:left w:w="15" w:type="dxa"/>
          <w:bottom w:w="15" w:type="dxa"/>
          <w:right w:w="15" w:type="dxa"/>
        </w:tblCellMar>
        <w:tblLook w:val="04A0" w:firstRow="1" w:lastRow="0" w:firstColumn="1" w:lastColumn="0" w:noHBand="0" w:noVBand="1"/>
      </w:tblPr>
      <w:tblGrid>
        <w:gridCol w:w="39"/>
        <w:gridCol w:w="2207"/>
        <w:gridCol w:w="38"/>
        <w:gridCol w:w="36"/>
        <w:gridCol w:w="36"/>
        <w:gridCol w:w="36"/>
        <w:gridCol w:w="110"/>
        <w:gridCol w:w="506"/>
        <w:gridCol w:w="200"/>
        <w:gridCol w:w="36"/>
        <w:gridCol w:w="36"/>
        <w:gridCol w:w="36"/>
        <w:gridCol w:w="111"/>
        <w:gridCol w:w="1011"/>
        <w:gridCol w:w="200"/>
        <w:gridCol w:w="36"/>
        <w:gridCol w:w="36"/>
        <w:gridCol w:w="36"/>
        <w:gridCol w:w="111"/>
        <w:gridCol w:w="1011"/>
        <w:gridCol w:w="200"/>
        <w:gridCol w:w="36"/>
        <w:gridCol w:w="36"/>
        <w:gridCol w:w="36"/>
        <w:gridCol w:w="110"/>
        <w:gridCol w:w="450"/>
        <w:gridCol w:w="170"/>
        <w:gridCol w:w="36"/>
        <w:gridCol w:w="36"/>
        <w:gridCol w:w="36"/>
        <w:gridCol w:w="111"/>
        <w:gridCol w:w="1011"/>
        <w:gridCol w:w="170"/>
      </w:tblGrid>
      <w:tr w:rsidR="00000000">
        <w:trPr>
          <w:divId w:val="920722014"/>
        </w:trPr>
        <w:tc>
          <w:tcPr>
            <w:tcW w:w="50" w:type="pct"/>
            <w:vAlign w:val="center"/>
            <w:hideMark/>
          </w:tcPr>
          <w:p w:rsidR="00000000" w:rsidRDefault="00E0782F">
            <w:pPr>
              <w:rPr>
                <w:rFonts w:eastAsia="Times New Roman"/>
              </w:rPr>
            </w:pPr>
          </w:p>
        </w:tc>
        <w:tc>
          <w:tcPr>
            <w:tcW w:w="158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2072201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92072201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Nonperforming </w:t>
            </w:r>
          </w:p>
          <w:p w:rsidR="00000000" w:rsidRDefault="00E0782F">
            <w:pPr>
              <w:jc w:val="center"/>
              <w:rPr>
                <w:rFonts w:eastAsia="Times New Roman"/>
              </w:rPr>
            </w:pPr>
            <w:r>
              <w:rPr>
                <w:rFonts w:eastAsia="Times New Roman"/>
                <w:b/>
                <w:bCs/>
                <w:color w:val="000000"/>
                <w:sz w:val="16"/>
                <w:szCs w:val="16"/>
              </w:rPr>
              <w:t>Loan</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Nonperforming</w:t>
            </w:r>
            <w:r>
              <w:rPr>
                <w:rFonts w:eastAsia="Times New Roman"/>
                <w:b/>
                <w:bCs/>
                <w:color w:val="000000"/>
                <w:sz w:val="16"/>
                <w:szCs w:val="16"/>
              </w:rPr>
              <w:br/>
            </w:r>
            <w:r>
              <w:rPr>
                <w:rFonts w:eastAsia="Times New Roman"/>
                <w:b/>
                <w:bCs/>
                <w:color w:val="000000"/>
                <w:sz w:val="16"/>
                <w:szCs w:val="16"/>
              </w:rPr>
              <w:t>Loans Without an Allowance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u w:val="single"/>
              </w:rPr>
              <w:t>&gt;</w:t>
            </w:r>
            <w:r>
              <w:rPr>
                <w:rFonts w:eastAsia="Times New Roman"/>
                <w:b/>
                <w:bCs/>
                <w:color w:val="000000"/>
                <w:sz w:val="16"/>
                <w:szCs w:val="16"/>
              </w:rPr>
              <w:t xml:space="preserve"> 90 Days and Accruing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Nonperforming </w:t>
            </w:r>
            <w:r>
              <w:rPr>
                <w:rFonts w:eastAsia="Times New Roman"/>
                <w:b/>
                <w:bCs/>
                <w:color w:val="000000"/>
                <w:sz w:val="16"/>
                <w:szCs w:val="16"/>
              </w:rPr>
              <w:br/>
              <w:t>Loans</w:t>
            </w:r>
          </w:p>
        </w:tc>
      </w:tr>
      <w:tr w:rsidR="00000000">
        <w:trPr>
          <w:divId w:val="92072201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2072201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center"/>
            <w:hideMark/>
          </w:tcPr>
          <w:p w:rsidR="00000000" w:rsidRDefault="00E0782F">
            <w:pPr>
              <w:jc w:val="right"/>
              <w:rPr>
                <w:rFonts w:eastAsia="Times New Roman"/>
              </w:rPr>
            </w:pPr>
            <w:r>
              <w:rPr>
                <w:rFonts w:eastAsia="Times New Roman"/>
                <w:color w:val="000000"/>
                <w:sz w:val="18"/>
                <w:szCs w:val="18"/>
              </w:rPr>
              <w:t>N/A</w:t>
            </w:r>
          </w:p>
        </w:tc>
      </w:tr>
      <w:tr w:rsidR="00000000">
        <w:trPr>
          <w:divId w:val="92072201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2,407 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2072201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2072201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1,302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2072201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of Total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0.4</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0.2</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0.4 </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689335499"/>
        <w:rPr>
          <w:rFonts w:eastAsia="Times New Roman"/>
        </w:rPr>
      </w:pPr>
      <w:r>
        <w:rPr>
          <w:rFonts w:eastAsia="Times New Roman"/>
          <w:color w:val="000000"/>
          <w:sz w:val="20"/>
          <w:szCs w:val="20"/>
        </w:rPr>
        <w:t>__________</w:t>
      </w:r>
    </w:p>
    <w:p w:rsidR="00000000" w:rsidRDefault="00E0782F">
      <w:pPr>
        <w:ind w:hanging="360"/>
        <w:jc w:val="both"/>
        <w:divId w:val="156429491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 recognized interest income for loans classified as nonperforming of $39 million for the year ended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23658171"/>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2365817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2365817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3" style="width:0;height:1.5pt" o:hralign="center" o:hrstd="t" o:hr="t" fillcolor="#a0a0a0" stroked="f"/>
        </w:pict>
      </w:r>
    </w:p>
    <w:p w:rsidR="00000000" w:rsidRDefault="00E0782F">
      <w:pPr>
        <w:jc w:val="both"/>
        <w:divId w:val="140648947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06489470"/>
        <w:rPr>
          <w:rFonts w:eastAsia="Times New Roman"/>
        </w:rPr>
      </w:pPr>
    </w:p>
    <w:p w:rsidR="00000000" w:rsidRDefault="00E0782F">
      <w:pPr>
        <w:jc w:val="center"/>
        <w:divId w:val="1406489470"/>
        <w:rPr>
          <w:rFonts w:eastAsia="Times New Roman"/>
        </w:rPr>
      </w:pPr>
      <w:r>
        <w:rPr>
          <w:rFonts w:eastAsia="Times New Roman"/>
          <w:b/>
          <w:bCs/>
          <w:color w:val="000000"/>
          <w:sz w:val="20"/>
          <w:szCs w:val="20"/>
        </w:rPr>
        <w:t>CAPITAL ONE FINANCIAL CORPORATION</w:t>
      </w:r>
    </w:p>
    <w:p w:rsidR="00000000" w:rsidRDefault="00E0782F">
      <w:pPr>
        <w:jc w:val="center"/>
        <w:divId w:val="1406489470"/>
        <w:rPr>
          <w:rFonts w:eastAsia="Times New Roman"/>
        </w:rPr>
      </w:pPr>
      <w:r>
        <w:rPr>
          <w:rFonts w:eastAsia="Times New Roman"/>
          <w:b/>
          <w:bCs/>
          <w:color w:val="000000"/>
          <w:sz w:val="20"/>
          <w:szCs w:val="20"/>
        </w:rPr>
        <w:t>NOTES TO CONSOLIDATED FINANCIAL STATEMENTS</w:t>
      </w:r>
    </w:p>
    <w:p w:rsidR="00000000" w:rsidRDefault="00E0782F">
      <w:pPr>
        <w:divId w:val="395472075"/>
        <w:rPr>
          <w:rFonts w:eastAsia="Times New Roman"/>
        </w:rPr>
      </w:pPr>
      <w:r>
        <w:rPr>
          <w:rFonts w:eastAsia="Times New Roman"/>
          <w:b/>
          <w:bCs/>
          <w:color w:val="000000"/>
          <w:sz w:val="20"/>
          <w:szCs w:val="20"/>
        </w:rPr>
        <w:t>Credit Quality Indicators</w:t>
      </w:r>
    </w:p>
    <w:p w:rsidR="00000000" w:rsidRDefault="00E0782F">
      <w:pPr>
        <w:jc w:val="both"/>
        <w:divId w:val="1254971136"/>
        <w:rPr>
          <w:rFonts w:eastAsia="Times New Roman"/>
        </w:rPr>
      </w:pPr>
      <w:r>
        <w:rPr>
          <w:rFonts w:eastAsia="Times New Roman"/>
          <w:color w:val="000000"/>
          <w:sz w:val="20"/>
          <w:szCs w:val="20"/>
        </w:rPr>
        <w:t>We closely monitor economic conditions and loan performance trends to assess and manage our exposure to credit risk. We discuss these risks and our credit quality indicator for each portfolio segment below.</w:t>
      </w:r>
    </w:p>
    <w:p w:rsidR="00000000" w:rsidRDefault="00E0782F">
      <w:pPr>
        <w:jc w:val="both"/>
        <w:divId w:val="1175342292"/>
        <w:rPr>
          <w:rFonts w:eastAsia="Times New Roman"/>
        </w:rPr>
      </w:pPr>
      <w:r>
        <w:rPr>
          <w:rFonts w:eastAsia="Times New Roman"/>
          <w:b/>
          <w:bCs/>
          <w:i/>
          <w:iCs/>
          <w:color w:val="000000"/>
          <w:sz w:val="20"/>
          <w:szCs w:val="20"/>
        </w:rPr>
        <w:t>Credit Card</w:t>
      </w:r>
    </w:p>
    <w:p w:rsidR="00000000" w:rsidRDefault="00E0782F">
      <w:pPr>
        <w:jc w:val="both"/>
        <w:divId w:val="2026319832"/>
        <w:rPr>
          <w:rFonts w:eastAsia="Times New Roman"/>
        </w:rPr>
      </w:pPr>
      <w:r>
        <w:rPr>
          <w:rFonts w:eastAsia="Times New Roman"/>
          <w:color w:val="000000"/>
          <w:sz w:val="20"/>
          <w:szCs w:val="20"/>
        </w:rPr>
        <w:t>Our credit card loan portfolio is hig</w:t>
      </w:r>
      <w:r>
        <w:rPr>
          <w:rFonts w:eastAsia="Times New Roman"/>
          <w:color w:val="000000"/>
          <w:sz w:val="20"/>
          <w:szCs w:val="20"/>
        </w:rPr>
        <w:t>hly diversified across millions of accounts and numerous geographies without significant individual exposure. We therefore generally manage credit risk based on portfolios with common risk characteristics. The risk in our credit card loan portfolio correla</w:t>
      </w:r>
      <w:r>
        <w:rPr>
          <w:rFonts w:eastAsia="Times New Roman"/>
          <w:color w:val="000000"/>
          <w:sz w:val="20"/>
          <w:szCs w:val="20"/>
        </w:rPr>
        <w:t>tes to broad economic trends, such as unemployment rates and home values, as well as consumers’ financial condition, all of which can have a material effect on credit performance. The key indicator we assess in monitoring the credit quality and risk of our</w:t>
      </w:r>
      <w:r>
        <w:rPr>
          <w:rFonts w:eastAsia="Times New Roman"/>
          <w:color w:val="000000"/>
          <w:sz w:val="20"/>
          <w:szCs w:val="20"/>
        </w:rPr>
        <w:t xml:space="preserve"> credit card loan portfolio is delinquency trends, including an analysis of loan migration between delinquency categories over time. </w:t>
      </w:r>
    </w:p>
    <w:p w:rsidR="00000000" w:rsidRDefault="00E0782F">
      <w:pPr>
        <w:jc w:val="both"/>
        <w:divId w:val="444155951"/>
        <w:rPr>
          <w:rFonts w:eastAsia="Times New Roman"/>
        </w:rPr>
      </w:pPr>
      <w:r>
        <w:rPr>
          <w:rFonts w:eastAsia="Times New Roman"/>
          <w:color w:val="000000"/>
          <w:sz w:val="20"/>
          <w:szCs w:val="20"/>
        </w:rPr>
        <w:t>The table below presents our credit card portfolio by delinquency status as of December 31, 2020.</w:t>
      </w:r>
    </w:p>
    <w:p w:rsidR="00000000" w:rsidRDefault="00E0782F">
      <w:pPr>
        <w:divId w:val="1455439327"/>
        <w:rPr>
          <w:rFonts w:eastAsia="Times New Roman"/>
        </w:rPr>
      </w:pPr>
      <w:r>
        <w:rPr>
          <w:rFonts w:eastAsia="Times New Roman"/>
          <w:b/>
          <w:bCs/>
          <w:color w:val="000000"/>
          <w:sz w:val="18"/>
          <w:szCs w:val="18"/>
        </w:rPr>
        <w:t>Table 3.3: Credit Card D</w:t>
      </w:r>
      <w:r>
        <w:rPr>
          <w:rFonts w:eastAsia="Times New Roman"/>
          <w:b/>
          <w:bCs/>
          <w:color w:val="000000"/>
          <w:sz w:val="18"/>
          <w:szCs w:val="18"/>
        </w:rPr>
        <w:t>elinquency Status</w:t>
      </w:r>
    </w:p>
    <w:tbl>
      <w:tblPr>
        <w:tblW w:w="4985" w:type="pct"/>
        <w:tblCellMar>
          <w:top w:w="15" w:type="dxa"/>
          <w:left w:w="15" w:type="dxa"/>
          <w:bottom w:w="15" w:type="dxa"/>
          <w:right w:w="15" w:type="dxa"/>
        </w:tblCellMar>
        <w:tblLook w:val="04A0" w:firstRow="1" w:lastRow="0" w:firstColumn="1" w:lastColumn="0" w:noHBand="0" w:noVBand="1"/>
      </w:tblPr>
      <w:tblGrid>
        <w:gridCol w:w="41"/>
        <w:gridCol w:w="4425"/>
        <w:gridCol w:w="40"/>
        <w:gridCol w:w="36"/>
        <w:gridCol w:w="36"/>
        <w:gridCol w:w="36"/>
        <w:gridCol w:w="36"/>
        <w:gridCol w:w="36"/>
        <w:gridCol w:w="110"/>
        <w:gridCol w:w="980"/>
        <w:gridCol w:w="36"/>
        <w:gridCol w:w="36"/>
        <w:gridCol w:w="36"/>
        <w:gridCol w:w="36"/>
        <w:gridCol w:w="111"/>
        <w:gridCol w:w="980"/>
        <w:gridCol w:w="36"/>
        <w:gridCol w:w="36"/>
        <w:gridCol w:w="36"/>
        <w:gridCol w:w="36"/>
        <w:gridCol w:w="110"/>
        <w:gridCol w:w="980"/>
        <w:gridCol w:w="36"/>
      </w:tblGrid>
      <w:tr w:rsidR="00000000">
        <w:trPr>
          <w:divId w:val="1147283046"/>
        </w:trPr>
        <w:tc>
          <w:tcPr>
            <w:tcW w:w="50" w:type="pct"/>
            <w:vAlign w:val="center"/>
            <w:hideMark/>
          </w:tcPr>
          <w:p w:rsidR="00000000" w:rsidRDefault="00E0782F">
            <w:pPr>
              <w:rPr>
                <w:rFonts w:eastAsia="Times New Roman"/>
              </w:rPr>
            </w:pPr>
          </w:p>
        </w:tc>
        <w:tc>
          <w:tcPr>
            <w:tcW w:w="272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4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4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4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4728304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114728304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Revolving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Revolving Loans Converted to Term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114728304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472830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47283046"/>
        </w:trPr>
        <w:tc>
          <w:tcPr>
            <w:tcW w:w="0" w:type="auto"/>
            <w:gridSpan w:val="3"/>
            <w:shd w:val="clear" w:color="auto" w:fill="CCEEFF"/>
            <w:tcMar>
              <w:top w:w="30" w:type="dxa"/>
              <w:left w:w="20" w:type="dxa"/>
              <w:bottom w:w="30" w:type="dxa"/>
              <w:right w:w="20" w:type="dxa"/>
            </w:tcMar>
            <w:vAlign w:val="center"/>
            <w:hideMark/>
          </w:tcPr>
          <w:p w:rsidR="00000000" w:rsidRDefault="00E0782F">
            <w:pPr>
              <w:divId w:val="768543634"/>
              <w:rPr>
                <w:rFonts w:eastAsia="Times New Roman"/>
              </w:rPr>
            </w:pPr>
            <w:r>
              <w:rPr>
                <w:rFonts w:eastAsia="Times New Roman"/>
                <w:color w:val="000000"/>
                <w:sz w:val="18"/>
                <w:szCs w:val="18"/>
              </w:rPr>
              <w:t>Current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95,629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96,116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FFFFFF"/>
            <w:tcMar>
              <w:top w:w="30" w:type="dxa"/>
              <w:left w:w="20" w:type="dxa"/>
              <w:bottom w:w="30" w:type="dxa"/>
              <w:right w:w="20" w:type="dxa"/>
            </w:tcMar>
            <w:vAlign w:val="center"/>
            <w:hideMark/>
          </w:tcPr>
          <w:p w:rsidR="00000000" w:rsidRDefault="00E0782F">
            <w:pPr>
              <w:divId w:val="1635940483"/>
              <w:rPr>
                <w:rFonts w:eastAsia="Times New Roman"/>
              </w:rPr>
            </w:pPr>
            <w:r>
              <w:rPr>
                <w:rFonts w:eastAsia="Times New Roman"/>
                <w:color w:val="000000"/>
                <w:sz w:val="18"/>
                <w:szCs w:val="18"/>
              </w:rPr>
              <w:t>30-59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CCEEFF"/>
            <w:tcMar>
              <w:top w:w="30" w:type="dxa"/>
              <w:left w:w="20" w:type="dxa"/>
              <w:bottom w:w="30" w:type="dxa"/>
              <w:right w:w="20" w:type="dxa"/>
            </w:tcMar>
            <w:vAlign w:val="center"/>
            <w:hideMark/>
          </w:tcPr>
          <w:p w:rsidR="00000000" w:rsidRDefault="00E0782F">
            <w:pPr>
              <w:divId w:val="1890410434"/>
              <w:rPr>
                <w:rFonts w:eastAsia="Times New Roman"/>
              </w:rPr>
            </w:pPr>
            <w:r>
              <w:rPr>
                <w:rFonts w:eastAsia="Times New Roman"/>
                <w:color w:val="000000"/>
                <w:sz w:val="18"/>
                <w:szCs w:val="18"/>
              </w:rPr>
              <w:t>60-89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FFFFFF"/>
            <w:tcMar>
              <w:top w:w="30" w:type="dxa"/>
              <w:left w:w="20" w:type="dxa"/>
              <w:bottom w:w="30" w:type="dxa"/>
              <w:right w:w="20" w:type="dxa"/>
            </w:tcMar>
            <w:vAlign w:val="center"/>
            <w:hideMark/>
          </w:tcPr>
          <w:p w:rsidR="00000000" w:rsidRDefault="00E0782F">
            <w:pPr>
              <w:divId w:val="1040285454"/>
              <w:rPr>
                <w:rFonts w:eastAsia="Times New Roman"/>
              </w:rPr>
            </w:pPr>
            <w:r>
              <w:rPr>
                <w:rFonts w:eastAsia="Times New Roman"/>
                <w:color w:val="000000"/>
                <w:sz w:val="18"/>
                <w:szCs w:val="18"/>
              </w:rPr>
              <w:t>Greater than 90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domestic 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97,969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98,504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Height w:val="280"/>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472830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47283046"/>
        </w:trPr>
        <w:tc>
          <w:tcPr>
            <w:tcW w:w="0" w:type="auto"/>
            <w:gridSpan w:val="3"/>
            <w:shd w:val="clear" w:color="auto" w:fill="FFFFFF"/>
            <w:tcMar>
              <w:top w:w="30" w:type="dxa"/>
              <w:left w:w="20" w:type="dxa"/>
              <w:bottom w:w="30" w:type="dxa"/>
              <w:right w:w="20" w:type="dxa"/>
            </w:tcMar>
            <w:vAlign w:val="center"/>
            <w:hideMark/>
          </w:tcPr>
          <w:p w:rsidR="00000000" w:rsidRDefault="00E0782F">
            <w:pPr>
              <w:divId w:val="1735814047"/>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8,152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CCEEFF"/>
            <w:tcMar>
              <w:top w:w="30" w:type="dxa"/>
              <w:left w:w="20" w:type="dxa"/>
              <w:bottom w:w="30" w:type="dxa"/>
              <w:right w:w="20" w:type="dxa"/>
            </w:tcMar>
            <w:vAlign w:val="center"/>
            <w:hideMark/>
          </w:tcPr>
          <w:p w:rsidR="00000000" w:rsidRDefault="00E0782F">
            <w:pPr>
              <w:divId w:val="1284578093"/>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FFFFFF"/>
            <w:tcMar>
              <w:top w:w="30" w:type="dxa"/>
              <w:left w:w="20" w:type="dxa"/>
              <w:bottom w:w="30" w:type="dxa"/>
              <w:right w:w="20" w:type="dxa"/>
            </w:tcMar>
            <w:vAlign w:val="center"/>
            <w:hideMark/>
          </w:tcPr>
          <w:p w:rsidR="00000000" w:rsidRDefault="00E0782F">
            <w:pPr>
              <w:divId w:val="172958786"/>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CCEEFF"/>
            <w:tcMar>
              <w:top w:w="30" w:type="dxa"/>
              <w:left w:w="20" w:type="dxa"/>
              <w:bottom w:w="30" w:type="dxa"/>
              <w:right w:w="20" w:type="dxa"/>
            </w:tcMar>
            <w:vAlign w:val="center"/>
            <w:hideMark/>
          </w:tcPr>
          <w:p w:rsidR="00000000" w:rsidRDefault="00E0782F">
            <w:pPr>
              <w:divId w:val="214392804"/>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international card businesses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8,354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8,452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472830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106,323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4" style="width:0;height:1.5pt" o:hralign="center" o:hrstd="t" o:hr="t" fillcolor="#a0a0a0" stroked="f"/>
        </w:pict>
      </w:r>
    </w:p>
    <w:p w:rsidR="00000000" w:rsidRDefault="00E0782F">
      <w:pPr>
        <w:jc w:val="both"/>
        <w:divId w:val="51354418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13544189"/>
        <w:rPr>
          <w:rFonts w:eastAsia="Times New Roman"/>
        </w:rPr>
      </w:pPr>
    </w:p>
    <w:p w:rsidR="00000000" w:rsidRDefault="00E0782F">
      <w:pPr>
        <w:jc w:val="center"/>
        <w:divId w:val="513544189"/>
        <w:rPr>
          <w:rFonts w:eastAsia="Times New Roman"/>
        </w:rPr>
      </w:pPr>
      <w:r>
        <w:rPr>
          <w:rFonts w:eastAsia="Times New Roman"/>
          <w:b/>
          <w:bCs/>
          <w:color w:val="000000"/>
          <w:sz w:val="20"/>
          <w:szCs w:val="20"/>
        </w:rPr>
        <w:t>CAPITAL ONE FINANCIAL CORPORATION</w:t>
      </w:r>
    </w:p>
    <w:p w:rsidR="00000000" w:rsidRDefault="00E0782F">
      <w:pPr>
        <w:jc w:val="center"/>
        <w:divId w:val="513544189"/>
        <w:rPr>
          <w:rFonts w:eastAsia="Times New Roman"/>
        </w:rPr>
      </w:pPr>
      <w:r>
        <w:rPr>
          <w:rFonts w:eastAsia="Times New Roman"/>
          <w:b/>
          <w:bCs/>
          <w:color w:val="000000"/>
          <w:sz w:val="20"/>
          <w:szCs w:val="20"/>
        </w:rPr>
        <w:t>NOTES TO CONSOLIDATED FINANCIAL STATEMENTS</w:t>
      </w:r>
    </w:p>
    <w:p w:rsidR="00000000" w:rsidRDefault="00E0782F">
      <w:pPr>
        <w:divId w:val="1552570372"/>
        <w:rPr>
          <w:rFonts w:eastAsia="Times New Roman"/>
        </w:rPr>
      </w:pPr>
      <w:r>
        <w:rPr>
          <w:rFonts w:eastAsia="Times New Roman"/>
          <w:b/>
          <w:bCs/>
          <w:i/>
          <w:iCs/>
          <w:color w:val="000000"/>
          <w:sz w:val="20"/>
          <w:szCs w:val="20"/>
        </w:rPr>
        <w:t>Consumer Banking</w:t>
      </w:r>
    </w:p>
    <w:p w:rsidR="00000000" w:rsidRDefault="00E0782F">
      <w:pPr>
        <w:jc w:val="both"/>
        <w:divId w:val="687366931"/>
        <w:rPr>
          <w:rFonts w:eastAsia="Times New Roman"/>
        </w:rPr>
      </w:pPr>
      <w:r>
        <w:rPr>
          <w:rFonts w:eastAsia="Times New Roman"/>
          <w:color w:val="000000"/>
          <w:sz w:val="20"/>
          <w:szCs w:val="20"/>
        </w:rPr>
        <w:t xml:space="preserve">Our consumer banking loan portfolio consists of </w:t>
      </w:r>
      <w:r>
        <w:rPr>
          <w:rFonts w:eastAsia="Times New Roman"/>
          <w:color w:val="000000"/>
          <w:sz w:val="20"/>
          <w:szCs w:val="20"/>
        </w:rPr>
        <w:t>auto and retail banking loans. Similar to our credit card loan portfolio, the risk in our consumer banking loan portfolio correlates to broad economic trends, such as unemployment rates, gross domestic product and home values, as well as consumers’ financi</w:t>
      </w:r>
      <w:r>
        <w:rPr>
          <w:rFonts w:eastAsia="Times New Roman"/>
          <w:color w:val="000000"/>
          <w:sz w:val="20"/>
          <w:szCs w:val="20"/>
        </w:rPr>
        <w:t>al condition, all of which can have a material effect on credit performance. The key indicator we monitor when assessing the credit quality and risk of our auto loan portfolio is borrower credit scores as they measure the creditworthiness of borrowers. Del</w:t>
      </w:r>
      <w:r>
        <w:rPr>
          <w:rFonts w:eastAsia="Times New Roman"/>
          <w:color w:val="000000"/>
          <w:sz w:val="20"/>
          <w:szCs w:val="20"/>
        </w:rPr>
        <w:t xml:space="preserve">inquency trends are the key indicator we assess in monitoring the credit quality and risk of our retail banking loan portfolio. </w:t>
      </w:r>
    </w:p>
    <w:p w:rsidR="00000000" w:rsidRDefault="00E0782F">
      <w:pPr>
        <w:jc w:val="both"/>
        <w:divId w:val="1650790828"/>
        <w:rPr>
          <w:rFonts w:eastAsia="Times New Roman"/>
        </w:rPr>
      </w:pPr>
      <w:r>
        <w:rPr>
          <w:rFonts w:eastAsia="Times New Roman"/>
          <w:color w:val="000000"/>
          <w:sz w:val="20"/>
          <w:szCs w:val="20"/>
        </w:rPr>
        <w:t>The table below presents our consumer banking portfolio of loans held for investment by credit quality indicator as of December</w:t>
      </w:r>
      <w:r>
        <w:rPr>
          <w:rFonts w:eastAsia="Times New Roman"/>
          <w:color w:val="000000"/>
          <w:sz w:val="20"/>
          <w:szCs w:val="20"/>
        </w:rPr>
        <w:t xml:space="preserve"> 31, 2020 and 2019. We present our auto loan portfolio by FICO scores at origination and our retail banking loan portfolio by delinquency status, which includes all past due loans, both performing and nonperforming. </w:t>
      </w:r>
    </w:p>
    <w:p w:rsidR="00000000" w:rsidRDefault="00E0782F">
      <w:pPr>
        <w:divId w:val="2093508768"/>
        <w:rPr>
          <w:rFonts w:eastAsia="Times New Roman"/>
        </w:rPr>
      </w:pPr>
      <w:r>
        <w:rPr>
          <w:rFonts w:eastAsia="Times New Roman"/>
          <w:b/>
          <w:bCs/>
          <w:color w:val="000000"/>
          <w:sz w:val="18"/>
          <w:szCs w:val="18"/>
        </w:rPr>
        <w:t>Table 3.4: Consumer Banking Portfolio b</w:t>
      </w:r>
      <w:r>
        <w:rPr>
          <w:rFonts w:eastAsia="Times New Roman"/>
          <w:b/>
          <w:bCs/>
          <w:color w:val="000000"/>
          <w:sz w:val="18"/>
          <w:szCs w:val="18"/>
        </w:rPr>
        <w:t>y Credit Quality Indicator</w:t>
      </w:r>
    </w:p>
    <w:tbl>
      <w:tblPr>
        <w:tblW w:w="5000" w:type="pct"/>
        <w:tblCellMar>
          <w:top w:w="15" w:type="dxa"/>
          <w:left w:w="15" w:type="dxa"/>
          <w:bottom w:w="15" w:type="dxa"/>
          <w:right w:w="15" w:type="dxa"/>
        </w:tblCellMar>
        <w:tblLook w:val="04A0" w:firstRow="1" w:lastRow="0" w:firstColumn="1" w:lastColumn="0" w:noHBand="0" w:noVBand="1"/>
      </w:tblPr>
      <w:tblGrid>
        <w:gridCol w:w="64"/>
        <w:gridCol w:w="932"/>
        <w:gridCol w:w="39"/>
        <w:gridCol w:w="36"/>
        <w:gridCol w:w="36"/>
        <w:gridCol w:w="36"/>
        <w:gridCol w:w="110"/>
        <w:gridCol w:w="540"/>
        <w:gridCol w:w="36"/>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1"/>
        <w:gridCol w:w="581"/>
        <w:gridCol w:w="36"/>
        <w:gridCol w:w="36"/>
        <w:gridCol w:w="36"/>
        <w:gridCol w:w="36"/>
        <w:gridCol w:w="111"/>
        <w:gridCol w:w="630"/>
        <w:gridCol w:w="36"/>
        <w:gridCol w:w="36"/>
        <w:gridCol w:w="36"/>
        <w:gridCol w:w="36"/>
        <w:gridCol w:w="110"/>
        <w:gridCol w:w="540"/>
        <w:gridCol w:w="690"/>
      </w:tblGrid>
      <w:tr w:rsidR="00000000">
        <w:trPr>
          <w:divId w:val="209876539"/>
        </w:trPr>
        <w:tc>
          <w:tcPr>
            <w:tcW w:w="50" w:type="pct"/>
            <w:vAlign w:val="center"/>
            <w:hideMark/>
          </w:tcPr>
          <w:p w:rsidR="00000000" w:rsidRDefault="00E0782F">
            <w:pPr>
              <w:rPr>
                <w:rFonts w:eastAsia="Times New Roman"/>
              </w:rPr>
            </w:pPr>
          </w:p>
        </w:tc>
        <w:tc>
          <w:tcPr>
            <w:tcW w:w="7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987653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December 31, 2020</w:t>
            </w:r>
          </w:p>
        </w:tc>
        <w:tc>
          <w:tcPr>
            <w:tcW w:w="0" w:type="auto"/>
            <w:tcMar>
              <w:top w:w="0" w:type="dxa"/>
              <w:left w:w="20" w:type="dxa"/>
              <w:bottom w:w="0" w:type="dxa"/>
              <w:right w:w="20" w:type="dxa"/>
            </w:tcMar>
            <w:vAlign w:val="center"/>
            <w:hideMark/>
          </w:tcPr>
          <w:p w:rsidR="00000000" w:rsidRDefault="00E0782F">
            <w:pPr>
              <w:jc w:val="center"/>
              <w:rPr>
                <w:rFonts w:eastAsia="Times New Roman"/>
              </w:rPr>
            </w:pPr>
          </w:p>
        </w:tc>
      </w:tr>
      <w:tr w:rsidR="00000000">
        <w:trPr>
          <w:divId w:val="20987653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98765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Total</w:t>
            </w:r>
          </w:p>
        </w:tc>
        <w:tc>
          <w:tcPr>
            <w:tcW w:w="0" w:type="auto"/>
            <w:tcMar>
              <w:top w:w="0" w:type="dxa"/>
              <w:left w:w="20" w:type="dxa"/>
              <w:bottom w:w="0" w:type="dxa"/>
              <w:right w:w="20" w:type="dxa"/>
            </w:tcMar>
            <w:vAlign w:val="center"/>
            <w:hideMark/>
          </w:tcPr>
          <w:p w:rsidR="00000000" w:rsidRDefault="00E0782F">
            <w:pPr>
              <w:jc w:val="center"/>
              <w:rPr>
                <w:rFonts w:eastAsia="Times New Roman"/>
              </w:rPr>
            </w:pPr>
            <w:r>
              <w:rPr>
                <w:rFonts w:eastAsia="Times New Roman"/>
                <w:b/>
                <w:bCs/>
                <w:color w:val="000000"/>
                <w:sz w:val="15"/>
                <w:szCs w:val="15"/>
              </w:rPr>
              <w:t>December 31, 2019</w:t>
            </w:r>
          </w:p>
        </w:tc>
      </w:tr>
      <w:tr w:rsidR="00000000">
        <w:trPr>
          <w:divId w:val="20987653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2098765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1953123884"/>
              <w:rPr>
                <w:rFonts w:eastAsia="Times New Roman"/>
              </w:rPr>
            </w:pPr>
            <w:r>
              <w:rPr>
                <w:rFonts w:eastAsia="Times New Roman"/>
                <w:b/>
                <w:bCs/>
                <w:color w:val="000000"/>
                <w:sz w:val="18"/>
                <w:szCs w:val="18"/>
              </w:rPr>
              <w:t>Auto</w:t>
            </w:r>
            <w:r>
              <w:rPr>
                <w:rFonts w:eastAsia="Times New Roman"/>
                <w:color w:val="000000"/>
                <w:sz w:val="18"/>
                <w:szCs w:val="18"/>
              </w:rPr>
              <w:t>—</w:t>
            </w:r>
            <w:r>
              <w:rPr>
                <w:rFonts w:eastAsia="Times New Roman"/>
                <w:b/>
                <w:bCs/>
                <w:color w:val="000000"/>
                <w:sz w:val="18"/>
                <w:szCs w:val="18"/>
              </w:rPr>
              <w:t>At origination FICO scores</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209876539"/>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Greater than 660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13,352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8,091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4,675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2,810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30,299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30,299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r>
              <w:rPr>
                <w:rFonts w:eastAsia="Times New Roman"/>
                <w:color w:val="000000"/>
                <w:sz w:val="18"/>
                <w:szCs w:val="18"/>
              </w:rPr>
              <w:t>28,773 </w:t>
            </w:r>
          </w:p>
        </w:tc>
      </w:tr>
      <w:tr w:rsidR="00E0782F">
        <w:trPr>
          <w:divId w:val="209876539"/>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621-660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1,172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13,184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13,184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11,924 </w:t>
            </w:r>
          </w:p>
        </w:tc>
      </w:tr>
      <w:tr w:rsidR="00E0782F">
        <w:trPr>
          <w:divId w:val="209876539"/>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620 or below</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22,279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22,279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19,665 </w:t>
            </w:r>
          </w:p>
        </w:tc>
      </w:tr>
      <w:tr w:rsidR="00E0782F">
        <w:trPr>
          <w:divId w:val="20987653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auto</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28,683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18,020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9,995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5,967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65,762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65,762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60,362 </w:t>
            </w:r>
          </w:p>
        </w:tc>
      </w:tr>
      <w:tr w:rsidR="00000000">
        <w:trPr>
          <w:divId w:val="209876539"/>
          <w:trHeight w:val="280"/>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987653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Retail banking—</w:t>
            </w:r>
            <w:r>
              <w:rPr>
                <w:rFonts w:eastAsia="Times New Roman"/>
                <w:b/>
                <w:bCs/>
                <w:color w:val="000000"/>
                <w:sz w:val="18"/>
                <w:szCs w:val="18"/>
              </w:rPr>
              <w:t>Delinquency status: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209876539"/>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Current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2,658 </w:t>
            </w:r>
          </w:p>
        </w:tc>
      </w:tr>
      <w:tr w:rsidR="00E0782F">
        <w:trPr>
          <w:divId w:val="209876539"/>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30-59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24 </w:t>
            </w:r>
          </w:p>
        </w:tc>
      </w:tr>
      <w:tr w:rsidR="00E0782F">
        <w:trPr>
          <w:divId w:val="209876539"/>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60-89 days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8 </w:t>
            </w:r>
          </w:p>
        </w:tc>
      </w:tr>
      <w:tr w:rsidR="00E0782F">
        <w:trPr>
          <w:divId w:val="209876539"/>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Greater than 90 days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11 </w:t>
            </w:r>
          </w:p>
        </w:tc>
      </w:tr>
      <w:tr w:rsidR="00E0782F">
        <w:trPr>
          <w:divId w:val="209876539"/>
        </w:trPr>
        <w:tc>
          <w:tcPr>
            <w:tcW w:w="0" w:type="auto"/>
            <w:gridSpan w:val="3"/>
            <w:shd w:val="clear" w:color="auto" w:fill="FFFFFF"/>
            <w:tcMar>
              <w:top w:w="30" w:type="dxa"/>
              <w:left w:w="20" w:type="dxa"/>
              <w:bottom w:w="30" w:type="dxa"/>
              <w:right w:w="20" w:type="dxa"/>
            </w:tcMar>
            <w:vAlign w:val="center"/>
            <w:hideMark/>
          </w:tcPr>
          <w:p w:rsidR="00000000" w:rsidRDefault="00E0782F">
            <w:pPr>
              <w:divId w:val="93399219"/>
              <w:rPr>
                <w:rFonts w:eastAsia="Times New Roman"/>
              </w:rPr>
            </w:pPr>
            <w:r>
              <w:rPr>
                <w:rFonts w:eastAsia="Times New Roman"/>
                <w:b/>
                <w:bCs/>
                <w:color w:val="000000"/>
                <w:sz w:val="18"/>
                <w:szCs w:val="18"/>
              </w:rPr>
              <w:t>Total retail bankin</w:t>
            </w:r>
            <w:r>
              <w:rPr>
                <w:rFonts w:eastAsia="Times New Roman"/>
                <w:b/>
                <w:bCs/>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233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224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547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2,434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3,126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2,701 </w:t>
            </w:r>
          </w:p>
        </w:tc>
      </w:tr>
      <w:tr w:rsidR="00E0782F">
        <w:trPr>
          <w:divId w:val="20987653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29,724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18,253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10,209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6,191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2,717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68,196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$63,063 </w:t>
            </w:r>
          </w:p>
        </w:tc>
      </w:tr>
    </w:tbl>
    <w:p w:rsidR="00000000" w:rsidRDefault="00E0782F">
      <w:pPr>
        <w:divId w:val="1724209879"/>
        <w:rPr>
          <w:rFonts w:eastAsia="Times New Roman"/>
        </w:rPr>
      </w:pPr>
      <w:r>
        <w:rPr>
          <w:rFonts w:eastAsia="Times New Roman"/>
          <w:color w:val="000000"/>
          <w:sz w:val="20"/>
          <w:szCs w:val="20"/>
        </w:rPr>
        <w:t>__________</w:t>
      </w:r>
    </w:p>
    <w:p w:rsidR="00000000" w:rsidRDefault="00E0782F">
      <w:pPr>
        <w:ind w:hanging="360"/>
        <w:jc w:val="both"/>
        <w:divId w:val="53373177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Amounts represent period-end loans held for investment in each credit score category. Auto credit scores generally represent average FICO scores obtained from three credit bureaus at the time of application and a</w:t>
      </w:r>
      <w:r>
        <w:rPr>
          <w:rFonts w:eastAsia="Times New Roman"/>
          <w:color w:val="000000"/>
          <w:sz w:val="16"/>
          <w:szCs w:val="16"/>
        </w:rPr>
        <w:t>re not refreshed thereafter. Balances for which no credit score is available or the credit score is invalid are included in the 620 or below category.</w:t>
      </w:r>
    </w:p>
    <w:p w:rsidR="00000000" w:rsidRDefault="00E0782F">
      <w:pPr>
        <w:ind w:hanging="360"/>
        <w:jc w:val="both"/>
        <w:divId w:val="153858903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Paycheck Protection Program (“PPP”) loans of $919 million as of December 31, 2020.</w:t>
      </w:r>
    </w:p>
    <w:p w:rsidR="00000000" w:rsidRDefault="00E0782F">
      <w:pPr>
        <w:jc w:val="both"/>
        <w:divId w:val="2032491784"/>
        <w:rPr>
          <w:rFonts w:eastAsia="Times New Roman"/>
        </w:rPr>
      </w:pPr>
      <w:r>
        <w:rPr>
          <w:rFonts w:eastAsia="Times New Roman"/>
          <w:b/>
          <w:bCs/>
          <w:i/>
          <w:iCs/>
          <w:color w:val="000000"/>
          <w:sz w:val="20"/>
          <w:szCs w:val="20"/>
        </w:rPr>
        <w:t>Commercial</w:t>
      </w:r>
      <w:r>
        <w:rPr>
          <w:rFonts w:eastAsia="Times New Roman"/>
          <w:b/>
          <w:bCs/>
          <w:i/>
          <w:iCs/>
          <w:color w:val="000000"/>
          <w:sz w:val="20"/>
          <w:szCs w:val="20"/>
        </w:rPr>
        <w:t xml:space="preserve"> Banking</w:t>
      </w:r>
    </w:p>
    <w:p w:rsidR="00000000" w:rsidRDefault="00E0782F">
      <w:pPr>
        <w:jc w:val="both"/>
        <w:divId w:val="276641720"/>
        <w:rPr>
          <w:rFonts w:eastAsia="Times New Roman"/>
        </w:rPr>
      </w:pPr>
      <w:r>
        <w:rPr>
          <w:rFonts w:eastAsia="Times New Roman"/>
          <w:color w:val="000000"/>
          <w:sz w:val="20"/>
          <w:szCs w:val="20"/>
        </w:rPr>
        <w:t>The key credit quality indicator for our commercial loan portfolios is our internal risk ratings. We assign internal risk ratings to loans based on relevant information about the ability of the borrowers to repay their debt. In determining the ris</w:t>
      </w:r>
      <w:r>
        <w:rPr>
          <w:rFonts w:eastAsia="Times New Roman"/>
          <w:color w:val="000000"/>
          <w:sz w:val="20"/>
          <w:szCs w:val="20"/>
        </w:rPr>
        <w:t xml:space="preserve">k rating of a particular loan, some of the factors considered are the borrower’s current financial condition, historical and projected future credit performance, prospects for support from financially responsible guarantors, the estimated realizable value </w:t>
      </w:r>
      <w:r>
        <w:rPr>
          <w:rFonts w:eastAsia="Times New Roman"/>
          <w:color w:val="000000"/>
          <w:sz w:val="20"/>
          <w:szCs w:val="20"/>
        </w:rPr>
        <w:t>of any collateral and current economic trends. The scale based on our internal risk rating system is as follows:</w:t>
      </w:r>
    </w:p>
    <w:p w:rsidR="00000000" w:rsidRDefault="00E0782F">
      <w:pPr>
        <w:ind w:hanging="360"/>
        <w:jc w:val="both"/>
        <w:divId w:val="418797327"/>
        <w:rPr>
          <w:rFonts w:eastAsia="Times New Roman"/>
        </w:rPr>
      </w:pPr>
      <w:r>
        <w:rPr>
          <w:rFonts w:eastAsia="Times New Roman"/>
          <w:color w:val="000000"/>
          <w:sz w:val="20"/>
          <w:szCs w:val="20"/>
        </w:rPr>
        <w:t>•</w:t>
      </w:r>
      <w:r>
        <w:rPr>
          <w:rFonts w:eastAsia="Times New Roman"/>
          <w:i/>
          <w:iCs/>
          <w:color w:val="000000"/>
          <w:sz w:val="20"/>
          <w:szCs w:val="20"/>
        </w:rPr>
        <w:t>Noncriticized:</w:t>
      </w:r>
      <w:r>
        <w:rPr>
          <w:rFonts w:eastAsia="Times New Roman"/>
          <w:color w:val="000000"/>
          <w:sz w:val="20"/>
          <w:szCs w:val="20"/>
        </w:rPr>
        <w:t xml:space="preserve"> Loans that have not been designated as criticized, frequently referred to as “pass” 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4492666"/>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449266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449266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149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5" style="width:0;height:1.5pt" o:hralign="center" o:hrstd="t" o:hr="t" fillcolor="#a0a0a0" stroked="f"/>
        </w:pict>
      </w:r>
    </w:p>
    <w:p w:rsidR="00000000" w:rsidRDefault="00E0782F">
      <w:pPr>
        <w:jc w:val="both"/>
        <w:divId w:val="81757218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817572182"/>
        <w:rPr>
          <w:rFonts w:eastAsia="Times New Roman"/>
        </w:rPr>
      </w:pPr>
    </w:p>
    <w:p w:rsidR="00000000" w:rsidRDefault="00E0782F">
      <w:pPr>
        <w:jc w:val="center"/>
        <w:divId w:val="817572182"/>
        <w:rPr>
          <w:rFonts w:eastAsia="Times New Roman"/>
        </w:rPr>
      </w:pPr>
      <w:r>
        <w:rPr>
          <w:rFonts w:eastAsia="Times New Roman"/>
          <w:b/>
          <w:bCs/>
          <w:color w:val="000000"/>
          <w:sz w:val="20"/>
          <w:szCs w:val="20"/>
        </w:rPr>
        <w:t>CAPITAL ONE FINANCIAL CORPORATION</w:t>
      </w:r>
    </w:p>
    <w:p w:rsidR="00000000" w:rsidRDefault="00E0782F">
      <w:pPr>
        <w:jc w:val="center"/>
        <w:divId w:val="817572182"/>
        <w:rPr>
          <w:rFonts w:eastAsia="Times New Roman"/>
        </w:rPr>
      </w:pPr>
      <w:r>
        <w:rPr>
          <w:rFonts w:eastAsia="Times New Roman"/>
          <w:b/>
          <w:bCs/>
          <w:color w:val="000000"/>
          <w:sz w:val="20"/>
          <w:szCs w:val="20"/>
        </w:rPr>
        <w:t>NOTES TO CONSOLIDATED FINANCIAL STATEMENTS</w:t>
      </w:r>
    </w:p>
    <w:p w:rsidR="00000000" w:rsidRDefault="00E0782F">
      <w:pPr>
        <w:ind w:hanging="360"/>
        <w:jc w:val="both"/>
        <w:divId w:val="1515076903"/>
        <w:rPr>
          <w:rFonts w:eastAsia="Times New Roman"/>
        </w:rPr>
      </w:pPr>
      <w:r>
        <w:rPr>
          <w:rFonts w:eastAsia="Times New Roman"/>
          <w:color w:val="000000"/>
          <w:sz w:val="20"/>
          <w:szCs w:val="20"/>
        </w:rPr>
        <w:t>•</w:t>
      </w:r>
      <w:r>
        <w:rPr>
          <w:rFonts w:eastAsia="Times New Roman"/>
          <w:i/>
          <w:iCs/>
          <w:color w:val="000000"/>
          <w:sz w:val="20"/>
          <w:szCs w:val="20"/>
        </w:rPr>
        <w:t>Criticized performing:</w:t>
      </w:r>
      <w:r>
        <w:rPr>
          <w:rFonts w:eastAsia="Times New Roman"/>
          <w:color w:val="000000"/>
          <w:sz w:val="20"/>
          <w:szCs w:val="20"/>
        </w:rPr>
        <w:t xml:space="preserve"> </w:t>
      </w:r>
      <w:r>
        <w:rPr>
          <w:rFonts w:eastAsia="Times New Roman"/>
          <w:color w:val="000000"/>
          <w:sz w:val="20"/>
          <w:szCs w:val="20"/>
        </w:rPr>
        <w:t>Loans in which the financial condition of the obligor is stressed, affecting earnings, cash flows or collateral values. The borrower currently has adequate capacity to meet near-term obligations; however, the stress, left unabated, may result in deteriorat</w:t>
      </w:r>
      <w:r>
        <w:rPr>
          <w:rFonts w:eastAsia="Times New Roman"/>
          <w:color w:val="000000"/>
          <w:sz w:val="20"/>
          <w:szCs w:val="20"/>
        </w:rPr>
        <w:t>ion of the repayment prospects at some future date.</w:t>
      </w:r>
    </w:p>
    <w:p w:rsidR="00000000" w:rsidRDefault="00E0782F">
      <w:pPr>
        <w:ind w:hanging="360"/>
        <w:jc w:val="both"/>
        <w:divId w:val="720639504"/>
        <w:rPr>
          <w:rFonts w:eastAsia="Times New Roman"/>
        </w:rPr>
      </w:pPr>
      <w:r>
        <w:rPr>
          <w:rFonts w:eastAsia="Times New Roman"/>
          <w:color w:val="000000"/>
          <w:sz w:val="20"/>
          <w:szCs w:val="20"/>
        </w:rPr>
        <w:t>•</w:t>
      </w:r>
      <w:r>
        <w:rPr>
          <w:rFonts w:eastAsia="Times New Roman"/>
          <w:i/>
          <w:iCs/>
          <w:color w:val="000000"/>
          <w:sz w:val="20"/>
          <w:szCs w:val="20"/>
        </w:rPr>
        <w:t>Criticized nonperforming:</w:t>
      </w:r>
      <w:r>
        <w:rPr>
          <w:rFonts w:eastAsia="Times New Roman"/>
          <w:color w:val="000000"/>
          <w:sz w:val="20"/>
          <w:szCs w:val="20"/>
        </w:rPr>
        <w:t xml:space="preserve"> Loans that are not adequately protected by the current net worth and paying capacity of the obligor or the collateral pledged, if any. Loans classified as criticized nonperformi</w:t>
      </w:r>
      <w:r>
        <w:rPr>
          <w:rFonts w:eastAsia="Times New Roman"/>
          <w:color w:val="000000"/>
          <w:sz w:val="20"/>
          <w:szCs w:val="20"/>
        </w:rPr>
        <w:t xml:space="preserve">ng have a well-defined weakness, or weaknesses, which jeopardize the full repayment of the debt. These loans are characterized by the distinct possibility that we will sustain a credit loss if the deficiencies are not corrected and are generally placed on </w:t>
      </w:r>
      <w:r>
        <w:rPr>
          <w:rFonts w:eastAsia="Times New Roman"/>
          <w:color w:val="000000"/>
          <w:sz w:val="20"/>
          <w:szCs w:val="20"/>
        </w:rPr>
        <w:t>nonaccrual status.</w:t>
      </w:r>
    </w:p>
    <w:p w:rsidR="00000000" w:rsidRDefault="00E0782F">
      <w:pPr>
        <w:jc w:val="both"/>
        <w:divId w:val="1624648593"/>
        <w:rPr>
          <w:rFonts w:eastAsia="Times New Roman"/>
        </w:rPr>
      </w:pPr>
      <w:r>
        <w:rPr>
          <w:rFonts w:eastAsia="Times New Roman"/>
          <w:color w:val="000000"/>
          <w:sz w:val="20"/>
          <w:szCs w:val="20"/>
        </w:rPr>
        <w:t>We use our internal risk rating system for regulatory reporting, determining the frequency of credit exposure reviews, and evaluating and determining the allowance for credit losses for commercial loans. Generally, loans that are designa</w:t>
      </w:r>
      <w:r>
        <w:rPr>
          <w:rFonts w:eastAsia="Times New Roman"/>
          <w:color w:val="000000"/>
          <w:sz w:val="20"/>
          <w:szCs w:val="20"/>
        </w:rPr>
        <w:t>ted as criticized performing and criticized nonperforming are reviewed quarterly by management to determine if they are appropriately classified/rated and whether any impairment exists. Noncriticized loans are also generally reviewed, at least annually, to</w:t>
      </w:r>
      <w:r>
        <w:rPr>
          <w:rFonts w:eastAsia="Times New Roman"/>
          <w:color w:val="000000"/>
          <w:sz w:val="20"/>
          <w:szCs w:val="20"/>
        </w:rPr>
        <w:t xml:space="preserve"> determine the appropriate risk rating. In addition, we evaluate the risk rating during the renewal process of any loan or if a loan becomes past due.</w:t>
      </w:r>
    </w:p>
    <w:p w:rsidR="00000000" w:rsidRDefault="00E0782F">
      <w:pPr>
        <w:jc w:val="both"/>
        <w:divId w:val="1687562924"/>
        <w:rPr>
          <w:rFonts w:eastAsia="Times New Roman"/>
        </w:rPr>
      </w:pPr>
      <w:r>
        <w:rPr>
          <w:rFonts w:eastAsia="Times New Roman"/>
          <w:color w:val="000000"/>
          <w:sz w:val="20"/>
          <w:szCs w:val="20"/>
        </w:rPr>
        <w:t>The following table presents our commercial banking portfolio of loans held for investment by internal ri</w:t>
      </w:r>
      <w:r>
        <w:rPr>
          <w:rFonts w:eastAsia="Times New Roman"/>
          <w:color w:val="000000"/>
          <w:sz w:val="20"/>
          <w:szCs w:val="20"/>
        </w:rPr>
        <w:t>sk ratings as of December 31, 2020 and 2019. The internal risk rating status includes all past due loans, both performing and nonperforming.</w:t>
      </w:r>
    </w:p>
    <w:p w:rsidR="00000000" w:rsidRDefault="00E0782F">
      <w:pPr>
        <w:divId w:val="512691798"/>
        <w:rPr>
          <w:rFonts w:eastAsia="Times New Roman"/>
        </w:rPr>
      </w:pPr>
      <w:r>
        <w:rPr>
          <w:rFonts w:eastAsia="Times New Roman"/>
          <w:b/>
          <w:bCs/>
          <w:color w:val="000000"/>
          <w:sz w:val="18"/>
          <w:szCs w:val="18"/>
        </w:rPr>
        <w:t>Table 3.5: Commercial Banking Portfolio by Internal Risk Ratings</w:t>
      </w:r>
    </w:p>
    <w:tbl>
      <w:tblPr>
        <w:tblW w:w="5000" w:type="pct"/>
        <w:tblCellMar>
          <w:top w:w="15" w:type="dxa"/>
          <w:left w:w="15" w:type="dxa"/>
          <w:bottom w:w="15" w:type="dxa"/>
          <w:right w:w="15" w:type="dxa"/>
        </w:tblCellMar>
        <w:tblLook w:val="04A0" w:firstRow="1" w:lastRow="0" w:firstColumn="1" w:lastColumn="0" w:noHBand="0" w:noVBand="1"/>
      </w:tblPr>
      <w:tblGrid>
        <w:gridCol w:w="58"/>
        <w:gridCol w:w="1417"/>
        <w:gridCol w:w="40"/>
        <w:gridCol w:w="36"/>
        <w:gridCol w:w="36"/>
        <w:gridCol w:w="36"/>
        <w:gridCol w:w="110"/>
        <w:gridCol w:w="540"/>
        <w:gridCol w:w="36"/>
        <w:gridCol w:w="36"/>
        <w:gridCol w:w="36"/>
        <w:gridCol w:w="36"/>
        <w:gridCol w:w="110"/>
        <w:gridCol w:w="54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450"/>
        <w:gridCol w:w="36"/>
        <w:gridCol w:w="36"/>
        <w:gridCol w:w="36"/>
        <w:gridCol w:w="36"/>
        <w:gridCol w:w="110"/>
        <w:gridCol w:w="540"/>
        <w:gridCol w:w="36"/>
        <w:gridCol w:w="36"/>
        <w:gridCol w:w="36"/>
        <w:gridCol w:w="36"/>
        <w:gridCol w:w="110"/>
        <w:gridCol w:w="540"/>
        <w:gridCol w:w="36"/>
        <w:gridCol w:w="36"/>
        <w:gridCol w:w="36"/>
        <w:gridCol w:w="36"/>
        <w:gridCol w:w="111"/>
        <w:gridCol w:w="618"/>
        <w:gridCol w:w="36"/>
        <w:gridCol w:w="36"/>
        <w:gridCol w:w="36"/>
        <w:gridCol w:w="36"/>
        <w:gridCol w:w="110"/>
        <w:gridCol w:w="540"/>
        <w:gridCol w:w="36"/>
      </w:tblGrid>
      <w:tr w:rsidR="00000000">
        <w:trPr>
          <w:divId w:val="888610123"/>
        </w:trPr>
        <w:tc>
          <w:tcPr>
            <w:tcW w:w="50" w:type="pct"/>
            <w:vAlign w:val="center"/>
            <w:hideMark/>
          </w:tcPr>
          <w:p w:rsidR="00000000" w:rsidRDefault="00E0782F">
            <w:pPr>
              <w:rPr>
                <w:rFonts w:eastAsia="Times New Roman"/>
              </w:rPr>
            </w:pPr>
          </w:p>
        </w:tc>
        <w:tc>
          <w:tcPr>
            <w:tcW w:w="123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8861012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December 31, 2020</w:t>
            </w:r>
          </w:p>
        </w:tc>
        <w:tc>
          <w:tcPr>
            <w:tcW w:w="0" w:type="auto"/>
            <w:vAlign w:val="center"/>
            <w:hideMark/>
          </w:tcPr>
          <w:p w:rsidR="00000000" w:rsidRDefault="00E0782F">
            <w:pPr>
              <w:rPr>
                <w:rFonts w:eastAsia="Times New Roman"/>
                <w:sz w:val="20"/>
                <w:szCs w:val="20"/>
              </w:rPr>
            </w:pPr>
          </w:p>
        </w:tc>
      </w:tr>
      <w:tr w:rsidR="00000000">
        <w:trPr>
          <w:divId w:val="888610123"/>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Term Loans by Vintage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8861012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5"/>
                <w:szCs w:val="15"/>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2016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Prior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Total Term Loans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Revolving Loans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Revolving Loans Converted to Term</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5"/>
                <w:szCs w:val="15"/>
              </w:rPr>
              <w:t>Total</w:t>
            </w:r>
          </w:p>
        </w:tc>
        <w:tc>
          <w:tcPr>
            <w:tcW w:w="0" w:type="auto"/>
            <w:vAlign w:val="center"/>
            <w:hideMark/>
          </w:tcPr>
          <w:p w:rsidR="00000000" w:rsidRDefault="00E0782F">
            <w:pPr>
              <w:rPr>
                <w:rFonts w:eastAsia="Times New Roman"/>
                <w:sz w:val="20"/>
                <w:szCs w:val="20"/>
              </w:rPr>
            </w:pPr>
          </w:p>
        </w:tc>
      </w:tr>
      <w:tr w:rsidR="00000000">
        <w:trPr>
          <w:divId w:val="88861012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2002731451"/>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88610123"/>
        </w:trPr>
        <w:tc>
          <w:tcPr>
            <w:tcW w:w="0" w:type="auto"/>
            <w:gridSpan w:val="3"/>
            <w:shd w:val="clear" w:color="auto" w:fill="FFFFFF"/>
            <w:tcMar>
              <w:top w:w="30" w:type="dxa"/>
              <w:left w:w="15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888610123"/>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Noncriticized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4,932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4,904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19,945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7,114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27,059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888610123"/>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Criticized performing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3,285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888610123"/>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Criticized nonperforming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888610123"/>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4,111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5,389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3,777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1,798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6,312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23,430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7,226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30,681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888610123"/>
        </w:trPr>
        <w:tc>
          <w:tcPr>
            <w:tcW w:w="0" w:type="auto"/>
            <w:gridSpan w:val="3"/>
            <w:shd w:val="clear" w:color="auto" w:fill="CCEEFF"/>
            <w:tcMar>
              <w:top w:w="30" w:type="dxa"/>
              <w:left w:w="15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888610123"/>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9,761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7,890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29,277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11,548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40,905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888610123"/>
        </w:trPr>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794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1,498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3,744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888610123"/>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888610123"/>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10,151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8,792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3,020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31,748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13,229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45,099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E0782F">
        <w:trPr>
          <w:divId w:val="888610123"/>
        </w:trPr>
        <w:tc>
          <w:tcPr>
            <w:tcW w:w="0" w:type="auto"/>
            <w:gridSpan w:val="3"/>
            <w:shd w:val="clear" w:color="auto" w:fill="FFFFFF"/>
            <w:tcMar>
              <w:top w:w="30" w:type="dxa"/>
              <w:left w:w="20" w:type="dxa"/>
              <w:bottom w:w="30" w:type="dxa"/>
              <w:right w:w="20" w:type="dxa"/>
            </w:tcMar>
            <w:vAlign w:val="center"/>
            <w:hideMark/>
          </w:tcPr>
          <w:p w:rsidR="00000000" w:rsidRDefault="00E0782F">
            <w:pPr>
              <w:divId w:val="805048880"/>
              <w:rPr>
                <w:rFonts w:eastAsia="Times New Roman"/>
              </w:rPr>
            </w:pPr>
            <w:r>
              <w:rPr>
                <w:rFonts w:eastAsia="Times New Roman"/>
                <w:color w:val="000000"/>
                <w:sz w:val="18"/>
                <w:szCs w:val="18"/>
              </w:rPr>
              <w:t>Total commercial bankin</w:t>
            </w:r>
            <w:r>
              <w:rPr>
                <w:rFonts w:eastAsia="Times New Roman"/>
                <w:color w:val="000000"/>
                <w:sz w:val="18"/>
                <w:szCs w:val="18"/>
              </w:rPr>
              <w:t>g</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14,262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14,181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8,366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4,818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55,178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20,455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49"/>
        <w:gridCol w:w="2038"/>
        <w:gridCol w:w="39"/>
        <w:gridCol w:w="36"/>
        <w:gridCol w:w="36"/>
        <w:gridCol w:w="36"/>
        <w:gridCol w:w="111"/>
        <w:gridCol w:w="806"/>
        <w:gridCol w:w="36"/>
        <w:gridCol w:w="36"/>
        <w:gridCol w:w="36"/>
        <w:gridCol w:w="36"/>
        <w:gridCol w:w="45"/>
        <w:gridCol w:w="619"/>
        <w:gridCol w:w="170"/>
        <w:gridCol w:w="36"/>
        <w:gridCol w:w="36"/>
        <w:gridCol w:w="36"/>
        <w:gridCol w:w="111"/>
        <w:gridCol w:w="801"/>
        <w:gridCol w:w="36"/>
        <w:gridCol w:w="36"/>
        <w:gridCol w:w="36"/>
        <w:gridCol w:w="36"/>
        <w:gridCol w:w="45"/>
        <w:gridCol w:w="564"/>
        <w:gridCol w:w="170"/>
        <w:gridCol w:w="36"/>
        <w:gridCol w:w="36"/>
        <w:gridCol w:w="36"/>
        <w:gridCol w:w="36"/>
        <w:gridCol w:w="36"/>
        <w:gridCol w:w="36"/>
        <w:gridCol w:w="36"/>
        <w:gridCol w:w="36"/>
        <w:gridCol w:w="36"/>
        <w:gridCol w:w="111"/>
        <w:gridCol w:w="801"/>
        <w:gridCol w:w="36"/>
        <w:gridCol w:w="36"/>
        <w:gridCol w:w="36"/>
        <w:gridCol w:w="36"/>
        <w:gridCol w:w="44"/>
        <w:gridCol w:w="590"/>
        <w:gridCol w:w="170"/>
      </w:tblGrid>
      <w:tr w:rsidR="00000000">
        <w:trPr>
          <w:divId w:val="1611163180"/>
        </w:trPr>
        <w:tc>
          <w:tcPr>
            <w:tcW w:w="50" w:type="pct"/>
            <w:vAlign w:val="center"/>
            <w:hideMark/>
          </w:tcPr>
          <w:p w:rsidR="00000000" w:rsidRDefault="00E0782F">
            <w:pPr>
              <w:jc w:val="both"/>
              <w:rPr>
                <w:rFonts w:eastAsia="Times New Roman"/>
              </w:rPr>
            </w:pPr>
          </w:p>
        </w:tc>
        <w:tc>
          <w:tcPr>
            <w:tcW w:w="13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6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1116318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61116318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and Multifamily Real Estate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and Industrial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Commercial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r>
              <w:rPr>
                <w:rFonts w:eastAsia="Times New Roman"/>
                <w:b/>
                <w:bCs/>
                <w:color w:val="000000"/>
                <w:sz w:val="10"/>
                <w:szCs w:val="10"/>
              </w:rPr>
              <w:t> </w:t>
            </w:r>
          </w:p>
        </w:tc>
      </w:tr>
      <w:tr w:rsidR="00000000">
        <w:trPr>
          <w:divId w:val="1611163180"/>
        </w:trPr>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1116318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1116318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1116318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1116318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1116318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61116318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1271937620"/>
              <w:rPr>
                <w:rFonts w:eastAsia="Times New Roman"/>
              </w:rPr>
            </w:pPr>
            <w:r>
              <w:rPr>
                <w:rFonts w:eastAsia="Times New Roman"/>
                <w:b/>
                <w:bCs/>
                <w:color w:val="000000"/>
                <w:sz w:val="18"/>
                <w:szCs w:val="18"/>
              </w:rPr>
              <w:t>Internal risk rating</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61116318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Noncriticized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29,625 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42,223 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71,848 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161116318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Criticized performing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2,181 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116318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Criticized nonperforming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116318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PCI loans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61116318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divId w:val="994802183"/>
        <w:rPr>
          <w:rFonts w:eastAsia="Times New Roman"/>
        </w:rPr>
      </w:pPr>
      <w:r>
        <w:rPr>
          <w:rFonts w:eastAsia="Times New Roman"/>
          <w:color w:val="000000"/>
          <w:sz w:val="20"/>
          <w:szCs w:val="20"/>
        </w:rPr>
        <w:t>__________</w:t>
      </w:r>
    </w:p>
    <w:p w:rsidR="00000000" w:rsidRDefault="00E0782F">
      <w:pPr>
        <w:ind w:hanging="360"/>
        <w:jc w:val="both"/>
        <w:divId w:val="16189421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Criticized exposures correspond to the “Special Mention,” “Substandard” and “Doubtful” asset categories de</w:t>
      </w:r>
      <w:r>
        <w:rPr>
          <w:rFonts w:eastAsia="Times New Roman"/>
          <w:color w:val="000000"/>
          <w:sz w:val="16"/>
          <w:szCs w:val="16"/>
        </w:rPr>
        <w:t>fined by bank regulatory authorities.</w:t>
      </w:r>
    </w:p>
    <w:p w:rsidR="00000000" w:rsidRDefault="00E0782F">
      <w:pPr>
        <w:ind w:hanging="360"/>
        <w:jc w:val="both"/>
        <w:divId w:val="12998033"/>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PPP loans of $238 million as of December 31,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62715974"/>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6271597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6271597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6" style="width:0;height:1.5pt" o:hralign="center" o:hrstd="t" o:hr="t" fillcolor="#a0a0a0" stroked="f"/>
        </w:pict>
      </w:r>
    </w:p>
    <w:p w:rsidR="00000000" w:rsidRDefault="00E0782F">
      <w:pPr>
        <w:jc w:val="both"/>
        <w:divId w:val="146415423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64154238"/>
        <w:rPr>
          <w:rFonts w:eastAsia="Times New Roman"/>
        </w:rPr>
      </w:pPr>
    </w:p>
    <w:p w:rsidR="00000000" w:rsidRDefault="00E0782F">
      <w:pPr>
        <w:jc w:val="center"/>
        <w:divId w:val="1464154238"/>
        <w:rPr>
          <w:rFonts w:eastAsia="Times New Roman"/>
        </w:rPr>
      </w:pPr>
      <w:r>
        <w:rPr>
          <w:rFonts w:eastAsia="Times New Roman"/>
          <w:b/>
          <w:bCs/>
          <w:color w:val="000000"/>
          <w:sz w:val="20"/>
          <w:szCs w:val="20"/>
        </w:rPr>
        <w:t>CAPITAL ONE FINANCIAL CORPORATION</w:t>
      </w:r>
    </w:p>
    <w:p w:rsidR="00000000" w:rsidRDefault="00E0782F">
      <w:pPr>
        <w:jc w:val="center"/>
        <w:divId w:val="1464154238"/>
        <w:rPr>
          <w:rFonts w:eastAsia="Times New Roman"/>
        </w:rPr>
      </w:pPr>
      <w:r>
        <w:rPr>
          <w:rFonts w:eastAsia="Times New Roman"/>
          <w:b/>
          <w:bCs/>
          <w:color w:val="000000"/>
          <w:sz w:val="20"/>
          <w:szCs w:val="20"/>
        </w:rPr>
        <w:t>NOTES TO CONSOLIDATED FINANCIAL STATEMENTS</w:t>
      </w:r>
    </w:p>
    <w:p w:rsidR="00000000" w:rsidRDefault="00E0782F">
      <w:pPr>
        <w:divId w:val="1444611479"/>
        <w:rPr>
          <w:rFonts w:eastAsia="Times New Roman"/>
        </w:rPr>
      </w:pPr>
      <w:r>
        <w:rPr>
          <w:rFonts w:eastAsia="Times New Roman"/>
          <w:b/>
          <w:bCs/>
          <w:color w:val="000000"/>
          <w:sz w:val="20"/>
          <w:szCs w:val="20"/>
        </w:rPr>
        <w:t>Revolving Loans Converted to Term Loans</w:t>
      </w:r>
    </w:p>
    <w:p w:rsidR="00000000" w:rsidRDefault="00E0782F">
      <w:pPr>
        <w:jc w:val="both"/>
        <w:divId w:val="1970697038"/>
        <w:rPr>
          <w:rFonts w:eastAsia="Times New Roman"/>
        </w:rPr>
      </w:pPr>
      <w:r>
        <w:rPr>
          <w:rFonts w:eastAsia="Times New Roman"/>
          <w:color w:val="000000"/>
          <w:sz w:val="20"/>
          <w:szCs w:val="20"/>
        </w:rPr>
        <w:t>For the year ended Decemb</w:t>
      </w:r>
      <w:r>
        <w:rPr>
          <w:rFonts w:eastAsia="Times New Roman"/>
          <w:color w:val="000000"/>
          <w:sz w:val="20"/>
          <w:szCs w:val="20"/>
        </w:rPr>
        <w:t>er 31, 2020, we converted $602 million of revolving loans to term loans, primarily in our domestic credit card and commercial banking loan portfolios.</w:t>
      </w:r>
    </w:p>
    <w:p w:rsidR="00000000" w:rsidRDefault="00E0782F">
      <w:pPr>
        <w:divId w:val="530269823"/>
        <w:rPr>
          <w:rFonts w:eastAsia="Times New Roman"/>
        </w:rPr>
      </w:pPr>
      <w:r>
        <w:rPr>
          <w:rFonts w:eastAsia="Times New Roman"/>
          <w:b/>
          <w:bCs/>
          <w:color w:val="000000"/>
          <w:sz w:val="20"/>
          <w:szCs w:val="20"/>
        </w:rPr>
        <w:t>Troubled Debt Restructurings</w:t>
      </w:r>
    </w:p>
    <w:p w:rsidR="00000000" w:rsidRDefault="00E0782F">
      <w:pPr>
        <w:jc w:val="both"/>
        <w:divId w:val="622469354"/>
        <w:rPr>
          <w:rFonts w:eastAsia="Times New Roman"/>
        </w:rPr>
      </w:pPr>
      <w:r>
        <w:rPr>
          <w:rFonts w:eastAsia="Times New Roman"/>
          <w:color w:val="000000"/>
          <w:sz w:val="20"/>
          <w:szCs w:val="20"/>
        </w:rPr>
        <w:t xml:space="preserve">Additional guidance issued by the Federal Banking Agencies and contained in </w:t>
      </w:r>
      <w:r>
        <w:rPr>
          <w:rFonts w:eastAsia="Times New Roman"/>
          <w:color w:val="000000"/>
          <w:sz w:val="20"/>
          <w:szCs w:val="20"/>
        </w:rPr>
        <w:t>the Coronavirus Aid, Relief, and Economic Security Act provides banking organizations with TDR relief for modifications of current borrowers impacted by the COVID-19 pandemic. In adherence with the guidance, we assessed all loan modifications introduced to</w:t>
      </w:r>
      <w:r>
        <w:rPr>
          <w:rFonts w:eastAsia="Times New Roman"/>
          <w:color w:val="000000"/>
          <w:sz w:val="20"/>
          <w:szCs w:val="20"/>
        </w:rPr>
        <w:t xml:space="preserve"> current borrowers in response to the COVID-19 pandemic through December 31, 2020, that would have been designated as TDRs under our existing policies, and followed guidance that any such eligible loan modifications made on a temporary and good faith basis</w:t>
      </w:r>
      <w:r>
        <w:rPr>
          <w:rFonts w:eastAsia="Times New Roman"/>
          <w:color w:val="000000"/>
          <w:sz w:val="20"/>
          <w:szCs w:val="20"/>
        </w:rPr>
        <w:t xml:space="preserve"> are not considered TDRs. We consider the impact of all loan modifications, including those offered via our COVID-19 programs, when estimating the credit quality of our loan portfolio and establishing allowance levels. For our Commercial Banking customers,</w:t>
      </w:r>
      <w:r>
        <w:rPr>
          <w:rFonts w:eastAsia="Times New Roman"/>
          <w:color w:val="000000"/>
          <w:sz w:val="20"/>
          <w:szCs w:val="20"/>
        </w:rPr>
        <w:t xml:space="preserve"> enrollment in a customer assistance program is also considered in the assignment of an internal risk rating.</w:t>
      </w:r>
    </w:p>
    <w:p w:rsidR="00000000" w:rsidRDefault="00E0782F">
      <w:pPr>
        <w:jc w:val="both"/>
        <w:divId w:val="1424260603"/>
        <w:rPr>
          <w:rFonts w:eastAsia="Times New Roman"/>
        </w:rPr>
      </w:pPr>
      <w:r>
        <w:rPr>
          <w:rFonts w:eastAsia="Times New Roman"/>
          <w:color w:val="000000"/>
          <w:sz w:val="20"/>
          <w:szCs w:val="20"/>
        </w:rPr>
        <w:t>Total recorded TDRs were $2.1 billion and $1.7 billion as of December 31, 2020 and 2019, respectively. TDRs classified as performing in our credit</w:t>
      </w:r>
      <w:r>
        <w:rPr>
          <w:rFonts w:eastAsia="Times New Roman"/>
          <w:color w:val="000000"/>
          <w:sz w:val="20"/>
          <w:szCs w:val="20"/>
        </w:rPr>
        <w:t xml:space="preserve"> card and consumer banking loan portfolios totaled $1.3 billion and $1.1 billion as of December 31, 2020 and 2019, respectively. TDRs classified as performing in our commercial banking loan portfolio totaled $442 million and $224 million as of December 31,</w:t>
      </w:r>
      <w:r>
        <w:rPr>
          <w:rFonts w:eastAsia="Times New Roman"/>
          <w:color w:val="000000"/>
          <w:sz w:val="20"/>
          <w:szCs w:val="20"/>
        </w:rPr>
        <w:t xml:space="preserve"> 2020 and 2019, respectively. Commitments to lend additional funds on loans modified in TDRs totaled $173 million and $178 million as of December 31, 2020 and 2019, respectively.</w:t>
      </w:r>
    </w:p>
    <w:p w:rsidR="00000000" w:rsidRDefault="00E0782F">
      <w:pPr>
        <w:divId w:val="826752590"/>
        <w:rPr>
          <w:rFonts w:eastAsia="Times New Roman"/>
        </w:rPr>
      </w:pPr>
      <w:r>
        <w:rPr>
          <w:rFonts w:eastAsia="Times New Roman"/>
          <w:b/>
          <w:bCs/>
          <w:i/>
          <w:iCs/>
          <w:color w:val="000000"/>
          <w:sz w:val="20"/>
          <w:szCs w:val="20"/>
        </w:rPr>
        <w:t xml:space="preserve">Loans Modified in TDRs </w:t>
      </w:r>
    </w:p>
    <w:p w:rsidR="00000000" w:rsidRDefault="00E0782F">
      <w:pPr>
        <w:jc w:val="both"/>
        <w:divId w:val="1400640740"/>
        <w:rPr>
          <w:rFonts w:eastAsia="Times New Roman"/>
        </w:rPr>
      </w:pPr>
      <w:r>
        <w:rPr>
          <w:rFonts w:eastAsia="Times New Roman"/>
          <w:color w:val="000000"/>
          <w:sz w:val="20"/>
          <w:szCs w:val="20"/>
        </w:rPr>
        <w:t>As part of our loan modification programs to borrower</w:t>
      </w:r>
      <w:r>
        <w:rPr>
          <w:rFonts w:eastAsia="Times New Roman"/>
          <w:color w:val="000000"/>
          <w:sz w:val="20"/>
          <w:szCs w:val="20"/>
        </w:rPr>
        <w:t>s experiencing financial difficulty, we may provide multiple concessions to minimize our economic loss and improve long-term loan performance and collectability. The following tables present the major modification types, amortized cost amounts and financia</w:t>
      </w:r>
      <w:r>
        <w:rPr>
          <w:rFonts w:eastAsia="Times New Roman"/>
          <w:color w:val="000000"/>
          <w:sz w:val="20"/>
          <w:szCs w:val="20"/>
        </w:rPr>
        <w:t>l effects of loans modified in TDRs during the years ended December 31, 2020, 2019 and 2018.</w:t>
      </w:r>
    </w:p>
    <w:p w:rsidR="00000000" w:rsidRDefault="00E0782F">
      <w:pPr>
        <w:divId w:val="228997890"/>
        <w:rPr>
          <w:rFonts w:eastAsia="Times New Roman"/>
        </w:rPr>
      </w:pPr>
      <w:r>
        <w:rPr>
          <w:rFonts w:eastAsia="Times New Roman"/>
          <w:b/>
          <w:bCs/>
          <w:color w:val="000000"/>
          <w:sz w:val="18"/>
          <w:szCs w:val="18"/>
        </w:rPr>
        <w:t>Table 3.6: Troubled Debt Restructurings</w:t>
      </w:r>
    </w:p>
    <w:tbl>
      <w:tblPr>
        <w:tblW w:w="5000" w:type="pct"/>
        <w:tblCellMar>
          <w:top w:w="15" w:type="dxa"/>
          <w:left w:w="15" w:type="dxa"/>
          <w:bottom w:w="15" w:type="dxa"/>
          <w:right w:w="15" w:type="dxa"/>
        </w:tblCellMar>
        <w:tblLook w:val="04A0" w:firstRow="1" w:lastRow="0" w:firstColumn="1" w:lastColumn="0" w:noHBand="0" w:noVBand="1"/>
      </w:tblPr>
      <w:tblGrid>
        <w:gridCol w:w="56"/>
        <w:gridCol w:w="2751"/>
        <w:gridCol w:w="36"/>
        <w:gridCol w:w="36"/>
        <w:gridCol w:w="36"/>
        <w:gridCol w:w="36"/>
        <w:gridCol w:w="36"/>
        <w:gridCol w:w="598"/>
        <w:gridCol w:w="36"/>
        <w:gridCol w:w="36"/>
        <w:gridCol w:w="36"/>
        <w:gridCol w:w="36"/>
        <w:gridCol w:w="37"/>
        <w:gridCol w:w="599"/>
        <w:gridCol w:w="36"/>
        <w:gridCol w:w="36"/>
        <w:gridCol w:w="36"/>
        <w:gridCol w:w="36"/>
        <w:gridCol w:w="38"/>
        <w:gridCol w:w="599"/>
        <w:gridCol w:w="36"/>
        <w:gridCol w:w="36"/>
        <w:gridCol w:w="36"/>
        <w:gridCol w:w="36"/>
        <w:gridCol w:w="38"/>
        <w:gridCol w:w="599"/>
        <w:gridCol w:w="36"/>
        <w:gridCol w:w="36"/>
        <w:gridCol w:w="36"/>
        <w:gridCol w:w="36"/>
        <w:gridCol w:w="38"/>
        <w:gridCol w:w="599"/>
        <w:gridCol w:w="36"/>
        <w:gridCol w:w="36"/>
        <w:gridCol w:w="36"/>
        <w:gridCol w:w="36"/>
        <w:gridCol w:w="38"/>
        <w:gridCol w:w="599"/>
        <w:gridCol w:w="36"/>
        <w:gridCol w:w="36"/>
        <w:gridCol w:w="36"/>
        <w:gridCol w:w="36"/>
        <w:gridCol w:w="38"/>
        <w:gridCol w:w="599"/>
        <w:gridCol w:w="36"/>
      </w:tblGrid>
      <w:tr w:rsidR="00000000">
        <w:trPr>
          <w:divId w:val="1341346924"/>
        </w:trPr>
        <w:tc>
          <w:tcPr>
            <w:tcW w:w="50" w:type="pct"/>
            <w:vAlign w:val="center"/>
            <w:hideMark/>
          </w:tcPr>
          <w:p w:rsidR="00000000" w:rsidRDefault="00E0782F">
            <w:pPr>
              <w:rPr>
                <w:rFonts w:eastAsia="Times New Roman"/>
              </w:rPr>
            </w:pPr>
          </w:p>
        </w:tc>
        <w:tc>
          <w:tcPr>
            <w:tcW w:w="167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341346924"/>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41346924"/>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tc>
          <w:tcPr>
            <w:tcW w:w="50" w:type="pct"/>
            <w:vAlign w:val="center"/>
            <w:hideMark/>
          </w:tcPr>
          <w:p w:rsidR="00000000" w:rsidRDefault="00E0782F">
            <w:pPr>
              <w:rPr>
                <w:rFonts w:eastAsia="Times New Roman"/>
              </w:rPr>
            </w:pPr>
          </w:p>
        </w:tc>
        <w:tc>
          <w:tcPr>
            <w:tcW w:w="167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28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2020</w:t>
            </w:r>
          </w:p>
        </w:tc>
      </w:tr>
      <w:tr w:rsidR="00000000">
        <w:trPr>
          <w:trHeight w:val="28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Balance Reduction</w:t>
            </w:r>
          </w:p>
        </w:tc>
      </w:tr>
      <w:tr w:rsidR="00000000">
        <w:trPr>
          <w:trHeight w:val="72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 Balance Reduction</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541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5</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21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537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97649566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37541975"/>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3754197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3754197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7" style="width:0;height:1.5pt" o:hralign="center" o:hrstd="t" o:hr="t" fillcolor="#a0a0a0" stroked="f"/>
        </w:pict>
      </w:r>
    </w:p>
    <w:p w:rsidR="00000000" w:rsidRDefault="00E0782F">
      <w:pPr>
        <w:jc w:val="both"/>
        <w:divId w:val="165637894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656378941"/>
        <w:rPr>
          <w:rFonts w:eastAsia="Times New Roman"/>
        </w:rPr>
      </w:pPr>
    </w:p>
    <w:p w:rsidR="00000000" w:rsidRDefault="00E0782F">
      <w:pPr>
        <w:jc w:val="center"/>
        <w:divId w:val="1656378941"/>
        <w:rPr>
          <w:rFonts w:eastAsia="Times New Roman"/>
        </w:rPr>
      </w:pPr>
      <w:r>
        <w:rPr>
          <w:rFonts w:eastAsia="Times New Roman"/>
          <w:b/>
          <w:bCs/>
          <w:color w:val="000000"/>
          <w:sz w:val="20"/>
          <w:szCs w:val="20"/>
        </w:rPr>
        <w:t>CAPITAL ONE FINANCIAL CORPORATION</w:t>
      </w:r>
    </w:p>
    <w:p w:rsidR="00000000" w:rsidRDefault="00E0782F">
      <w:pPr>
        <w:jc w:val="center"/>
        <w:divId w:val="1656378941"/>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1610"/>
        <w:gridCol w:w="39"/>
        <w:gridCol w:w="36"/>
        <w:gridCol w:w="36"/>
        <w:gridCol w:w="36"/>
        <w:gridCol w:w="111"/>
        <w:gridCol w:w="679"/>
        <w:gridCol w:w="36"/>
        <w:gridCol w:w="36"/>
        <w:gridCol w:w="36"/>
        <w:gridCol w:w="36"/>
        <w:gridCol w:w="80"/>
        <w:gridCol w:w="608"/>
        <w:gridCol w:w="173"/>
        <w:gridCol w:w="37"/>
        <w:gridCol w:w="37"/>
        <w:gridCol w:w="37"/>
        <w:gridCol w:w="87"/>
        <w:gridCol w:w="648"/>
        <w:gridCol w:w="171"/>
        <w:gridCol w:w="36"/>
        <w:gridCol w:w="36"/>
        <w:gridCol w:w="36"/>
        <w:gridCol w:w="82"/>
        <w:gridCol w:w="609"/>
        <w:gridCol w:w="171"/>
        <w:gridCol w:w="37"/>
        <w:gridCol w:w="37"/>
        <w:gridCol w:w="37"/>
        <w:gridCol w:w="84"/>
        <w:gridCol w:w="624"/>
        <w:gridCol w:w="36"/>
        <w:gridCol w:w="36"/>
        <w:gridCol w:w="36"/>
        <w:gridCol w:w="36"/>
        <w:gridCol w:w="82"/>
        <w:gridCol w:w="609"/>
        <w:gridCol w:w="170"/>
        <w:gridCol w:w="36"/>
        <w:gridCol w:w="36"/>
        <w:gridCol w:w="36"/>
        <w:gridCol w:w="111"/>
        <w:gridCol w:w="648"/>
        <w:gridCol w:w="36"/>
      </w:tblGrid>
      <w:tr w:rsidR="00000000">
        <w:trPr>
          <w:divId w:val="338239885"/>
        </w:trPr>
        <w:tc>
          <w:tcPr>
            <w:tcW w:w="50" w:type="pct"/>
            <w:vAlign w:val="center"/>
            <w:hideMark/>
          </w:tcPr>
          <w:p w:rsidR="00000000" w:rsidRDefault="00E0782F">
            <w:pPr>
              <w:jc w:val="center"/>
              <w:rPr>
                <w:rFonts w:eastAsia="Times New Roman"/>
              </w:rPr>
            </w:pPr>
          </w:p>
        </w:tc>
        <w:tc>
          <w:tcPr>
            <w:tcW w:w="167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338239885"/>
          <w:trHeight w:val="28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2019</w:t>
            </w:r>
          </w:p>
        </w:tc>
      </w:tr>
      <w:tr w:rsidR="00000000">
        <w:trPr>
          <w:divId w:val="338239885"/>
          <w:trHeight w:val="28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Balance Reduction</w:t>
            </w:r>
          </w:p>
        </w:tc>
      </w:tr>
      <w:tr w:rsidR="00000000">
        <w:trPr>
          <w:divId w:val="338239885"/>
          <w:trHeight w:val="72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vMerge/>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TDR</w:t>
            </w:r>
            <w:r>
              <w:rPr>
                <w:rFonts w:eastAsia="Times New Roman"/>
                <w:b/>
                <w:bCs/>
                <w:color w:val="000000"/>
                <w:sz w:val="16"/>
                <w:szCs w:val="16"/>
              </w:rPr>
              <w:br/>
              <w:t>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Balance</w:t>
            </w:r>
            <w:r>
              <w:rPr>
                <w:rFonts w:eastAsia="Times New Roman"/>
                <w:b/>
                <w:bCs/>
                <w:color w:val="000000"/>
                <w:sz w:val="16"/>
                <w:szCs w:val="16"/>
              </w:rPr>
              <w:br/>
              <w:t>Reduction</w:t>
            </w:r>
          </w:p>
        </w:tc>
      </w:tr>
      <w:tr w:rsidR="00000000">
        <w:trPr>
          <w:divId w:val="33823988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823988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16.60 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27.28 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823988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10.66 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3823988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FFFF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lending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Small-ticket commercial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3823988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16.37 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77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gridCol w:w="144"/>
        <w:gridCol w:w="144"/>
        <w:gridCol w:w="144"/>
        <w:gridCol w:w="144"/>
        <w:gridCol w:w="624"/>
        <w:gridCol w:w="144"/>
      </w:tblGrid>
      <w:tr w:rsidR="00000000">
        <w:tc>
          <w:tcPr>
            <w:tcW w:w="50" w:type="pct"/>
            <w:vAlign w:val="center"/>
            <w:hideMark/>
          </w:tcPr>
          <w:p w:rsidR="00000000" w:rsidRDefault="00E0782F">
            <w:pPr>
              <w:rPr>
                <w:rFonts w:eastAsia="Times New Roman"/>
              </w:rPr>
            </w:pPr>
          </w:p>
        </w:tc>
        <w:tc>
          <w:tcPr>
            <w:tcW w:w="167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24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Loans Modifie</w:t>
            </w:r>
            <w:r>
              <w:rPr>
                <w:rFonts w:eastAsia="Times New Roman"/>
                <w:b/>
                <w:bCs/>
                <w:color w:val="000000"/>
                <w:sz w:val="16"/>
                <w:szCs w:val="16"/>
              </w:rPr>
              <w:t>d</w:t>
            </w:r>
            <w:r>
              <w:rPr>
                <w:rFonts w:eastAsia="Times New Roman"/>
                <w:b/>
                <w:bCs/>
                <w:color w:val="000000"/>
                <w:sz w:val="10"/>
                <w:szCs w:val="10"/>
              </w:rPr>
              <w:t>(1</w:t>
            </w:r>
            <w:r>
              <w:rPr>
                <w:rFonts w:eastAsia="Times New Roman"/>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2018</w:t>
            </w:r>
          </w:p>
        </w:tc>
      </w:tr>
      <w:tr w:rsidR="00000000">
        <w:trPr>
          <w:trHeight w:val="24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Reduced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Term Extension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Balance Reduction</w:t>
            </w:r>
          </w:p>
        </w:tc>
      </w:tr>
      <w:tr w:rsidR="00000000">
        <w:trPr>
          <w:trHeight w:val="72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vMerge/>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Rate Reduction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 TDR 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Average Term Extension (Months)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of</w:t>
            </w:r>
            <w:r>
              <w:rPr>
                <w:rFonts w:eastAsia="Times New Roman"/>
                <w:b/>
                <w:bCs/>
                <w:color w:val="000000"/>
                <w:sz w:val="16"/>
                <w:szCs w:val="16"/>
              </w:rPr>
              <w:br/>
              <w:t>TDR</w:t>
            </w:r>
            <w:r>
              <w:rPr>
                <w:rFonts w:eastAsia="Times New Roman"/>
                <w:b/>
                <w:bCs/>
                <w:color w:val="000000"/>
                <w:sz w:val="16"/>
                <w:szCs w:val="16"/>
              </w:rPr>
              <w:br/>
              <w:t>Activit</w:t>
            </w:r>
            <w:r>
              <w:rPr>
                <w:rFonts w:eastAsia="Times New Roman"/>
                <w:b/>
                <w:bCs/>
                <w:color w:val="000000"/>
                <w:sz w:val="16"/>
                <w:szCs w:val="16"/>
              </w:rPr>
              <w:t>y</w:t>
            </w:r>
            <w:r>
              <w:rPr>
                <w:rFonts w:eastAsia="Times New Roman"/>
                <w:b/>
                <w:bCs/>
                <w:color w:val="000000"/>
                <w:sz w:val="10"/>
                <w:szCs w:val="10"/>
              </w:rPr>
              <w:t>(2</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Balance</w:t>
            </w:r>
            <w:r>
              <w:rPr>
                <w:rFonts w:eastAsia="Times New Roman"/>
                <w:b/>
                <w:bCs/>
                <w:color w:val="000000"/>
                <w:sz w:val="16"/>
                <w:szCs w:val="16"/>
              </w:rPr>
              <w:br/>
              <w:t>Reduction</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26.96 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547298891"/>
              <w:rPr>
                <w:rFonts w:eastAsia="Times New Roman"/>
              </w:rPr>
            </w:pPr>
            <w:r>
              <w:rPr>
                <w:rFonts w:eastAsia="Times New Roman"/>
                <w:color w:val="000000"/>
                <w:sz w:val="18"/>
                <w:szCs w:val="18"/>
              </w:rPr>
              <w:t>Aut</w:t>
            </w:r>
            <w:r>
              <w:rPr>
                <w:rFonts w:eastAsia="Times New Roman"/>
                <w:color w:val="000000"/>
                <w:sz w:val="18"/>
                <w:szCs w:val="18"/>
              </w:rPr>
              <w:t>o</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Home loan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214</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lending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Small-ticket commercial real estate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12</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413550989"/>
        <w:rPr>
          <w:rFonts w:eastAsia="Times New Roman"/>
        </w:rPr>
      </w:pPr>
      <w:r>
        <w:rPr>
          <w:rFonts w:eastAsia="Times New Roman"/>
          <w:color w:val="000000"/>
          <w:sz w:val="20"/>
          <w:szCs w:val="20"/>
        </w:rPr>
        <w:t>__________</w:t>
      </w:r>
    </w:p>
    <w:p w:rsidR="00000000" w:rsidRDefault="00E0782F">
      <w:pPr>
        <w:ind w:hanging="360"/>
        <w:jc w:val="both"/>
        <w:divId w:val="82949188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amortized cost of total loans modified in TDRs at the end of the period in which they were modified. As not every modification type is included in the table above, the total percentage of TDR activity may not add up to 100%. Some loans may r</w:t>
      </w:r>
      <w:r>
        <w:rPr>
          <w:rFonts w:eastAsia="Times New Roman"/>
          <w:color w:val="000000"/>
          <w:sz w:val="16"/>
          <w:szCs w:val="16"/>
        </w:rPr>
        <w:t>eceive more than one type of concession as part of the modification.</w:t>
      </w:r>
    </w:p>
    <w:p w:rsidR="00000000" w:rsidRDefault="00E0782F">
      <w:pPr>
        <w:ind w:hanging="360"/>
        <w:jc w:val="both"/>
        <w:divId w:val="199086610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Due to multiple concessions granted to some troubled borrowers, percentages may total more than 100% for certain loan types.</w:t>
      </w:r>
    </w:p>
    <w:p w:rsidR="00000000" w:rsidRDefault="00E0782F">
      <w:pPr>
        <w:ind w:hanging="360"/>
        <w:jc w:val="both"/>
        <w:divId w:val="123043797"/>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Includes certain TDRs that are recorded as other assets </w:t>
      </w:r>
      <w:r>
        <w:rPr>
          <w:rFonts w:eastAsia="Times New Roman"/>
          <w:color w:val="000000"/>
          <w:sz w:val="16"/>
          <w:szCs w:val="16"/>
        </w:rPr>
        <w:t>on our consolidated balance sheets.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5853427"/>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6585342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6585342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8" style="width:0;height:1.5pt" o:hralign="center" o:hrstd="t" o:hr="t" fillcolor="#a0a0a0" stroked="f"/>
        </w:pict>
      </w:r>
    </w:p>
    <w:p w:rsidR="00000000" w:rsidRDefault="00E0782F">
      <w:pPr>
        <w:jc w:val="both"/>
        <w:divId w:val="171411023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714110238"/>
        <w:rPr>
          <w:rFonts w:eastAsia="Times New Roman"/>
        </w:rPr>
      </w:pPr>
    </w:p>
    <w:p w:rsidR="00000000" w:rsidRDefault="00E0782F">
      <w:pPr>
        <w:jc w:val="center"/>
        <w:divId w:val="1714110238"/>
        <w:rPr>
          <w:rFonts w:eastAsia="Times New Roman"/>
        </w:rPr>
      </w:pPr>
      <w:r>
        <w:rPr>
          <w:rFonts w:eastAsia="Times New Roman"/>
          <w:b/>
          <w:bCs/>
          <w:color w:val="000000"/>
          <w:sz w:val="20"/>
          <w:szCs w:val="20"/>
        </w:rPr>
        <w:t>CAPITAL ONE FINANCIAL CORPORATION</w:t>
      </w:r>
    </w:p>
    <w:p w:rsidR="00000000" w:rsidRDefault="00E0782F">
      <w:pPr>
        <w:jc w:val="center"/>
        <w:divId w:val="1714110238"/>
        <w:rPr>
          <w:rFonts w:eastAsia="Times New Roman"/>
        </w:rPr>
      </w:pPr>
      <w:r>
        <w:rPr>
          <w:rFonts w:eastAsia="Times New Roman"/>
          <w:b/>
          <w:bCs/>
          <w:color w:val="000000"/>
          <w:sz w:val="20"/>
          <w:szCs w:val="20"/>
        </w:rPr>
        <w:t>NOTES TO CONSOLIDATED FINANCIAL STATEMENTS</w:t>
      </w:r>
    </w:p>
    <w:p w:rsidR="00000000" w:rsidRDefault="00E0782F">
      <w:pPr>
        <w:divId w:val="201483843"/>
        <w:rPr>
          <w:rFonts w:eastAsia="Times New Roman"/>
        </w:rPr>
      </w:pPr>
      <w:r>
        <w:rPr>
          <w:rFonts w:eastAsia="Times New Roman"/>
          <w:b/>
          <w:bCs/>
          <w:i/>
          <w:iCs/>
          <w:color w:val="000000"/>
          <w:sz w:val="20"/>
          <w:szCs w:val="20"/>
        </w:rPr>
        <w:t>Subsequent Defaults of Completed TDR Modifications</w:t>
      </w:r>
    </w:p>
    <w:p w:rsidR="00000000" w:rsidRDefault="00E0782F">
      <w:pPr>
        <w:jc w:val="both"/>
        <w:divId w:val="1167477574"/>
        <w:rPr>
          <w:rFonts w:eastAsia="Times New Roman"/>
        </w:rPr>
      </w:pPr>
      <w:r>
        <w:rPr>
          <w:rFonts w:eastAsia="Times New Roman"/>
          <w:color w:val="000000"/>
          <w:sz w:val="20"/>
          <w:szCs w:val="20"/>
        </w:rPr>
        <w:t xml:space="preserve">The following </w:t>
      </w:r>
      <w:r>
        <w:rPr>
          <w:rFonts w:eastAsia="Times New Roman"/>
          <w:color w:val="000000"/>
          <w:sz w:val="20"/>
          <w:szCs w:val="20"/>
        </w:rPr>
        <w:t>table presents the type, number and amortized cost of loans modified in TDRs that experienced a default during the period and had completed a modification event in the twelve months prior to the default. A default occurs if the loan is either 90 days or mo</w:t>
      </w:r>
      <w:r>
        <w:rPr>
          <w:rFonts w:eastAsia="Times New Roman"/>
          <w:color w:val="000000"/>
          <w:sz w:val="20"/>
          <w:szCs w:val="20"/>
        </w:rPr>
        <w:t>re delinquent, has been charged off as of the end of the period presented or has been reclassified from accrual to nonaccrual status.</w:t>
      </w:r>
    </w:p>
    <w:p w:rsidR="00000000" w:rsidRDefault="00E0782F">
      <w:pPr>
        <w:divId w:val="1563633688"/>
        <w:rPr>
          <w:rFonts w:eastAsia="Times New Roman"/>
        </w:rPr>
      </w:pPr>
      <w:r>
        <w:rPr>
          <w:rFonts w:eastAsia="Times New Roman"/>
          <w:b/>
          <w:bCs/>
          <w:color w:val="000000"/>
          <w:sz w:val="18"/>
          <w:szCs w:val="18"/>
        </w:rPr>
        <w:t>Table 3.7: TDRs—Subsequent Defaults</w:t>
      </w:r>
    </w:p>
    <w:tbl>
      <w:tblPr>
        <w:tblW w:w="5000" w:type="pct"/>
        <w:tblCellMar>
          <w:top w:w="15" w:type="dxa"/>
          <w:left w:w="15" w:type="dxa"/>
          <w:bottom w:w="15" w:type="dxa"/>
          <w:right w:w="15" w:type="dxa"/>
        </w:tblCellMar>
        <w:tblLook w:val="04A0" w:firstRow="1" w:lastRow="0" w:firstColumn="1" w:lastColumn="0" w:noHBand="0" w:noVBand="1"/>
      </w:tblPr>
      <w:tblGrid>
        <w:gridCol w:w="39"/>
        <w:gridCol w:w="2571"/>
        <w:gridCol w:w="38"/>
        <w:gridCol w:w="36"/>
        <w:gridCol w:w="36"/>
        <w:gridCol w:w="36"/>
        <w:gridCol w:w="36"/>
        <w:gridCol w:w="36"/>
        <w:gridCol w:w="36"/>
        <w:gridCol w:w="36"/>
        <w:gridCol w:w="120"/>
        <w:gridCol w:w="120"/>
        <w:gridCol w:w="120"/>
        <w:gridCol w:w="46"/>
        <w:gridCol w:w="88"/>
        <w:gridCol w:w="687"/>
        <w:gridCol w:w="36"/>
        <w:gridCol w:w="36"/>
        <w:gridCol w:w="36"/>
        <w:gridCol w:w="36"/>
        <w:gridCol w:w="111"/>
        <w:gridCol w:w="526"/>
        <w:gridCol w:w="37"/>
        <w:gridCol w:w="36"/>
        <w:gridCol w:w="36"/>
        <w:gridCol w:w="36"/>
        <w:gridCol w:w="88"/>
        <w:gridCol w:w="687"/>
        <w:gridCol w:w="36"/>
        <w:gridCol w:w="36"/>
        <w:gridCol w:w="36"/>
        <w:gridCol w:w="36"/>
        <w:gridCol w:w="111"/>
        <w:gridCol w:w="527"/>
        <w:gridCol w:w="36"/>
        <w:gridCol w:w="36"/>
        <w:gridCol w:w="36"/>
        <w:gridCol w:w="36"/>
        <w:gridCol w:w="86"/>
        <w:gridCol w:w="689"/>
        <w:gridCol w:w="36"/>
        <w:gridCol w:w="36"/>
        <w:gridCol w:w="36"/>
        <w:gridCol w:w="36"/>
        <w:gridCol w:w="111"/>
        <w:gridCol w:w="532"/>
        <w:gridCol w:w="36"/>
      </w:tblGrid>
      <w:tr w:rsidR="00000000">
        <w:trPr>
          <w:divId w:val="689989154"/>
        </w:trPr>
        <w:tc>
          <w:tcPr>
            <w:tcW w:w="50" w:type="pct"/>
            <w:vAlign w:val="center"/>
            <w:hideMark/>
          </w:tcPr>
          <w:p w:rsidR="00000000" w:rsidRDefault="00E0782F">
            <w:pPr>
              <w:rPr>
                <w:rFonts w:eastAsia="Times New Roman"/>
              </w:rPr>
            </w:pPr>
          </w:p>
        </w:tc>
        <w:tc>
          <w:tcPr>
            <w:tcW w:w="20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8998915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Number 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Number </w:t>
            </w:r>
            <w:r>
              <w:rPr>
                <w:rFonts w:eastAsia="Times New Roman"/>
                <w:b/>
                <w:bCs/>
                <w:color w:val="000000"/>
                <w:sz w:val="16"/>
                <w:szCs w:val="16"/>
              </w:rPr>
              <w:t>of 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Number of</w:t>
            </w:r>
            <w:r>
              <w:rPr>
                <w:rFonts w:eastAsia="Times New Roman"/>
                <w:b/>
                <w:bCs/>
                <w:color w:val="000000"/>
                <w:sz w:val="16"/>
                <w:szCs w:val="16"/>
              </w:rPr>
              <w:br/>
              <w:t>Contracts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Amount</w:t>
            </w: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Credit Card: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Domestic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32,639</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2C2C2C"/>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69</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47,086 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61,070 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card businesses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58,363</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87</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69,470 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61,014 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credit card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91,002</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156</w:t>
            </w:r>
            <w:r>
              <w:rPr>
                <w:rFonts w:eastAsia="Times New Roman"/>
                <w:color w:val="2C2C2C"/>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116,556 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122,084 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5,877</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77</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6,980 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Home loan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10</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consumer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5,887</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78</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7,009 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Commercial Banking: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multifamily real estate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50</w:t>
            </w:r>
            <w:r>
              <w:rPr>
                <w:rFonts w:eastAsia="Times New Roman"/>
                <w:color w:val="2C2C2C"/>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Commercial and industrial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130</w:t>
            </w:r>
            <w:r>
              <w:rPr>
                <w:rFonts w:eastAsia="Times New Roman"/>
                <w:color w:val="2C2C2C"/>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C2C2C"/>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8998915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commercial banking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16</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180</w:t>
            </w:r>
            <w:r>
              <w:rPr>
                <w:rFonts w:eastAsia="Times New Roman"/>
                <w:color w:val="2C2C2C"/>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8998915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96,905</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2C2C2C"/>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2C2C2C"/>
                <w:sz w:val="18"/>
                <w:szCs w:val="18"/>
              </w:rPr>
              <w:t>414</w:t>
            </w:r>
            <w:r>
              <w:rPr>
                <w:rFonts w:eastAsia="Times New Roman"/>
                <w:color w:val="2C2C2C"/>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122,156 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129,120 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1118379459"/>
        <w:rPr>
          <w:rFonts w:eastAsia="Times New Roman"/>
        </w:rPr>
      </w:pPr>
      <w:r>
        <w:rPr>
          <w:rFonts w:eastAsia="Times New Roman"/>
          <w:b/>
          <w:bCs/>
          <w:color w:val="000000"/>
          <w:sz w:val="20"/>
          <w:szCs w:val="20"/>
        </w:rPr>
        <w:t>Loans Pledged</w:t>
      </w:r>
    </w:p>
    <w:p w:rsidR="00000000" w:rsidRDefault="00E0782F">
      <w:pPr>
        <w:jc w:val="both"/>
        <w:divId w:val="1602566114"/>
        <w:rPr>
          <w:rFonts w:eastAsia="Times New Roman"/>
        </w:rPr>
      </w:pPr>
      <w:r>
        <w:rPr>
          <w:rFonts w:eastAsia="Times New Roman"/>
          <w:color w:val="000000"/>
          <w:sz w:val="20"/>
          <w:szCs w:val="20"/>
        </w:rPr>
        <w:t xml:space="preserve">We pledged loan collateral of $14.1 billion and $14.6 </w:t>
      </w:r>
      <w:r>
        <w:rPr>
          <w:rFonts w:eastAsia="Times New Roman"/>
          <w:color w:val="000000"/>
          <w:sz w:val="20"/>
          <w:szCs w:val="20"/>
        </w:rPr>
        <w:t>billion to secure the majority of our FHLB borrowing capacity of $19.6 billion and $18.7 billion as of December 31, 2020 and 2019, respectively. We also pledged loan collateral of $25.5 billion and $6.7 billion to secure our Federal Reserve Discount Window</w:t>
      </w:r>
      <w:r>
        <w:rPr>
          <w:rFonts w:eastAsia="Times New Roman"/>
          <w:color w:val="000000"/>
          <w:sz w:val="20"/>
          <w:szCs w:val="20"/>
        </w:rPr>
        <w:t xml:space="preserve"> borrowing capacity of $20.0 billion and $5.3 billion as of December 31, 2020 and 2019, respectively. In addition to loans pledged, we have securitized a portion of our credit card and auto loan portfolios. See “Note 5—Variable Interest Entities and Securi</w:t>
      </w:r>
      <w:r>
        <w:rPr>
          <w:rFonts w:eastAsia="Times New Roman"/>
          <w:color w:val="000000"/>
          <w:sz w:val="20"/>
          <w:szCs w:val="20"/>
        </w:rPr>
        <w:t>tizations” for additional information.</w:t>
      </w:r>
    </w:p>
    <w:p w:rsidR="00000000" w:rsidRDefault="00E0782F">
      <w:pPr>
        <w:divId w:val="81267511"/>
        <w:rPr>
          <w:rFonts w:eastAsia="Times New Roman"/>
        </w:rPr>
      </w:pPr>
      <w:r>
        <w:rPr>
          <w:rFonts w:eastAsia="Times New Roman"/>
          <w:b/>
          <w:bCs/>
          <w:color w:val="000000"/>
          <w:sz w:val="20"/>
          <w:szCs w:val="20"/>
        </w:rPr>
        <w:t xml:space="preserve">Loans Held for Sale </w:t>
      </w:r>
    </w:p>
    <w:p w:rsidR="00000000" w:rsidRDefault="00E0782F">
      <w:pPr>
        <w:jc w:val="both"/>
        <w:divId w:val="977419909"/>
        <w:rPr>
          <w:rFonts w:eastAsia="Times New Roman"/>
        </w:rPr>
      </w:pPr>
      <w:r>
        <w:rPr>
          <w:rFonts w:eastAsia="Times New Roman"/>
          <w:color w:val="000000"/>
          <w:sz w:val="20"/>
          <w:szCs w:val="20"/>
        </w:rPr>
        <w:t>Our total loans held for sale was $2.7 billion and $400 million as of December 31, 2020 and 2019, respectively. We originated for sale $10.0 billion, $9.0 billion and $8.7 billion of commercial mu</w:t>
      </w:r>
      <w:r>
        <w:rPr>
          <w:rFonts w:eastAsia="Times New Roman"/>
          <w:color w:val="000000"/>
          <w:sz w:val="20"/>
          <w:szCs w:val="20"/>
        </w:rPr>
        <w:t>ltifamily real estate loans in 2020, 2019 and 2018, respectively. We retained servicing rights upon the sale of these loans.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6758454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6758454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6758454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79" style="width:0;height:1.5pt" o:hralign="center" o:hrstd="t" o:hr="t" fillcolor="#a0a0a0" stroked="f"/>
        </w:pict>
      </w:r>
    </w:p>
    <w:p w:rsidR="00000000" w:rsidRDefault="00E0782F">
      <w:pPr>
        <w:jc w:val="both"/>
        <w:divId w:val="209748006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97480069"/>
        <w:rPr>
          <w:rFonts w:eastAsia="Times New Roman"/>
        </w:rPr>
      </w:pPr>
    </w:p>
    <w:p w:rsidR="00000000" w:rsidRDefault="00E0782F">
      <w:pPr>
        <w:jc w:val="center"/>
        <w:divId w:val="2097480069"/>
        <w:rPr>
          <w:rFonts w:eastAsia="Times New Roman"/>
        </w:rPr>
      </w:pPr>
      <w:r>
        <w:rPr>
          <w:rFonts w:eastAsia="Times New Roman"/>
          <w:b/>
          <w:bCs/>
          <w:color w:val="000000"/>
          <w:sz w:val="20"/>
          <w:szCs w:val="20"/>
        </w:rPr>
        <w:t>CAPITAL ONE FINANCIAL CORPORATION</w:t>
      </w:r>
    </w:p>
    <w:p w:rsidR="00000000" w:rsidRDefault="00E0782F">
      <w:pPr>
        <w:jc w:val="center"/>
        <w:divId w:val="2097480069"/>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52340443"/>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5234044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4—ALLOWANCE FOR CREDIT LOSSES AND RESERVE FOR UNFUNDED L</w:t>
            </w:r>
            <w:r>
              <w:rPr>
                <w:rFonts w:eastAsia="Times New Roman"/>
                <w:b/>
                <w:bCs/>
                <w:color w:val="000000"/>
                <w:sz w:val="20"/>
                <w:szCs w:val="20"/>
              </w:rPr>
              <w:t>ENDING COMMITMENTS</w:t>
            </w:r>
          </w:p>
        </w:tc>
      </w:tr>
    </w:tbl>
    <w:p w:rsidR="00000000" w:rsidRDefault="00E0782F">
      <w:pPr>
        <w:jc w:val="both"/>
        <w:divId w:val="725371134"/>
        <w:rPr>
          <w:rFonts w:eastAsia="Times New Roman"/>
        </w:rPr>
      </w:pPr>
      <w:r>
        <w:rPr>
          <w:rFonts w:eastAsia="Times New Roman"/>
          <w:color w:val="000000"/>
          <w:sz w:val="20"/>
          <w:szCs w:val="20"/>
        </w:rPr>
        <w:t>In the first quarter of 2020, we adopted</w:t>
      </w:r>
      <w:r>
        <w:rPr>
          <w:rFonts w:eastAsia="Times New Roman"/>
          <w:i/>
          <w:iCs/>
          <w:color w:val="000000"/>
          <w:sz w:val="20"/>
          <w:szCs w:val="20"/>
        </w:rPr>
        <w:t xml:space="preserve"> </w:t>
      </w:r>
      <w:r>
        <w:rPr>
          <w:rFonts w:eastAsia="Times New Roman"/>
          <w:color w:val="000000"/>
          <w:sz w:val="20"/>
          <w:szCs w:val="20"/>
        </w:rPr>
        <w:t>the CECL standard. Accordingly, our disclosures below reflect these adoption changes. Prior period presentation was not modified to conform to the current period presentation. See “Note 1—Summary of Significant Accounting Policies” for additional informati</w:t>
      </w:r>
      <w:r>
        <w:rPr>
          <w:rFonts w:eastAsia="Times New Roman"/>
          <w:color w:val="000000"/>
          <w:sz w:val="20"/>
          <w:szCs w:val="20"/>
        </w:rPr>
        <w:t xml:space="preserve">on. </w:t>
      </w:r>
    </w:p>
    <w:p w:rsidR="00000000" w:rsidRDefault="00E0782F">
      <w:pPr>
        <w:jc w:val="both"/>
        <w:divId w:val="1536499380"/>
        <w:rPr>
          <w:rFonts w:eastAsia="Times New Roman"/>
        </w:rPr>
      </w:pPr>
      <w:r>
        <w:rPr>
          <w:rFonts w:eastAsia="Times New Roman"/>
          <w:color w:val="000000"/>
          <w:sz w:val="20"/>
          <w:szCs w:val="20"/>
        </w:rPr>
        <w:t>Our allowance for credit losses represents management’s current estimate of expected credit losses over the contractual terms of our loans held for investment as of each balance sheet date. Expected recoveries of amounts previously charged off or expe</w:t>
      </w:r>
      <w:r>
        <w:rPr>
          <w:rFonts w:eastAsia="Times New Roman"/>
          <w:color w:val="000000"/>
          <w:sz w:val="20"/>
          <w:szCs w:val="20"/>
        </w:rPr>
        <w:t>cted to be charged off are recognized within the allowance. When developing an estimate of expected credit losses, we use both quantitative and qualitative methods in considering all available information relevant to assessing collectability. This may incl</w:t>
      </w:r>
      <w:r>
        <w:rPr>
          <w:rFonts w:eastAsia="Times New Roman"/>
          <w:color w:val="000000"/>
          <w:sz w:val="20"/>
          <w:szCs w:val="20"/>
        </w:rPr>
        <w:t xml:space="preserve">ude internal information, external information or a combination of both relating to past events, current conditions, and reasonable and supportable forecasts. Management will consider and may qualitatively adjust for conditions, changes and trends in loan </w:t>
      </w:r>
      <w:r>
        <w:rPr>
          <w:rFonts w:eastAsia="Times New Roman"/>
          <w:color w:val="000000"/>
          <w:sz w:val="20"/>
          <w:szCs w:val="20"/>
        </w:rPr>
        <w:t>portfolios that may not be captured in modeled results. These adjustments are referred to as qualitative factors and represent management’s judgment of the imprecision and risks inherent in the processes and assumptions used in establishing the allowance f</w:t>
      </w:r>
      <w:r>
        <w:rPr>
          <w:rFonts w:eastAsia="Times New Roman"/>
          <w:color w:val="000000"/>
          <w:sz w:val="20"/>
          <w:szCs w:val="20"/>
        </w:rPr>
        <w:t>or credit losses. Significant judgment is applied in our estimation of lifetime credit losses.</w:t>
      </w:r>
    </w:p>
    <w:p w:rsidR="00000000" w:rsidRDefault="00E0782F">
      <w:pPr>
        <w:jc w:val="both"/>
        <w:divId w:val="2067338652"/>
        <w:rPr>
          <w:rFonts w:eastAsia="Times New Roman"/>
        </w:rPr>
      </w:pPr>
      <w:r>
        <w:rPr>
          <w:rFonts w:eastAsia="Times New Roman"/>
          <w:color w:val="000000"/>
          <w:sz w:val="20"/>
          <w:szCs w:val="20"/>
        </w:rPr>
        <w:t xml:space="preserve">For credit card loans, accrued interest is charged off simultaneously with the charge off of other components of amortized cost as a reduction of revenue. Total </w:t>
      </w:r>
      <w:r>
        <w:rPr>
          <w:rFonts w:eastAsia="Times New Roman"/>
          <w:color w:val="000000"/>
          <w:sz w:val="20"/>
          <w:szCs w:val="20"/>
        </w:rPr>
        <w:t>net revenue was reduced by $1.1 billion in 2020 for finance charges and fees charged-off as uncollectible and by $1.4 billion and $1.3 billion in 2019 and 2018, respectively, for the estimated uncollectible amount of billed finance charges and fees and rel</w:t>
      </w:r>
      <w:r>
        <w:rPr>
          <w:rFonts w:eastAsia="Times New Roman"/>
          <w:color w:val="000000"/>
          <w:sz w:val="20"/>
          <w:szCs w:val="20"/>
        </w:rPr>
        <w:t>ated losses.</w:t>
      </w:r>
    </w:p>
    <w:p w:rsidR="00000000" w:rsidRDefault="00E0782F">
      <w:pPr>
        <w:jc w:val="both"/>
        <w:divId w:val="398939701"/>
        <w:rPr>
          <w:rFonts w:eastAsia="Times New Roman"/>
        </w:rPr>
      </w:pPr>
      <w:r>
        <w:rPr>
          <w:rFonts w:eastAsia="Times New Roman"/>
          <w:color w:val="000000"/>
          <w:sz w:val="20"/>
          <w:szCs w:val="20"/>
        </w:rPr>
        <w:t>We have unfunded lending commitments in our Commercial Banking business that are not unconditionally cancellable by us and for which we estimate expected credit losses in establishing a reserve. This reserve is measured using the same measurem</w:t>
      </w:r>
      <w:r>
        <w:rPr>
          <w:rFonts w:eastAsia="Times New Roman"/>
          <w:color w:val="000000"/>
          <w:sz w:val="20"/>
          <w:szCs w:val="20"/>
        </w:rPr>
        <w:t>ent objectives as the allowance for loans held for investment. We build or release the reserve for unfunded lending commitments through the provision for credit losses in our consolidated statements of income, and the related reserve for unfunded lending c</w:t>
      </w:r>
      <w:r>
        <w:rPr>
          <w:rFonts w:eastAsia="Times New Roman"/>
          <w:color w:val="000000"/>
          <w:sz w:val="20"/>
          <w:szCs w:val="20"/>
        </w:rPr>
        <w:t xml:space="preserve">ommitments is included in other liabilities on our consolidated balance sheets. </w:t>
      </w:r>
    </w:p>
    <w:p w:rsidR="00000000" w:rsidRDefault="00E0782F">
      <w:pPr>
        <w:divId w:val="1310406338"/>
        <w:rPr>
          <w:rFonts w:eastAsia="Times New Roman"/>
        </w:rPr>
      </w:pPr>
      <w:r>
        <w:rPr>
          <w:rFonts w:eastAsia="Times New Roman"/>
          <w:b/>
          <w:bCs/>
          <w:color w:val="000000"/>
          <w:sz w:val="20"/>
          <w:szCs w:val="20"/>
        </w:rPr>
        <w:t>Allowance for Credit Losses and Reserve for Unfunded Lending Commitments Activity</w:t>
      </w:r>
    </w:p>
    <w:p w:rsidR="00000000" w:rsidRDefault="00E0782F">
      <w:pPr>
        <w:jc w:val="both"/>
        <w:divId w:val="1501627508"/>
        <w:rPr>
          <w:rFonts w:eastAsia="Times New Roman"/>
        </w:rPr>
      </w:pPr>
      <w:r>
        <w:rPr>
          <w:rFonts w:eastAsia="Times New Roman"/>
          <w:color w:val="000000"/>
          <w:sz w:val="20"/>
          <w:szCs w:val="20"/>
        </w:rPr>
        <w:t>The table below summarizes changes in the allowance for credit losses and reserve for unfunde</w:t>
      </w:r>
      <w:r>
        <w:rPr>
          <w:rFonts w:eastAsia="Times New Roman"/>
          <w:color w:val="000000"/>
          <w:sz w:val="20"/>
          <w:szCs w:val="20"/>
        </w:rPr>
        <w:t>d lending commitments by portfolio segment for the years ended December 31, 2020, 2019 and 2018.</w:t>
      </w:r>
      <w:r>
        <w:rPr>
          <w:rFonts w:eastAsia="Times New Roman"/>
          <w:b/>
          <w:bCs/>
          <w:color w:val="000000"/>
          <w:sz w:val="18"/>
          <w:szCs w:val="18"/>
        </w:rPr>
        <w:t xml:space="preserve"> </w:t>
      </w:r>
      <w:r>
        <w:rPr>
          <w:rFonts w:eastAsia="Times New Roman"/>
          <w:color w:val="000000"/>
          <w:sz w:val="20"/>
          <w:szCs w:val="20"/>
        </w:rPr>
        <w:t>The allowance balance as of December 31, 2020 reflects the cumulative effects from adoption of the CECL standard and the change to include finance charge and fee reserve in the allowance for credit losses. The reserve for unfunded lending commitments balan</w:t>
      </w:r>
      <w:r>
        <w:rPr>
          <w:rFonts w:eastAsia="Times New Roman"/>
          <w:color w:val="000000"/>
          <w:sz w:val="20"/>
          <w:szCs w:val="20"/>
        </w:rPr>
        <w:t>ce as of December 31, 2020 also reflects the cumulative effects from adoption of the CECL standard, including the component of loss sharing agreements with the government-sponsored enterprises (“GSEs”) on multifamily commercial real estate loans that are w</w:t>
      </w:r>
      <w:r>
        <w:rPr>
          <w:rFonts w:eastAsia="Times New Roman"/>
          <w:color w:val="000000"/>
          <w:sz w:val="20"/>
          <w:szCs w:val="20"/>
        </w:rPr>
        <w:t>ithin the scope of the CECL standard. Our allowance for credit losses increased by $8.4 billion to $15.6 billion as of December 31, 2020 from 2019, primarily driven by the allowance builds in the first and second quarters of 2020 from expectations of econo</w:t>
      </w:r>
      <w:r>
        <w:rPr>
          <w:rFonts w:eastAsia="Times New Roman"/>
          <w:color w:val="000000"/>
          <w:sz w:val="20"/>
          <w:szCs w:val="20"/>
        </w:rPr>
        <w:t>mic worsening as a result of the COVID-19 pandemic as well as the adoption of the CECL standard in the first quarter of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0516982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0516982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0516982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0" style="width:0;height:1.5pt" o:hralign="center" o:hrstd="t" o:hr="t" fillcolor="#a0a0a0" stroked="f"/>
        </w:pict>
      </w:r>
    </w:p>
    <w:p w:rsidR="00000000" w:rsidRDefault="00E0782F">
      <w:pPr>
        <w:jc w:val="both"/>
        <w:divId w:val="72286859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722868592"/>
        <w:rPr>
          <w:rFonts w:eastAsia="Times New Roman"/>
        </w:rPr>
      </w:pPr>
    </w:p>
    <w:p w:rsidR="00000000" w:rsidRDefault="00E0782F">
      <w:pPr>
        <w:jc w:val="center"/>
        <w:divId w:val="722868592"/>
        <w:rPr>
          <w:rFonts w:eastAsia="Times New Roman"/>
        </w:rPr>
      </w:pPr>
      <w:r>
        <w:rPr>
          <w:rFonts w:eastAsia="Times New Roman"/>
          <w:b/>
          <w:bCs/>
          <w:color w:val="000000"/>
          <w:sz w:val="20"/>
          <w:szCs w:val="20"/>
        </w:rPr>
        <w:t>CAPITAL ONE FINANCIAL CORPORATION</w:t>
      </w:r>
    </w:p>
    <w:p w:rsidR="00000000" w:rsidRDefault="00E0782F">
      <w:pPr>
        <w:jc w:val="center"/>
        <w:divId w:val="722868592"/>
        <w:rPr>
          <w:rFonts w:eastAsia="Times New Roman"/>
        </w:rPr>
      </w:pPr>
      <w:r>
        <w:rPr>
          <w:rFonts w:eastAsia="Times New Roman"/>
          <w:b/>
          <w:bCs/>
          <w:color w:val="000000"/>
          <w:sz w:val="20"/>
          <w:szCs w:val="20"/>
        </w:rPr>
        <w:t>NOTES TO CONSOLIDATED FINANCIAL STATEMENTS</w:t>
      </w:r>
    </w:p>
    <w:p w:rsidR="00000000" w:rsidRDefault="00E0782F">
      <w:pPr>
        <w:divId w:val="2102410781"/>
        <w:rPr>
          <w:rFonts w:eastAsia="Times New Roman"/>
        </w:rPr>
      </w:pPr>
      <w:r>
        <w:rPr>
          <w:rFonts w:eastAsia="Times New Roman"/>
          <w:b/>
          <w:bCs/>
          <w:color w:val="000000"/>
          <w:sz w:val="18"/>
          <w:szCs w:val="18"/>
        </w:rPr>
        <w:t>Table 4.1: Allowance for Credit Losses and Reserve for Unfunded Lending Commitments Activity</w:t>
      </w:r>
    </w:p>
    <w:tbl>
      <w:tblPr>
        <w:tblW w:w="5000" w:type="pct"/>
        <w:tblCellMar>
          <w:top w:w="15" w:type="dxa"/>
          <w:left w:w="15" w:type="dxa"/>
          <w:bottom w:w="15" w:type="dxa"/>
          <w:right w:w="15" w:type="dxa"/>
        </w:tblCellMar>
        <w:tblLook w:val="04A0" w:firstRow="1" w:lastRow="0" w:firstColumn="1" w:lastColumn="0" w:noHBand="0" w:noVBand="1"/>
      </w:tblPr>
      <w:tblGrid>
        <w:gridCol w:w="40"/>
        <w:gridCol w:w="3796"/>
        <w:gridCol w:w="39"/>
        <w:gridCol w:w="36"/>
        <w:gridCol w:w="36"/>
        <w:gridCol w:w="36"/>
        <w:gridCol w:w="110"/>
        <w:gridCol w:w="610"/>
        <w:gridCol w:w="36"/>
        <w:gridCol w:w="36"/>
        <w:gridCol w:w="36"/>
        <w:gridCol w:w="36"/>
        <w:gridCol w:w="111"/>
        <w:gridCol w:w="665"/>
        <w:gridCol w:w="36"/>
        <w:gridCol w:w="36"/>
        <w:gridCol w:w="36"/>
        <w:gridCol w:w="36"/>
        <w:gridCol w:w="111"/>
        <w:gridCol w:w="785"/>
        <w:gridCol w:w="36"/>
        <w:gridCol w:w="36"/>
        <w:gridCol w:w="36"/>
        <w:gridCol w:w="36"/>
        <w:gridCol w:w="111"/>
        <w:gridCol w:w="503"/>
        <w:gridCol w:w="36"/>
        <w:gridCol w:w="36"/>
        <w:gridCol w:w="36"/>
        <w:gridCol w:w="36"/>
        <w:gridCol w:w="110"/>
        <w:gridCol w:w="595"/>
        <w:gridCol w:w="36"/>
      </w:tblGrid>
      <w:tr w:rsidR="00000000">
        <w:trPr>
          <w:divId w:val="796027413"/>
        </w:trPr>
        <w:tc>
          <w:tcPr>
            <w:tcW w:w="50" w:type="pct"/>
            <w:vAlign w:val="center"/>
            <w:hideMark/>
          </w:tcPr>
          <w:p w:rsidR="00000000" w:rsidRDefault="00E0782F">
            <w:pPr>
              <w:rPr>
                <w:rFonts w:eastAsia="Times New Roman"/>
              </w:rPr>
            </w:pPr>
          </w:p>
        </w:tc>
        <w:tc>
          <w:tcPr>
            <w:tcW w:w="232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79602741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w:t>
            </w:r>
            <w:r>
              <w:rPr>
                <w:rFonts w:eastAsia="Times New Roman"/>
                <w:b/>
                <w:bCs/>
                <w:color w:val="000000"/>
                <w:sz w:val="16"/>
                <w:szCs w:val="16"/>
              </w:rPr>
              <w:br/>
              <w:t>Card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w:t>
            </w:r>
            <w:r>
              <w:rPr>
                <w:rFonts w:eastAsia="Times New Roman"/>
                <w:b/>
                <w:bCs/>
                <w:color w:val="000000"/>
                <w:sz w:val="16"/>
                <w:szCs w:val="16"/>
              </w:rPr>
              <w:br/>
              <w:t>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w:t>
            </w:r>
            <w:r>
              <w:rPr>
                <w:rFonts w:eastAsia="Times New Roman"/>
                <w:b/>
                <w:bCs/>
                <w:color w:val="000000"/>
                <w:sz w:val="16"/>
                <w:szCs w:val="16"/>
              </w:rPr>
              <w:br/>
              <w:t>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79602741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Allowance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9602741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2017</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CCEEFF"/>
            <w:tcMar>
              <w:top w:w="30" w:type="dxa"/>
              <w:left w:w="20" w:type="dxa"/>
              <w:bottom w:w="30" w:type="dxa"/>
              <w:right w:w="20" w:type="dxa"/>
            </w:tcMar>
            <w:vAlign w:val="center"/>
            <w:hideMark/>
          </w:tcPr>
          <w:p w:rsidR="00000000" w:rsidRDefault="00E0782F">
            <w:pPr>
              <w:divId w:val="2106000350"/>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(6,657)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(1,832)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w:t>
            </w:r>
            <w:r>
              <w:rPr>
                <w:rFonts w:eastAsia="Times New Roman"/>
                <w:color w:val="000000"/>
                <w:sz w:val="18"/>
                <w:szCs w:val="18"/>
              </w:rPr>
              <w:t>8,615)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FFFFFF"/>
            <w:tcMar>
              <w:top w:w="30" w:type="dxa"/>
              <w:left w:w="20" w:type="dxa"/>
              <w:bottom w:w="30" w:type="dxa"/>
              <w:right w:w="20" w:type="dxa"/>
            </w:tcMar>
            <w:vAlign w:val="center"/>
            <w:hideMark/>
          </w:tcPr>
          <w:p w:rsidR="00000000" w:rsidRDefault="00E0782F">
            <w:pPr>
              <w:divId w:val="1984578815"/>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(6,112)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(benefit) for loan and lease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build (release)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FFFFFF"/>
            <w:tcMar>
              <w:top w:w="30" w:type="dxa"/>
              <w:left w:w="20" w:type="dxa"/>
              <w:bottom w:w="30" w:type="dxa"/>
              <w:right w:w="20" w:type="dxa"/>
            </w:tcMar>
            <w:vAlign w:val="center"/>
            <w:hideMark/>
          </w:tcPr>
          <w:p w:rsidR="00000000" w:rsidRDefault="00E0782F">
            <w:pPr>
              <w:divId w:val="66466247"/>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(1)(3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960274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2017</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(benefit)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Combined allowance and reserve as of December 31, 2018</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6027413"/>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602741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644762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0644762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0644762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1" style="width:0;height:1.5pt" o:hralign="center" o:hrstd="t" o:hr="t" fillcolor="#a0a0a0" stroked="f"/>
        </w:pict>
      </w:r>
    </w:p>
    <w:p w:rsidR="00000000" w:rsidRDefault="00E0782F">
      <w:pPr>
        <w:jc w:val="both"/>
        <w:divId w:val="91455613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914556136"/>
        <w:rPr>
          <w:rFonts w:eastAsia="Times New Roman"/>
        </w:rPr>
      </w:pPr>
    </w:p>
    <w:p w:rsidR="00000000" w:rsidRDefault="00E0782F">
      <w:pPr>
        <w:jc w:val="center"/>
        <w:divId w:val="914556136"/>
        <w:rPr>
          <w:rFonts w:eastAsia="Times New Roman"/>
        </w:rPr>
      </w:pPr>
      <w:r>
        <w:rPr>
          <w:rFonts w:eastAsia="Times New Roman"/>
          <w:b/>
          <w:bCs/>
          <w:color w:val="000000"/>
          <w:sz w:val="20"/>
          <w:szCs w:val="20"/>
        </w:rPr>
        <w:t>CAPITAL ONE FINANCIAL CORPORATION</w:t>
      </w:r>
    </w:p>
    <w:p w:rsidR="00000000" w:rsidRDefault="00E0782F">
      <w:pPr>
        <w:jc w:val="center"/>
        <w:divId w:val="914556136"/>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1"/>
        <w:gridCol w:w="4458"/>
        <w:gridCol w:w="40"/>
        <w:gridCol w:w="36"/>
        <w:gridCol w:w="36"/>
        <w:gridCol w:w="36"/>
        <w:gridCol w:w="110"/>
        <w:gridCol w:w="540"/>
        <w:gridCol w:w="36"/>
        <w:gridCol w:w="36"/>
        <w:gridCol w:w="36"/>
        <w:gridCol w:w="36"/>
        <w:gridCol w:w="111"/>
        <w:gridCol w:w="668"/>
        <w:gridCol w:w="36"/>
        <w:gridCol w:w="36"/>
        <w:gridCol w:w="36"/>
        <w:gridCol w:w="36"/>
        <w:gridCol w:w="111"/>
        <w:gridCol w:w="785"/>
        <w:gridCol w:w="36"/>
        <w:gridCol w:w="36"/>
        <w:gridCol w:w="36"/>
        <w:gridCol w:w="36"/>
        <w:gridCol w:w="36"/>
        <w:gridCol w:w="36"/>
        <w:gridCol w:w="36"/>
        <w:gridCol w:w="36"/>
        <w:gridCol w:w="36"/>
        <w:gridCol w:w="36"/>
        <w:gridCol w:w="110"/>
        <w:gridCol w:w="540"/>
        <w:gridCol w:w="36"/>
      </w:tblGrid>
      <w:tr w:rsidR="00000000">
        <w:trPr>
          <w:divId w:val="644969455"/>
        </w:trPr>
        <w:tc>
          <w:tcPr>
            <w:tcW w:w="50" w:type="pct"/>
            <w:vAlign w:val="center"/>
            <w:hideMark/>
          </w:tcPr>
          <w:p w:rsidR="00000000" w:rsidRDefault="00E0782F">
            <w:pPr>
              <w:jc w:val="center"/>
              <w:rPr>
                <w:rFonts w:eastAsia="Times New Roman"/>
              </w:rPr>
            </w:pPr>
          </w:p>
        </w:tc>
        <w:tc>
          <w:tcPr>
            <w:tcW w:w="28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44969455"/>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 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6449694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Allowance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2018</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divId w:val="1405178518"/>
              <w:rPr>
                <w:rFonts w:eastAsia="Times New Roman"/>
              </w:rPr>
            </w:pPr>
            <w:r>
              <w:rPr>
                <w:rFonts w:eastAsia="Times New Roman"/>
                <w:color w:val="000000"/>
                <w:sz w:val="18"/>
                <w:szCs w:val="18"/>
              </w:rPr>
              <w:t>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(1,917)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(8,809)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divId w:val="1806699101"/>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2,557 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(5,149)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(6,252)</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loan and lease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4,992 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build (release) for loan and lease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divId w:val="634481297"/>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divId w:val="1896502869"/>
              <w:rPr>
                <w:rFonts w:eastAsia="Times New Roman"/>
              </w:rPr>
            </w:pPr>
            <w:r>
              <w:rPr>
                <w:rFonts w:eastAsia="Times New Roman"/>
                <w:b/>
                <w:bCs/>
                <w:color w:val="000000"/>
                <w:sz w:val="18"/>
                <w:szCs w:val="18"/>
              </w:rPr>
              <w:t>Combined allowance and reserve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7,343 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Allowance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2,845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divId w:val="248540856"/>
              <w:rPr>
                <w:rFonts w:eastAsia="Times New Roman"/>
              </w:rPr>
            </w:pPr>
            <w:r>
              <w:rPr>
                <w:rFonts w:eastAsia="Times New Roman"/>
                <w:color w:val="000000"/>
                <w:sz w:val="18"/>
                <w:szCs w:val="18"/>
              </w:rPr>
              <w:t>Finance charge and fee reserve reclassificatio</w:t>
            </w:r>
            <w:r>
              <w:rPr>
                <w:rFonts w:eastAsia="Times New Roman"/>
                <w:color w:val="000000"/>
                <w:sz w:val="18"/>
                <w:szCs w:val="18"/>
              </w:rPr>
              <w:t>n</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January 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1,540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10,515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divId w:val="641928207"/>
              <w:rPr>
                <w:rFonts w:eastAsia="Times New Roman"/>
              </w:rPr>
            </w:pPr>
            <w:r>
              <w:rPr>
                <w:rFonts w:eastAsia="Times New Roman"/>
                <w:color w:val="000000"/>
                <w:sz w:val="18"/>
                <w:szCs w:val="18"/>
              </w:rPr>
              <w:t>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(5,749)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(1,534)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(7,677)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divId w:val="785736859"/>
              <w:rPr>
                <w:rFonts w:eastAsia="Times New Roman"/>
              </w:rPr>
            </w:pPr>
            <w:r>
              <w:rPr>
                <w:rFonts w:eastAsia="Times New Roman"/>
                <w:color w:val="000000"/>
                <w:sz w:val="18"/>
                <w:szCs w:val="18"/>
              </w:rPr>
              <w:t>Recoverie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(4,270)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(5,225)</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10,238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divId w:val="892810639"/>
              <w:rPr>
                <w:rFonts w:eastAsia="Times New Roman"/>
              </w:rPr>
            </w:pPr>
            <w:r>
              <w:rPr>
                <w:rFonts w:eastAsia="Times New Roman"/>
                <w:color w:val="000000"/>
                <w:sz w:val="18"/>
                <w:szCs w:val="18"/>
              </w:rPr>
              <w:t>Allowance build for credit losse</w:t>
            </w:r>
            <w:r>
              <w:rPr>
                <w:rFonts w:eastAsia="Times New Roman"/>
                <w:color w:val="000000"/>
                <w:sz w:val="18"/>
                <w:szCs w:val="18"/>
              </w:rPr>
              <w:t>s</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1,175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5,013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divId w:val="1308130134"/>
              <w:rPr>
                <w:rFonts w:eastAsia="Times New Roman"/>
              </w:rPr>
            </w:pPr>
            <w:r>
              <w:rPr>
                <w:rFonts w:eastAsia="Times New Roman"/>
                <w:color w:val="000000"/>
                <w:sz w:val="18"/>
                <w:szCs w:val="18"/>
              </w:rPr>
              <w:t>Other change</w:t>
            </w:r>
            <w:r>
              <w:rPr>
                <w:rFonts w:eastAsia="Times New Roman"/>
                <w:color w:val="000000"/>
                <w:sz w:val="18"/>
                <w:szCs w:val="18"/>
              </w:rPr>
              <w:t>s</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11,191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15,564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Reserve for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Cumulative effects from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January 1, 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losses on unfunded lending commitments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Combined allowance and reserve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11,191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15,759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44969455"/>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4496945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936792062"/>
        <w:rPr>
          <w:rFonts w:eastAsia="Times New Roman"/>
        </w:rPr>
      </w:pPr>
      <w:r>
        <w:rPr>
          <w:rFonts w:eastAsia="Times New Roman"/>
          <w:color w:val="000000"/>
          <w:sz w:val="20"/>
          <w:szCs w:val="20"/>
        </w:rPr>
        <w:t>__________</w:t>
      </w:r>
    </w:p>
    <w:p w:rsidR="00000000" w:rsidRDefault="00E0782F">
      <w:pPr>
        <w:ind w:hanging="360"/>
        <w:jc w:val="both"/>
        <w:divId w:val="176942068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 2018, we sold all of our consumer home loa</w:t>
      </w:r>
      <w:r>
        <w:rPr>
          <w:rFonts w:eastAsia="Times New Roman"/>
          <w:color w:val="000000"/>
          <w:sz w:val="16"/>
          <w:szCs w:val="16"/>
        </w:rPr>
        <w:t>n portfolio and recognized a gain of approximately $499 million in the Other category, including a benefit for credit losses of $46 million.</w:t>
      </w:r>
    </w:p>
    <w:p w:rsidR="00000000" w:rsidRDefault="00E0782F">
      <w:pPr>
        <w:ind w:hanging="360"/>
        <w:jc w:val="both"/>
        <w:divId w:val="145517284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amount and timing of recoveries are impacted by our collection strategies, which are based on customer behav</w:t>
      </w:r>
      <w:r>
        <w:rPr>
          <w:rFonts w:eastAsia="Times New Roman"/>
          <w:color w:val="000000"/>
          <w:sz w:val="16"/>
          <w:szCs w:val="16"/>
        </w:rPr>
        <w:t xml:space="preserve">ior and risk profile and include direct customer communications, repossession of collateral, the periodic sale of charged off loans as well as additional strategies, such as litigation. </w:t>
      </w:r>
    </w:p>
    <w:p w:rsidR="00000000" w:rsidRDefault="00E0782F">
      <w:pPr>
        <w:ind w:hanging="360"/>
        <w:jc w:val="both"/>
        <w:divId w:val="171897311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foreign currency translation adjustments.</w:t>
      </w:r>
    </w:p>
    <w:p w:rsidR="00000000" w:rsidRDefault="00E0782F">
      <w:pPr>
        <w:ind w:hanging="360"/>
        <w:jc w:val="both"/>
        <w:divId w:val="887953008"/>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Concurrent with our adoption of the CECL standard in the first quarter of 2020, we reclassified our finance charge and fee reserve to our allowance for credit losses, with a corresponding increase to </w:t>
      </w:r>
      <w:r>
        <w:rPr>
          <w:rFonts w:eastAsia="Times New Roman"/>
          <w:color w:val="000000"/>
          <w:sz w:val="16"/>
          <w:szCs w:val="16"/>
        </w:rPr>
        <w:t>credit card loans held for investment.</w:t>
      </w:r>
    </w:p>
    <w:p w:rsidR="00000000" w:rsidRDefault="00E0782F">
      <w:pPr>
        <w:ind w:hanging="360"/>
        <w:jc w:val="both"/>
        <w:divId w:val="1654412142"/>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Includes an allowance release of $327 million for a partnership credit card loan portfolio transferred to held for sale in the third quarter of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1595648"/>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0159564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0159564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2" style="width:0;height:1.5pt" o:hralign="center" o:hrstd="t" o:hr="t" fillcolor="#a0a0a0" stroked="f"/>
        </w:pict>
      </w:r>
    </w:p>
    <w:p w:rsidR="00000000" w:rsidRDefault="00E0782F">
      <w:pPr>
        <w:jc w:val="both"/>
        <w:divId w:val="14903008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49030089"/>
        <w:rPr>
          <w:rFonts w:eastAsia="Times New Roman"/>
        </w:rPr>
      </w:pPr>
    </w:p>
    <w:p w:rsidR="00000000" w:rsidRDefault="00E0782F">
      <w:pPr>
        <w:jc w:val="center"/>
        <w:divId w:val="149030089"/>
        <w:rPr>
          <w:rFonts w:eastAsia="Times New Roman"/>
        </w:rPr>
      </w:pPr>
      <w:r>
        <w:rPr>
          <w:rFonts w:eastAsia="Times New Roman"/>
          <w:b/>
          <w:bCs/>
          <w:color w:val="000000"/>
          <w:sz w:val="20"/>
          <w:szCs w:val="20"/>
        </w:rPr>
        <w:t>CAPITAL ONE FINANCIAL CORPORATION</w:t>
      </w:r>
    </w:p>
    <w:p w:rsidR="00000000" w:rsidRDefault="00E0782F">
      <w:pPr>
        <w:jc w:val="center"/>
        <w:divId w:val="149030089"/>
        <w:rPr>
          <w:rFonts w:eastAsia="Times New Roman"/>
        </w:rPr>
      </w:pPr>
      <w:r>
        <w:rPr>
          <w:rFonts w:eastAsia="Times New Roman"/>
          <w:b/>
          <w:bCs/>
          <w:color w:val="000000"/>
          <w:sz w:val="20"/>
          <w:szCs w:val="20"/>
        </w:rPr>
        <w:t>NOTES TO CONSOLIDATED FINANCIAL STATEMENTS</w:t>
      </w:r>
    </w:p>
    <w:p w:rsidR="00000000" w:rsidRDefault="00E0782F">
      <w:pPr>
        <w:divId w:val="211163995"/>
        <w:rPr>
          <w:rFonts w:eastAsia="Times New Roman"/>
        </w:rPr>
      </w:pPr>
      <w:r>
        <w:rPr>
          <w:rFonts w:eastAsia="Times New Roman"/>
          <w:b/>
          <w:bCs/>
          <w:color w:val="000000"/>
          <w:sz w:val="20"/>
          <w:szCs w:val="20"/>
        </w:rPr>
        <w:t xml:space="preserve">Credit Card Partnership Loss Sharing Arrangements </w:t>
      </w:r>
    </w:p>
    <w:p w:rsidR="00000000" w:rsidRDefault="00E0782F">
      <w:pPr>
        <w:jc w:val="both"/>
        <w:divId w:val="276912406"/>
        <w:rPr>
          <w:rFonts w:eastAsia="Times New Roman"/>
        </w:rPr>
      </w:pPr>
      <w:r>
        <w:rPr>
          <w:rFonts w:eastAsia="Times New Roman"/>
          <w:color w:val="000000"/>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eastAsia="Times New Roman"/>
          <w:color w:val="000000"/>
          <w:sz w:val="20"/>
          <w:szCs w:val="20"/>
        </w:rPr>
        <w:t>ents from these partners are netted against our allowance for credit losses. Our methodology for estimating reimbursements is consistent with the methodology we use to estimate the allowance for credit losses on our credit card loan receivables. These expe</w:t>
      </w:r>
      <w:r>
        <w:rPr>
          <w:rFonts w:eastAsia="Times New Roman"/>
          <w:color w:val="000000"/>
          <w:sz w:val="20"/>
          <w:szCs w:val="20"/>
        </w:rPr>
        <w:t>cted reimbursements result in reductions to net charge-offs and the provision for credit losses. See “Note 1—Summary of Significant Accounting Policies” for further discussion of our credit card partnership agreements.</w:t>
      </w:r>
    </w:p>
    <w:p w:rsidR="00000000" w:rsidRDefault="00E0782F">
      <w:pPr>
        <w:jc w:val="both"/>
        <w:divId w:val="1306818627"/>
        <w:rPr>
          <w:rFonts w:eastAsia="Times New Roman"/>
        </w:rPr>
      </w:pPr>
      <w:r>
        <w:rPr>
          <w:rFonts w:eastAsia="Times New Roman"/>
          <w:color w:val="000000"/>
          <w:sz w:val="20"/>
          <w:szCs w:val="20"/>
        </w:rPr>
        <w:t>The table below summarizes the change</w:t>
      </w:r>
      <w:r>
        <w:rPr>
          <w:rFonts w:eastAsia="Times New Roman"/>
          <w:color w:val="000000"/>
          <w:sz w:val="20"/>
          <w:szCs w:val="20"/>
        </w:rPr>
        <w:t>s in the estimated reimbursements from these partners for the years ended December 31, 2020, 2019 and 2018. Beginning in 2019, amounts below include the impacts of our loss sharing arrangement on the acquired Walmart portfolio.</w:t>
      </w:r>
    </w:p>
    <w:p w:rsidR="00000000" w:rsidRDefault="00E0782F">
      <w:pPr>
        <w:divId w:val="1405419667"/>
        <w:rPr>
          <w:rFonts w:eastAsia="Times New Roman"/>
        </w:rPr>
      </w:pPr>
      <w:r>
        <w:rPr>
          <w:rFonts w:eastAsia="Times New Roman"/>
          <w:b/>
          <w:bCs/>
          <w:color w:val="000000"/>
          <w:sz w:val="18"/>
          <w:szCs w:val="18"/>
        </w:rPr>
        <w:t>Table 4.2: Summary of Credit</w:t>
      </w:r>
      <w:r>
        <w:rPr>
          <w:rFonts w:eastAsia="Times New Roman"/>
          <w:b/>
          <w:bCs/>
          <w:color w:val="000000"/>
          <w:sz w:val="18"/>
          <w:szCs w:val="18"/>
        </w:rPr>
        <w:t xml:space="preserve"> Card Partnership Loss Sharing Arrangements Impacts</w:t>
      </w:r>
    </w:p>
    <w:tbl>
      <w:tblPr>
        <w:tblW w:w="4992" w:type="pct"/>
        <w:tblCellMar>
          <w:top w:w="15" w:type="dxa"/>
          <w:left w:w="15" w:type="dxa"/>
          <w:bottom w:w="15" w:type="dxa"/>
          <w:right w:w="15" w:type="dxa"/>
        </w:tblCellMar>
        <w:tblLook w:val="04A0" w:firstRow="1" w:lastRow="0" w:firstColumn="1" w:lastColumn="0" w:noHBand="0" w:noVBand="1"/>
      </w:tblPr>
      <w:tblGrid>
        <w:gridCol w:w="38"/>
        <w:gridCol w:w="5063"/>
        <w:gridCol w:w="37"/>
        <w:gridCol w:w="36"/>
        <w:gridCol w:w="36"/>
        <w:gridCol w:w="36"/>
        <w:gridCol w:w="110"/>
        <w:gridCol w:w="797"/>
        <w:gridCol w:w="36"/>
        <w:gridCol w:w="36"/>
        <w:gridCol w:w="36"/>
        <w:gridCol w:w="36"/>
        <w:gridCol w:w="110"/>
        <w:gridCol w:w="798"/>
        <w:gridCol w:w="36"/>
        <w:gridCol w:w="36"/>
        <w:gridCol w:w="36"/>
        <w:gridCol w:w="36"/>
        <w:gridCol w:w="110"/>
        <w:gridCol w:w="798"/>
        <w:gridCol w:w="36"/>
      </w:tblGrid>
      <w:tr w:rsidR="00000000">
        <w:trPr>
          <w:divId w:val="664674307"/>
        </w:trPr>
        <w:tc>
          <w:tcPr>
            <w:tcW w:w="50" w:type="pct"/>
            <w:vAlign w:val="center"/>
            <w:hideMark/>
          </w:tcPr>
          <w:p w:rsidR="00000000" w:rsidRDefault="00E0782F">
            <w:pPr>
              <w:rPr>
                <w:rFonts w:eastAsia="Times New Roman"/>
              </w:rPr>
            </w:pPr>
          </w:p>
        </w:tc>
        <w:tc>
          <w:tcPr>
            <w:tcW w:w="307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64674307"/>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66467430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66467430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62028755"/>
              <w:rPr>
                <w:rFonts w:eastAsia="Times New Roman"/>
              </w:rPr>
            </w:pPr>
            <w:r>
              <w:rPr>
                <w:rFonts w:eastAsia="Times New Roman"/>
                <w:color w:val="000000"/>
                <w:sz w:val="18"/>
                <w:szCs w:val="18"/>
              </w:rPr>
              <w:t>Estimated reimbursements from partners, beginning of perio</w:t>
            </w:r>
            <w:r>
              <w:rPr>
                <w:rFonts w:eastAsia="Times New Roman"/>
                <w:color w:val="000000"/>
                <w:sz w:val="18"/>
                <w:szCs w:val="18"/>
              </w:rPr>
              <w:t>d</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6467430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Amounts due from partners which reduced net charge-offs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6467430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Amounts estimated to be charged to partners which reduced provision for credit losses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6467430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Estimated reimbursements from partners, end of period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418791473"/>
        <w:rPr>
          <w:rFonts w:eastAsia="Times New Roman"/>
        </w:rPr>
      </w:pPr>
      <w:r>
        <w:rPr>
          <w:rFonts w:eastAsia="Times New Roman"/>
          <w:color w:val="000000"/>
          <w:sz w:val="20"/>
          <w:szCs w:val="20"/>
        </w:rPr>
        <w:t>__________</w:t>
      </w:r>
    </w:p>
    <w:p w:rsidR="00000000" w:rsidRDefault="00E0782F">
      <w:pPr>
        <w:ind w:hanging="360"/>
        <w:jc w:val="both"/>
        <w:divId w:val="772555814"/>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effects from adoption of the CECL standard in the first quarter of 2020.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03185348"/>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0318534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0318534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3" style="width:0;height:1.5pt" o:hralign="center" o:hrstd="t" o:hr="t" fillcolor="#a0a0a0" stroked="f"/>
        </w:pict>
      </w:r>
    </w:p>
    <w:p w:rsidR="00000000" w:rsidRDefault="00E0782F">
      <w:pPr>
        <w:jc w:val="both"/>
        <w:divId w:val="63714822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637148220"/>
        <w:rPr>
          <w:rFonts w:eastAsia="Times New Roman"/>
        </w:rPr>
      </w:pPr>
    </w:p>
    <w:p w:rsidR="00000000" w:rsidRDefault="00E0782F">
      <w:pPr>
        <w:jc w:val="center"/>
        <w:divId w:val="637148220"/>
        <w:rPr>
          <w:rFonts w:eastAsia="Times New Roman"/>
        </w:rPr>
      </w:pPr>
      <w:r>
        <w:rPr>
          <w:rFonts w:eastAsia="Times New Roman"/>
          <w:b/>
          <w:bCs/>
          <w:color w:val="000000"/>
          <w:sz w:val="20"/>
          <w:szCs w:val="20"/>
        </w:rPr>
        <w:t>CAPITAL ONE FINANCIAL CORPORATION</w:t>
      </w:r>
    </w:p>
    <w:p w:rsidR="00000000" w:rsidRDefault="00E0782F">
      <w:pPr>
        <w:jc w:val="center"/>
        <w:divId w:val="637148220"/>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73421917"/>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73421917"/>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5—</w:t>
            </w:r>
            <w:r>
              <w:rPr>
                <w:rFonts w:eastAsia="Times New Roman"/>
                <w:b/>
                <w:bCs/>
                <w:color w:val="000000"/>
                <w:sz w:val="20"/>
                <w:szCs w:val="20"/>
              </w:rPr>
              <w:t>VARIABLE INTEREST ENTITIES AND SECURITIZATIONS</w:t>
            </w:r>
          </w:p>
        </w:tc>
      </w:tr>
    </w:tbl>
    <w:p w:rsidR="00000000" w:rsidRDefault="00E0782F">
      <w:pPr>
        <w:jc w:val="both"/>
        <w:divId w:val="1428884565"/>
        <w:rPr>
          <w:rFonts w:eastAsia="Times New Roman"/>
        </w:rPr>
      </w:pPr>
      <w:r>
        <w:rPr>
          <w:rFonts w:eastAsia="Times New Roman"/>
          <w:color w:val="000000"/>
          <w:sz w:val="20"/>
          <w:szCs w:val="20"/>
        </w:rPr>
        <w:t>In the normal course of business, we enter into various types of transactions with entities that are considered to be VIEs. Our primary involvement with VIEs is related to our securitization transactions in which we transfer assets to securitization trusts</w:t>
      </w:r>
      <w:r>
        <w:rPr>
          <w:rFonts w:eastAsia="Times New Roman"/>
          <w:color w:val="000000"/>
          <w:sz w:val="20"/>
          <w:szCs w:val="20"/>
        </w:rPr>
        <w:t>. We primarily securitize credit card and auto loans, which have provided a source of funding for us and enabled us to transfer a certain portion of the economic risk of the loans or related debt securities to third parties.</w:t>
      </w:r>
    </w:p>
    <w:p w:rsidR="00000000" w:rsidRDefault="00E0782F">
      <w:pPr>
        <w:jc w:val="both"/>
        <w:divId w:val="601374433"/>
        <w:rPr>
          <w:rFonts w:eastAsia="Times New Roman"/>
        </w:rPr>
      </w:pPr>
      <w:r>
        <w:rPr>
          <w:rFonts w:eastAsia="Times New Roman"/>
          <w:color w:val="000000"/>
          <w:sz w:val="20"/>
          <w:szCs w:val="20"/>
        </w:rPr>
        <w:t>The entity that has a controlli</w:t>
      </w:r>
      <w:r>
        <w:rPr>
          <w:rFonts w:eastAsia="Times New Roman"/>
          <w:color w:val="000000"/>
          <w:sz w:val="20"/>
          <w:szCs w:val="20"/>
        </w:rPr>
        <w:t>ng financial interest in a VIE is referred to as the primary beneficiary and is required to consolidate the VIE. The majority of the VIEs in which we are involved have been consolidated in our financial statements.</w:t>
      </w:r>
    </w:p>
    <w:p w:rsidR="00000000" w:rsidRDefault="00E0782F">
      <w:pPr>
        <w:jc w:val="both"/>
        <w:divId w:val="1563977294"/>
        <w:rPr>
          <w:rFonts w:eastAsia="Times New Roman"/>
        </w:rPr>
      </w:pPr>
      <w:r>
        <w:rPr>
          <w:rFonts w:eastAsia="Times New Roman"/>
          <w:b/>
          <w:bCs/>
          <w:color w:val="000000"/>
          <w:sz w:val="20"/>
          <w:szCs w:val="20"/>
        </w:rPr>
        <w:t>Summary of Consolidated and Unconsolidate</w:t>
      </w:r>
      <w:r>
        <w:rPr>
          <w:rFonts w:eastAsia="Times New Roman"/>
          <w:b/>
          <w:bCs/>
          <w:color w:val="000000"/>
          <w:sz w:val="20"/>
          <w:szCs w:val="20"/>
        </w:rPr>
        <w:t>d VIEs</w:t>
      </w:r>
    </w:p>
    <w:p w:rsidR="00000000" w:rsidRDefault="00E0782F">
      <w:pPr>
        <w:jc w:val="both"/>
        <w:divId w:val="1653096912"/>
        <w:rPr>
          <w:rFonts w:eastAsia="Times New Roman"/>
        </w:rPr>
      </w:pPr>
      <w:r>
        <w:rPr>
          <w:rFonts w:eastAsia="Times New Roman"/>
          <w:color w:val="000000"/>
          <w:sz w:val="20"/>
          <w:szCs w:val="20"/>
        </w:rPr>
        <w:t>The assets of our consolidated VIEs primarily consist of cash, loan receivables and the related allowance for credit losses, which we report on our consolidated balance sheets under restricted cash for securitization investors, loans held in consoli</w:t>
      </w:r>
      <w:r>
        <w:rPr>
          <w:rFonts w:eastAsia="Times New Roman"/>
          <w:color w:val="000000"/>
          <w:sz w:val="20"/>
          <w:szCs w:val="20"/>
        </w:rPr>
        <w:t>dated trusts and allowance for credit losses, respectively. The assets of a particular VIE are the primary source of funds to settle its obligations. Creditors of these VIEs typically do not have recourse to our general credit. Liabilities primarily consis</w:t>
      </w:r>
      <w:r>
        <w:rPr>
          <w:rFonts w:eastAsia="Times New Roman"/>
          <w:color w:val="000000"/>
          <w:sz w:val="20"/>
          <w:szCs w:val="20"/>
        </w:rPr>
        <w:t>t of debt securities issued by the VIEs, which we report under securitized debt obligations on our consolidated balance sheets. For unconsolidated VIEs, we present the carrying amount of assets and liabilities reflected on our consolidated balance sheets a</w:t>
      </w:r>
      <w:r>
        <w:rPr>
          <w:rFonts w:eastAsia="Times New Roman"/>
          <w:color w:val="000000"/>
          <w:sz w:val="20"/>
          <w:szCs w:val="20"/>
        </w:rPr>
        <w:t>nd our maximum exposure to loss. Our maximum exposure to loss is estimated based on the unlikely event that all of the assets in the VIEs become worthless and we are required to meet our maximum remaining funding obligations.</w:t>
      </w:r>
    </w:p>
    <w:p w:rsidR="00000000" w:rsidRDefault="00E0782F">
      <w:pPr>
        <w:jc w:val="both"/>
        <w:divId w:val="1740205689"/>
        <w:rPr>
          <w:rFonts w:eastAsia="Times New Roman"/>
        </w:rPr>
      </w:pPr>
      <w:r>
        <w:rPr>
          <w:rFonts w:eastAsia="Times New Roman"/>
          <w:color w:val="000000"/>
          <w:sz w:val="20"/>
          <w:szCs w:val="20"/>
        </w:rPr>
        <w:t>The tables below present a sum</w:t>
      </w:r>
      <w:r>
        <w:rPr>
          <w:rFonts w:eastAsia="Times New Roman"/>
          <w:color w:val="000000"/>
          <w:sz w:val="20"/>
          <w:szCs w:val="20"/>
        </w:rPr>
        <w:t>mary of VIEs in which we had continuing involvement or held a variable interest, aggregated based on VIEs with similar characteristics as of December 31, 2020 and 2019. We separately present information for consolidated and unconsolidated VIEs.</w:t>
      </w:r>
    </w:p>
    <w:p w:rsidR="00000000" w:rsidRDefault="00E0782F">
      <w:pPr>
        <w:divId w:val="1172065190"/>
        <w:rPr>
          <w:rFonts w:eastAsia="Times New Roman"/>
        </w:rPr>
      </w:pPr>
      <w:r>
        <w:rPr>
          <w:rFonts w:eastAsia="Times New Roman"/>
          <w:b/>
          <w:bCs/>
          <w:color w:val="000000"/>
          <w:sz w:val="18"/>
          <w:szCs w:val="18"/>
        </w:rPr>
        <w:t xml:space="preserve">Table 5.1: </w:t>
      </w:r>
      <w:r>
        <w:rPr>
          <w:rFonts w:eastAsia="Times New Roman"/>
          <w:b/>
          <w:bCs/>
          <w:color w:val="000000"/>
          <w:sz w:val="18"/>
          <w:szCs w:val="18"/>
        </w:rPr>
        <w:t>Carrying Amount of Consolidated and Unconsolidated VIEs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1798570699"/>
        </w:trPr>
        <w:tc>
          <w:tcPr>
            <w:tcW w:w="50" w:type="pct"/>
            <w:vAlign w:val="center"/>
            <w:hideMark/>
          </w:tcPr>
          <w:p w:rsidR="00000000" w:rsidRDefault="00E0782F">
            <w:pPr>
              <w:rPr>
                <w:rFonts w:eastAsia="Times New Roman"/>
              </w:rPr>
            </w:pPr>
          </w:p>
        </w:tc>
        <w:tc>
          <w:tcPr>
            <w:tcW w:w="24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79857069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179857069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Unconsolidated</w:t>
            </w:r>
          </w:p>
        </w:tc>
      </w:tr>
      <w:tr w:rsidR="00000000">
        <w:trPr>
          <w:divId w:val="179857069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Maximum Exposure to Loss</w:t>
            </w:r>
          </w:p>
        </w:tc>
      </w:tr>
      <w:tr w:rsidR="00000000">
        <w:trPr>
          <w:divId w:val="179857069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798570699"/>
        </w:trPr>
        <w:tc>
          <w:tcPr>
            <w:tcW w:w="0" w:type="auto"/>
            <w:gridSpan w:val="3"/>
            <w:shd w:val="clear" w:color="auto" w:fill="FFFFFF"/>
            <w:tcMar>
              <w:top w:w="30" w:type="dxa"/>
              <w:left w:w="20" w:type="dxa"/>
              <w:bottom w:w="30" w:type="dxa"/>
              <w:right w:w="20" w:type="dxa"/>
            </w:tcMar>
            <w:vAlign w:val="center"/>
            <w:hideMark/>
          </w:tcPr>
          <w:p w:rsidR="00000000" w:rsidRDefault="00E0782F">
            <w:pPr>
              <w:divId w:val="769668349"/>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22,066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10,338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Home loan securitizations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24,426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12,393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FFFFFF"/>
            <w:tcMar>
              <w:top w:w="30" w:type="dxa"/>
              <w:left w:w="20" w:type="dxa"/>
              <w:bottom w:w="30" w:type="dxa"/>
              <w:right w:w="20" w:type="dxa"/>
            </w:tcMar>
            <w:vAlign w:val="center"/>
            <w:hideMark/>
          </w:tcPr>
          <w:p w:rsidR="00000000" w:rsidRDefault="00E0782F">
            <w:pPr>
              <w:divId w:val="1537620487"/>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79857069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Affordable housing entities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1,951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other VIEs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5,038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9857069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VIEs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26,619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5,343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4" style="width:0;height:1.5pt" o:hralign="center" o:hrstd="t" o:hr="t" fillcolor="#a0a0a0" stroked="f"/>
        </w:pict>
      </w:r>
    </w:p>
    <w:p w:rsidR="00000000" w:rsidRDefault="00E0782F">
      <w:pPr>
        <w:jc w:val="both"/>
        <w:divId w:val="181845097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818450975"/>
        <w:rPr>
          <w:rFonts w:eastAsia="Times New Roman"/>
        </w:rPr>
      </w:pPr>
    </w:p>
    <w:p w:rsidR="00000000" w:rsidRDefault="00E0782F">
      <w:pPr>
        <w:jc w:val="center"/>
        <w:divId w:val="1818450975"/>
        <w:rPr>
          <w:rFonts w:eastAsia="Times New Roman"/>
        </w:rPr>
      </w:pPr>
      <w:r>
        <w:rPr>
          <w:rFonts w:eastAsia="Times New Roman"/>
          <w:b/>
          <w:bCs/>
          <w:color w:val="000000"/>
          <w:sz w:val="20"/>
          <w:szCs w:val="20"/>
        </w:rPr>
        <w:t>CAPITAL ONE FINANCIAL CORPORATION</w:t>
      </w:r>
    </w:p>
    <w:p w:rsidR="00000000" w:rsidRDefault="00E0782F">
      <w:pPr>
        <w:jc w:val="center"/>
        <w:divId w:val="1818450975"/>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800"/>
        <w:gridCol w:w="38"/>
        <w:gridCol w:w="36"/>
        <w:gridCol w:w="36"/>
        <w:gridCol w:w="36"/>
        <w:gridCol w:w="110"/>
        <w:gridCol w:w="540"/>
        <w:gridCol w:w="36"/>
        <w:gridCol w:w="36"/>
        <w:gridCol w:w="36"/>
        <w:gridCol w:w="36"/>
        <w:gridCol w:w="111"/>
        <w:gridCol w:w="681"/>
        <w:gridCol w:w="36"/>
        <w:gridCol w:w="36"/>
        <w:gridCol w:w="36"/>
        <w:gridCol w:w="36"/>
        <w:gridCol w:w="111"/>
        <w:gridCol w:w="591"/>
        <w:gridCol w:w="36"/>
        <w:gridCol w:w="36"/>
        <w:gridCol w:w="36"/>
        <w:gridCol w:w="36"/>
        <w:gridCol w:w="111"/>
        <w:gridCol w:w="681"/>
        <w:gridCol w:w="36"/>
        <w:gridCol w:w="36"/>
        <w:gridCol w:w="36"/>
        <w:gridCol w:w="36"/>
        <w:gridCol w:w="111"/>
        <w:gridCol w:w="662"/>
        <w:gridCol w:w="36"/>
      </w:tblGrid>
      <w:tr w:rsidR="00000000">
        <w:trPr>
          <w:divId w:val="785122130"/>
        </w:trPr>
        <w:tc>
          <w:tcPr>
            <w:tcW w:w="50" w:type="pct"/>
            <w:vAlign w:val="center"/>
            <w:hideMark/>
          </w:tcPr>
          <w:p w:rsidR="00000000" w:rsidRDefault="00E0782F">
            <w:pPr>
              <w:jc w:val="center"/>
              <w:rPr>
                <w:rFonts w:eastAsia="Times New Roman"/>
              </w:rPr>
            </w:pPr>
          </w:p>
        </w:tc>
        <w:tc>
          <w:tcPr>
            <w:tcW w:w="24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8512213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78512213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Unconsolidated</w:t>
            </w:r>
          </w:p>
        </w:tc>
      </w:tr>
      <w:tr w:rsidR="00000000">
        <w:trPr>
          <w:divId w:val="78512213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Liabilities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Maximum Exposure to Loss</w:t>
            </w:r>
          </w:p>
        </w:tc>
      </w:tr>
      <w:tr w:rsidR="00000000">
        <w:trPr>
          <w:divId w:val="78512213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85122130"/>
        </w:trPr>
        <w:tc>
          <w:tcPr>
            <w:tcW w:w="0" w:type="auto"/>
            <w:gridSpan w:val="3"/>
            <w:shd w:val="clear" w:color="auto" w:fill="FFFFFF"/>
            <w:tcMar>
              <w:top w:w="30" w:type="dxa"/>
              <w:left w:w="20" w:type="dxa"/>
              <w:bottom w:w="30" w:type="dxa"/>
              <w:right w:w="20" w:type="dxa"/>
            </w:tcMar>
            <w:vAlign w:val="center"/>
            <w:hideMark/>
          </w:tcPr>
          <w:p w:rsidR="00000000" w:rsidRDefault="00E0782F">
            <w:pPr>
              <w:divId w:val="746197586"/>
              <w:rPr>
                <w:rFonts w:eastAsia="Times New Roman"/>
              </w:rPr>
            </w:pPr>
            <w:r>
              <w:rPr>
                <w:rFonts w:eastAsia="Times New Roman"/>
                <w:color w:val="000000"/>
                <w:sz w:val="18"/>
                <w:szCs w:val="18"/>
              </w:rPr>
              <w:t>Credit card loan securitization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31,112 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Auto loan securitizations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2,282 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Home loan securitizations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securitization-related VIEs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33,394 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18,125 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FFFFFF"/>
            <w:tcMar>
              <w:top w:w="30" w:type="dxa"/>
              <w:left w:w="20" w:type="dxa"/>
              <w:bottom w:w="30" w:type="dxa"/>
              <w:right w:w="20" w:type="dxa"/>
            </w:tcMar>
            <w:vAlign w:val="center"/>
            <w:hideMark/>
          </w:tcPr>
          <w:p w:rsidR="00000000" w:rsidRDefault="00E0782F">
            <w:pPr>
              <w:divId w:val="1749380843"/>
              <w:rPr>
                <w:rFonts w:eastAsia="Times New Roman"/>
              </w:rPr>
            </w:pPr>
            <w:r>
              <w:rPr>
                <w:rFonts w:eastAsia="Times New Roman"/>
                <w:b/>
                <w:bCs/>
                <w:color w:val="000000"/>
                <w:sz w:val="18"/>
                <w:szCs w:val="18"/>
              </w:rPr>
              <w:t>Other VIEs</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8512213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Affordable housing entities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Entities that provide capital to low-income and rural communities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1,889 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other VIEs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512213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VIEs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18,201 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2077622760"/>
        <w:rPr>
          <w:rFonts w:eastAsia="Times New Roman"/>
        </w:rPr>
      </w:pPr>
      <w:r>
        <w:rPr>
          <w:rFonts w:eastAsia="Times New Roman"/>
          <w:color w:val="000000"/>
          <w:sz w:val="20"/>
          <w:szCs w:val="20"/>
        </w:rPr>
        <w:t>__________</w:t>
      </w:r>
    </w:p>
    <w:p w:rsidR="00000000" w:rsidRDefault="00E0782F">
      <w:pPr>
        <w:ind w:hanging="360"/>
        <w:jc w:val="both"/>
        <w:divId w:val="8507241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the carrying amount of assets and liabilities owned by the VIE, which includes the seller’s interest and repurchased notes held by other related parties.</w:t>
      </w:r>
    </w:p>
    <w:p w:rsidR="00000000" w:rsidRDefault="00E0782F">
      <w:pPr>
        <w:ind w:hanging="360"/>
        <w:jc w:val="both"/>
        <w:divId w:val="142889084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 certain investment structures, we consolidate a VIE which in turn holds as its primar</w:t>
      </w:r>
      <w:r>
        <w:rPr>
          <w:rFonts w:eastAsia="Times New Roman"/>
          <w:color w:val="000000"/>
          <w:sz w:val="16"/>
          <w:szCs w:val="16"/>
        </w:rPr>
        <w:t>y asset an investment in an unconsolidated VIE. In these instances, we disclose the carrying amount of assets and liabilities on our consolidated balance sheets as unconsolidated VIEs to avoid duplicating our exposure, as the unconsolidated VIEs are genera</w:t>
      </w:r>
      <w:r>
        <w:rPr>
          <w:rFonts w:eastAsia="Times New Roman"/>
          <w:color w:val="000000"/>
          <w:sz w:val="16"/>
          <w:szCs w:val="16"/>
        </w:rPr>
        <w:t>lly the operating entities generating the exposure. The carrying amount of assets and liabilities included in the unconsolidated VIE columns above related to these investment structures were $2.3 billion of assets and $596 million of liabilities as of Dece</w:t>
      </w:r>
      <w:r>
        <w:rPr>
          <w:rFonts w:eastAsia="Times New Roman"/>
          <w:color w:val="000000"/>
          <w:sz w:val="16"/>
          <w:szCs w:val="16"/>
        </w:rPr>
        <w:t xml:space="preserve">mber 31, 2020, and $2.3 billion of assets and $741 million of liabilities as of December 31, 2019. </w:t>
      </w:r>
    </w:p>
    <w:p w:rsidR="00000000" w:rsidRDefault="00E0782F">
      <w:pPr>
        <w:jc w:val="both"/>
        <w:divId w:val="726416450"/>
        <w:rPr>
          <w:rFonts w:eastAsia="Times New Roman"/>
        </w:rPr>
      </w:pPr>
      <w:r>
        <w:rPr>
          <w:rFonts w:eastAsia="Times New Roman"/>
          <w:b/>
          <w:bCs/>
          <w:color w:val="000000"/>
          <w:sz w:val="20"/>
          <w:szCs w:val="20"/>
        </w:rPr>
        <w:t>Securitization-Related VIEs</w:t>
      </w:r>
    </w:p>
    <w:p w:rsidR="00000000" w:rsidRDefault="00E0782F">
      <w:pPr>
        <w:jc w:val="both"/>
        <w:divId w:val="1110663532"/>
        <w:rPr>
          <w:rFonts w:eastAsia="Times New Roman"/>
        </w:rPr>
      </w:pPr>
      <w:r>
        <w:rPr>
          <w:rFonts w:eastAsia="Times New Roman"/>
          <w:color w:val="000000"/>
          <w:sz w:val="20"/>
          <w:szCs w:val="20"/>
        </w:rPr>
        <w:t xml:space="preserve">In a securitization transaction, assets are transferred to a trust, which generally meets the definition of a VIE. We engage in </w:t>
      </w:r>
      <w:r>
        <w:rPr>
          <w:rFonts w:eastAsia="Times New Roman"/>
          <w:color w:val="000000"/>
          <w:sz w:val="20"/>
          <w:szCs w:val="20"/>
        </w:rPr>
        <w:t>securitization activities as an issuer and an investor. Our primary securitization issuance activity includes credit card and auto securitizations, conducted through securitization trusts which we consolidate. Our continuing involvement in these securitiza</w:t>
      </w:r>
      <w:r>
        <w:rPr>
          <w:rFonts w:eastAsia="Times New Roman"/>
          <w:color w:val="000000"/>
          <w:sz w:val="20"/>
          <w:szCs w:val="20"/>
        </w:rPr>
        <w:t>tion transactions mainly consists of acting as the primary servicer and holding certain retained interests.</w:t>
      </w:r>
    </w:p>
    <w:p w:rsidR="00000000" w:rsidRDefault="00E0782F">
      <w:pPr>
        <w:jc w:val="both"/>
        <w:divId w:val="86653302"/>
        <w:rPr>
          <w:rFonts w:eastAsia="Times New Roman"/>
        </w:rPr>
      </w:pPr>
      <w:r>
        <w:rPr>
          <w:rFonts w:eastAsia="Times New Roman"/>
          <w:color w:val="000000"/>
          <w:sz w:val="20"/>
          <w:szCs w:val="20"/>
        </w:rPr>
        <w:t>In our multifamily agency business, we originate multifamily commercial real estate loans and transfer them to GSEs who may, in turn, securitize the</w:t>
      </w:r>
      <w:r>
        <w:rPr>
          <w:rFonts w:eastAsia="Times New Roman"/>
          <w:color w:val="000000"/>
          <w:sz w:val="20"/>
          <w:szCs w:val="20"/>
        </w:rPr>
        <w:t>m. We retain the related MSRs and service the transferred loans pursuant to the guidelines set forth by the GSEs. As an investor, we hold primarily RMBS, CMBS, and ABS in our investment securities portfolio, which represent variable interests in the respec</w:t>
      </w:r>
      <w:r>
        <w:rPr>
          <w:rFonts w:eastAsia="Times New Roman"/>
          <w:color w:val="000000"/>
          <w:sz w:val="20"/>
          <w:szCs w:val="20"/>
        </w:rPr>
        <w:t xml:space="preserve">tive securitization trusts from which those securities were issued. We do not consolidate the securitization trusts employed in these transactions as we do not have the power to direct the activities that most significantly impact the economic performance </w:t>
      </w:r>
      <w:r>
        <w:rPr>
          <w:rFonts w:eastAsia="Times New Roman"/>
          <w:color w:val="000000"/>
          <w:sz w:val="20"/>
          <w:szCs w:val="20"/>
        </w:rPr>
        <w:t xml:space="preserve">of these securitization trusts. We exclude these VIEs from the tables within this note because we do not consider our continuing involvement with these VIEs to be significant as we either invest in securities issued by the VIE and were not involved in the </w:t>
      </w:r>
      <w:r>
        <w:rPr>
          <w:rFonts w:eastAsia="Times New Roman"/>
          <w:color w:val="000000"/>
          <w:sz w:val="20"/>
          <w:szCs w:val="20"/>
        </w:rPr>
        <w:t>design of the VIE or no transfers have occurred between the VIE and us. Our maximum exposure to loss as a result of our involvement with these VIEs is the carrying value of the MSRs and investment securities on our consolidated balance sheets as well as ou</w:t>
      </w:r>
      <w:r>
        <w:rPr>
          <w:rFonts w:eastAsia="Times New Roman"/>
          <w:color w:val="000000"/>
          <w:sz w:val="20"/>
          <w:szCs w:val="20"/>
        </w:rPr>
        <w:t xml:space="preserve">r contractual obligations under loss sharing arrangements. See “Note 6—Goodwill and Intangible Assets” for information related to our MSRs associated with these securitizations and “Note 2—Investment Securities” for more information on the securities held </w:t>
      </w:r>
      <w:r>
        <w:rPr>
          <w:rFonts w:eastAsia="Times New Roman"/>
          <w:color w:val="000000"/>
          <w:sz w:val="20"/>
          <w:szCs w:val="20"/>
        </w:rPr>
        <w:t>in our investment securities portfolio. In addition, where we have certain lending arrangements in the normal course of business with entities that could be VIEs, we have also excluded these VIEs from the tables presented in this note. See “Note 3—Loans” f</w:t>
      </w:r>
      <w:r>
        <w:rPr>
          <w:rFonts w:eastAsia="Times New Roman"/>
          <w:color w:val="000000"/>
          <w:sz w:val="20"/>
          <w:szCs w:val="20"/>
        </w:rPr>
        <w:t>or additional information regarding our lending arrangements in the normal course of business.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5871129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5871129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5871129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159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5" style="width:0;height:1.5pt" o:hralign="center" o:hrstd="t" o:hr="t" fillcolor="#a0a0a0" stroked="f"/>
        </w:pict>
      </w:r>
    </w:p>
    <w:p w:rsidR="00000000" w:rsidRDefault="00E0782F">
      <w:pPr>
        <w:jc w:val="both"/>
        <w:divId w:val="5061606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0616065"/>
        <w:rPr>
          <w:rFonts w:eastAsia="Times New Roman"/>
        </w:rPr>
      </w:pPr>
    </w:p>
    <w:p w:rsidR="00000000" w:rsidRDefault="00E0782F">
      <w:pPr>
        <w:jc w:val="center"/>
        <w:divId w:val="50616065"/>
        <w:rPr>
          <w:rFonts w:eastAsia="Times New Roman"/>
        </w:rPr>
      </w:pPr>
      <w:r>
        <w:rPr>
          <w:rFonts w:eastAsia="Times New Roman"/>
          <w:b/>
          <w:bCs/>
          <w:color w:val="000000"/>
          <w:sz w:val="20"/>
          <w:szCs w:val="20"/>
        </w:rPr>
        <w:t>CAPITAL ONE FINANCIAL CORPORATION</w:t>
      </w:r>
    </w:p>
    <w:p w:rsidR="00000000" w:rsidRDefault="00E0782F">
      <w:pPr>
        <w:jc w:val="center"/>
        <w:divId w:val="50616065"/>
        <w:rPr>
          <w:rFonts w:eastAsia="Times New Roman"/>
        </w:rPr>
      </w:pPr>
      <w:r>
        <w:rPr>
          <w:rFonts w:eastAsia="Times New Roman"/>
          <w:b/>
          <w:bCs/>
          <w:color w:val="000000"/>
          <w:sz w:val="20"/>
          <w:szCs w:val="20"/>
        </w:rPr>
        <w:t>NOTES TO CONSOLIDATED FINANCIAL STATEMENTS</w:t>
      </w:r>
    </w:p>
    <w:p w:rsidR="00000000" w:rsidRDefault="00E0782F">
      <w:pPr>
        <w:divId w:val="1624268443"/>
        <w:rPr>
          <w:rFonts w:eastAsia="Times New Roman"/>
        </w:rPr>
      </w:pPr>
      <w:r>
        <w:rPr>
          <w:rFonts w:eastAsia="Times New Roman"/>
          <w:color w:val="000000"/>
          <w:sz w:val="20"/>
          <w:szCs w:val="20"/>
        </w:rPr>
        <w:t xml:space="preserve">The table below presents our continuing involvement in certain securitization-related VIEs as of December 31, 2020 and 2019. </w:t>
      </w:r>
    </w:p>
    <w:p w:rsidR="00000000" w:rsidRDefault="00E0782F">
      <w:pPr>
        <w:divId w:val="59137261"/>
        <w:rPr>
          <w:rFonts w:eastAsia="Times New Roman"/>
        </w:rPr>
      </w:pPr>
      <w:r>
        <w:rPr>
          <w:rFonts w:eastAsia="Times New Roman"/>
          <w:b/>
          <w:bCs/>
          <w:color w:val="000000"/>
          <w:sz w:val="18"/>
          <w:szCs w:val="18"/>
        </w:rPr>
        <w:t>Table 5.2: Continuing Involvement in Securitization-Related VIEs</w:t>
      </w:r>
    </w:p>
    <w:tbl>
      <w:tblPr>
        <w:tblW w:w="4985" w:type="pct"/>
        <w:tblCellMar>
          <w:top w:w="15" w:type="dxa"/>
          <w:left w:w="15" w:type="dxa"/>
          <w:bottom w:w="15" w:type="dxa"/>
          <w:right w:w="15" w:type="dxa"/>
        </w:tblCellMar>
        <w:tblLook w:val="04A0" w:firstRow="1" w:lastRow="0" w:firstColumn="1" w:lastColumn="0" w:noHBand="0" w:noVBand="1"/>
      </w:tblPr>
      <w:tblGrid>
        <w:gridCol w:w="40"/>
        <w:gridCol w:w="5303"/>
        <w:gridCol w:w="39"/>
        <w:gridCol w:w="36"/>
        <w:gridCol w:w="36"/>
        <w:gridCol w:w="36"/>
        <w:gridCol w:w="110"/>
        <w:gridCol w:w="712"/>
        <w:gridCol w:w="36"/>
        <w:gridCol w:w="36"/>
        <w:gridCol w:w="36"/>
        <w:gridCol w:w="36"/>
        <w:gridCol w:w="110"/>
        <w:gridCol w:w="712"/>
        <w:gridCol w:w="36"/>
        <w:gridCol w:w="36"/>
        <w:gridCol w:w="36"/>
        <w:gridCol w:w="36"/>
        <w:gridCol w:w="111"/>
        <w:gridCol w:w="712"/>
        <w:gridCol w:w="36"/>
      </w:tblGrid>
      <w:tr w:rsidR="00000000">
        <w:trPr>
          <w:divId w:val="319114915"/>
        </w:trPr>
        <w:tc>
          <w:tcPr>
            <w:tcW w:w="50" w:type="pct"/>
            <w:vAlign w:val="center"/>
            <w:hideMark/>
          </w:tcPr>
          <w:p w:rsidR="00000000" w:rsidRDefault="00E0782F">
            <w:pPr>
              <w:rPr>
                <w:rFonts w:eastAsia="Times New Roman"/>
              </w:rPr>
            </w:pPr>
          </w:p>
        </w:tc>
        <w:tc>
          <w:tcPr>
            <w:tcW w:w="322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31911491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Auto</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Mortgages</w:t>
            </w:r>
          </w:p>
        </w:tc>
      </w:tr>
      <w:tr w:rsidR="00000000">
        <w:trPr>
          <w:divId w:val="3191149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191149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10,361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191149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23,683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793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191149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191149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Yes</w:t>
            </w:r>
          </w:p>
        </w:tc>
      </w:tr>
      <w:tr w:rsidR="00000000">
        <w:trPr>
          <w:divId w:val="3191149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Yes</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Yes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No</w:t>
            </w:r>
          </w:p>
        </w:tc>
      </w:tr>
      <w:tr w:rsidR="00000000">
        <w:trPr>
          <w:divId w:val="3191149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3191149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Securities held by third-party investors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15,798 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191149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Receivables in the trust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31,625 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978 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191149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balance of spread or reserve accounts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3191149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Retained interests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Yes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Yes</w:t>
            </w:r>
          </w:p>
        </w:tc>
      </w:tr>
      <w:tr w:rsidR="00000000">
        <w:trPr>
          <w:divId w:val="3191149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Servicing retained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Yes</w:t>
            </w:r>
          </w:p>
        </w:tc>
        <w:tc>
          <w:tcPr>
            <w:tcW w:w="0" w:type="auto"/>
            <w:gridSpan w:val="3"/>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Yes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No</w:t>
            </w:r>
          </w:p>
        </w:tc>
      </w:tr>
    </w:tbl>
    <w:p w:rsidR="00000000" w:rsidRDefault="00E0782F">
      <w:pPr>
        <w:divId w:val="1738747454"/>
        <w:rPr>
          <w:rFonts w:eastAsia="Times New Roman"/>
        </w:rPr>
      </w:pPr>
      <w:r>
        <w:rPr>
          <w:rFonts w:eastAsia="Times New Roman"/>
          <w:b/>
          <w:bCs/>
          <w:i/>
          <w:iCs/>
          <w:color w:val="000000"/>
          <w:sz w:val="20"/>
          <w:szCs w:val="20"/>
        </w:rPr>
        <w:t>Credit Card Securitizations</w:t>
      </w:r>
    </w:p>
    <w:p w:rsidR="00000000" w:rsidRDefault="00E0782F">
      <w:pPr>
        <w:jc w:val="both"/>
        <w:divId w:val="492647341"/>
        <w:rPr>
          <w:rFonts w:eastAsia="Times New Roman"/>
        </w:rPr>
      </w:pPr>
      <w:r>
        <w:rPr>
          <w:rFonts w:eastAsia="Times New Roman"/>
          <w:color w:val="000000"/>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eastAsia="Times New Roman"/>
          <w:color w:val="000000"/>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eastAsia="Times New Roman"/>
          <w:color w:val="000000"/>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 </w:t>
      </w:r>
    </w:p>
    <w:p w:rsidR="00000000" w:rsidRDefault="00E0782F">
      <w:pPr>
        <w:divId w:val="362249592"/>
        <w:rPr>
          <w:rFonts w:eastAsia="Times New Roman"/>
        </w:rPr>
      </w:pPr>
      <w:r>
        <w:rPr>
          <w:rFonts w:eastAsia="Times New Roman"/>
          <w:b/>
          <w:bCs/>
          <w:i/>
          <w:iCs/>
          <w:color w:val="000000"/>
          <w:sz w:val="20"/>
          <w:szCs w:val="20"/>
        </w:rPr>
        <w:t>Auto Securitiza</w:t>
      </w:r>
      <w:r>
        <w:rPr>
          <w:rFonts w:eastAsia="Times New Roman"/>
          <w:b/>
          <w:bCs/>
          <w:i/>
          <w:iCs/>
          <w:color w:val="000000"/>
          <w:sz w:val="20"/>
          <w:szCs w:val="20"/>
        </w:rPr>
        <w:t>tions</w:t>
      </w:r>
    </w:p>
    <w:p w:rsidR="00000000" w:rsidRDefault="00E0782F">
      <w:pPr>
        <w:jc w:val="both"/>
        <w:divId w:val="488205652"/>
        <w:rPr>
          <w:rFonts w:eastAsia="Times New Roman"/>
        </w:rPr>
      </w:pPr>
      <w:r>
        <w:rPr>
          <w:rFonts w:eastAsia="Times New Roman"/>
          <w:color w:val="000000"/>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eastAsia="Times New Roman"/>
          <w:color w:val="000000"/>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eastAsia="Times New Roman"/>
          <w:color w:val="000000"/>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E0782F">
      <w:pPr>
        <w:divId w:val="1347364958"/>
        <w:rPr>
          <w:rFonts w:eastAsia="Times New Roman"/>
        </w:rPr>
      </w:pPr>
      <w:r>
        <w:rPr>
          <w:rFonts w:eastAsia="Times New Roman"/>
          <w:b/>
          <w:bCs/>
          <w:i/>
          <w:iCs/>
          <w:color w:val="000000"/>
          <w:sz w:val="20"/>
          <w:szCs w:val="20"/>
        </w:rPr>
        <w:t>Mortgage Securitizations</w:t>
      </w:r>
    </w:p>
    <w:p w:rsidR="00000000" w:rsidRDefault="00E0782F">
      <w:pPr>
        <w:jc w:val="both"/>
        <w:divId w:val="823159843"/>
        <w:rPr>
          <w:rFonts w:eastAsia="Times New Roman"/>
        </w:rPr>
      </w:pPr>
      <w:r>
        <w:rPr>
          <w:rFonts w:eastAsia="Times New Roman"/>
          <w:color w:val="000000"/>
          <w:sz w:val="20"/>
          <w:szCs w:val="20"/>
        </w:rPr>
        <w:t>We had previous</w:t>
      </w:r>
      <w:r>
        <w:rPr>
          <w:rFonts w:eastAsia="Times New Roman"/>
          <w:color w:val="000000"/>
          <w:sz w:val="20"/>
          <w:szCs w:val="20"/>
        </w:rPr>
        <w:t xml:space="preserve">ly securitized mortgage loans by transferring these loans to securitization trusts that had issued mortgage-backed securities to investors. These mortgage trusts consist of option-adjustable rate mortgage (“option-ARM”) securitizations and securitizations </w:t>
      </w:r>
      <w:r>
        <w:rPr>
          <w:rFonts w:eastAsia="Times New Roman"/>
          <w:color w:val="000000"/>
          <w:sz w:val="20"/>
          <w:szCs w:val="20"/>
        </w:rPr>
        <w:t>from our discontinued operations which include the mortgage origination operations of our wholesale mortgage banking unit, GreenPoint Mortgage Funding, Inc. (“GreenPoint”) and the manufactured housing operations of GreenPoint Credit, LLC, a subsidiary of G</w:t>
      </w:r>
      <w:r>
        <w:rPr>
          <w:rFonts w:eastAsia="Times New Roman"/>
          <w:color w:val="000000"/>
          <w:sz w:val="20"/>
          <w:szCs w:val="20"/>
        </w:rPr>
        <w:t xml:space="preserve">reenPoint (collectively “GreenPoint securitizations”). We retain rights to certain future cash flows arising from these securitizations. We do not consolidate the mortgage securitizations because we do not have the power to direct the activities that most </w:t>
      </w:r>
      <w:r>
        <w:rPr>
          <w:rFonts w:eastAsia="Times New Roman"/>
          <w:color w:val="000000"/>
          <w:sz w:val="20"/>
          <w:szCs w:val="20"/>
        </w:rPr>
        <w:t>significantly impact the economic performance of the trusts, and the right to receive the benefits or the obligation to absorb losses that could potentially be significant to the trusts.</w:t>
      </w:r>
    </w:p>
    <w:p w:rsidR="00000000" w:rsidRDefault="00E0782F">
      <w:pPr>
        <w:jc w:val="both"/>
        <w:divId w:val="445004803"/>
        <w:rPr>
          <w:rFonts w:eastAsia="Times New Roman"/>
        </w:rPr>
      </w:pPr>
      <w:r>
        <w:rPr>
          <w:rFonts w:eastAsia="Times New Roman"/>
          <w:b/>
          <w:bCs/>
          <w:color w:val="000000"/>
          <w:sz w:val="20"/>
          <w:szCs w:val="20"/>
        </w:rPr>
        <w:t>Other VIEs</w:t>
      </w:r>
    </w:p>
    <w:p w:rsidR="00000000" w:rsidRDefault="00E0782F">
      <w:pPr>
        <w:jc w:val="both"/>
        <w:divId w:val="1218281465"/>
        <w:rPr>
          <w:rFonts w:eastAsia="Times New Roman"/>
        </w:rPr>
      </w:pPr>
      <w:r>
        <w:rPr>
          <w:rFonts w:eastAsia="Times New Roman"/>
          <w:b/>
          <w:bCs/>
          <w:i/>
          <w:iCs/>
          <w:color w:val="000000"/>
          <w:sz w:val="20"/>
          <w:szCs w:val="20"/>
        </w:rPr>
        <w:t>Affordable Housing Entities</w:t>
      </w:r>
    </w:p>
    <w:p w:rsidR="00000000" w:rsidRDefault="00E0782F">
      <w:pPr>
        <w:jc w:val="both"/>
        <w:divId w:val="793182992"/>
        <w:rPr>
          <w:rFonts w:eastAsia="Times New Roman"/>
        </w:rPr>
      </w:pPr>
      <w:r>
        <w:rPr>
          <w:rFonts w:eastAsia="Times New Roman"/>
          <w:color w:val="000000"/>
          <w:sz w:val="20"/>
          <w:szCs w:val="20"/>
        </w:rPr>
        <w:t>As part of our community reinv</w:t>
      </w:r>
      <w:r>
        <w:rPr>
          <w:rFonts w:eastAsia="Times New Roman"/>
          <w:color w:val="000000"/>
          <w:sz w:val="20"/>
          <w:szCs w:val="20"/>
        </w:rPr>
        <w:t>estment initiatives, we invest in private investment funds that make equity investments in multifamily affordable housing properties. We receive affordable housing tax credits for these investments. The activities of these entities are financed with a comb</w:t>
      </w:r>
      <w:r>
        <w:rPr>
          <w:rFonts w:eastAsia="Times New Roman"/>
          <w:color w:val="000000"/>
          <w:sz w:val="20"/>
          <w:szCs w:val="20"/>
        </w:rPr>
        <w:t xml:space="preserve">ination of invested equity capital and debt. We account for certain of our investments in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7023043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7023043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7023043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6" style="width:0;height:1.5pt" o:hralign="center" o:hrstd="t" o:hr="t" fillcolor="#a0a0a0" stroked="f"/>
        </w:pict>
      </w:r>
    </w:p>
    <w:p w:rsidR="00000000" w:rsidRDefault="00E0782F">
      <w:pPr>
        <w:jc w:val="both"/>
        <w:divId w:val="52174562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21745625"/>
        <w:rPr>
          <w:rFonts w:eastAsia="Times New Roman"/>
        </w:rPr>
      </w:pPr>
    </w:p>
    <w:p w:rsidR="00000000" w:rsidRDefault="00E0782F">
      <w:pPr>
        <w:jc w:val="center"/>
        <w:divId w:val="521745625"/>
        <w:rPr>
          <w:rFonts w:eastAsia="Times New Roman"/>
        </w:rPr>
      </w:pPr>
      <w:r>
        <w:rPr>
          <w:rFonts w:eastAsia="Times New Roman"/>
          <w:b/>
          <w:bCs/>
          <w:color w:val="000000"/>
          <w:sz w:val="20"/>
          <w:szCs w:val="20"/>
        </w:rPr>
        <w:t>CAPITAL ONE FINANCIAL CORPORATION</w:t>
      </w:r>
    </w:p>
    <w:p w:rsidR="00000000" w:rsidRDefault="00E0782F">
      <w:pPr>
        <w:jc w:val="center"/>
        <w:divId w:val="521745625"/>
        <w:rPr>
          <w:rFonts w:eastAsia="Times New Roman"/>
        </w:rPr>
      </w:pPr>
      <w:r>
        <w:rPr>
          <w:rFonts w:eastAsia="Times New Roman"/>
          <w:b/>
          <w:bCs/>
          <w:color w:val="000000"/>
          <w:sz w:val="20"/>
          <w:szCs w:val="20"/>
        </w:rPr>
        <w:t>NOTES TO CONSOLIDATED FINANCIAL STATEMENTS</w:t>
      </w:r>
    </w:p>
    <w:p w:rsidR="00000000" w:rsidRDefault="00E0782F">
      <w:pPr>
        <w:jc w:val="both"/>
        <w:divId w:val="153649022"/>
        <w:rPr>
          <w:rFonts w:eastAsia="Times New Roman"/>
        </w:rPr>
      </w:pPr>
      <w:r>
        <w:rPr>
          <w:rFonts w:eastAsia="Times New Roman"/>
          <w:color w:val="000000"/>
          <w:sz w:val="20"/>
          <w:szCs w:val="20"/>
        </w:rPr>
        <w:t>qualified affordable housing projects using the proportional amor</w:t>
      </w:r>
      <w:r>
        <w:rPr>
          <w:rFonts w:eastAsia="Times New Roman"/>
          <w:color w:val="000000"/>
          <w:sz w:val="20"/>
          <w:szCs w:val="20"/>
        </w:rPr>
        <w:t>tization method if certain criteria are met. The proportional amortization method amortizes the cost of the investment over the period in which the investor expects to receive tax credits and other tax benefits, and the resulting amortization is recognized</w:t>
      </w:r>
      <w:r>
        <w:rPr>
          <w:rFonts w:eastAsia="Times New Roman"/>
          <w:color w:val="000000"/>
          <w:sz w:val="20"/>
          <w:szCs w:val="20"/>
        </w:rPr>
        <w:t xml:space="preserve"> as a component of income tax expense attributable to continuing operations. For the year ended December 31, 2020 and 2019, we recognized amortization of $556 million and $554 million, respectively, and tax credits of $607 million and $610 million, respect</w:t>
      </w:r>
      <w:r>
        <w:rPr>
          <w:rFonts w:eastAsia="Times New Roman"/>
          <w:color w:val="000000"/>
          <w:sz w:val="20"/>
          <w:szCs w:val="20"/>
        </w:rPr>
        <w:t>ively, associated with these investments within income tax provision or benefit. The carrying value of our equity investments in these qualified affordable housing projects was $4.5 billion and $4.4 billion as of December 31, 2020 and 2019, respectively. W</w:t>
      </w:r>
      <w:r>
        <w:rPr>
          <w:rFonts w:eastAsia="Times New Roman"/>
          <w:color w:val="000000"/>
          <w:sz w:val="20"/>
          <w:szCs w:val="20"/>
        </w:rPr>
        <w:t xml:space="preserve">e are periodically required to provide additional financial or other support during the period of the investments. Our liability for these unfunded commitments was $1.5 billion as of both December 31, 2020 and 2019, and is largely expected to be paid from </w:t>
      </w:r>
      <w:r>
        <w:rPr>
          <w:rFonts w:eastAsia="Times New Roman"/>
          <w:color w:val="000000"/>
          <w:sz w:val="20"/>
          <w:szCs w:val="20"/>
        </w:rPr>
        <w:t>2021 to 2023.</w:t>
      </w:r>
    </w:p>
    <w:p w:rsidR="00000000" w:rsidRDefault="00E0782F">
      <w:pPr>
        <w:jc w:val="both"/>
        <w:divId w:val="960915613"/>
        <w:rPr>
          <w:rFonts w:eastAsia="Times New Roman"/>
        </w:rPr>
      </w:pPr>
      <w:r>
        <w:rPr>
          <w:rFonts w:eastAsia="Times New Roman"/>
          <w:color w:val="000000"/>
          <w:sz w:val="20"/>
          <w:szCs w:val="20"/>
        </w:rPr>
        <w:t xml:space="preserve">For those investment funds considered to be VIEs, we are not required to consolidate them if we do not have the power to direct the activities that most significantly impact the economic performance of those entities. We record our interests </w:t>
      </w:r>
      <w:r>
        <w:rPr>
          <w:rFonts w:eastAsia="Times New Roman"/>
          <w:color w:val="000000"/>
          <w:sz w:val="20"/>
          <w:szCs w:val="20"/>
        </w:rPr>
        <w:t>in these unconsolidated VIEs in loans held for investment, other assets and other liabilities on our consolidated balance sheets. Our maximum exposure to these entities is limited to our variable interests in the entities which consisted of assets of appro</w:t>
      </w:r>
      <w:r>
        <w:rPr>
          <w:rFonts w:eastAsia="Times New Roman"/>
          <w:color w:val="000000"/>
          <w:sz w:val="20"/>
          <w:szCs w:val="20"/>
        </w:rPr>
        <w:t>ximately $4.6 billion as of both December 31, 2020 and 2019. The creditors of the VIEs have no recourse to our general credit and we do not provide additional financial or other support other than during the period that we are contractually required to pro</w:t>
      </w:r>
      <w:r>
        <w:rPr>
          <w:rFonts w:eastAsia="Times New Roman"/>
          <w:color w:val="000000"/>
          <w:sz w:val="20"/>
          <w:szCs w:val="20"/>
        </w:rPr>
        <w:t>vide it. The total assets of the unconsolidated VIE investment funds were approximately $11.0 billion and $10.9 billion as of December 31, 2020 and 2019, respectively.</w:t>
      </w:r>
    </w:p>
    <w:p w:rsidR="00000000" w:rsidRDefault="00E0782F">
      <w:pPr>
        <w:jc w:val="both"/>
        <w:divId w:val="1720324369"/>
        <w:rPr>
          <w:rFonts w:eastAsia="Times New Roman"/>
        </w:rPr>
      </w:pPr>
      <w:r>
        <w:rPr>
          <w:rFonts w:eastAsia="Times New Roman"/>
          <w:b/>
          <w:bCs/>
          <w:i/>
          <w:iCs/>
          <w:color w:val="000000"/>
          <w:sz w:val="20"/>
          <w:szCs w:val="20"/>
        </w:rPr>
        <w:t xml:space="preserve">Entities that Provide Capital to Low-Income and Rural Communities </w:t>
      </w:r>
    </w:p>
    <w:p w:rsidR="00000000" w:rsidRDefault="00E0782F">
      <w:pPr>
        <w:jc w:val="both"/>
        <w:divId w:val="986669204"/>
        <w:rPr>
          <w:rFonts w:eastAsia="Times New Roman"/>
        </w:rPr>
      </w:pPr>
      <w:r>
        <w:rPr>
          <w:rFonts w:eastAsia="Times New Roman"/>
          <w:color w:val="000000"/>
          <w:sz w:val="20"/>
          <w:szCs w:val="20"/>
        </w:rPr>
        <w:t>We hold variable inte</w:t>
      </w:r>
      <w:r>
        <w:rPr>
          <w:rFonts w:eastAsia="Times New Roman"/>
          <w:color w:val="000000"/>
          <w:sz w:val="20"/>
          <w:szCs w:val="20"/>
        </w:rPr>
        <w:t>rests in entities (“Investor Entities”) that invest in community development entities (“CDEs”) that provide debt financing to businesses and non-profit entities in low-income and rural communities. Variable interests in the CDEs held by the consolidated In</w:t>
      </w:r>
      <w:r>
        <w:rPr>
          <w:rFonts w:eastAsia="Times New Roman"/>
          <w:color w:val="000000"/>
          <w:sz w:val="20"/>
          <w:szCs w:val="20"/>
        </w:rPr>
        <w:t>vestor Entities are also our variable interests. The activities of the Investor Entities are financed with a combination of invested equity capital and debt. The activities of the CDEs are financed solely with invested equity capital. We receive federal an</w:t>
      </w:r>
      <w:r>
        <w:rPr>
          <w:rFonts w:eastAsia="Times New Roman"/>
          <w:color w:val="000000"/>
          <w:sz w:val="20"/>
          <w:szCs w:val="20"/>
        </w:rPr>
        <w:t>d state tax credits for these investments. We consolidate the VIEs in which we have the power to direct the activities that most significantly impact the VIE’s economic performance and where we have the obligation to absorb losses or right to receive benef</w:t>
      </w:r>
      <w:r>
        <w:rPr>
          <w:rFonts w:eastAsia="Times New Roman"/>
          <w:color w:val="000000"/>
          <w:sz w:val="20"/>
          <w:szCs w:val="20"/>
        </w:rPr>
        <w:t>its that could be potentially significant to the VIE. We consolidate other investments and CDEs that are not considered to be VIEs, but where we hold a controlling financial interest. The assets of the VIEs that we consolidated, which totaled approximately</w:t>
      </w:r>
      <w:r>
        <w:rPr>
          <w:rFonts w:eastAsia="Times New Roman"/>
          <w:color w:val="000000"/>
          <w:sz w:val="20"/>
          <w:szCs w:val="20"/>
        </w:rPr>
        <w:t xml:space="preserve"> $2.0 billion and $1.9 billion as of December 31, 2020 and 2019, respectively, are reflected on our consolidated balance sheets in cash, loans held for investment, and other assets. The liabilities are reflected in other liabilities. The creditors of the V</w:t>
      </w:r>
      <w:r>
        <w:rPr>
          <w:rFonts w:eastAsia="Times New Roman"/>
          <w:color w:val="000000"/>
          <w:sz w:val="20"/>
          <w:szCs w:val="20"/>
        </w:rPr>
        <w:t>IEs have no recourse to our general credit. We have not provided additional financial or other support other than during the period that we are contractually required to provide it.</w:t>
      </w:r>
    </w:p>
    <w:p w:rsidR="00000000" w:rsidRDefault="00E0782F">
      <w:pPr>
        <w:jc w:val="both"/>
        <w:divId w:val="977606704"/>
        <w:rPr>
          <w:rFonts w:eastAsia="Times New Roman"/>
        </w:rPr>
      </w:pPr>
      <w:r>
        <w:rPr>
          <w:rFonts w:eastAsia="Times New Roman"/>
          <w:b/>
          <w:bCs/>
          <w:i/>
          <w:iCs/>
          <w:color w:val="000000"/>
          <w:sz w:val="20"/>
          <w:szCs w:val="20"/>
        </w:rPr>
        <w:t>Other</w:t>
      </w:r>
    </w:p>
    <w:p w:rsidR="00000000" w:rsidRDefault="00E0782F">
      <w:pPr>
        <w:jc w:val="both"/>
        <w:divId w:val="1957449425"/>
        <w:rPr>
          <w:rFonts w:eastAsia="Times New Roman"/>
        </w:rPr>
      </w:pPr>
      <w:r>
        <w:rPr>
          <w:rFonts w:eastAsia="Times New Roman"/>
          <w:color w:val="000000"/>
          <w:sz w:val="20"/>
          <w:szCs w:val="20"/>
        </w:rPr>
        <w:t>We hold variable interests in other VIEs, including companies that p</w:t>
      </w:r>
      <w:r>
        <w:rPr>
          <w:rFonts w:eastAsia="Times New Roman"/>
          <w:color w:val="000000"/>
          <w:sz w:val="20"/>
          <w:szCs w:val="20"/>
        </w:rPr>
        <w:t>romote renewable energy sources and other equity method investments. We were not required to consolidate these VIEs because we do not have the power to direct the activities that most significantly impact their economic performance. Our maximum exposure to</w:t>
      </w:r>
      <w:r>
        <w:rPr>
          <w:rFonts w:eastAsia="Times New Roman"/>
          <w:color w:val="000000"/>
          <w:sz w:val="20"/>
          <w:szCs w:val="20"/>
        </w:rPr>
        <w:t xml:space="preserve"> these VIEs is limited to the investments on our consolidated balance sheets of $436 million and $502 million as of December 31, 2020 and 2019, respectively. The creditors of the other VIEs have no recourse to our general credit. We have not provided addit</w:t>
      </w:r>
      <w:r>
        <w:rPr>
          <w:rFonts w:eastAsia="Times New Roman"/>
          <w:color w:val="000000"/>
          <w:sz w:val="20"/>
          <w:szCs w:val="20"/>
        </w:rPr>
        <w:t>ional financial or other support other than during the period that we are contractually required to provide it.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324993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0324993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0324993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7" style="width:0;height:1.5pt" o:hralign="center" o:hrstd="t" o:hr="t" fillcolor="#a0a0a0" stroked="f"/>
        </w:pict>
      </w:r>
    </w:p>
    <w:p w:rsidR="00000000" w:rsidRDefault="00E0782F">
      <w:pPr>
        <w:jc w:val="both"/>
        <w:divId w:val="172984042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729840423"/>
        <w:rPr>
          <w:rFonts w:eastAsia="Times New Roman"/>
        </w:rPr>
      </w:pPr>
    </w:p>
    <w:p w:rsidR="00000000" w:rsidRDefault="00E0782F">
      <w:pPr>
        <w:jc w:val="center"/>
        <w:divId w:val="1729840423"/>
        <w:rPr>
          <w:rFonts w:eastAsia="Times New Roman"/>
        </w:rPr>
      </w:pPr>
      <w:r>
        <w:rPr>
          <w:rFonts w:eastAsia="Times New Roman"/>
          <w:b/>
          <w:bCs/>
          <w:color w:val="000000"/>
          <w:sz w:val="20"/>
          <w:szCs w:val="20"/>
        </w:rPr>
        <w:t>CAPITAL ONE FINANCIAL CORPORATION</w:t>
      </w:r>
    </w:p>
    <w:p w:rsidR="00000000" w:rsidRDefault="00E0782F">
      <w:pPr>
        <w:jc w:val="center"/>
        <w:divId w:val="172984042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132239611"/>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13223961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6—</w:t>
            </w:r>
            <w:r>
              <w:rPr>
                <w:rFonts w:eastAsia="Times New Roman"/>
                <w:b/>
                <w:bCs/>
                <w:color w:val="000000"/>
                <w:sz w:val="20"/>
                <w:szCs w:val="20"/>
              </w:rPr>
              <w:t>GOODWILL AND INTANGIBLE ASSETS</w:t>
            </w:r>
          </w:p>
        </w:tc>
      </w:tr>
    </w:tbl>
    <w:p w:rsidR="00000000" w:rsidRDefault="00E0782F">
      <w:pPr>
        <w:divId w:val="510753184"/>
        <w:rPr>
          <w:rFonts w:eastAsia="Times New Roman"/>
        </w:rPr>
      </w:pPr>
      <w:r>
        <w:rPr>
          <w:rFonts w:eastAsia="Times New Roman"/>
          <w:color w:val="000000"/>
          <w:sz w:val="20"/>
          <w:szCs w:val="20"/>
        </w:rPr>
        <w:t>The table below presents our goodwill, intangible assets and MSRs as of December 31, 2020 and 2019. Goodwill is presented separately, while intangible assets and MSRs are included in other assets on our consolidated balan</w:t>
      </w:r>
      <w:r>
        <w:rPr>
          <w:rFonts w:eastAsia="Times New Roman"/>
          <w:color w:val="000000"/>
          <w:sz w:val="20"/>
          <w:szCs w:val="20"/>
        </w:rPr>
        <w:t>ce sheets.</w:t>
      </w:r>
    </w:p>
    <w:p w:rsidR="00000000" w:rsidRDefault="00E0782F">
      <w:pPr>
        <w:divId w:val="698579592"/>
        <w:rPr>
          <w:rFonts w:eastAsia="Times New Roman"/>
        </w:rPr>
      </w:pPr>
      <w:r>
        <w:rPr>
          <w:rFonts w:eastAsia="Times New Roman"/>
          <w:b/>
          <w:bCs/>
          <w:color w:val="000000"/>
          <w:sz w:val="18"/>
          <w:szCs w:val="18"/>
        </w:rPr>
        <w:t>Table 6.1: Components of Goodwill, Intangible Assets and MSRs</w:t>
      </w:r>
    </w:p>
    <w:tbl>
      <w:tblPr>
        <w:tblW w:w="5000" w:type="pct"/>
        <w:tblCellMar>
          <w:top w:w="15" w:type="dxa"/>
          <w:left w:w="15" w:type="dxa"/>
          <w:bottom w:w="15" w:type="dxa"/>
          <w:right w:w="15" w:type="dxa"/>
        </w:tblCellMar>
        <w:tblLook w:val="04A0" w:firstRow="1" w:lastRow="0" w:firstColumn="1" w:lastColumn="0" w:noHBand="0" w:noVBand="1"/>
      </w:tblPr>
      <w:tblGrid>
        <w:gridCol w:w="39"/>
        <w:gridCol w:w="4292"/>
        <w:gridCol w:w="38"/>
        <w:gridCol w:w="36"/>
        <w:gridCol w:w="36"/>
        <w:gridCol w:w="36"/>
        <w:gridCol w:w="111"/>
        <w:gridCol w:w="690"/>
        <w:gridCol w:w="36"/>
        <w:gridCol w:w="36"/>
        <w:gridCol w:w="36"/>
        <w:gridCol w:w="36"/>
        <w:gridCol w:w="111"/>
        <w:gridCol w:w="852"/>
        <w:gridCol w:w="36"/>
        <w:gridCol w:w="36"/>
        <w:gridCol w:w="36"/>
        <w:gridCol w:w="36"/>
        <w:gridCol w:w="110"/>
        <w:gridCol w:w="540"/>
        <w:gridCol w:w="36"/>
        <w:gridCol w:w="36"/>
        <w:gridCol w:w="36"/>
        <w:gridCol w:w="36"/>
        <w:gridCol w:w="97"/>
        <w:gridCol w:w="850"/>
        <w:gridCol w:w="36"/>
      </w:tblGrid>
      <w:tr w:rsidR="00000000">
        <w:trPr>
          <w:divId w:val="150221639"/>
        </w:trPr>
        <w:tc>
          <w:tcPr>
            <w:tcW w:w="50" w:type="pct"/>
            <w:vAlign w:val="center"/>
            <w:hideMark/>
          </w:tcPr>
          <w:p w:rsidR="00000000" w:rsidRDefault="00E0782F">
            <w:pPr>
              <w:rPr>
                <w:rFonts w:eastAsia="Times New Roman"/>
              </w:rPr>
            </w:pPr>
          </w:p>
        </w:tc>
        <w:tc>
          <w:tcPr>
            <w:tcW w:w="27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022163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1502216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 Average Remaining</w:t>
            </w:r>
            <w:r>
              <w:rPr>
                <w:rFonts w:eastAsia="Times New Roman"/>
                <w:b/>
                <w:bCs/>
                <w:color w:val="000000"/>
                <w:sz w:val="16"/>
                <w:szCs w:val="16"/>
              </w:rPr>
              <w:br/>
              <w:t>Amortization</w:t>
            </w:r>
            <w:r>
              <w:rPr>
                <w:rFonts w:eastAsia="Times New Roman"/>
                <w:b/>
                <w:bCs/>
                <w:color w:val="000000"/>
                <w:sz w:val="16"/>
                <w:szCs w:val="16"/>
              </w:rPr>
              <w:br/>
              <w:t>Period</w:t>
            </w:r>
          </w:p>
        </w:tc>
      </w:tr>
      <w:tr w:rsidR="00000000">
        <w:trPr>
          <w:divId w:val="1502216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14,653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14,653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N/A</w:t>
            </w:r>
          </w:p>
        </w:tc>
      </w:tr>
      <w:tr w:rsidR="00000000">
        <w:trPr>
          <w:divId w:val="15022163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022163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Purchased credit card relationship (“PCCR”) intangibles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b/>
                <w:bCs/>
                <w:color w:val="000000"/>
                <w:sz w:val="18"/>
                <w:szCs w:val="18"/>
              </w:rPr>
              <w:t>138)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6.2 years</w:t>
            </w:r>
          </w:p>
        </w:tc>
      </w:tr>
      <w:tr w:rsidR="00000000">
        <w:trPr>
          <w:divId w:val="150221639"/>
        </w:trPr>
        <w:tc>
          <w:tcPr>
            <w:tcW w:w="0" w:type="auto"/>
            <w:gridSpan w:val="3"/>
            <w:vAlign w:val="center"/>
            <w:hideMark/>
          </w:tcPr>
          <w:p w:rsidR="00000000" w:rsidRDefault="00E0782F">
            <w:pPr>
              <w:jc w:val="right"/>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0221639"/>
        </w:trPr>
        <w:tc>
          <w:tcPr>
            <w:tcW w:w="0" w:type="auto"/>
            <w:gridSpan w:val="3"/>
            <w:shd w:val="clear" w:color="auto" w:fill="FFFFFF"/>
            <w:tcMar>
              <w:top w:w="30" w:type="dxa"/>
              <w:left w:w="20" w:type="dxa"/>
              <w:bottom w:w="30" w:type="dxa"/>
              <w:right w:w="20" w:type="dxa"/>
            </w:tcMar>
            <w:vAlign w:val="center"/>
            <w:hideMark/>
          </w:tcPr>
          <w:p w:rsidR="00000000" w:rsidRDefault="00E0782F">
            <w:pPr>
              <w:divId w:val="1380662666"/>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7.3 years</w:t>
            </w:r>
          </w:p>
        </w:tc>
      </w:tr>
      <w:tr w:rsidR="00000000">
        <w:trPr>
          <w:divId w:val="15022163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7.1 years</w:t>
            </w:r>
          </w:p>
        </w:tc>
      </w:tr>
      <w:tr w:rsidR="00000000">
        <w:trPr>
          <w:divId w:val="15022163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15,049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14,743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0221639"/>
        </w:trPr>
        <w:tc>
          <w:tcPr>
            <w:tcW w:w="0" w:type="auto"/>
            <w:gridSpan w:val="3"/>
            <w:shd w:val="clear" w:color="auto" w:fill="CCEEFF"/>
            <w:tcMar>
              <w:top w:w="30" w:type="dxa"/>
              <w:left w:w="20" w:type="dxa"/>
              <w:bottom w:w="30" w:type="dxa"/>
              <w:right w:w="20" w:type="dxa"/>
            </w:tcMar>
            <w:vAlign w:val="center"/>
            <w:hideMark/>
          </w:tcPr>
          <w:p w:rsidR="00000000" w:rsidRDefault="00E0782F">
            <w:pPr>
              <w:divId w:val="1809320613"/>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542</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367</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0221639"/>
          <w:trHeight w:val="28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022163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5022163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of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 Average Remaining</w:t>
            </w:r>
            <w:r>
              <w:rPr>
                <w:rFonts w:eastAsia="Times New Roman"/>
                <w:b/>
                <w:bCs/>
                <w:color w:val="000000"/>
                <w:sz w:val="16"/>
                <w:szCs w:val="16"/>
              </w:rPr>
              <w:br/>
              <w:t>Amortization</w:t>
            </w:r>
            <w:r>
              <w:rPr>
                <w:rFonts w:eastAsia="Times New Roman"/>
                <w:b/>
                <w:bCs/>
                <w:color w:val="000000"/>
                <w:sz w:val="16"/>
                <w:szCs w:val="16"/>
              </w:rPr>
              <w:br/>
              <w:t>Period</w:t>
            </w:r>
          </w:p>
        </w:tc>
      </w:tr>
      <w:tr w:rsidR="00000000">
        <w:trPr>
          <w:divId w:val="15022163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N/A</w:t>
            </w:r>
          </w:p>
        </w:tc>
      </w:tr>
      <w:tr w:rsidR="00000000">
        <w:trPr>
          <w:divId w:val="15022163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022163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PCCR intangibles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1,932 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(1,864)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3.9 years</w:t>
            </w:r>
          </w:p>
        </w:tc>
      </w:tr>
      <w:tr w:rsidR="00000000">
        <w:trPr>
          <w:divId w:val="150221639"/>
        </w:trPr>
        <w:tc>
          <w:tcPr>
            <w:tcW w:w="0" w:type="auto"/>
            <w:gridSpan w:val="3"/>
            <w:vAlign w:val="center"/>
            <w:hideMark/>
          </w:tcPr>
          <w:p w:rsidR="00000000" w:rsidRDefault="00E0782F">
            <w:pPr>
              <w:jc w:val="right"/>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0221639"/>
        </w:trPr>
        <w:tc>
          <w:tcPr>
            <w:tcW w:w="0" w:type="auto"/>
            <w:gridSpan w:val="3"/>
            <w:shd w:val="clear" w:color="auto" w:fill="FFFFFF"/>
            <w:tcMar>
              <w:top w:w="30" w:type="dxa"/>
              <w:left w:w="20" w:type="dxa"/>
              <w:bottom w:w="30" w:type="dxa"/>
              <w:right w:w="20" w:type="dxa"/>
            </w:tcMar>
            <w:vAlign w:val="center"/>
            <w:hideMark/>
          </w:tcPr>
          <w:p w:rsidR="00000000" w:rsidRDefault="00E0782F">
            <w:pPr>
              <w:divId w:val="1850290888"/>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6.7 years</w:t>
            </w:r>
          </w:p>
        </w:tc>
      </w:tr>
      <w:tr w:rsidR="00000000">
        <w:trPr>
          <w:divId w:val="15022163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intangible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(2,004)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5.6 years</w:t>
            </w:r>
          </w:p>
        </w:tc>
      </w:tr>
      <w:tr w:rsidR="00000000">
        <w:trPr>
          <w:divId w:val="15022163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goodwill and intangible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16,831 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(2,004)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14,827 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50221639"/>
        </w:trPr>
        <w:tc>
          <w:tcPr>
            <w:tcW w:w="0" w:type="auto"/>
            <w:gridSpan w:val="3"/>
            <w:shd w:val="clear" w:color="auto" w:fill="CCEEFF"/>
            <w:tcMar>
              <w:top w:w="30" w:type="dxa"/>
              <w:left w:w="20" w:type="dxa"/>
              <w:bottom w:w="30" w:type="dxa"/>
              <w:right w:w="20" w:type="dxa"/>
            </w:tcMar>
            <w:vAlign w:val="center"/>
            <w:hideMark/>
          </w:tcPr>
          <w:p w:rsidR="00000000" w:rsidRDefault="00E0782F">
            <w:pPr>
              <w:divId w:val="1287737864"/>
              <w:rPr>
                <w:rFonts w:eastAsia="Times New Roman"/>
              </w:rPr>
            </w:pPr>
            <w:r>
              <w:rPr>
                <w:rFonts w:eastAsia="Times New Roman"/>
                <w:color w:val="000000"/>
                <w:sz w:val="18"/>
                <w:szCs w:val="18"/>
              </w:rPr>
              <w:t>Commercial MSR</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(255)</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divId w:val="928005636"/>
        <w:rPr>
          <w:rFonts w:eastAsia="Times New Roman"/>
        </w:rPr>
      </w:pPr>
      <w:r>
        <w:rPr>
          <w:rFonts w:eastAsia="Times New Roman"/>
          <w:color w:val="000000"/>
          <w:sz w:val="20"/>
          <w:szCs w:val="20"/>
        </w:rPr>
        <w:t>__________</w:t>
      </w:r>
    </w:p>
    <w:p w:rsidR="00000000" w:rsidRDefault="00E0782F">
      <w:pPr>
        <w:ind w:hanging="360"/>
        <w:jc w:val="both"/>
        <w:divId w:val="114900824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Primarily consists of intangibles for sponsorship, customer and merchant relation</w:t>
      </w:r>
      <w:r>
        <w:rPr>
          <w:rFonts w:eastAsia="Times New Roman"/>
          <w:color w:val="000000"/>
          <w:sz w:val="16"/>
          <w:szCs w:val="16"/>
        </w:rPr>
        <w:t>ships, partnership, trade name and other contract intangibles.</w:t>
      </w:r>
    </w:p>
    <w:p w:rsidR="00000000" w:rsidRDefault="00E0782F">
      <w:pPr>
        <w:ind w:hanging="360"/>
        <w:jc w:val="both"/>
        <w:divId w:val="106942495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Commercial MSRs are accounted for under the amortization method on our consolidated balance sheets. We recorded $69 million and $70 million of amortization expense for the years ended Decemb</w:t>
      </w:r>
      <w:r>
        <w:rPr>
          <w:rFonts w:eastAsia="Times New Roman"/>
          <w:color w:val="000000"/>
          <w:sz w:val="16"/>
          <w:szCs w:val="16"/>
        </w:rPr>
        <w:t>er 31, 2020 and 2019,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83573632"/>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8357363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8357363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8" style="width:0;height:1.5pt" o:hralign="center" o:hrstd="t" o:hr="t" fillcolor="#a0a0a0" stroked="f"/>
        </w:pict>
      </w:r>
    </w:p>
    <w:p w:rsidR="00000000" w:rsidRDefault="00E0782F">
      <w:pPr>
        <w:jc w:val="both"/>
        <w:divId w:val="160788917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607889175"/>
        <w:rPr>
          <w:rFonts w:eastAsia="Times New Roman"/>
        </w:rPr>
      </w:pPr>
    </w:p>
    <w:p w:rsidR="00000000" w:rsidRDefault="00E0782F">
      <w:pPr>
        <w:jc w:val="center"/>
        <w:divId w:val="1607889175"/>
        <w:rPr>
          <w:rFonts w:eastAsia="Times New Roman"/>
        </w:rPr>
      </w:pPr>
      <w:r>
        <w:rPr>
          <w:rFonts w:eastAsia="Times New Roman"/>
          <w:b/>
          <w:bCs/>
          <w:color w:val="000000"/>
          <w:sz w:val="20"/>
          <w:szCs w:val="20"/>
        </w:rPr>
        <w:t>CAPITAL ONE FINANCIAL CORPORATION</w:t>
      </w:r>
    </w:p>
    <w:p w:rsidR="00000000" w:rsidRDefault="00E0782F">
      <w:pPr>
        <w:jc w:val="center"/>
        <w:divId w:val="1607889175"/>
        <w:rPr>
          <w:rFonts w:eastAsia="Times New Roman"/>
        </w:rPr>
      </w:pPr>
      <w:r>
        <w:rPr>
          <w:rFonts w:eastAsia="Times New Roman"/>
          <w:b/>
          <w:bCs/>
          <w:color w:val="000000"/>
          <w:sz w:val="20"/>
          <w:szCs w:val="20"/>
        </w:rPr>
        <w:t>NOTES TO CONSOLIDATED FINANCIAL STATEMENTS</w:t>
      </w:r>
    </w:p>
    <w:p w:rsidR="00000000" w:rsidRDefault="00E0782F">
      <w:pPr>
        <w:divId w:val="754596492"/>
        <w:rPr>
          <w:rFonts w:eastAsia="Times New Roman"/>
        </w:rPr>
      </w:pPr>
      <w:r>
        <w:rPr>
          <w:rFonts w:eastAsia="Times New Roman"/>
          <w:b/>
          <w:bCs/>
          <w:color w:val="000000"/>
          <w:sz w:val="20"/>
          <w:szCs w:val="20"/>
        </w:rPr>
        <w:t>Goodwill</w:t>
      </w:r>
    </w:p>
    <w:p w:rsidR="00000000" w:rsidRDefault="00E0782F">
      <w:pPr>
        <w:divId w:val="329413073"/>
        <w:rPr>
          <w:rFonts w:eastAsia="Times New Roman"/>
        </w:rPr>
      </w:pPr>
      <w:r>
        <w:rPr>
          <w:rFonts w:eastAsia="Times New Roman"/>
          <w:color w:val="000000"/>
          <w:sz w:val="20"/>
          <w:szCs w:val="20"/>
        </w:rPr>
        <w:t>There were no changes in the carrying amount of goodwill</w:t>
      </w:r>
      <w:r>
        <w:rPr>
          <w:rFonts w:eastAsia="Times New Roman"/>
          <w:color w:val="000000"/>
          <w:sz w:val="20"/>
          <w:szCs w:val="20"/>
        </w:rPr>
        <w:t xml:space="preserve"> by each of our business segments for the year ended December 31, 2020, and the following table presents such changes for the years ended December 31, 2019 and 2018.We did not recognize any goodwill impairment during 2020, 2019 or 2018.</w:t>
      </w:r>
    </w:p>
    <w:p w:rsidR="00000000" w:rsidRDefault="00E0782F">
      <w:pPr>
        <w:divId w:val="406537330"/>
        <w:rPr>
          <w:rFonts w:eastAsia="Times New Roman"/>
        </w:rPr>
      </w:pPr>
      <w:r>
        <w:rPr>
          <w:rFonts w:eastAsia="Times New Roman"/>
          <w:b/>
          <w:bCs/>
          <w:color w:val="000000"/>
          <w:sz w:val="18"/>
          <w:szCs w:val="18"/>
        </w:rPr>
        <w:t>Table 6.2: Goodwill</w:t>
      </w:r>
      <w:r>
        <w:rPr>
          <w:rFonts w:eastAsia="Times New Roman"/>
          <w:b/>
          <w:bCs/>
          <w:color w:val="000000"/>
          <w:sz w:val="18"/>
          <w:szCs w:val="18"/>
        </w:rPr>
        <w:t xml:space="preserve"> by Business Segments</w:t>
      </w:r>
    </w:p>
    <w:tbl>
      <w:tblPr>
        <w:tblW w:w="4978" w:type="pct"/>
        <w:tblCellMar>
          <w:top w:w="15" w:type="dxa"/>
          <w:left w:w="15" w:type="dxa"/>
          <w:bottom w:w="15" w:type="dxa"/>
          <w:right w:w="15" w:type="dxa"/>
        </w:tblCellMar>
        <w:tblLook w:val="04A0" w:firstRow="1" w:lastRow="0" w:firstColumn="1" w:lastColumn="0" w:noHBand="0" w:noVBand="1"/>
      </w:tblPr>
      <w:tblGrid>
        <w:gridCol w:w="40"/>
        <w:gridCol w:w="4651"/>
        <w:gridCol w:w="39"/>
        <w:gridCol w:w="36"/>
        <w:gridCol w:w="36"/>
        <w:gridCol w:w="36"/>
        <w:gridCol w:w="110"/>
        <w:gridCol w:w="532"/>
        <w:gridCol w:w="36"/>
        <w:gridCol w:w="36"/>
        <w:gridCol w:w="36"/>
        <w:gridCol w:w="36"/>
        <w:gridCol w:w="111"/>
        <w:gridCol w:w="666"/>
        <w:gridCol w:w="36"/>
        <w:gridCol w:w="36"/>
        <w:gridCol w:w="36"/>
        <w:gridCol w:w="36"/>
        <w:gridCol w:w="111"/>
        <w:gridCol w:w="783"/>
        <w:gridCol w:w="36"/>
        <w:gridCol w:w="36"/>
        <w:gridCol w:w="36"/>
        <w:gridCol w:w="36"/>
        <w:gridCol w:w="110"/>
        <w:gridCol w:w="540"/>
        <w:gridCol w:w="36"/>
      </w:tblGrid>
      <w:tr w:rsidR="00000000">
        <w:trPr>
          <w:divId w:val="1573006695"/>
        </w:trPr>
        <w:tc>
          <w:tcPr>
            <w:tcW w:w="50" w:type="pct"/>
            <w:vAlign w:val="center"/>
            <w:hideMark/>
          </w:tcPr>
          <w:p w:rsidR="00000000" w:rsidRDefault="00E0782F">
            <w:pPr>
              <w:rPr>
                <w:rFonts w:eastAsia="Times New Roman"/>
              </w:rPr>
            </w:pPr>
          </w:p>
        </w:tc>
        <w:tc>
          <w:tcPr>
            <w:tcW w:w="28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7300669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w:t>
            </w:r>
            <w:r>
              <w:rPr>
                <w:rFonts w:eastAsia="Times New Roman"/>
                <w:b/>
                <w:bCs/>
                <w:color w:val="000000"/>
                <w:sz w:val="16"/>
                <w:szCs w:val="16"/>
              </w:rPr>
              <w:br/>
              <w:t>Card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Consumer </w:t>
            </w:r>
            <w:r>
              <w:rPr>
                <w:rFonts w:eastAsia="Times New Roman"/>
                <w:b/>
                <w:bCs/>
                <w:color w:val="000000"/>
                <w:sz w:val="16"/>
                <w:szCs w:val="16"/>
              </w:rPr>
              <w:br/>
              <w:t>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157300669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2017</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4,901 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14,533 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Acquisitions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Reductions in goodwill related to divestitures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FFFFFF"/>
            <w:tcMar>
              <w:top w:w="30" w:type="dxa"/>
              <w:left w:w="20" w:type="dxa"/>
              <w:bottom w:w="30" w:type="dxa"/>
              <w:right w:w="20" w:type="dxa"/>
            </w:tcMar>
            <w:vAlign w:val="center"/>
            <w:hideMark/>
          </w:tcPr>
          <w:p w:rsidR="00000000" w:rsidRDefault="00E0782F">
            <w:pPr>
              <w:divId w:val="1516070687"/>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5,060 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4,600 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14,544 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Acquisitions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Reductions in goodwill related to divestitures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FFFFFF"/>
            <w:tcMar>
              <w:top w:w="30" w:type="dxa"/>
              <w:left w:w="20" w:type="dxa"/>
              <w:bottom w:w="30" w:type="dxa"/>
              <w:right w:w="20" w:type="dxa"/>
            </w:tcMar>
            <w:vAlign w:val="center"/>
            <w:hideMark/>
          </w:tcPr>
          <w:p w:rsidR="00000000" w:rsidRDefault="00E0782F">
            <w:pPr>
              <w:divId w:val="1215238558"/>
              <w:rPr>
                <w:rFonts w:eastAsia="Times New Roman"/>
              </w:rPr>
            </w:pPr>
            <w:r>
              <w:rPr>
                <w:rFonts w:eastAsia="Times New Roman"/>
                <w:color w:val="000000"/>
                <w:sz w:val="18"/>
                <w:szCs w:val="18"/>
              </w:rPr>
              <w:t>Other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14,653 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3006695"/>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300669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300669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300669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4,920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14,653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567762564"/>
        <w:rPr>
          <w:rFonts w:eastAsia="Times New Roman"/>
        </w:rPr>
      </w:pPr>
      <w:r>
        <w:rPr>
          <w:rFonts w:eastAsia="Times New Roman"/>
          <w:color w:val="000000"/>
          <w:sz w:val="20"/>
          <w:szCs w:val="20"/>
        </w:rPr>
        <w:t>__________</w:t>
      </w:r>
    </w:p>
    <w:p w:rsidR="00000000" w:rsidRDefault="00E0782F">
      <w:pPr>
        <w:ind w:hanging="360"/>
        <w:jc w:val="both"/>
        <w:divId w:val="194368457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foreign currency translation adjustments and measurement period adjustments on prior peri</w:t>
      </w:r>
      <w:r>
        <w:rPr>
          <w:rFonts w:eastAsia="Times New Roman"/>
          <w:color w:val="000000"/>
          <w:sz w:val="16"/>
          <w:szCs w:val="16"/>
        </w:rPr>
        <w:t>od acquisitions.</w:t>
      </w:r>
    </w:p>
    <w:p w:rsidR="00000000" w:rsidRDefault="00E0782F">
      <w:pPr>
        <w:jc w:val="both"/>
        <w:divId w:val="184756738"/>
        <w:rPr>
          <w:rFonts w:eastAsia="Times New Roman"/>
        </w:rPr>
      </w:pPr>
      <w:r>
        <w:rPr>
          <w:rFonts w:eastAsia="Times New Roman"/>
          <w:color w:val="000000"/>
          <w:sz w:val="20"/>
          <w:szCs w:val="20"/>
        </w:rPr>
        <w:t>The goodwill impairment test is performed as of October 1 of each year. An impairment of a reporting unit’s goodwill is determined based on the amount by which the reporting unit’s carrying value exceeds its fair value, limited to the amou</w:t>
      </w:r>
      <w:r>
        <w:rPr>
          <w:rFonts w:eastAsia="Times New Roman"/>
          <w:color w:val="000000"/>
          <w:sz w:val="20"/>
          <w:szCs w:val="20"/>
        </w:rPr>
        <w:t>nt of goodwill allocated to the reporting unit.</w:t>
      </w:r>
    </w:p>
    <w:p w:rsidR="00000000" w:rsidRDefault="00E0782F">
      <w:pPr>
        <w:jc w:val="both"/>
        <w:divId w:val="385373570"/>
        <w:rPr>
          <w:rFonts w:eastAsia="Times New Roman"/>
        </w:rPr>
      </w:pPr>
      <w:r>
        <w:rPr>
          <w:rFonts w:eastAsia="Times New Roman"/>
          <w:color w:val="000000"/>
          <w:sz w:val="20"/>
          <w:szCs w:val="20"/>
        </w:rPr>
        <w:t>The fair value of reporting units is calculated using a discounted cash flow methodology, a form of the income approach. The calculation uses projected cash flows based on each reporting unit’s internal forec</w:t>
      </w:r>
      <w:r>
        <w:rPr>
          <w:rFonts w:eastAsia="Times New Roman"/>
          <w:color w:val="000000"/>
          <w:sz w:val="20"/>
          <w:szCs w:val="20"/>
        </w:rPr>
        <w:t xml:space="preserve">ast and uses the perpetuity growth method to calculate terminal values. These cash flows and terminal values are then discounted using appropriate discount rates, which are largely based on our external cost of equity with adjustments for risk inherent in </w:t>
      </w:r>
      <w:r>
        <w:rPr>
          <w:rFonts w:eastAsia="Times New Roman"/>
          <w:color w:val="000000"/>
          <w:sz w:val="20"/>
          <w:szCs w:val="20"/>
        </w:rPr>
        <w:t>each reporting unit. Capital is allocated based on each reporting unit’s specific regulatory capital requirements, economic capital requirements, and underlying risks. Consolidated stockholder’s equity in excess of the sum of all reporting unit’s capital r</w:t>
      </w:r>
      <w:r>
        <w:rPr>
          <w:rFonts w:eastAsia="Times New Roman"/>
          <w:color w:val="000000"/>
          <w:sz w:val="20"/>
          <w:szCs w:val="20"/>
        </w:rPr>
        <w:t>equirements that is not identified for future capital needs, such as dividends, share buybacks, or other strategic initiatives, is allocated to the reporting units and Other category and assumed distributed to equity holders in future periods. Our discount</w:t>
      </w:r>
      <w:r>
        <w:rPr>
          <w:rFonts w:eastAsia="Times New Roman"/>
          <w:color w:val="000000"/>
          <w:sz w:val="20"/>
          <w:szCs w:val="20"/>
        </w:rPr>
        <w:t>ed cash flow analysis requires management to make judgments about future loan and deposit growth, revenue growth, credit losses, and capital rates. The reasonableness of our fair value calculation is assessed by reference to a market-based approach using c</w:t>
      </w:r>
      <w:r>
        <w:rPr>
          <w:rFonts w:eastAsia="Times New Roman"/>
          <w:color w:val="000000"/>
          <w:sz w:val="20"/>
          <w:szCs w:val="20"/>
        </w:rPr>
        <w:t>omparable market multiples and recent market transactions where available.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4065249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4065249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4065249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89" style="width:0;height:1.5pt" o:hralign="center" o:hrstd="t" o:hr="t" fillcolor="#a0a0a0" stroked="f"/>
        </w:pict>
      </w:r>
    </w:p>
    <w:p w:rsidR="00000000" w:rsidRDefault="00E0782F">
      <w:pPr>
        <w:jc w:val="both"/>
        <w:divId w:val="78755323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787553232"/>
        <w:rPr>
          <w:rFonts w:eastAsia="Times New Roman"/>
        </w:rPr>
      </w:pPr>
    </w:p>
    <w:p w:rsidR="00000000" w:rsidRDefault="00E0782F">
      <w:pPr>
        <w:jc w:val="center"/>
        <w:divId w:val="787553232"/>
        <w:rPr>
          <w:rFonts w:eastAsia="Times New Roman"/>
        </w:rPr>
      </w:pPr>
      <w:r>
        <w:rPr>
          <w:rFonts w:eastAsia="Times New Roman"/>
          <w:b/>
          <w:bCs/>
          <w:color w:val="000000"/>
          <w:sz w:val="20"/>
          <w:szCs w:val="20"/>
        </w:rPr>
        <w:t>CAPITAL ONE FINANCIAL CORPORATION</w:t>
      </w:r>
    </w:p>
    <w:p w:rsidR="00000000" w:rsidRDefault="00E0782F">
      <w:pPr>
        <w:jc w:val="center"/>
        <w:divId w:val="787553232"/>
        <w:rPr>
          <w:rFonts w:eastAsia="Times New Roman"/>
        </w:rPr>
      </w:pPr>
      <w:r>
        <w:rPr>
          <w:rFonts w:eastAsia="Times New Roman"/>
          <w:b/>
          <w:bCs/>
          <w:color w:val="000000"/>
          <w:sz w:val="20"/>
          <w:szCs w:val="20"/>
        </w:rPr>
        <w:t>NOTES TO CONSOLIDATED FINANCIAL STATEMENTS</w:t>
      </w:r>
    </w:p>
    <w:p w:rsidR="00000000" w:rsidRDefault="00E0782F">
      <w:pPr>
        <w:jc w:val="both"/>
        <w:divId w:val="74018890"/>
        <w:rPr>
          <w:rFonts w:eastAsia="Times New Roman"/>
        </w:rPr>
      </w:pPr>
      <w:r>
        <w:rPr>
          <w:rFonts w:eastAsia="Times New Roman"/>
          <w:b/>
          <w:bCs/>
          <w:color w:val="000000"/>
          <w:sz w:val="20"/>
          <w:szCs w:val="20"/>
        </w:rPr>
        <w:t>Intangible Assets</w:t>
      </w:r>
    </w:p>
    <w:p w:rsidR="00000000" w:rsidRDefault="00E0782F">
      <w:pPr>
        <w:jc w:val="both"/>
        <w:divId w:val="1708872379"/>
        <w:rPr>
          <w:rFonts w:eastAsia="Times New Roman"/>
        </w:rPr>
      </w:pPr>
      <w:r>
        <w:rPr>
          <w:rFonts w:eastAsia="Times New Roman"/>
          <w:color w:val="000000"/>
          <w:sz w:val="20"/>
          <w:szCs w:val="20"/>
        </w:rPr>
        <w:t>In connection with our acquisitions, we recorded intangible assets including PCCRs, sponsorships, customer and merchant relationships, partnerships, trade names and other contract intangibles. At acquisition, the PCCRs reflect the estimated value of existi</w:t>
      </w:r>
      <w:r>
        <w:rPr>
          <w:rFonts w:eastAsia="Times New Roman"/>
          <w:color w:val="000000"/>
          <w:sz w:val="20"/>
          <w:szCs w:val="20"/>
        </w:rPr>
        <w:t xml:space="preserve">ng credit card holder relationships. </w:t>
      </w:r>
    </w:p>
    <w:p w:rsidR="00000000" w:rsidRDefault="00E0782F">
      <w:pPr>
        <w:jc w:val="both"/>
        <w:divId w:val="1762142283"/>
        <w:rPr>
          <w:rFonts w:eastAsia="Times New Roman"/>
        </w:rPr>
      </w:pPr>
      <w:r>
        <w:rPr>
          <w:rFonts w:eastAsia="Times New Roman"/>
          <w:color w:val="000000"/>
          <w:sz w:val="20"/>
          <w:szCs w:val="20"/>
        </w:rPr>
        <w:t>Intangible assets are typically amortized over their respective estimated useful lives on either an accelerated or straight-line basis. The following table summarizes the actual amortization expense recorded for the ye</w:t>
      </w:r>
      <w:r>
        <w:rPr>
          <w:rFonts w:eastAsia="Times New Roman"/>
          <w:color w:val="000000"/>
          <w:sz w:val="20"/>
          <w:szCs w:val="20"/>
        </w:rPr>
        <w:t>ars ended December 31, 2020, 2019 and 2018 and the estimated future amortization expense for intangible assets as of December 31, 2020:</w:t>
      </w:r>
    </w:p>
    <w:p w:rsidR="00000000" w:rsidRDefault="00E0782F">
      <w:pPr>
        <w:jc w:val="both"/>
        <w:divId w:val="1188180484"/>
        <w:rPr>
          <w:rFonts w:eastAsia="Times New Roman"/>
        </w:rPr>
      </w:pPr>
      <w:r>
        <w:rPr>
          <w:rFonts w:eastAsia="Times New Roman"/>
          <w:b/>
          <w:bCs/>
          <w:color w:val="000000"/>
          <w:sz w:val="20"/>
          <w:szCs w:val="20"/>
        </w:rPr>
        <w:t>Table 6.3: Amortization Expense</w:t>
      </w:r>
    </w:p>
    <w:tbl>
      <w:tblPr>
        <w:tblW w:w="4992" w:type="pct"/>
        <w:tblCellMar>
          <w:top w:w="15" w:type="dxa"/>
          <w:left w:w="15" w:type="dxa"/>
          <w:bottom w:w="15" w:type="dxa"/>
          <w:right w:w="15" w:type="dxa"/>
        </w:tblCellMar>
        <w:tblLook w:val="04A0" w:firstRow="1" w:lastRow="0" w:firstColumn="1" w:lastColumn="0" w:noHBand="0" w:noVBand="1"/>
      </w:tblPr>
      <w:tblGrid>
        <w:gridCol w:w="38"/>
        <w:gridCol w:w="7111"/>
        <w:gridCol w:w="37"/>
        <w:gridCol w:w="36"/>
        <w:gridCol w:w="36"/>
        <w:gridCol w:w="36"/>
        <w:gridCol w:w="111"/>
        <w:gridCol w:w="852"/>
        <w:gridCol w:w="36"/>
      </w:tblGrid>
      <w:tr w:rsidR="00000000">
        <w:trPr>
          <w:divId w:val="788747372"/>
        </w:trPr>
        <w:tc>
          <w:tcPr>
            <w:tcW w:w="50" w:type="pct"/>
            <w:vAlign w:val="center"/>
            <w:hideMark/>
          </w:tcPr>
          <w:p w:rsidR="00000000" w:rsidRDefault="00E0782F">
            <w:pPr>
              <w:jc w:val="both"/>
              <w:rPr>
                <w:rFonts w:eastAsia="Times New Roman"/>
              </w:rPr>
            </w:pPr>
          </w:p>
        </w:tc>
        <w:tc>
          <w:tcPr>
            <w:tcW w:w="44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88747372"/>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Expense</w:t>
            </w:r>
          </w:p>
        </w:tc>
      </w:tr>
      <w:tr w:rsidR="00000000">
        <w:trPr>
          <w:divId w:val="78874737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Actual for the year ended December 31,</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8874737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2018</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Estimated future amounts for the year ending December 31,</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8874737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2021</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2024</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2025</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Thereafter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8874737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estimated future amounts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0" style="width:0;height:1.5pt" o:hralign="center" o:hrstd="t" o:hr="t" fillcolor="#a0a0a0" stroked="f"/>
        </w:pict>
      </w:r>
    </w:p>
    <w:p w:rsidR="00000000" w:rsidRDefault="00E0782F">
      <w:pPr>
        <w:jc w:val="both"/>
        <w:divId w:val="128962854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289628546"/>
        <w:rPr>
          <w:rFonts w:eastAsia="Times New Roman"/>
        </w:rPr>
      </w:pPr>
    </w:p>
    <w:p w:rsidR="00000000" w:rsidRDefault="00E0782F">
      <w:pPr>
        <w:jc w:val="center"/>
        <w:divId w:val="1289628546"/>
        <w:rPr>
          <w:rFonts w:eastAsia="Times New Roman"/>
        </w:rPr>
      </w:pPr>
      <w:r>
        <w:rPr>
          <w:rFonts w:eastAsia="Times New Roman"/>
          <w:b/>
          <w:bCs/>
          <w:color w:val="000000"/>
          <w:sz w:val="20"/>
          <w:szCs w:val="20"/>
        </w:rPr>
        <w:t>CAPITAL ONE FINANCIAL CORPORATION</w:t>
      </w:r>
    </w:p>
    <w:p w:rsidR="00000000" w:rsidRDefault="00E0782F">
      <w:pPr>
        <w:jc w:val="center"/>
        <w:divId w:val="1289628546"/>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2489674"/>
          <w:jc w:val="center"/>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2489674"/>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7—</w:t>
            </w:r>
            <w:r>
              <w:rPr>
                <w:rFonts w:eastAsia="Times New Roman"/>
                <w:b/>
                <w:bCs/>
                <w:color w:val="000000"/>
                <w:sz w:val="20"/>
                <w:szCs w:val="20"/>
              </w:rPr>
              <w:t>PREMISES, EQUIPMENT AND LEASES</w:t>
            </w:r>
          </w:p>
        </w:tc>
      </w:tr>
    </w:tbl>
    <w:p w:rsidR="00000000" w:rsidRDefault="00E0782F">
      <w:pPr>
        <w:jc w:val="both"/>
        <w:divId w:val="1578250498"/>
        <w:rPr>
          <w:rFonts w:eastAsia="Times New Roman"/>
        </w:rPr>
      </w:pPr>
      <w:r>
        <w:rPr>
          <w:rFonts w:eastAsia="Times New Roman"/>
          <w:b/>
          <w:bCs/>
          <w:color w:val="000000"/>
          <w:sz w:val="20"/>
          <w:szCs w:val="20"/>
        </w:rPr>
        <w:t>Premises and Equipment</w:t>
      </w:r>
    </w:p>
    <w:p w:rsidR="00000000" w:rsidRDefault="00E0782F">
      <w:pPr>
        <w:divId w:val="1125468260"/>
        <w:rPr>
          <w:rFonts w:eastAsia="Times New Roman"/>
        </w:rPr>
      </w:pPr>
      <w:r>
        <w:rPr>
          <w:rFonts w:eastAsia="Times New Roman"/>
          <w:color w:val="000000"/>
          <w:sz w:val="20"/>
          <w:szCs w:val="20"/>
        </w:rPr>
        <w:t>The following table presents our premises and equipment as of December 31, 2020 and 2019.</w:t>
      </w:r>
    </w:p>
    <w:p w:rsidR="00000000" w:rsidRDefault="00E0782F">
      <w:pPr>
        <w:divId w:val="1112480145"/>
        <w:rPr>
          <w:rFonts w:eastAsia="Times New Roman"/>
        </w:rPr>
      </w:pPr>
      <w:r>
        <w:rPr>
          <w:rFonts w:eastAsia="Times New Roman"/>
          <w:b/>
          <w:bCs/>
          <w:color w:val="000000"/>
          <w:sz w:val="18"/>
          <w:szCs w:val="18"/>
        </w:rPr>
        <w:t xml:space="preserve">Table 7.1 Components of Premises and Equipment </w:t>
      </w:r>
    </w:p>
    <w:tbl>
      <w:tblPr>
        <w:tblW w:w="5000" w:type="pct"/>
        <w:tblCellMar>
          <w:top w:w="15" w:type="dxa"/>
          <w:left w:w="15" w:type="dxa"/>
          <w:bottom w:w="15" w:type="dxa"/>
          <w:right w:w="15" w:type="dxa"/>
        </w:tblCellMar>
        <w:tblLook w:val="04A0" w:firstRow="1" w:lastRow="0" w:firstColumn="1" w:lastColumn="0" w:noHBand="0" w:noVBand="1"/>
      </w:tblPr>
      <w:tblGrid>
        <w:gridCol w:w="41"/>
        <w:gridCol w:w="6329"/>
        <w:gridCol w:w="38"/>
        <w:gridCol w:w="36"/>
        <w:gridCol w:w="36"/>
        <w:gridCol w:w="36"/>
        <w:gridCol w:w="111"/>
        <w:gridCol w:w="694"/>
        <w:gridCol w:w="36"/>
        <w:gridCol w:w="36"/>
        <w:gridCol w:w="36"/>
        <w:gridCol w:w="36"/>
        <w:gridCol w:w="111"/>
        <w:gridCol w:w="694"/>
        <w:gridCol w:w="36"/>
      </w:tblGrid>
      <w:tr w:rsidR="00000000">
        <w:trPr>
          <w:divId w:val="2084792875"/>
        </w:trPr>
        <w:tc>
          <w:tcPr>
            <w:tcW w:w="50" w:type="pct"/>
            <w:vAlign w:val="center"/>
            <w:hideMark/>
          </w:tcPr>
          <w:p w:rsidR="00000000" w:rsidRDefault="00E0782F">
            <w:pPr>
              <w:rPr>
                <w:rFonts w:eastAsia="Times New Roman"/>
              </w:rPr>
            </w:pPr>
          </w:p>
        </w:tc>
        <w:tc>
          <w:tcPr>
            <w:tcW w:w="38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8479287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208479287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Land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8479287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Buildings and improvements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8479287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Furniture and equipment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8479287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Computer software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8479287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 progress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8479287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premises and equipment, gross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8,993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9,188 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8479287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Less: 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(4,706)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(4,810)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8479287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premises and equipment, net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601691267"/>
        <w:rPr>
          <w:rFonts w:eastAsia="Times New Roman"/>
        </w:rPr>
      </w:pPr>
      <w:r>
        <w:rPr>
          <w:rFonts w:eastAsia="Times New Roman"/>
          <w:color w:val="000000"/>
          <w:sz w:val="20"/>
          <w:szCs w:val="20"/>
        </w:rPr>
        <w:t>Depreciation and amortization expense was $809 million, $741 million and $728 million for the years ended December 31, 2020, 2019 and 2018, respectively.</w:t>
      </w:r>
    </w:p>
    <w:p w:rsidR="00000000" w:rsidRDefault="00E0782F">
      <w:pPr>
        <w:divId w:val="2132894804"/>
        <w:rPr>
          <w:rFonts w:eastAsia="Times New Roman"/>
        </w:rPr>
      </w:pPr>
      <w:r>
        <w:rPr>
          <w:rFonts w:eastAsia="Times New Roman"/>
          <w:b/>
          <w:bCs/>
          <w:color w:val="000000"/>
          <w:sz w:val="20"/>
          <w:szCs w:val="20"/>
        </w:rPr>
        <w:t>Leases</w:t>
      </w:r>
    </w:p>
    <w:p w:rsidR="00000000" w:rsidRDefault="00E0782F">
      <w:pPr>
        <w:jc w:val="both"/>
        <w:divId w:val="396169310"/>
        <w:rPr>
          <w:rFonts w:eastAsia="Times New Roman"/>
        </w:rPr>
      </w:pPr>
      <w:r>
        <w:rPr>
          <w:rFonts w:eastAsia="Times New Roman"/>
          <w:color w:val="000000"/>
          <w:sz w:val="20"/>
          <w:szCs w:val="20"/>
        </w:rPr>
        <w:t>Our primary involvement with leases is in the capacity as a lessee where we lease premises to support our business. A majority of our leases are operating leases of office space, retail bank branches and Cafés. For real estate leases, we have elected to ac</w:t>
      </w:r>
      <w:r>
        <w:rPr>
          <w:rFonts w:eastAsia="Times New Roman"/>
          <w:color w:val="000000"/>
          <w:sz w:val="20"/>
          <w:szCs w:val="20"/>
        </w:rPr>
        <w:t>count for the lease and non-lease components together as a single lease component. Our operating leases expire at various dates through 2071, and many of them require variable lease payments by us, of property taxes, insurance premiums, common area mainten</w:t>
      </w:r>
      <w:r>
        <w:rPr>
          <w:rFonts w:eastAsia="Times New Roman"/>
          <w:color w:val="000000"/>
          <w:sz w:val="20"/>
          <w:szCs w:val="20"/>
        </w:rPr>
        <w:t xml:space="preserve">ance and other costs. Certain of these leases also have extension or termination options, and we assess the likelihood of exercising such options. If it is reasonably certain that we will exercise the options, then we include the impact in the measurement </w:t>
      </w:r>
      <w:r>
        <w:rPr>
          <w:rFonts w:eastAsia="Times New Roman"/>
          <w:color w:val="000000"/>
          <w:sz w:val="20"/>
          <w:szCs w:val="20"/>
        </w:rPr>
        <w:t>of our right-of-use assets and lease liabilities.</w:t>
      </w:r>
    </w:p>
    <w:p w:rsidR="00000000" w:rsidRDefault="00E0782F">
      <w:pPr>
        <w:jc w:val="both"/>
        <w:divId w:val="1940406851"/>
        <w:rPr>
          <w:rFonts w:eastAsia="Times New Roman"/>
        </w:rPr>
      </w:pPr>
      <w:r>
        <w:rPr>
          <w:rFonts w:eastAsia="Times New Roman"/>
          <w:color w:val="000000"/>
          <w:sz w:val="20"/>
          <w:szCs w:val="20"/>
        </w:rPr>
        <w:t>Our right-of-use assets and lease liabilities for operating leases are included in</w:t>
      </w:r>
      <w:r>
        <w:rPr>
          <w:rFonts w:eastAsia="Times New Roman"/>
          <w:color w:val="000000"/>
          <w:sz w:val="20"/>
          <w:szCs w:val="20"/>
        </w:rPr>
        <w:t xml:space="preserve"> </w:t>
      </w:r>
      <w:r>
        <w:rPr>
          <w:rFonts w:eastAsia="Times New Roman"/>
          <w:color w:val="000000"/>
          <w:sz w:val="20"/>
          <w:szCs w:val="20"/>
        </w:rPr>
        <w:t>other asset</w:t>
      </w:r>
      <w:r>
        <w:rPr>
          <w:rFonts w:eastAsia="Times New Roman"/>
          <w:color w:val="000000"/>
          <w:sz w:val="20"/>
          <w:szCs w:val="20"/>
        </w:rPr>
        <w:t>s</w:t>
      </w:r>
      <w:r>
        <w:rPr>
          <w:rFonts w:eastAsia="Times New Roman"/>
          <w:color w:val="000000"/>
          <w:sz w:val="20"/>
          <w:szCs w:val="20"/>
        </w:rPr>
        <w:t xml:space="preserve"> and</w:t>
      </w:r>
      <w:r>
        <w:rPr>
          <w:rFonts w:eastAsia="Times New Roman"/>
          <w:color w:val="000000"/>
          <w:sz w:val="20"/>
          <w:szCs w:val="20"/>
        </w:rPr>
        <w:t xml:space="preserve"> </w:t>
      </w:r>
      <w:r>
        <w:rPr>
          <w:rFonts w:eastAsia="Times New Roman"/>
          <w:color w:val="000000"/>
          <w:sz w:val="20"/>
          <w:szCs w:val="20"/>
        </w:rPr>
        <w:t>other liabilitie</w:t>
      </w:r>
      <w:r>
        <w:rPr>
          <w:rFonts w:eastAsia="Times New Roman"/>
          <w:color w:val="000000"/>
          <w:sz w:val="20"/>
          <w:szCs w:val="20"/>
        </w:rPr>
        <w:t>s</w:t>
      </w:r>
      <w:r>
        <w:rPr>
          <w:rFonts w:eastAsia="Times New Roman"/>
          <w:color w:val="000000"/>
          <w:sz w:val="20"/>
          <w:szCs w:val="20"/>
        </w:rPr>
        <w:t xml:space="preserve"> on our consolidated balance sheets. As most of our operating leases do not provide an im</w:t>
      </w:r>
      <w:r>
        <w:rPr>
          <w:rFonts w:eastAsia="Times New Roman"/>
          <w:color w:val="000000"/>
          <w:sz w:val="20"/>
          <w:szCs w:val="20"/>
        </w:rPr>
        <w:t xml:space="preserve">plicit rate, we use our incremental borrowing rate in determining the present value of lease payments. Our operating lease expense is included in occupancy and equipment within non-interest expense in our consolidated statements of income. Total operating </w:t>
      </w:r>
      <w:r>
        <w:rPr>
          <w:rFonts w:eastAsia="Times New Roman"/>
          <w:color w:val="000000"/>
          <w:sz w:val="20"/>
          <w:szCs w:val="20"/>
        </w:rPr>
        <w:t>lease expense consists of operating lease cost, which is recognized on a straight-line basis over the lease term, and variable lease cost, which is recognized based on actual amounts incurred. We also sublease certain premises, and sublease income is inclu</w:t>
      </w:r>
      <w:r>
        <w:rPr>
          <w:rFonts w:eastAsia="Times New Roman"/>
          <w:color w:val="000000"/>
          <w:sz w:val="20"/>
          <w:szCs w:val="20"/>
        </w:rPr>
        <w:t>ded in other non-interest income in our consolidated statements of income.</w:t>
      </w:r>
    </w:p>
    <w:p w:rsidR="00000000" w:rsidRDefault="00E0782F">
      <w:pPr>
        <w:jc w:val="both"/>
        <w:divId w:val="581989772"/>
        <w:rPr>
          <w:rFonts w:eastAsia="Times New Roman"/>
        </w:rPr>
      </w:pPr>
      <w:r>
        <w:rPr>
          <w:rFonts w:eastAsia="Times New Roman"/>
          <w:color w:val="000000"/>
          <w:sz w:val="20"/>
          <w:szCs w:val="20"/>
        </w:rPr>
        <w:t>The following tables present information about our operating lease portfolio and the related lease costs as of and for the year ended December 31, 2020.</w:t>
      </w:r>
    </w:p>
    <w:p w:rsidR="00000000" w:rsidRDefault="00E0782F">
      <w:pPr>
        <w:divId w:val="968630966"/>
        <w:rPr>
          <w:rFonts w:eastAsia="Times New Roman"/>
        </w:rPr>
      </w:pPr>
      <w:r>
        <w:rPr>
          <w:rFonts w:eastAsia="Times New Roman"/>
          <w:b/>
          <w:bCs/>
          <w:color w:val="000000"/>
          <w:sz w:val="18"/>
          <w:szCs w:val="18"/>
        </w:rPr>
        <w:t>Table 7.2 Operating Lease Po</w:t>
      </w:r>
      <w:r>
        <w:rPr>
          <w:rFonts w:eastAsia="Times New Roman"/>
          <w:b/>
          <w:bCs/>
          <w:color w:val="000000"/>
          <w:sz w:val="18"/>
          <w:szCs w:val="18"/>
        </w:rPr>
        <w:t>rtfolio</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61"/>
        <w:gridCol w:w="38"/>
        <w:gridCol w:w="36"/>
        <w:gridCol w:w="36"/>
        <w:gridCol w:w="36"/>
        <w:gridCol w:w="110"/>
        <w:gridCol w:w="573"/>
        <w:gridCol w:w="200"/>
        <w:gridCol w:w="36"/>
        <w:gridCol w:w="36"/>
        <w:gridCol w:w="36"/>
        <w:gridCol w:w="110"/>
        <w:gridCol w:w="573"/>
        <w:gridCol w:w="170"/>
        <w:gridCol w:w="36"/>
        <w:gridCol w:w="36"/>
        <w:gridCol w:w="36"/>
        <w:gridCol w:w="36"/>
        <w:gridCol w:w="36"/>
        <w:gridCol w:w="36"/>
      </w:tblGrid>
      <w:tr w:rsidR="00000000">
        <w:trPr>
          <w:divId w:val="874738176"/>
          <w:jc w:val="center"/>
        </w:trPr>
        <w:tc>
          <w:tcPr>
            <w:tcW w:w="50" w:type="pct"/>
            <w:vAlign w:val="center"/>
            <w:hideMark/>
          </w:tcPr>
          <w:p w:rsidR="00000000" w:rsidRDefault="00E0782F">
            <w:pPr>
              <w:rPr>
                <w:rFonts w:eastAsia="Times New Roman"/>
              </w:rPr>
            </w:pPr>
          </w:p>
        </w:tc>
        <w:tc>
          <w:tcPr>
            <w:tcW w:w="38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74738176"/>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74738176"/>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Right-of-use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1,316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74738176"/>
          <w:jc w:val="center"/>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1,688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1,756 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74738176"/>
          <w:jc w:val="center"/>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Weighted-average remaining lease term</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8.7 years</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8.9 years</w:t>
            </w:r>
          </w:p>
        </w:tc>
        <w:tc>
          <w:tcPr>
            <w:tcW w:w="0" w:type="auto"/>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74738176"/>
          <w:jc w:val="center"/>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vAlign w:val="center"/>
            <w:hideMark/>
          </w:tcPr>
          <w:p w:rsidR="00000000" w:rsidRDefault="00E0782F">
            <w:pPr>
              <w:jc w:val="right"/>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1" style="width:0;height:1.5pt" o:hralign="center" o:hrstd="t" o:hr="t" fillcolor="#a0a0a0" stroked="f"/>
        </w:pict>
      </w:r>
    </w:p>
    <w:p w:rsidR="00000000" w:rsidRDefault="00E0782F">
      <w:pPr>
        <w:jc w:val="both"/>
        <w:divId w:val="176117579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761175793"/>
        <w:rPr>
          <w:rFonts w:eastAsia="Times New Roman"/>
        </w:rPr>
      </w:pPr>
    </w:p>
    <w:p w:rsidR="00000000" w:rsidRDefault="00E0782F">
      <w:pPr>
        <w:jc w:val="center"/>
        <w:divId w:val="1761175793"/>
        <w:rPr>
          <w:rFonts w:eastAsia="Times New Roman"/>
        </w:rPr>
      </w:pPr>
      <w:r>
        <w:rPr>
          <w:rFonts w:eastAsia="Times New Roman"/>
          <w:b/>
          <w:bCs/>
          <w:color w:val="000000"/>
          <w:sz w:val="20"/>
          <w:szCs w:val="20"/>
        </w:rPr>
        <w:t>CAPITAL ONE FINANCIAL CORPORATION</w:t>
      </w:r>
    </w:p>
    <w:p w:rsidR="00000000" w:rsidRDefault="00E0782F">
      <w:pPr>
        <w:jc w:val="center"/>
        <w:divId w:val="1761175793"/>
        <w:rPr>
          <w:rFonts w:eastAsia="Times New Roman"/>
        </w:rPr>
      </w:pPr>
      <w:r>
        <w:rPr>
          <w:rFonts w:eastAsia="Times New Roman"/>
          <w:b/>
          <w:bCs/>
          <w:color w:val="000000"/>
          <w:sz w:val="20"/>
          <w:szCs w:val="20"/>
        </w:rPr>
        <w:t>NOTES TO CONSOLIDATED FINANCIAL STATEMENTS</w:t>
      </w:r>
    </w:p>
    <w:p w:rsidR="00000000" w:rsidRDefault="00E0782F">
      <w:pPr>
        <w:divId w:val="14888031"/>
        <w:rPr>
          <w:rFonts w:eastAsia="Times New Roman"/>
        </w:rPr>
      </w:pPr>
      <w:r>
        <w:rPr>
          <w:rFonts w:eastAsia="Times New Roman"/>
          <w:b/>
          <w:bCs/>
          <w:color w:val="000000"/>
          <w:sz w:val="18"/>
          <w:szCs w:val="18"/>
        </w:rPr>
        <w:t>Table 7.3 Total Operating Lease Expense and Other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19"/>
        <w:gridCol w:w="38"/>
        <w:gridCol w:w="36"/>
        <w:gridCol w:w="36"/>
        <w:gridCol w:w="36"/>
        <w:gridCol w:w="36"/>
        <w:gridCol w:w="36"/>
        <w:gridCol w:w="110"/>
        <w:gridCol w:w="626"/>
        <w:gridCol w:w="36"/>
        <w:gridCol w:w="36"/>
        <w:gridCol w:w="36"/>
        <w:gridCol w:w="36"/>
        <w:gridCol w:w="111"/>
        <w:gridCol w:w="627"/>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990597578"/>
          <w:jc w:val="center"/>
        </w:trPr>
        <w:tc>
          <w:tcPr>
            <w:tcW w:w="50" w:type="pct"/>
            <w:vAlign w:val="center"/>
            <w:hideMark/>
          </w:tcPr>
          <w:p w:rsidR="00000000" w:rsidRDefault="00E0782F">
            <w:pPr>
              <w:rPr>
                <w:rFonts w:eastAsia="Times New Roman"/>
              </w:rPr>
            </w:pPr>
          </w:p>
        </w:tc>
        <w:tc>
          <w:tcPr>
            <w:tcW w:w="38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90597578"/>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Variable lease cost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 lease cost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358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Sublease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Net lease cost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332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Cash paid for amounts included in the measurement of lease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325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328 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Right-of-use assets obtained in exchange for lease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90597578"/>
          <w:jc w:val="center"/>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Right-of-use assets recognized upon adoption of new lease standard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1,601 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vAlign w:val="center"/>
            <w:hideMark/>
          </w:tcPr>
          <w:p w:rsidR="00000000" w:rsidRDefault="00E0782F">
            <w:pPr>
              <w:jc w:val="right"/>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divId w:val="1686007711"/>
        <w:rPr>
          <w:rFonts w:eastAsia="Times New Roman"/>
        </w:rPr>
      </w:pPr>
      <w:r>
        <w:rPr>
          <w:rFonts w:eastAsia="Times New Roman"/>
          <w:color w:val="000000"/>
          <w:sz w:val="20"/>
          <w:szCs w:val="20"/>
        </w:rPr>
        <w:t>The following table presents a maturity analysis of our operating leases and a reconciliation of the undiscounted cash flows to our lease liabilities as of December 31, 2020.</w:t>
      </w:r>
    </w:p>
    <w:p w:rsidR="00000000" w:rsidRDefault="00E0782F">
      <w:pPr>
        <w:divId w:val="1218005742"/>
        <w:rPr>
          <w:rFonts w:eastAsia="Times New Roman"/>
        </w:rPr>
      </w:pPr>
      <w:r>
        <w:rPr>
          <w:rFonts w:eastAsia="Times New Roman"/>
          <w:b/>
          <w:bCs/>
          <w:color w:val="000000"/>
          <w:sz w:val="18"/>
          <w:szCs w:val="18"/>
        </w:rPr>
        <w:t>Table 7.4 Maturities of Operating Leases and Reconciliation to Lease Liabilities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6336"/>
        <w:gridCol w:w="38"/>
        <w:gridCol w:w="36"/>
        <w:gridCol w:w="36"/>
        <w:gridCol w:w="36"/>
        <w:gridCol w:w="111"/>
        <w:gridCol w:w="1630"/>
        <w:gridCol w:w="36"/>
      </w:tblGrid>
      <w:tr w:rsidR="00000000">
        <w:trPr>
          <w:divId w:val="217210875"/>
          <w:jc w:val="center"/>
        </w:trPr>
        <w:tc>
          <w:tcPr>
            <w:tcW w:w="50" w:type="pct"/>
            <w:vAlign w:val="center"/>
            <w:hideMark/>
          </w:tcPr>
          <w:p w:rsidR="00000000" w:rsidRDefault="00E0782F">
            <w:pPr>
              <w:rPr>
                <w:rFonts w:eastAsia="Times New Roman"/>
              </w:rPr>
            </w:pPr>
          </w:p>
        </w:tc>
        <w:tc>
          <w:tcPr>
            <w:tcW w:w="38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0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17210875"/>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217210875"/>
          <w:jc w:val="center"/>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2022</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272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2023</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2024</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2025</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Thereafter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721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Total undiscounted lease payments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1,935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FFFFFF"/>
            <w:tcMar>
              <w:top w:w="30" w:type="dxa"/>
              <w:left w:w="245" w:type="dxa"/>
              <w:bottom w:w="30" w:type="dxa"/>
              <w:right w:w="20" w:type="dxa"/>
            </w:tcMar>
            <w:hideMark/>
          </w:tcPr>
          <w:p w:rsidR="00000000" w:rsidRDefault="00E0782F">
            <w:pPr>
              <w:rPr>
                <w:rFonts w:eastAsia="Times New Roman"/>
              </w:rPr>
            </w:pPr>
            <w:r>
              <w:rPr>
                <w:rFonts w:eastAsia="Times New Roman"/>
                <w:color w:val="000000"/>
                <w:sz w:val="18"/>
                <w:szCs w:val="18"/>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(247)</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17210875"/>
          <w:jc w:val="center"/>
        </w:trPr>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1,688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jc w:val="both"/>
        <w:divId w:val="1099180090"/>
        <w:rPr>
          <w:rFonts w:eastAsia="Times New Roman"/>
        </w:rPr>
      </w:pPr>
      <w:r>
        <w:rPr>
          <w:rFonts w:eastAsia="Times New Roman"/>
          <w:color w:val="000000"/>
          <w:sz w:val="20"/>
          <w:szCs w:val="20"/>
        </w:rPr>
        <w:t xml:space="preserve">As of December 31, 2020, we had approximately $69 million and $75 </w:t>
      </w:r>
      <w:r>
        <w:rPr>
          <w:rFonts w:eastAsia="Times New Roman"/>
          <w:color w:val="000000"/>
          <w:sz w:val="20"/>
          <w:szCs w:val="20"/>
        </w:rPr>
        <w:t>million of right-of-use assets and lease liabilities, respectively, for finance leases with a weighted-average remaining lease term of 4.4 years. As of December 31, 2019, we had approximately $96 million and $103 million of right-of-use assets and lease li</w:t>
      </w:r>
      <w:r>
        <w:rPr>
          <w:rFonts w:eastAsia="Times New Roman"/>
          <w:color w:val="000000"/>
          <w:sz w:val="20"/>
          <w:szCs w:val="20"/>
        </w:rPr>
        <w:t>abilities, respectively, for finance leases with a weighted-average remaining lease term of 5.9 years. These right-of-use assets and lease liabilities are included in premises and equipment, net and other borrowings, respectively, on our consolidated balan</w:t>
      </w:r>
      <w:r>
        <w:rPr>
          <w:rFonts w:eastAsia="Times New Roman"/>
          <w:color w:val="000000"/>
          <w:sz w:val="20"/>
          <w:szCs w:val="20"/>
        </w:rPr>
        <w:t>ce sheets. We recognized $24 million and $27 million of total finance lease expense for the years ended December 31, 2020 and 2019, respectively.</w:t>
      </w:r>
    </w:p>
    <w:p w:rsidR="00000000" w:rsidRDefault="00E0782F">
      <w:pPr>
        <w:jc w:val="both"/>
        <w:divId w:val="158996952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0950199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0950199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0950199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2" style="width:0;height:1.5pt" o:hralign="center" o:hrstd="t" o:hr="t" fillcolor="#a0a0a0" stroked="f"/>
        </w:pict>
      </w:r>
    </w:p>
    <w:p w:rsidR="00000000" w:rsidRDefault="00E0782F">
      <w:pPr>
        <w:jc w:val="both"/>
        <w:divId w:val="52259471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22594718"/>
        <w:rPr>
          <w:rFonts w:eastAsia="Times New Roman"/>
        </w:rPr>
      </w:pPr>
    </w:p>
    <w:p w:rsidR="00000000" w:rsidRDefault="00E0782F">
      <w:pPr>
        <w:jc w:val="center"/>
        <w:divId w:val="522594718"/>
        <w:rPr>
          <w:rFonts w:eastAsia="Times New Roman"/>
        </w:rPr>
      </w:pPr>
      <w:r>
        <w:rPr>
          <w:rFonts w:eastAsia="Times New Roman"/>
          <w:b/>
          <w:bCs/>
          <w:color w:val="000000"/>
          <w:sz w:val="20"/>
          <w:szCs w:val="20"/>
        </w:rPr>
        <w:t>CAPITAL ONE FINANCIAL CORPORATION</w:t>
      </w:r>
    </w:p>
    <w:p w:rsidR="00000000" w:rsidRDefault="00E0782F">
      <w:pPr>
        <w:jc w:val="center"/>
        <w:divId w:val="522594718"/>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48379385"/>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8379385"/>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8—DEPOSITS AND BORROWINGS</w:t>
            </w:r>
          </w:p>
        </w:tc>
      </w:tr>
    </w:tbl>
    <w:p w:rsidR="00000000" w:rsidRDefault="00E0782F">
      <w:pPr>
        <w:jc w:val="both"/>
        <w:divId w:val="723018101"/>
        <w:rPr>
          <w:rFonts w:eastAsia="Times New Roman"/>
        </w:rPr>
      </w:pPr>
      <w:r>
        <w:rPr>
          <w:rFonts w:eastAsia="Times New Roman"/>
          <w:color w:val="000000"/>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eastAsia="Times New Roman"/>
          <w:color w:val="000000"/>
          <w:sz w:val="20"/>
          <w:szCs w:val="20"/>
        </w:rPr>
        <w:t>including short-term borrowings, senior and subordinated notes, securitized debt obligations and other borrowings. In addition, we utilize FHLB advances, which are secured by certain portions of our loan and investment securities portfolios. Securitized de</w:t>
      </w:r>
      <w:r>
        <w:rPr>
          <w:rFonts w:eastAsia="Times New Roman"/>
          <w:color w:val="000000"/>
          <w:sz w:val="20"/>
          <w:szCs w:val="20"/>
        </w:rPr>
        <w:t>bt obligations are presented separately on our consolidated balance sheets, as they represent obligations of consolidated securitization trusts, while federal funds purchased and securities loaned or sold under agreements to repurchase, senior and subordin</w:t>
      </w:r>
      <w:r>
        <w:rPr>
          <w:rFonts w:eastAsia="Times New Roman"/>
          <w:color w:val="000000"/>
          <w:sz w:val="20"/>
          <w:szCs w:val="20"/>
        </w:rPr>
        <w:t>ated notes and other borrowings, including FHLB advances, are included in other debt on our consolidated balance sheets.</w:t>
      </w:r>
    </w:p>
    <w:p w:rsidR="00000000" w:rsidRDefault="00E0782F">
      <w:pPr>
        <w:jc w:val="both"/>
        <w:divId w:val="1524785131"/>
        <w:rPr>
          <w:rFonts w:eastAsia="Times New Roman"/>
        </w:rPr>
      </w:pPr>
      <w:r>
        <w:rPr>
          <w:rFonts w:eastAsia="Times New Roman"/>
          <w:color w:val="000000"/>
          <w:sz w:val="20"/>
          <w:szCs w:val="20"/>
        </w:rPr>
        <w:t>Our total short-term borrowings generally consist of federal funds purchased and securities loaned or sold under agreements to repurchase and short-term FHLB advances. Our long-term debt consists of borrowings with an original contractual maturity of great</w:t>
      </w:r>
      <w:r>
        <w:rPr>
          <w:rFonts w:eastAsia="Times New Roman"/>
          <w:color w:val="000000"/>
          <w:sz w:val="20"/>
          <w:szCs w:val="20"/>
        </w:rPr>
        <w:t>er than one year. The following tables summarize the components of our deposits, short-term borrowings and long-term debt as of December 31, 2020 and 2019. The carrying value presented below for these borrowings includes unamortized debt premiums and disco</w:t>
      </w:r>
      <w:r>
        <w:rPr>
          <w:rFonts w:eastAsia="Times New Roman"/>
          <w:color w:val="000000"/>
          <w:sz w:val="20"/>
          <w:szCs w:val="20"/>
        </w:rPr>
        <w:t>unts, net of debt issuance costs and fair value hedge accounting adjustments.</w:t>
      </w:r>
    </w:p>
    <w:p w:rsidR="00000000" w:rsidRDefault="00E0782F">
      <w:pPr>
        <w:divId w:val="1599829919"/>
        <w:rPr>
          <w:rFonts w:eastAsia="Times New Roman"/>
        </w:rPr>
      </w:pPr>
      <w:r>
        <w:rPr>
          <w:rFonts w:eastAsia="Times New Roman"/>
          <w:b/>
          <w:bCs/>
          <w:color w:val="000000"/>
          <w:sz w:val="18"/>
          <w:szCs w:val="18"/>
        </w:rPr>
        <w:t>Table 8.1: Components of Deposits, Short-Term Borrowings and Long-Term Debt</w:t>
      </w:r>
    </w:p>
    <w:tbl>
      <w:tblPr>
        <w:tblW w:w="5000" w:type="pct"/>
        <w:tblCellMar>
          <w:top w:w="15" w:type="dxa"/>
          <w:left w:w="15" w:type="dxa"/>
          <w:bottom w:w="15" w:type="dxa"/>
          <w:right w:w="15" w:type="dxa"/>
        </w:tblCellMar>
        <w:tblLook w:val="04A0" w:firstRow="1" w:lastRow="0" w:firstColumn="1" w:lastColumn="0" w:noHBand="0" w:noVBand="1"/>
      </w:tblPr>
      <w:tblGrid>
        <w:gridCol w:w="41"/>
        <w:gridCol w:w="6269"/>
        <w:gridCol w:w="40"/>
        <w:gridCol w:w="36"/>
        <w:gridCol w:w="36"/>
        <w:gridCol w:w="36"/>
        <w:gridCol w:w="110"/>
        <w:gridCol w:w="742"/>
        <w:gridCol w:w="36"/>
        <w:gridCol w:w="36"/>
        <w:gridCol w:w="36"/>
        <w:gridCol w:w="36"/>
        <w:gridCol w:w="110"/>
        <w:gridCol w:w="706"/>
        <w:gridCol w:w="36"/>
      </w:tblGrid>
      <w:tr w:rsidR="00000000">
        <w:trPr>
          <w:divId w:val="101732247"/>
        </w:trPr>
        <w:tc>
          <w:tcPr>
            <w:tcW w:w="50" w:type="pct"/>
            <w:vAlign w:val="center"/>
            <w:hideMark/>
          </w:tcPr>
          <w:p w:rsidR="00000000" w:rsidRDefault="00E0782F">
            <w:pPr>
              <w:rPr>
                <w:rFonts w:eastAsia="Times New Roman"/>
              </w:rPr>
            </w:pPr>
          </w:p>
        </w:tc>
        <w:tc>
          <w:tcPr>
            <w:tcW w:w="37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173224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0173224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173224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Non-interest-bearing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31,142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23,488 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732247"/>
        </w:trPr>
        <w:tc>
          <w:tcPr>
            <w:tcW w:w="0" w:type="auto"/>
            <w:gridSpan w:val="3"/>
            <w:shd w:val="clear" w:color="auto" w:fill="CCEEFF"/>
            <w:tcMar>
              <w:top w:w="30" w:type="dxa"/>
              <w:left w:w="20" w:type="dxa"/>
              <w:bottom w:w="30" w:type="dxa"/>
              <w:right w:w="20" w:type="dxa"/>
            </w:tcMar>
            <w:vAlign w:val="center"/>
            <w:hideMark/>
          </w:tcPr>
          <w:p w:rsidR="00000000" w:rsidRDefault="00E0782F">
            <w:pPr>
              <w:divId w:val="1074205118"/>
              <w:rPr>
                <w:rFonts w:eastAsia="Times New Roman"/>
              </w:rPr>
            </w:pPr>
            <w:r>
              <w:rPr>
                <w:rFonts w:eastAsia="Times New Roman"/>
                <w:color w:val="000000"/>
                <w:sz w:val="18"/>
                <w:szCs w:val="18"/>
              </w:rPr>
              <w:t>Interest-bearing deposit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274,300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239,209 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73224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305,442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262,697 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73224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Short-term 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173224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73224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FHLB advances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0173224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short-term borrowings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089"/>
        <w:gridCol w:w="40"/>
        <w:gridCol w:w="36"/>
        <w:gridCol w:w="36"/>
        <w:gridCol w:w="36"/>
        <w:gridCol w:w="61"/>
        <w:gridCol w:w="689"/>
        <w:gridCol w:w="36"/>
        <w:gridCol w:w="36"/>
        <w:gridCol w:w="36"/>
        <w:gridCol w:w="36"/>
        <w:gridCol w:w="75"/>
        <w:gridCol w:w="914"/>
        <w:gridCol w:w="36"/>
        <w:gridCol w:w="36"/>
        <w:gridCol w:w="36"/>
        <w:gridCol w:w="36"/>
        <w:gridCol w:w="86"/>
        <w:gridCol w:w="839"/>
        <w:gridCol w:w="200"/>
        <w:gridCol w:w="36"/>
        <w:gridCol w:w="36"/>
        <w:gridCol w:w="36"/>
        <w:gridCol w:w="110"/>
        <w:gridCol w:w="645"/>
        <w:gridCol w:w="36"/>
        <w:gridCol w:w="36"/>
        <w:gridCol w:w="36"/>
        <w:gridCol w:w="36"/>
        <w:gridCol w:w="111"/>
        <w:gridCol w:w="722"/>
        <w:gridCol w:w="36"/>
      </w:tblGrid>
      <w:tr w:rsidR="00000000">
        <w:trPr>
          <w:divId w:val="2004166015"/>
        </w:trPr>
        <w:tc>
          <w:tcPr>
            <w:tcW w:w="50" w:type="pct"/>
            <w:vAlign w:val="center"/>
            <w:hideMark/>
          </w:tcPr>
          <w:p w:rsidR="00000000" w:rsidRDefault="00E0782F">
            <w:pPr>
              <w:jc w:val="both"/>
              <w:rPr>
                <w:rFonts w:eastAsia="Times New Roman"/>
              </w:rPr>
            </w:pPr>
          </w:p>
        </w:tc>
        <w:tc>
          <w:tcPr>
            <w:tcW w:w="18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04166015"/>
        </w:trPr>
        <w:tc>
          <w:tcPr>
            <w:tcW w:w="0" w:type="auto"/>
            <w:gridSpan w:val="3"/>
            <w:tcMar>
              <w:top w:w="30" w:type="dxa"/>
              <w:left w:w="515"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200416601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Maturity Dates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Stated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Weighted-Average Interest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Value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Value</w:t>
            </w:r>
          </w:p>
        </w:tc>
      </w:tr>
      <w:tr w:rsidR="00000000">
        <w:trPr>
          <w:divId w:val="20041660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Long-term debt: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0416601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2021-2026</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0.51% - 3.01%</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17,808 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04166015"/>
        </w:trPr>
        <w:tc>
          <w:tcPr>
            <w:tcW w:w="0" w:type="auto"/>
            <w:gridSpan w:val="3"/>
            <w:shd w:val="clear" w:color="auto" w:fill="FFFFFF"/>
            <w:tcMar>
              <w:top w:w="30" w:type="dxa"/>
              <w:left w:w="20" w:type="dxa"/>
              <w:bottom w:w="30" w:type="dxa"/>
              <w:right w:w="20" w:type="dxa"/>
            </w:tcMar>
            <w:vAlign w:val="center"/>
            <w:hideMark/>
          </w:tcPr>
          <w:p w:rsidR="00000000" w:rsidRDefault="00E0782F">
            <w:pPr>
              <w:divId w:val="1758868228"/>
              <w:rPr>
                <w:rFonts w:eastAsia="Times New Roman"/>
              </w:rPr>
            </w:pPr>
            <w:r>
              <w:rPr>
                <w:rFonts w:eastAsia="Times New Roman"/>
                <w:color w:val="000000"/>
                <w:sz w:val="18"/>
                <w:szCs w:val="18"/>
              </w:rPr>
              <w:t>Fixed unsecured senior deb</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2021-2029</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0.80 - 4.75</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21,045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23,302 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3"/>
            <w:shd w:val="clear" w:color="auto" w:fill="CCEEFF"/>
            <w:tcMar>
              <w:top w:w="30" w:type="dxa"/>
              <w:left w:w="51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Floating unsecured senior debt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2021-2023</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0.64 - 1.36</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0.97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15"/>
            <w:shd w:val="clear" w:color="auto" w:fill="FFFFFF"/>
            <w:tcMar>
              <w:top w:w="30" w:type="dxa"/>
              <w:left w:w="60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unsecured senior debt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22,654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25,997 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3"/>
            <w:shd w:val="clear" w:color="auto" w:fill="CCEEFF"/>
            <w:tcMar>
              <w:top w:w="30" w:type="dxa"/>
              <w:left w:w="51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Fixed unsecured subordinated debt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2023-2026</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3.38 - 4.20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4,728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4,475 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21"/>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27,382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30,472 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00416601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2004166015"/>
        </w:trPr>
        <w:tc>
          <w:tcPr>
            <w:tcW w:w="0" w:type="auto"/>
            <w:gridSpan w:val="3"/>
            <w:shd w:val="clear" w:color="auto" w:fill="FFFFFF"/>
            <w:tcMar>
              <w:top w:w="30" w:type="dxa"/>
              <w:left w:w="51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2021-2031</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0.68 - 9.91</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21"/>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other long-term 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21"/>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39,871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48,383 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4166015"/>
        </w:trPr>
        <w:tc>
          <w:tcPr>
            <w:tcW w:w="0" w:type="auto"/>
            <w:gridSpan w:val="21"/>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short-term borrowings and long-term debt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40,539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55,697 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380442412"/>
        <w:rPr>
          <w:rFonts w:eastAsia="Times New Roman"/>
        </w:rPr>
      </w:pPr>
      <w:r>
        <w:rPr>
          <w:rFonts w:eastAsia="Times New Roman"/>
          <w:color w:val="000000"/>
          <w:sz w:val="20"/>
          <w:szCs w:val="20"/>
        </w:rPr>
        <w:t>__________</w:t>
      </w:r>
    </w:p>
    <w:p w:rsidR="00000000" w:rsidRDefault="00E0782F">
      <w:pPr>
        <w:ind w:hanging="360"/>
        <w:jc w:val="both"/>
        <w:divId w:val="214265254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Includes $4.2 billion and $6.5 </w:t>
      </w:r>
      <w:r>
        <w:rPr>
          <w:rFonts w:eastAsia="Times New Roman"/>
          <w:color w:val="000000"/>
          <w:sz w:val="16"/>
          <w:szCs w:val="16"/>
        </w:rPr>
        <w:t>billion of time deposits in denominations in excess of the $250,000 federal insurance limit as of December 31, 2020 and 2019, respectively.</w:t>
      </w:r>
    </w:p>
    <w:p w:rsidR="00000000" w:rsidRDefault="00E0782F">
      <w:pPr>
        <w:ind w:hanging="360"/>
        <w:jc w:val="both"/>
        <w:divId w:val="1326200264"/>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Includes $1.6 billion and $1.4 billion of EUR-denominated unsecured notes as of December 31, 2020</w:t>
      </w:r>
      <w:r>
        <w:rPr>
          <w:rFonts w:eastAsia="Times New Roman"/>
          <w:color w:val="000000"/>
          <w:sz w:val="20"/>
          <w:szCs w:val="20"/>
        </w:rPr>
        <w:t xml:space="preserve"> </w:t>
      </w:r>
      <w:r>
        <w:rPr>
          <w:rFonts w:eastAsia="Times New Roman"/>
          <w:color w:val="000000"/>
          <w:sz w:val="16"/>
          <w:szCs w:val="16"/>
        </w:rPr>
        <w:t>and</w:t>
      </w:r>
      <w:r>
        <w:rPr>
          <w:rFonts w:eastAsia="Times New Roman"/>
          <w:color w:val="000000"/>
          <w:sz w:val="20"/>
          <w:szCs w:val="20"/>
        </w:rPr>
        <w:t xml:space="preserve"> </w:t>
      </w:r>
      <w:r>
        <w:rPr>
          <w:rFonts w:eastAsia="Times New Roman"/>
          <w:color w:val="000000"/>
          <w:sz w:val="16"/>
          <w:szCs w:val="16"/>
        </w:rPr>
        <w:t>2019, respe</w:t>
      </w:r>
      <w:r>
        <w:rPr>
          <w:rFonts w:eastAsia="Times New Roman"/>
          <w:color w:val="000000"/>
          <w:sz w:val="16"/>
          <w:szCs w:val="16"/>
        </w:rPr>
        <w:t>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3837758"/>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383775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383775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3" style="width:0;height:1.5pt" o:hralign="center" o:hrstd="t" o:hr="t" fillcolor="#a0a0a0" stroked="f"/>
        </w:pict>
      </w:r>
    </w:p>
    <w:p w:rsidR="00000000" w:rsidRDefault="00E0782F">
      <w:pPr>
        <w:jc w:val="both"/>
        <w:divId w:val="42847493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428474939"/>
        <w:rPr>
          <w:rFonts w:eastAsia="Times New Roman"/>
        </w:rPr>
      </w:pPr>
    </w:p>
    <w:p w:rsidR="00000000" w:rsidRDefault="00E0782F">
      <w:pPr>
        <w:jc w:val="center"/>
        <w:divId w:val="428474939"/>
        <w:rPr>
          <w:rFonts w:eastAsia="Times New Roman"/>
        </w:rPr>
      </w:pPr>
      <w:r>
        <w:rPr>
          <w:rFonts w:eastAsia="Times New Roman"/>
          <w:b/>
          <w:bCs/>
          <w:color w:val="000000"/>
          <w:sz w:val="20"/>
          <w:szCs w:val="20"/>
        </w:rPr>
        <w:t>CAPITAL ONE FINANCIAL CORPORATION</w:t>
      </w:r>
    </w:p>
    <w:p w:rsidR="00000000" w:rsidRDefault="00E0782F">
      <w:pPr>
        <w:jc w:val="center"/>
        <w:divId w:val="428474939"/>
        <w:rPr>
          <w:rFonts w:eastAsia="Times New Roman"/>
        </w:rPr>
      </w:pPr>
      <w:r>
        <w:rPr>
          <w:rFonts w:eastAsia="Times New Roman"/>
          <w:b/>
          <w:bCs/>
          <w:color w:val="000000"/>
          <w:sz w:val="20"/>
          <w:szCs w:val="20"/>
        </w:rPr>
        <w:t>NOTES TO CONSOLIDATED FINANCIAL STATEMENTS</w:t>
      </w:r>
    </w:p>
    <w:p w:rsidR="00000000" w:rsidRDefault="00E0782F">
      <w:pPr>
        <w:jc w:val="both"/>
        <w:divId w:val="564994371"/>
        <w:rPr>
          <w:rFonts w:eastAsia="Times New Roman"/>
        </w:rPr>
      </w:pPr>
      <w:r>
        <w:rPr>
          <w:rFonts w:eastAsia="Times New Roman"/>
          <w:color w:val="000000"/>
          <w:sz w:val="20"/>
          <w:szCs w:val="20"/>
        </w:rPr>
        <w:t>The following table presents the carrying value of our interest-b</w:t>
      </w:r>
      <w:r>
        <w:rPr>
          <w:rFonts w:eastAsia="Times New Roman"/>
          <w:color w:val="000000"/>
          <w:sz w:val="20"/>
          <w:szCs w:val="20"/>
        </w:rPr>
        <w:t>earing time deposits with contractual maturities, securitized debt obligations and other debt by remaining contractual maturity as of December 31, 2020.</w:t>
      </w:r>
    </w:p>
    <w:p w:rsidR="00000000" w:rsidRDefault="00E0782F">
      <w:pPr>
        <w:jc w:val="both"/>
        <w:divId w:val="201089723"/>
        <w:rPr>
          <w:rFonts w:eastAsia="Times New Roman"/>
        </w:rPr>
      </w:pPr>
      <w:r>
        <w:rPr>
          <w:rFonts w:eastAsia="Times New Roman"/>
          <w:b/>
          <w:bCs/>
          <w:color w:val="000000"/>
          <w:sz w:val="18"/>
          <w:szCs w:val="18"/>
        </w:rPr>
        <w:t>Table 8.2: Maturity Profile of Borrowings</w:t>
      </w:r>
    </w:p>
    <w:tbl>
      <w:tblPr>
        <w:tblW w:w="4963" w:type="pct"/>
        <w:tblCellMar>
          <w:top w:w="15" w:type="dxa"/>
          <w:left w:w="15" w:type="dxa"/>
          <w:bottom w:w="15" w:type="dxa"/>
          <w:right w:w="15" w:type="dxa"/>
        </w:tblCellMar>
        <w:tblLook w:val="04A0" w:firstRow="1" w:lastRow="0" w:firstColumn="1" w:lastColumn="0" w:noHBand="0" w:noVBand="1"/>
      </w:tblPr>
      <w:tblGrid>
        <w:gridCol w:w="39"/>
        <w:gridCol w:w="105"/>
        <w:gridCol w:w="2638"/>
        <w:gridCol w:w="25"/>
        <w:gridCol w:w="13"/>
        <w:gridCol w:w="36"/>
        <w:gridCol w:w="36"/>
        <w:gridCol w:w="36"/>
        <w:gridCol w:w="23"/>
        <w:gridCol w:w="87"/>
        <w:gridCol w:w="57"/>
        <w:gridCol w:w="483"/>
        <w:gridCol w:w="36"/>
        <w:gridCol w:w="36"/>
        <w:gridCol w:w="36"/>
        <w:gridCol w:w="36"/>
        <w:gridCol w:w="110"/>
        <w:gridCol w:w="540"/>
        <w:gridCol w:w="36"/>
        <w:gridCol w:w="36"/>
        <w:gridCol w:w="36"/>
        <w:gridCol w:w="36"/>
        <w:gridCol w:w="110"/>
        <w:gridCol w:w="450"/>
        <w:gridCol w:w="36"/>
        <w:gridCol w:w="36"/>
        <w:gridCol w:w="36"/>
        <w:gridCol w:w="36"/>
        <w:gridCol w:w="110"/>
        <w:gridCol w:w="441"/>
        <w:gridCol w:w="9"/>
        <w:gridCol w:w="36"/>
        <w:gridCol w:w="36"/>
        <w:gridCol w:w="36"/>
        <w:gridCol w:w="27"/>
        <w:gridCol w:w="9"/>
        <w:gridCol w:w="110"/>
        <w:gridCol w:w="25"/>
        <w:gridCol w:w="425"/>
        <w:gridCol w:w="36"/>
        <w:gridCol w:w="36"/>
        <w:gridCol w:w="36"/>
        <w:gridCol w:w="36"/>
        <w:gridCol w:w="111"/>
        <w:gridCol w:w="676"/>
        <w:gridCol w:w="36"/>
        <w:gridCol w:w="36"/>
        <w:gridCol w:w="36"/>
        <w:gridCol w:w="36"/>
        <w:gridCol w:w="110"/>
        <w:gridCol w:w="540"/>
        <w:gridCol w:w="36"/>
        <w:gridCol w:w="490"/>
        <w:gridCol w:w="144"/>
      </w:tblGrid>
      <w:tr w:rsidR="00000000">
        <w:trPr>
          <w:gridAfter w:val="2"/>
          <w:divId w:val="190458238"/>
        </w:trPr>
        <w:tc>
          <w:tcPr>
            <w:tcW w:w="50" w:type="pct"/>
            <w:vAlign w:val="center"/>
            <w:hideMark/>
          </w:tcPr>
          <w:p w:rsidR="00000000" w:rsidRDefault="00E0782F">
            <w:pPr>
              <w:jc w:val="both"/>
              <w:rPr>
                <w:rFonts w:eastAsia="Times New Roman"/>
              </w:rPr>
            </w:pPr>
          </w:p>
        </w:tc>
        <w:tc>
          <w:tcPr>
            <w:tcW w:w="1749" w:type="pct"/>
            <w:gridSpan w:val="2"/>
            <w:vAlign w:val="center"/>
            <w:hideMark/>
          </w:tcPr>
          <w:p w:rsidR="00000000" w:rsidRDefault="00E0782F">
            <w:pPr>
              <w:rPr>
                <w:rFonts w:eastAsia="Times New Roman"/>
                <w:sz w:val="20"/>
                <w:szCs w:val="20"/>
              </w:rPr>
            </w:pPr>
          </w:p>
        </w:tc>
        <w:tc>
          <w:tcPr>
            <w:tcW w:w="5" w:type="pct"/>
            <w:gridSpan w:val="2"/>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gridSpan w:val="2"/>
            <w:vAlign w:val="center"/>
            <w:hideMark/>
          </w:tcPr>
          <w:p w:rsidR="00000000" w:rsidRDefault="00E0782F">
            <w:pPr>
              <w:rPr>
                <w:rFonts w:eastAsia="Times New Roman"/>
                <w:sz w:val="20"/>
                <w:szCs w:val="20"/>
              </w:rPr>
            </w:pPr>
          </w:p>
        </w:tc>
        <w:tc>
          <w:tcPr>
            <w:tcW w:w="364" w:type="pct"/>
            <w:gridSpan w:val="2"/>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gridSpan w:val="2"/>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gridSpan w:val="2"/>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gridSpan w:val="2"/>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gridAfter w:val="2"/>
          <w:divId w:val="190458238"/>
        </w:trPr>
        <w:tc>
          <w:tcPr>
            <w:tcW w:w="0" w:type="auto"/>
            <w:gridSpan w:val="5"/>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2024</w:t>
            </w:r>
          </w:p>
        </w:tc>
        <w:tc>
          <w:tcPr>
            <w:tcW w:w="0" w:type="auto"/>
            <w:gridSpan w:val="4"/>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4"/>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2025</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Thereafter</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E0782F">
        <w:trPr>
          <w:gridAfter w:val="2"/>
          <w:divId w:val="190458238"/>
        </w:trPr>
        <w:tc>
          <w:tcPr>
            <w:tcW w:w="0" w:type="auto"/>
            <w:gridSpan w:val="5"/>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 xml:space="preserve">Interest-bearing time deposits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21,381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6,447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2,212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2,196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385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32,747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gridAfter w:val="2"/>
          <w:divId w:val="190458238"/>
        </w:trPr>
        <w:tc>
          <w:tcPr>
            <w:tcW w:w="0" w:type="auto"/>
            <w:gridSpan w:val="5"/>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2,331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5,635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gridAfter w:val="2"/>
          <w:divId w:val="190458238"/>
        </w:trPr>
        <w:tc>
          <w:tcPr>
            <w:tcW w:w="0" w:type="auto"/>
            <w:gridSpan w:val="5"/>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gridAfter w:val="2"/>
          <w:divId w:val="190458238"/>
        </w:trPr>
        <w:tc>
          <w:tcPr>
            <w:tcW w:w="0" w:type="auto"/>
            <w:gridSpan w:val="5"/>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3,878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6,032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4,661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3,488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6,835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27,382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gridAfter w:val="2"/>
          <w:divId w:val="190458238"/>
        </w:trPr>
        <w:tc>
          <w:tcPr>
            <w:tcW w:w="0" w:type="auto"/>
            <w:gridSpan w:val="5"/>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Other 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E0782F">
        <w:trPr>
          <w:gridAfter w:val="2"/>
          <w:divId w:val="190458238"/>
        </w:trPr>
        <w:tc>
          <w:tcPr>
            <w:tcW w:w="0" w:type="auto"/>
            <w:gridSpan w:val="5"/>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28,278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14,590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9,349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8,431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4,165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8,473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73,286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blPrEx>
          <w:tblW w:w="4992" w:type="pct"/>
          <w:jc w:val="center"/>
        </w:tblPrEx>
        <w:trPr>
          <w:jc w:val="center"/>
        </w:trPr>
        <w:tc>
          <w:tcPr>
            <w:tcW w:w="50" w:type="pct"/>
            <w:gridSpan w:val="2"/>
            <w:vAlign w:val="center"/>
            <w:hideMark/>
          </w:tcPr>
          <w:p w:rsidR="00000000" w:rsidRDefault="00E0782F">
            <w:pPr>
              <w:jc w:val="both"/>
              <w:rPr>
                <w:rFonts w:eastAsia="Times New Roman"/>
              </w:rPr>
            </w:pPr>
          </w:p>
        </w:tc>
        <w:tc>
          <w:tcPr>
            <w:tcW w:w="1606" w:type="pct"/>
            <w:gridSpan w:val="2"/>
            <w:vAlign w:val="center"/>
            <w:hideMark/>
          </w:tcPr>
          <w:p w:rsidR="00000000" w:rsidRDefault="00E0782F">
            <w:pPr>
              <w:spacing w:after="100"/>
              <w:rPr>
                <w:rFonts w:eastAsia="Times New Roman"/>
                <w:sz w:val="20"/>
                <w:szCs w:val="20"/>
              </w:rPr>
            </w:pPr>
          </w:p>
        </w:tc>
        <w:tc>
          <w:tcPr>
            <w:tcW w:w="5" w:type="pct"/>
            <w:gridSpan w:val="5"/>
            <w:vAlign w:val="center"/>
            <w:hideMark/>
          </w:tcPr>
          <w:p w:rsidR="00000000" w:rsidRDefault="00E0782F">
            <w:pPr>
              <w:spacing w:after="100"/>
              <w:rPr>
                <w:rFonts w:eastAsia="Times New Roman"/>
                <w:sz w:val="20"/>
                <w:szCs w:val="20"/>
              </w:rPr>
            </w:pPr>
          </w:p>
        </w:tc>
        <w:tc>
          <w:tcPr>
            <w:tcW w:w="50" w:type="pct"/>
            <w:gridSpan w:val="2"/>
            <w:vAlign w:val="center"/>
            <w:hideMark/>
          </w:tcPr>
          <w:p w:rsidR="00000000" w:rsidRDefault="00E0782F">
            <w:pPr>
              <w:spacing w:after="100"/>
              <w:rPr>
                <w:rFonts w:eastAsia="Times New Roman"/>
                <w:sz w:val="20"/>
                <w:szCs w:val="20"/>
              </w:rPr>
            </w:pPr>
          </w:p>
        </w:tc>
        <w:tc>
          <w:tcPr>
            <w:tcW w:w="1614" w:type="pct"/>
            <w:gridSpan w:val="19"/>
            <w:vAlign w:val="center"/>
            <w:hideMark/>
          </w:tcPr>
          <w:p w:rsidR="00000000" w:rsidRDefault="00E0782F">
            <w:pPr>
              <w:spacing w:after="100"/>
              <w:rPr>
                <w:rFonts w:eastAsia="Times New Roman"/>
                <w:sz w:val="20"/>
                <w:szCs w:val="20"/>
              </w:rPr>
            </w:pPr>
          </w:p>
        </w:tc>
        <w:tc>
          <w:tcPr>
            <w:tcW w:w="5" w:type="pct"/>
            <w:gridSpan w:val="5"/>
            <w:vAlign w:val="center"/>
            <w:hideMark/>
          </w:tcPr>
          <w:p w:rsidR="00000000" w:rsidRDefault="00E0782F">
            <w:pPr>
              <w:spacing w:after="100"/>
              <w:rPr>
                <w:rFonts w:eastAsia="Times New Roman"/>
                <w:sz w:val="20"/>
                <w:szCs w:val="20"/>
              </w:rPr>
            </w:pPr>
          </w:p>
        </w:tc>
        <w:tc>
          <w:tcPr>
            <w:tcW w:w="50" w:type="pct"/>
            <w:gridSpan w:val="3"/>
            <w:vAlign w:val="center"/>
            <w:hideMark/>
          </w:tcPr>
          <w:p w:rsidR="00000000" w:rsidRDefault="00E0782F">
            <w:pPr>
              <w:spacing w:after="100"/>
              <w:rPr>
                <w:rFonts w:eastAsia="Times New Roman"/>
                <w:sz w:val="20"/>
                <w:szCs w:val="20"/>
              </w:rPr>
            </w:pPr>
          </w:p>
        </w:tc>
        <w:tc>
          <w:tcPr>
            <w:tcW w:w="1614" w:type="pct"/>
            <w:gridSpan w:val="15"/>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blPrEx>
          <w:tblW w:w="4992" w:type="pct"/>
          <w:jc w:val="center"/>
        </w:tblPrEx>
        <w:trPr>
          <w:trHeight w:val="300"/>
          <w:jc w:val="center"/>
        </w:trPr>
        <w:tc>
          <w:tcPr>
            <w:tcW w:w="0" w:type="auto"/>
            <w:gridSpan w:val="54"/>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blPrEx>
          <w:tblW w:w="4992" w:type="pct"/>
          <w:jc w:val="center"/>
        </w:tblPrEx>
        <w:trPr>
          <w:jc w:val="center"/>
        </w:trPr>
        <w:tc>
          <w:tcPr>
            <w:tcW w:w="0" w:type="auto"/>
            <w:gridSpan w:val="9"/>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26"/>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168</w:t>
            </w:r>
          </w:p>
        </w:tc>
        <w:tc>
          <w:tcPr>
            <w:tcW w:w="0" w:type="auto"/>
            <w:gridSpan w:val="19"/>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4" style="width:0;height:1.5pt" o:hralign="center" o:hrstd="t" o:hr="t" fillcolor="#a0a0a0" stroked="f"/>
        </w:pict>
      </w:r>
    </w:p>
    <w:p w:rsidR="00000000" w:rsidRDefault="00E0782F">
      <w:pPr>
        <w:jc w:val="both"/>
        <w:divId w:val="1770730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7707302"/>
        <w:rPr>
          <w:rFonts w:eastAsia="Times New Roman"/>
        </w:rPr>
      </w:pPr>
    </w:p>
    <w:p w:rsidR="00000000" w:rsidRDefault="00E0782F">
      <w:pPr>
        <w:jc w:val="center"/>
        <w:divId w:val="17707302"/>
        <w:rPr>
          <w:rFonts w:eastAsia="Times New Roman"/>
        </w:rPr>
      </w:pPr>
      <w:r>
        <w:rPr>
          <w:rFonts w:eastAsia="Times New Roman"/>
          <w:b/>
          <w:bCs/>
          <w:color w:val="000000"/>
          <w:sz w:val="20"/>
          <w:szCs w:val="20"/>
        </w:rPr>
        <w:t>CAPITAL ONE FINANCIAL CORPORATION</w:t>
      </w:r>
    </w:p>
    <w:p w:rsidR="00000000" w:rsidRDefault="00E0782F">
      <w:pPr>
        <w:jc w:val="center"/>
        <w:divId w:val="17707302"/>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77701866"/>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37770186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9—DERIVATIVE INSTRUMENTS AND HEDGING ACTIVITIES</w:t>
            </w:r>
          </w:p>
        </w:tc>
      </w:tr>
    </w:tbl>
    <w:p w:rsidR="00000000" w:rsidRDefault="00E0782F">
      <w:pPr>
        <w:divId w:val="1213882775"/>
        <w:rPr>
          <w:rFonts w:eastAsia="Times New Roman"/>
        </w:rPr>
      </w:pPr>
      <w:r>
        <w:rPr>
          <w:rFonts w:eastAsia="Times New Roman"/>
          <w:b/>
          <w:bCs/>
          <w:color w:val="000000"/>
          <w:sz w:val="20"/>
          <w:szCs w:val="20"/>
        </w:rPr>
        <w:t>Use of Derivatives and Accounting for Derivatives</w:t>
      </w:r>
    </w:p>
    <w:p w:rsidR="00000000" w:rsidRDefault="00E0782F">
      <w:pPr>
        <w:jc w:val="both"/>
        <w:divId w:val="1940065213"/>
        <w:rPr>
          <w:rFonts w:eastAsia="Times New Roman"/>
        </w:rPr>
      </w:pPr>
      <w:r>
        <w:rPr>
          <w:rFonts w:eastAsia="Times New Roman"/>
          <w:color w:val="000000"/>
          <w:sz w:val="20"/>
          <w:szCs w:val="20"/>
        </w:rPr>
        <w:t>We regularly enter into derivative transactions to support our overall risk management activities. Our primary market risks stem from the impact on our earnings and economic value of equity due to changes i</w:t>
      </w:r>
      <w:r>
        <w:rPr>
          <w:rFonts w:eastAsia="Times New Roman"/>
          <w:color w:val="000000"/>
          <w:sz w:val="20"/>
          <w:szCs w:val="20"/>
        </w:rPr>
        <w:t>n interest rates and, to a lesser extent, changes in foreign exchange rates. We manage our interest rate sensitivity by employing several techniques, which include changing the duration and re-pricing characteristics of various assets and liabilities by us</w:t>
      </w:r>
      <w:r>
        <w:rPr>
          <w:rFonts w:eastAsia="Times New Roman"/>
          <w:color w:val="000000"/>
          <w:sz w:val="20"/>
          <w:szCs w:val="20"/>
        </w:rPr>
        <w:t>ing interest rate derivatives. We also use foreign currency derivatives to limit our earnings and capital exposures to foreign exchange risk by hedging exposures denominated in foreign currencies. We primarily use interest rate and foreign currency derivat</w:t>
      </w:r>
      <w:r>
        <w:rPr>
          <w:rFonts w:eastAsia="Times New Roman"/>
          <w:color w:val="000000"/>
          <w:sz w:val="20"/>
          <w:szCs w:val="20"/>
        </w:rPr>
        <w:t>ives to hedge, but we may also use a variety of other derivative instruments, including caps, floors, options, futures and forward contracts, to manage our interest rate and foreign exchange risks. We designate these risk management derivatives as either q</w:t>
      </w:r>
      <w:r>
        <w:rPr>
          <w:rFonts w:eastAsia="Times New Roman"/>
          <w:color w:val="000000"/>
          <w:sz w:val="20"/>
          <w:szCs w:val="20"/>
        </w:rPr>
        <w:t>ualifying accounting hedges or free-standing derivatives. Qualifying accounting hedges are further designated as fair value hedges, cash flow hedges or net investment hedges. Free-standing derivatives are economic hedges that do not qualify for hedge accou</w:t>
      </w:r>
      <w:r>
        <w:rPr>
          <w:rFonts w:eastAsia="Times New Roman"/>
          <w:color w:val="000000"/>
          <w:sz w:val="20"/>
          <w:szCs w:val="20"/>
        </w:rPr>
        <w:t xml:space="preserve">nting. </w:t>
      </w:r>
    </w:p>
    <w:p w:rsidR="00000000" w:rsidRDefault="00E0782F">
      <w:pPr>
        <w:jc w:val="both"/>
        <w:divId w:val="1588810198"/>
        <w:rPr>
          <w:rFonts w:eastAsia="Times New Roman"/>
        </w:rPr>
      </w:pPr>
      <w:r>
        <w:rPr>
          <w:rFonts w:eastAsia="Times New Roman"/>
          <w:color w:val="000000"/>
          <w:sz w:val="20"/>
          <w:szCs w:val="20"/>
        </w:rPr>
        <w:t>We also offer interest rate, commodity, foreign currency derivatives and other contracts as an accommodation to our customers within our Commercial Banking business. We enter into these derivatives with our customers primarily to help them manage t</w:t>
      </w:r>
      <w:r>
        <w:rPr>
          <w:rFonts w:eastAsia="Times New Roman"/>
          <w:color w:val="000000"/>
          <w:sz w:val="20"/>
          <w:szCs w:val="20"/>
        </w:rPr>
        <w:t xml:space="preserve">heir interest rate risks, hedge their energy and other commodities exposures, and manage foreign currency fluctuations. We then enter into derivative contracts with counterparties to economically hedge substantially all of our subsequent exposures. </w:t>
      </w:r>
    </w:p>
    <w:p w:rsidR="00000000" w:rsidRDefault="00E0782F">
      <w:pPr>
        <w:jc w:val="both"/>
        <w:divId w:val="419563468"/>
        <w:rPr>
          <w:rFonts w:eastAsia="Times New Roman"/>
        </w:rPr>
      </w:pPr>
      <w:r>
        <w:rPr>
          <w:rFonts w:eastAsia="Times New Roman"/>
          <w:color w:val="000000"/>
          <w:sz w:val="20"/>
          <w:szCs w:val="20"/>
        </w:rPr>
        <w:t>See be</w:t>
      </w:r>
      <w:r>
        <w:rPr>
          <w:rFonts w:eastAsia="Times New Roman"/>
          <w:color w:val="000000"/>
          <w:sz w:val="20"/>
          <w:szCs w:val="20"/>
        </w:rPr>
        <w:t>low for additional information on our use of derivatives and how we account for them:</w:t>
      </w:r>
    </w:p>
    <w:p w:rsidR="00000000" w:rsidRDefault="00E0782F">
      <w:pPr>
        <w:ind w:hanging="360"/>
        <w:jc w:val="both"/>
        <w:divId w:val="808405126"/>
        <w:rPr>
          <w:rFonts w:eastAsia="Times New Roman"/>
        </w:rPr>
      </w:pPr>
      <w:r>
        <w:rPr>
          <w:rFonts w:eastAsia="Times New Roman"/>
          <w:i/>
          <w:iCs/>
          <w:color w:val="000000"/>
          <w:sz w:val="20"/>
          <w:szCs w:val="20"/>
        </w:rPr>
        <w:t>•Fair Value Hedges:</w:t>
      </w:r>
      <w:r>
        <w:rPr>
          <w:rFonts w:eastAsia="Times New Roman"/>
          <w:color w:val="000000"/>
          <w:sz w:val="20"/>
          <w:szCs w:val="20"/>
        </w:rPr>
        <w:t xml:space="preserve"> We designate derivatives as fair value hedges when they are used to manage our exposure to changes in the fair value of certain financial assets and l</w:t>
      </w:r>
      <w:r>
        <w:rPr>
          <w:rFonts w:eastAsia="Times New Roman"/>
          <w:color w:val="000000"/>
          <w:sz w:val="20"/>
          <w:szCs w:val="20"/>
        </w:rPr>
        <w:t>iabilities, which fluctuate in value as a result of movements in interest rates. Changes in the fair value of derivatives designated as fair value hedges are presented in the same line item in our consolidated statements of income as the earnings effect of</w:t>
      </w:r>
      <w:r>
        <w:rPr>
          <w:rFonts w:eastAsia="Times New Roman"/>
          <w:color w:val="000000"/>
          <w:sz w:val="20"/>
          <w:szCs w:val="20"/>
        </w:rPr>
        <w:t xml:space="preserve"> the hedged items. Our fair value hedges primarily consist of interest rate swaps that are intended to modify our exposure to interest rate risk on various fixed-rate financial assets and liabilities.</w:t>
      </w:r>
    </w:p>
    <w:p w:rsidR="00000000" w:rsidRDefault="00E0782F">
      <w:pPr>
        <w:ind w:hanging="360"/>
        <w:jc w:val="both"/>
        <w:divId w:val="1682779644"/>
        <w:rPr>
          <w:rFonts w:eastAsia="Times New Roman"/>
        </w:rPr>
      </w:pPr>
      <w:r>
        <w:rPr>
          <w:rFonts w:eastAsia="Times New Roman"/>
          <w:i/>
          <w:iCs/>
          <w:color w:val="000000"/>
          <w:sz w:val="20"/>
          <w:szCs w:val="20"/>
        </w:rPr>
        <w:t>•Cash Flow Hedges:</w:t>
      </w:r>
      <w:r>
        <w:rPr>
          <w:rFonts w:eastAsia="Times New Roman"/>
          <w:color w:val="000000"/>
          <w:sz w:val="20"/>
          <w:szCs w:val="20"/>
        </w:rPr>
        <w:t xml:space="preserve"> We designate derivatives as cash flo</w:t>
      </w:r>
      <w:r>
        <w:rPr>
          <w:rFonts w:eastAsia="Times New Roman"/>
          <w:color w:val="000000"/>
          <w:sz w:val="20"/>
          <w:szCs w:val="20"/>
        </w:rPr>
        <w:t xml:space="preserve">w hedges when they are used to manage our exposure to variability in cash flows related to forecasted transactions. Changes in the fair value of derivatives designated as cash flow hedges are recorded as a component of AOCI. Those amounts are reclassified </w:t>
      </w:r>
      <w:r>
        <w:rPr>
          <w:rFonts w:eastAsia="Times New Roman"/>
          <w:color w:val="000000"/>
          <w:sz w:val="20"/>
          <w:szCs w:val="20"/>
        </w:rPr>
        <w:t xml:space="preserve">into earnings in the same period during which the forecasted transactions impact earnings and presented in the same line item in our consolidated statements of income as the earnings effect of the hedged items. Our cash flow hedges use interest rate swaps </w:t>
      </w:r>
      <w:r>
        <w:rPr>
          <w:rFonts w:eastAsia="Times New Roman"/>
          <w:color w:val="000000"/>
          <w:sz w:val="20"/>
          <w:szCs w:val="20"/>
        </w:rPr>
        <w:t>and floors that are intended to hedge the variability in interest receipts or interest payments on some of our variable-rate financial assets or liabilities. We also enter into foreign currency forward contracts to hedge our exposure to variability in cash</w:t>
      </w:r>
      <w:r>
        <w:rPr>
          <w:rFonts w:eastAsia="Times New Roman"/>
          <w:color w:val="000000"/>
          <w:sz w:val="20"/>
          <w:szCs w:val="20"/>
        </w:rPr>
        <w:t xml:space="preserve"> flows related to intercompany borrowings denominated in foreign currencies.</w:t>
      </w:r>
    </w:p>
    <w:p w:rsidR="00000000" w:rsidRDefault="00E0782F">
      <w:pPr>
        <w:ind w:hanging="360"/>
        <w:jc w:val="both"/>
        <w:divId w:val="1078942229"/>
        <w:rPr>
          <w:rFonts w:eastAsia="Times New Roman"/>
        </w:rPr>
      </w:pPr>
      <w:r>
        <w:rPr>
          <w:rFonts w:eastAsia="Times New Roman"/>
          <w:color w:val="000000"/>
          <w:sz w:val="20"/>
          <w:szCs w:val="20"/>
        </w:rPr>
        <w:t>•</w:t>
      </w:r>
      <w:r>
        <w:rPr>
          <w:rFonts w:eastAsia="Times New Roman"/>
          <w:i/>
          <w:iCs/>
          <w:color w:val="000000"/>
          <w:sz w:val="20"/>
          <w:szCs w:val="20"/>
        </w:rPr>
        <w:t xml:space="preserve">Net Investment Hedges: </w:t>
      </w:r>
      <w:r>
        <w:rPr>
          <w:rFonts w:eastAsia="Times New Roman"/>
          <w:color w:val="000000"/>
          <w:sz w:val="20"/>
          <w:szCs w:val="20"/>
        </w:rPr>
        <w:t>We use net investment hedges to manage the foreign currency exposure related to our net investments in foreign operations that have functional currencies o</w:t>
      </w:r>
      <w:r>
        <w:rPr>
          <w:rFonts w:eastAsia="Times New Roman"/>
          <w:color w:val="000000"/>
          <w:sz w:val="20"/>
          <w:szCs w:val="20"/>
        </w:rPr>
        <w:t>ther than the U.S. dollar. Changes in the fair value of net investment hedges are recorded in the translation adjustment component of AOCI, offsetting the translation gain or loss from those foreign operations. We execute net investment hedges using foreig</w:t>
      </w:r>
      <w:r>
        <w:rPr>
          <w:rFonts w:eastAsia="Times New Roman"/>
          <w:color w:val="000000"/>
          <w:sz w:val="20"/>
          <w:szCs w:val="20"/>
        </w:rPr>
        <w:t>n currency forward contracts to hedge the translation exposure of the net investment in our foreign operations under the forward method.</w:t>
      </w:r>
    </w:p>
    <w:p w:rsidR="00000000" w:rsidRDefault="00E0782F">
      <w:pPr>
        <w:ind w:hanging="360"/>
        <w:jc w:val="both"/>
        <w:divId w:val="1813717366"/>
        <w:rPr>
          <w:rFonts w:eastAsia="Times New Roman"/>
        </w:rPr>
      </w:pPr>
      <w:r>
        <w:rPr>
          <w:rFonts w:eastAsia="Times New Roman"/>
          <w:i/>
          <w:iCs/>
          <w:color w:val="000000"/>
          <w:sz w:val="20"/>
          <w:szCs w:val="20"/>
        </w:rPr>
        <w:t>•Free-Standing Derivatives:</w:t>
      </w:r>
      <w:r>
        <w:rPr>
          <w:rFonts w:eastAsia="Times New Roman"/>
          <w:color w:val="000000"/>
          <w:sz w:val="20"/>
          <w:szCs w:val="20"/>
        </w:rPr>
        <w:t xml:space="preserve"> Our free-standing derivatives primarily consist of our customer accommodation derivatives a</w:t>
      </w:r>
      <w:r>
        <w:rPr>
          <w:rFonts w:eastAsia="Times New Roman"/>
          <w:color w:val="000000"/>
          <w:sz w:val="20"/>
          <w:szCs w:val="20"/>
        </w:rPr>
        <w:t xml:space="preserve">nd other economic hedges. The customer accommodation derivatives and the related offsetting contracts are mainly interest rate, commodity and foreign currency contracts. The other free-standing derivatives are primarily used to economically hedge the risk </w:t>
      </w:r>
      <w:r>
        <w:rPr>
          <w:rFonts w:eastAsia="Times New Roman"/>
          <w:color w:val="000000"/>
          <w:sz w:val="20"/>
          <w:szCs w:val="20"/>
        </w:rPr>
        <w:t>of changes in the fair value of our commercial mortgage loan origination and purchase commitments as well as other interests held. Changes in the fair value of free-standing derivatives are recorded in earnings as a component of other non-interest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7651292"/>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765129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765129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169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5" style="width:0;height:1.5pt" o:hralign="center" o:hrstd="t" o:hr="t" fillcolor="#a0a0a0" stroked="f"/>
        </w:pict>
      </w:r>
    </w:p>
    <w:p w:rsidR="00000000" w:rsidRDefault="00E0782F">
      <w:pPr>
        <w:jc w:val="both"/>
        <w:divId w:val="154169897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541698975"/>
        <w:rPr>
          <w:rFonts w:eastAsia="Times New Roman"/>
        </w:rPr>
      </w:pPr>
    </w:p>
    <w:p w:rsidR="00000000" w:rsidRDefault="00E0782F">
      <w:pPr>
        <w:jc w:val="center"/>
        <w:divId w:val="1541698975"/>
        <w:rPr>
          <w:rFonts w:eastAsia="Times New Roman"/>
        </w:rPr>
      </w:pPr>
      <w:r>
        <w:rPr>
          <w:rFonts w:eastAsia="Times New Roman"/>
          <w:b/>
          <w:bCs/>
          <w:color w:val="000000"/>
          <w:sz w:val="20"/>
          <w:szCs w:val="20"/>
        </w:rPr>
        <w:t>CAPITAL ONE FINANCIAL CORPORATION</w:t>
      </w:r>
    </w:p>
    <w:p w:rsidR="00000000" w:rsidRDefault="00E0782F">
      <w:pPr>
        <w:jc w:val="center"/>
        <w:divId w:val="1541698975"/>
        <w:rPr>
          <w:rFonts w:eastAsia="Times New Roman"/>
        </w:rPr>
      </w:pPr>
      <w:r>
        <w:rPr>
          <w:rFonts w:eastAsia="Times New Roman"/>
          <w:b/>
          <w:bCs/>
          <w:color w:val="000000"/>
          <w:sz w:val="20"/>
          <w:szCs w:val="20"/>
        </w:rPr>
        <w:t>NOTES TO CONSOLIDATED FINANCIAL STATEMENTS</w:t>
      </w:r>
    </w:p>
    <w:p w:rsidR="00000000" w:rsidRDefault="00E0782F">
      <w:pPr>
        <w:divId w:val="1953517353"/>
        <w:rPr>
          <w:rFonts w:eastAsia="Times New Roman"/>
        </w:rPr>
      </w:pPr>
      <w:r>
        <w:rPr>
          <w:rFonts w:eastAsia="Times New Roman"/>
          <w:b/>
          <w:bCs/>
          <w:color w:val="000000"/>
          <w:sz w:val="20"/>
          <w:szCs w:val="20"/>
        </w:rPr>
        <w:t>Derivatives Counterparty Credit Risk</w:t>
      </w:r>
    </w:p>
    <w:p w:rsidR="00000000" w:rsidRDefault="00E0782F">
      <w:pPr>
        <w:divId w:val="2054577211"/>
        <w:rPr>
          <w:rFonts w:eastAsia="Times New Roman"/>
        </w:rPr>
      </w:pPr>
      <w:r>
        <w:rPr>
          <w:rFonts w:eastAsia="Times New Roman"/>
          <w:b/>
          <w:bCs/>
          <w:i/>
          <w:iCs/>
          <w:color w:val="000000"/>
          <w:sz w:val="20"/>
          <w:szCs w:val="20"/>
        </w:rPr>
        <w:t>Counterparty Types</w:t>
      </w:r>
    </w:p>
    <w:p w:rsidR="00000000" w:rsidRDefault="00E0782F">
      <w:pPr>
        <w:jc w:val="both"/>
        <w:divId w:val="1523594913"/>
        <w:rPr>
          <w:rFonts w:eastAsia="Times New Roman"/>
        </w:rPr>
      </w:pPr>
      <w:r>
        <w:rPr>
          <w:rFonts w:eastAsia="Times New Roman"/>
          <w:color w:val="000000"/>
          <w:sz w:val="20"/>
          <w:szCs w:val="20"/>
        </w:rPr>
        <w:t xml:space="preserve">Derivative instruments contain an element of credit risk that arises from the potential failure of a counterparty to perform according to the terms of the contract, including making payments due upon </w:t>
      </w:r>
      <w:r>
        <w:rPr>
          <w:rFonts w:eastAsia="Times New Roman"/>
          <w:color w:val="000000"/>
          <w:sz w:val="20"/>
          <w:szCs w:val="20"/>
        </w:rPr>
        <w:t>maturity of certain derivative instruments. We execute our derivative contracts primarily in OTC markets. We also execute interest rate and commodity futures in the exchange-traded derivative markets. Our OTC derivatives consist of both trades cleared thro</w:t>
      </w:r>
      <w:r>
        <w:rPr>
          <w:rFonts w:eastAsia="Times New Roman"/>
          <w:color w:val="000000"/>
          <w:sz w:val="20"/>
          <w:szCs w:val="20"/>
        </w:rPr>
        <w:t>ugh central counterparty clearinghouses (“CCPs”) and uncleared bilateral contracts. The Chicago Mercantile Exchange (“CME”) and the LCH Group (“LCH”) are our CCPs in our centrally cleared contracts. In our uncleared bilateral contracts, we enter into agree</w:t>
      </w:r>
      <w:r>
        <w:rPr>
          <w:rFonts w:eastAsia="Times New Roman"/>
          <w:color w:val="000000"/>
          <w:sz w:val="20"/>
          <w:szCs w:val="20"/>
        </w:rPr>
        <w:t xml:space="preserve">ments directly with our derivative counterparties. </w:t>
      </w:r>
    </w:p>
    <w:p w:rsidR="00000000" w:rsidRDefault="00E0782F">
      <w:pPr>
        <w:divId w:val="1346636758"/>
        <w:rPr>
          <w:rFonts w:eastAsia="Times New Roman"/>
        </w:rPr>
      </w:pPr>
      <w:r>
        <w:rPr>
          <w:rFonts w:eastAsia="Times New Roman"/>
          <w:b/>
          <w:bCs/>
          <w:i/>
          <w:iCs/>
          <w:color w:val="000000"/>
          <w:sz w:val="20"/>
          <w:szCs w:val="20"/>
        </w:rPr>
        <w:t>Counterparty Credit Risk Management</w:t>
      </w:r>
    </w:p>
    <w:p w:rsidR="00000000" w:rsidRDefault="00E0782F">
      <w:pPr>
        <w:jc w:val="both"/>
        <w:divId w:val="227959917"/>
        <w:rPr>
          <w:rFonts w:eastAsia="Times New Roman"/>
        </w:rPr>
      </w:pPr>
      <w:r>
        <w:rPr>
          <w:rFonts w:eastAsia="Times New Roman"/>
          <w:color w:val="000000"/>
          <w:sz w:val="20"/>
          <w:szCs w:val="20"/>
        </w:rPr>
        <w:t>We manage the counterparty credit risk associated with derivative instruments by entering into legally enforceable master netting arrangements, where possible, and exch</w:t>
      </w:r>
      <w:r>
        <w:rPr>
          <w:rFonts w:eastAsia="Times New Roman"/>
          <w:color w:val="000000"/>
          <w:sz w:val="20"/>
          <w:szCs w:val="20"/>
        </w:rPr>
        <w:t>anging collateral with our counterparties, typically in the form of cash or high-quality liquid securities. The amount of collateral exchanged is dependent upon the fair value of the derivative instruments as well as the fair value of the pledged collatera</w:t>
      </w:r>
      <w:r>
        <w:rPr>
          <w:rFonts w:eastAsia="Times New Roman"/>
          <w:color w:val="000000"/>
          <w:sz w:val="20"/>
          <w:szCs w:val="20"/>
        </w:rPr>
        <w:t>l and will vary over time as market variables change. When valuing collateral, an estimate of the variation in price and liquidity over time is subtracted in the form of a “haircut” to discount the value of the collateral pledged. Our exposure to derivativ</w:t>
      </w:r>
      <w:r>
        <w:rPr>
          <w:rFonts w:eastAsia="Times New Roman"/>
          <w:color w:val="000000"/>
          <w:sz w:val="20"/>
          <w:szCs w:val="20"/>
        </w:rPr>
        <w:t xml:space="preserve">e counterparty credit risk, at any point in time, is equal to the amount reported as a derivative asset on our balance sheet. The fair value of our derivatives is adjusted on an aggregate basis to take into consideration the effects of legally enforceable </w:t>
      </w:r>
      <w:r>
        <w:rPr>
          <w:rFonts w:eastAsia="Times New Roman"/>
          <w:color w:val="000000"/>
          <w:sz w:val="20"/>
          <w:szCs w:val="20"/>
        </w:rPr>
        <w:t xml:space="preserve">master netting agreements and any associated cash collateral received or pledged. See Table 9.3 for our net exposure associated with derivatives. </w:t>
      </w:r>
    </w:p>
    <w:p w:rsidR="00000000" w:rsidRDefault="00E0782F">
      <w:pPr>
        <w:jc w:val="both"/>
        <w:divId w:val="1634403360"/>
        <w:rPr>
          <w:rFonts w:eastAsia="Times New Roman"/>
        </w:rPr>
      </w:pPr>
      <w:r>
        <w:rPr>
          <w:rFonts w:eastAsia="Times New Roman"/>
          <w:color w:val="000000"/>
          <w:sz w:val="20"/>
          <w:szCs w:val="20"/>
        </w:rPr>
        <w:t>The terms under which we collateralize our exposures differ between cleared exposures and uncleared bilateral</w:t>
      </w:r>
      <w:r>
        <w:rPr>
          <w:rFonts w:eastAsia="Times New Roman"/>
          <w:color w:val="000000"/>
          <w:sz w:val="20"/>
          <w:szCs w:val="20"/>
        </w:rPr>
        <w:t xml:space="preserve"> exposures.</w:t>
      </w:r>
    </w:p>
    <w:p w:rsidR="00000000" w:rsidRDefault="00E0782F">
      <w:pPr>
        <w:ind w:hanging="360"/>
        <w:jc w:val="both"/>
        <w:divId w:val="1407655479"/>
        <w:rPr>
          <w:rFonts w:eastAsia="Times New Roman"/>
        </w:rPr>
      </w:pPr>
      <w:r>
        <w:rPr>
          <w:rFonts w:eastAsia="Times New Roman"/>
          <w:color w:val="000000"/>
          <w:sz w:val="20"/>
          <w:szCs w:val="20"/>
        </w:rPr>
        <w:t>•</w:t>
      </w:r>
      <w:r>
        <w:rPr>
          <w:rFonts w:eastAsia="Times New Roman"/>
          <w:i/>
          <w:iCs/>
          <w:color w:val="000000"/>
          <w:sz w:val="20"/>
          <w:szCs w:val="20"/>
        </w:rPr>
        <w:t>CCPs</w:t>
      </w:r>
      <w:r>
        <w:rPr>
          <w:rFonts w:eastAsia="Times New Roman"/>
          <w:color w:val="000000"/>
          <w:sz w:val="20"/>
          <w:szCs w:val="20"/>
        </w:rPr>
        <w:t>: We clear eligible OTC derivatives with CCPs as part of our regulatory requirements. Futures commission merchants (“FCMs”) serve as the intermediary between CCPs and us. CCPs require that we post initial and variation margin through our F</w:t>
      </w:r>
      <w:r>
        <w:rPr>
          <w:rFonts w:eastAsia="Times New Roman"/>
          <w:color w:val="000000"/>
          <w:sz w:val="20"/>
          <w:szCs w:val="20"/>
        </w:rPr>
        <w:t>CMs to mitigate the risk of non-payment or default. Initial margin is required upfront by CCPs as collateral against potential losses on our cleared derivative contracts and variation margin is exchanged on a daily basis to account for mark-to-market chang</w:t>
      </w:r>
      <w:r>
        <w:rPr>
          <w:rFonts w:eastAsia="Times New Roman"/>
          <w:color w:val="000000"/>
          <w:sz w:val="20"/>
          <w:szCs w:val="20"/>
        </w:rPr>
        <w:t>es in those derivative contracts. For CME and LCH-cleared OTC derivatives, we characterize variation margin cash payments as settlements. Our FCM agreements governing these derivative transactions include provisions that may require us to post additional c</w:t>
      </w:r>
      <w:r>
        <w:rPr>
          <w:rFonts w:eastAsia="Times New Roman"/>
          <w:color w:val="000000"/>
          <w:sz w:val="20"/>
          <w:szCs w:val="20"/>
        </w:rPr>
        <w:t xml:space="preserve">ollateral under certain circumstances. </w:t>
      </w:r>
    </w:p>
    <w:p w:rsidR="00000000" w:rsidRDefault="00E0782F">
      <w:pPr>
        <w:ind w:hanging="360"/>
        <w:jc w:val="both"/>
        <w:divId w:val="1178614348"/>
        <w:rPr>
          <w:rFonts w:eastAsia="Times New Roman"/>
        </w:rPr>
      </w:pPr>
      <w:r>
        <w:rPr>
          <w:rFonts w:eastAsia="Times New Roman"/>
          <w:color w:val="000000"/>
          <w:sz w:val="20"/>
          <w:szCs w:val="20"/>
        </w:rPr>
        <w:t>•</w:t>
      </w:r>
      <w:r>
        <w:rPr>
          <w:rFonts w:eastAsia="Times New Roman"/>
          <w:i/>
          <w:iCs/>
          <w:color w:val="000000"/>
          <w:sz w:val="20"/>
          <w:szCs w:val="20"/>
        </w:rPr>
        <w:t>Bilateral Counterparties</w:t>
      </w:r>
      <w:r>
        <w:rPr>
          <w:rFonts w:eastAsia="Times New Roman"/>
          <w:color w:val="000000"/>
          <w:sz w:val="20"/>
          <w:szCs w:val="20"/>
        </w:rPr>
        <w:t>: We enter into legally enforceable master netting agreements and collateral agreements, where possible, with bilateral derivative counterparties to mitigate the risk of default. We review ou</w:t>
      </w:r>
      <w:r>
        <w:rPr>
          <w:rFonts w:eastAsia="Times New Roman"/>
          <w:color w:val="000000"/>
          <w:sz w:val="20"/>
          <w:szCs w:val="20"/>
        </w:rPr>
        <w:t>r collateral positions on a daily basis and exchange collateral with our counterparties in accordance with these agreements. These bilateral agreements typically provide the right to offset exposure with the same counterparty and require the party in a net</w:t>
      </w:r>
      <w:r>
        <w:rPr>
          <w:rFonts w:eastAsia="Times New Roman"/>
          <w:color w:val="000000"/>
          <w:sz w:val="20"/>
          <w:szCs w:val="20"/>
        </w:rPr>
        <w:t xml:space="preserve"> liability position to post collateral. Agreements with certain bilateral counterparties require both parties to maintain collateral in the event the fair values of derivative instruments exceed established exposure thresholds. Certain of these bilateral a</w:t>
      </w:r>
      <w:r>
        <w:rPr>
          <w:rFonts w:eastAsia="Times New Roman"/>
          <w:color w:val="000000"/>
          <w:sz w:val="20"/>
          <w:szCs w:val="20"/>
        </w:rPr>
        <w:t>greements include provisions requiring that our debt maintain a credit rating of investment grade or above by each of the major credit rating agencies. In the event of a downgrade of our debt credit rating below investment grade, some of our counterparties</w:t>
      </w:r>
      <w:r>
        <w:rPr>
          <w:rFonts w:eastAsia="Times New Roman"/>
          <w:color w:val="000000"/>
          <w:sz w:val="20"/>
          <w:szCs w:val="20"/>
        </w:rPr>
        <w:t xml:space="preserve"> would have the right to terminate their derivative contract and close out existing positions. </w:t>
      </w:r>
    </w:p>
    <w:p w:rsidR="00000000" w:rsidRDefault="00E0782F">
      <w:pPr>
        <w:divId w:val="314189566"/>
        <w:rPr>
          <w:rFonts w:eastAsia="Times New Roman"/>
        </w:rPr>
      </w:pPr>
      <w:r>
        <w:rPr>
          <w:rFonts w:eastAsia="Times New Roman"/>
          <w:b/>
          <w:bCs/>
          <w:color w:val="000000"/>
          <w:sz w:val="20"/>
          <w:szCs w:val="20"/>
        </w:rPr>
        <w:t>Credit Risk Valuation Adjustments</w:t>
      </w:r>
    </w:p>
    <w:p w:rsidR="00000000" w:rsidRDefault="00E0782F">
      <w:pPr>
        <w:jc w:val="both"/>
        <w:divId w:val="2045054588"/>
        <w:rPr>
          <w:rFonts w:eastAsia="Times New Roman"/>
        </w:rPr>
      </w:pPr>
      <w:r>
        <w:rPr>
          <w:rFonts w:eastAsia="Times New Roman"/>
          <w:color w:val="000000"/>
          <w:sz w:val="20"/>
          <w:szCs w:val="20"/>
        </w:rPr>
        <w:t>We record counterparty credit valuation adjustments (“CVAs”) on our derivative assets to reflect the credit quality of our cou</w:t>
      </w:r>
      <w:r>
        <w:rPr>
          <w:rFonts w:eastAsia="Times New Roman"/>
          <w:color w:val="000000"/>
          <w:sz w:val="20"/>
          <w:szCs w:val="20"/>
        </w:rPr>
        <w:t>nterparties. We consider collateral and legally enforceable master netting agreements that mitigate our credit exposure to each counterparty in determining CVAs, which may be adjusted due to changes in the fair values of the derivative contracts, collatera</w:t>
      </w:r>
      <w:r>
        <w:rPr>
          <w:rFonts w:eastAsia="Times New Roman"/>
          <w:color w:val="000000"/>
          <w:sz w:val="20"/>
          <w:szCs w:val="20"/>
        </w:rPr>
        <w:t xml:space="preserve">l, and creditworthiness of the counterparty. We also record debit valuation adjustments (“DVAs”) to adjust the fair values of our derivative liabilities to reflect the impact of our own credit quality.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7379756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7379756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7379756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6" style="width:0;height:1.5pt" o:hralign="center" o:hrstd="t" o:hr="t" fillcolor="#a0a0a0" stroked="f"/>
        </w:pict>
      </w:r>
    </w:p>
    <w:p w:rsidR="00000000" w:rsidRDefault="00E0782F">
      <w:pPr>
        <w:jc w:val="both"/>
        <w:divId w:val="156711025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567110258"/>
        <w:rPr>
          <w:rFonts w:eastAsia="Times New Roman"/>
        </w:rPr>
      </w:pPr>
    </w:p>
    <w:p w:rsidR="00000000" w:rsidRDefault="00E0782F">
      <w:pPr>
        <w:jc w:val="center"/>
        <w:divId w:val="1567110258"/>
        <w:rPr>
          <w:rFonts w:eastAsia="Times New Roman"/>
        </w:rPr>
      </w:pPr>
      <w:r>
        <w:rPr>
          <w:rFonts w:eastAsia="Times New Roman"/>
          <w:b/>
          <w:bCs/>
          <w:color w:val="000000"/>
          <w:sz w:val="20"/>
          <w:szCs w:val="20"/>
        </w:rPr>
        <w:t>CAPITAL ONE FINANCIAL CORPORATION</w:t>
      </w:r>
    </w:p>
    <w:p w:rsidR="00000000" w:rsidRDefault="00E0782F">
      <w:pPr>
        <w:jc w:val="center"/>
        <w:divId w:val="1567110258"/>
        <w:rPr>
          <w:rFonts w:eastAsia="Times New Roman"/>
        </w:rPr>
      </w:pPr>
      <w:r>
        <w:rPr>
          <w:rFonts w:eastAsia="Times New Roman"/>
          <w:b/>
          <w:bCs/>
          <w:color w:val="000000"/>
          <w:sz w:val="20"/>
          <w:szCs w:val="20"/>
        </w:rPr>
        <w:t>NOTES TO CONSOLIDATED FINANCIAL STATEMENTS</w:t>
      </w:r>
    </w:p>
    <w:p w:rsidR="00000000" w:rsidRDefault="00E0782F">
      <w:pPr>
        <w:divId w:val="287246413"/>
        <w:rPr>
          <w:rFonts w:eastAsia="Times New Roman"/>
        </w:rPr>
      </w:pPr>
      <w:r>
        <w:rPr>
          <w:rFonts w:eastAsia="Times New Roman"/>
          <w:b/>
          <w:bCs/>
          <w:color w:val="000000"/>
          <w:sz w:val="20"/>
          <w:szCs w:val="20"/>
        </w:rPr>
        <w:t>Balance Sheet Presentation</w:t>
      </w:r>
    </w:p>
    <w:p w:rsidR="00000000" w:rsidRDefault="00E0782F">
      <w:pPr>
        <w:jc w:val="both"/>
        <w:divId w:val="202795400"/>
        <w:rPr>
          <w:rFonts w:eastAsia="Times New Roman"/>
        </w:rPr>
      </w:pPr>
      <w:r>
        <w:rPr>
          <w:rFonts w:eastAsia="Times New Roman"/>
          <w:color w:val="000000"/>
          <w:sz w:val="20"/>
          <w:szCs w:val="20"/>
        </w:rPr>
        <w:t>The following table summarizes the notional amounts and fair values of our derivative instruments as of December 31, 2020 and 2019, which are segregated by derivatives that are designated as accounting hedges and those that are not, and are further segrega</w:t>
      </w:r>
      <w:r>
        <w:rPr>
          <w:rFonts w:eastAsia="Times New Roman"/>
          <w:color w:val="000000"/>
          <w:sz w:val="20"/>
          <w:szCs w:val="20"/>
        </w:rPr>
        <w:t>ted by type of contract within those two categories. The total derivative assets and liabilities are adjusted on an aggregate basis to take into consideration the effects of legally enforceable master netting agreements and any associated cash collateral r</w:t>
      </w:r>
      <w:r>
        <w:rPr>
          <w:rFonts w:eastAsia="Times New Roman"/>
          <w:color w:val="000000"/>
          <w:sz w:val="20"/>
          <w:szCs w:val="20"/>
        </w:rPr>
        <w:t>eceived or pledged. Derivative assets and liabilities are included in other assets and other liabilities, respectively, on our consolidated balance sheets, and their related gains or losses are included in operating activities as changes in other assets an</w:t>
      </w:r>
      <w:r>
        <w:rPr>
          <w:rFonts w:eastAsia="Times New Roman"/>
          <w:color w:val="000000"/>
          <w:sz w:val="20"/>
          <w:szCs w:val="20"/>
        </w:rPr>
        <w:t xml:space="preserve">d other liabilities in the consolidated statements of cash flows. </w:t>
      </w:r>
    </w:p>
    <w:p w:rsidR="00000000" w:rsidRDefault="00E0782F">
      <w:pPr>
        <w:divId w:val="558202382"/>
        <w:rPr>
          <w:rFonts w:eastAsia="Times New Roman"/>
        </w:rPr>
      </w:pPr>
      <w:r>
        <w:rPr>
          <w:rFonts w:eastAsia="Times New Roman"/>
          <w:b/>
          <w:bCs/>
          <w:color w:val="000000"/>
          <w:sz w:val="18"/>
          <w:szCs w:val="18"/>
        </w:rPr>
        <w:t>Table 9.1: Derivative Assets and Liabilities at Fair Value</w:t>
      </w:r>
    </w:p>
    <w:tbl>
      <w:tblPr>
        <w:tblW w:w="4985" w:type="pct"/>
        <w:tblCellMar>
          <w:top w:w="15" w:type="dxa"/>
          <w:left w:w="15" w:type="dxa"/>
          <w:bottom w:w="15" w:type="dxa"/>
          <w:right w:w="15" w:type="dxa"/>
        </w:tblCellMar>
        <w:tblLook w:val="04A0" w:firstRow="1" w:lastRow="0" w:firstColumn="1" w:lastColumn="0" w:noHBand="0" w:noVBand="1"/>
      </w:tblPr>
      <w:tblGrid>
        <w:gridCol w:w="40"/>
        <w:gridCol w:w="2964"/>
        <w:gridCol w:w="39"/>
        <w:gridCol w:w="36"/>
        <w:gridCol w:w="36"/>
        <w:gridCol w:w="36"/>
        <w:gridCol w:w="111"/>
        <w:gridCol w:w="765"/>
        <w:gridCol w:w="36"/>
        <w:gridCol w:w="36"/>
        <w:gridCol w:w="36"/>
        <w:gridCol w:w="36"/>
        <w:gridCol w:w="110"/>
        <w:gridCol w:w="450"/>
        <w:gridCol w:w="36"/>
        <w:gridCol w:w="36"/>
        <w:gridCol w:w="36"/>
        <w:gridCol w:w="36"/>
        <w:gridCol w:w="111"/>
        <w:gridCol w:w="640"/>
        <w:gridCol w:w="36"/>
        <w:gridCol w:w="36"/>
        <w:gridCol w:w="36"/>
        <w:gridCol w:w="36"/>
        <w:gridCol w:w="111"/>
        <w:gridCol w:w="765"/>
        <w:gridCol w:w="36"/>
        <w:gridCol w:w="36"/>
        <w:gridCol w:w="36"/>
        <w:gridCol w:w="36"/>
        <w:gridCol w:w="110"/>
        <w:gridCol w:w="450"/>
        <w:gridCol w:w="36"/>
        <w:gridCol w:w="36"/>
        <w:gridCol w:w="36"/>
        <w:gridCol w:w="36"/>
        <w:gridCol w:w="111"/>
        <w:gridCol w:w="640"/>
        <w:gridCol w:w="36"/>
      </w:tblGrid>
      <w:tr w:rsidR="00000000">
        <w:trPr>
          <w:divId w:val="751045255"/>
        </w:trPr>
        <w:tc>
          <w:tcPr>
            <w:tcW w:w="50" w:type="pct"/>
            <w:vAlign w:val="center"/>
            <w:hideMark/>
          </w:tcPr>
          <w:p w:rsidR="00000000" w:rsidRDefault="00E0782F">
            <w:pPr>
              <w:rPr>
                <w:rFonts w:eastAsia="Times New Roman"/>
              </w:rPr>
            </w:pPr>
          </w:p>
        </w:tc>
        <w:tc>
          <w:tcPr>
            <w:tcW w:w="190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51045255"/>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751045255"/>
          <w:trHeight w:val="28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Notional or Contractual Amount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Derivativ</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751045255"/>
          <w:trHeight w:val="24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Liabilities</w:t>
            </w:r>
          </w:p>
        </w:tc>
      </w:tr>
      <w:tr w:rsidR="00000000">
        <w:trPr>
          <w:divId w:val="7510452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510452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5104525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47,349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57,587 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82,150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748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96,900 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129,499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154,487 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5104525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Fair value hedges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1,527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flow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4,582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9,225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10,334 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derivatives designated as accounting hedges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138,724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164,821 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510452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5104525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68,459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1,429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62,268 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Commodity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16,871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Foreign exchange and other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customer accommodation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90,007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2,422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82,434 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0" w:type="dxa"/>
              <w:bottom w:w="30" w:type="dxa"/>
              <w:right w:w="20" w:type="dxa"/>
            </w:tcMar>
            <w:vAlign w:val="center"/>
            <w:hideMark/>
          </w:tcPr>
          <w:p w:rsidR="00000000" w:rsidRDefault="00E0782F">
            <w:pPr>
              <w:divId w:val="167792140"/>
              <w:rPr>
                <w:rFonts w:eastAsia="Times New Roman"/>
              </w:rPr>
            </w:pPr>
            <w:r>
              <w:rPr>
                <w:rFonts w:eastAsia="Times New Roman"/>
                <w:color w:val="000000"/>
                <w:sz w:val="18"/>
                <w:szCs w:val="18"/>
              </w:rPr>
              <w:t>Other interest rate exposure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1,770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derivatives not designated as accounting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93,603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2,494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1,150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90,725 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1,397 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derivatives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232,327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3,415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1,518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255,546 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9"/>
            <w:shd w:val="clear" w:color="auto" w:fill="FFFFFF"/>
            <w:tcMar>
              <w:top w:w="30" w:type="dxa"/>
              <w:left w:w="20" w:type="dxa"/>
              <w:bottom w:w="30" w:type="dxa"/>
              <w:right w:w="20" w:type="dxa"/>
            </w:tcMar>
            <w:vAlign w:val="center"/>
            <w:hideMark/>
          </w:tcPr>
          <w:p w:rsidR="00000000" w:rsidRDefault="00E0782F">
            <w:pPr>
              <w:divId w:val="1002053292"/>
              <w:rPr>
                <w:rFonts w:eastAsia="Times New Roman"/>
              </w:rPr>
            </w:pPr>
            <w:r>
              <w:rPr>
                <w:rFonts w:eastAsia="Times New Roman"/>
                <w:color w:val="000000"/>
                <w:sz w:val="18"/>
                <w:szCs w:val="18"/>
              </w:rPr>
              <w:t>Less: netting adjustmen</w:t>
            </w:r>
            <w:r>
              <w:rPr>
                <w:rFonts w:eastAsia="Times New Roman"/>
                <w:color w:val="000000"/>
                <w:sz w:val="18"/>
                <w:szCs w:val="18"/>
              </w:rPr>
              <w:t>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(1,148)</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(739)</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(633)</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(523)</w:t>
            </w:r>
          </w:p>
        </w:tc>
        <w:tc>
          <w:tcPr>
            <w:tcW w:w="0" w:type="auto"/>
            <w:tcBorders>
              <w:top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51045255"/>
        </w:trPr>
        <w:tc>
          <w:tcPr>
            <w:tcW w:w="0" w:type="auto"/>
            <w:gridSpan w:val="9"/>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derivative assets/liabilities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735738882"/>
        <w:rPr>
          <w:rFonts w:eastAsia="Times New Roman"/>
        </w:rPr>
      </w:pPr>
      <w:r>
        <w:rPr>
          <w:rFonts w:eastAsia="Times New Roman"/>
          <w:color w:val="000000"/>
          <w:sz w:val="20"/>
          <w:szCs w:val="20"/>
        </w:rPr>
        <w:t>__________</w:t>
      </w:r>
    </w:p>
    <w:p w:rsidR="00000000" w:rsidRDefault="00E0782F">
      <w:pPr>
        <w:ind w:hanging="360"/>
        <w:jc w:val="both"/>
        <w:divId w:val="128269228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Does not reflect $31 million and $12 million</w:t>
      </w:r>
      <w:r>
        <w:rPr>
          <w:rFonts w:eastAsia="Times New Roman"/>
          <w:color w:val="000000"/>
          <w:sz w:val="16"/>
          <w:szCs w:val="16"/>
          <w:shd w:val="clear" w:color="auto" w:fill="FFFFFF"/>
        </w:rPr>
        <w:t xml:space="preserve"> recognized as a net valuation allowance on derivative assets and liabilities for non-performance risk as of December 31, 2020 and </w:t>
      </w:r>
      <w:r>
        <w:rPr>
          <w:rFonts w:eastAsia="Times New Roman"/>
          <w:color w:val="000000"/>
          <w:sz w:val="16"/>
          <w:szCs w:val="16"/>
        </w:rPr>
        <w:t>2019</w:t>
      </w:r>
      <w:r>
        <w:rPr>
          <w:rFonts w:eastAsia="Times New Roman"/>
          <w:color w:val="000000"/>
          <w:sz w:val="16"/>
          <w:szCs w:val="16"/>
          <w:shd w:val="clear" w:color="auto" w:fill="FFFFFF"/>
        </w:rPr>
        <w:t>, respectively. Non-performance</w:t>
      </w:r>
      <w:r>
        <w:rPr>
          <w:rFonts w:eastAsia="Times New Roman"/>
          <w:color w:val="000000"/>
          <w:sz w:val="16"/>
          <w:szCs w:val="16"/>
          <w:shd w:val="clear" w:color="auto" w:fill="FFFFFF"/>
        </w:rPr>
        <w:t xml:space="preserve"> risk is included in derivative assets and liabilities, which are part of other assets and other liabilities on the consolidated balance sheets, and is offset through non-interest income in the consolidated statements of income.</w:t>
      </w:r>
    </w:p>
    <w:p w:rsidR="00000000" w:rsidRDefault="00E0782F">
      <w:pPr>
        <w:ind w:hanging="360"/>
        <w:jc w:val="both"/>
        <w:divId w:val="353922872"/>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interest rate expo</w:t>
      </w:r>
      <w:r>
        <w:rPr>
          <w:rFonts w:eastAsia="Times New Roman"/>
          <w:color w:val="000000"/>
          <w:sz w:val="16"/>
          <w:szCs w:val="16"/>
        </w:rPr>
        <w:t>sures include commercial mortgage-related derivatives and interest rate swaps.</w:t>
      </w:r>
    </w:p>
    <w:p w:rsidR="00000000" w:rsidRDefault="00E0782F">
      <w:pPr>
        <w:ind w:hanging="360"/>
        <w:jc w:val="both"/>
        <w:divId w:val="1425954534"/>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Represents balance sheet netting of derivative assets and liabilities, and related payables and receivables for cash collateral held or placed with the same counterparty.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11051438"/>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1105143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1105143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7" style="width:0;height:1.5pt" o:hralign="center" o:hrstd="t" o:hr="t" fillcolor="#a0a0a0" stroked="f"/>
        </w:pict>
      </w:r>
    </w:p>
    <w:p w:rsidR="00000000" w:rsidRDefault="00E0782F">
      <w:pPr>
        <w:jc w:val="both"/>
        <w:divId w:val="156972625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569726257"/>
        <w:rPr>
          <w:rFonts w:eastAsia="Times New Roman"/>
        </w:rPr>
      </w:pPr>
    </w:p>
    <w:p w:rsidR="00000000" w:rsidRDefault="00E0782F">
      <w:pPr>
        <w:jc w:val="center"/>
        <w:divId w:val="1569726257"/>
        <w:rPr>
          <w:rFonts w:eastAsia="Times New Roman"/>
        </w:rPr>
      </w:pPr>
      <w:r>
        <w:rPr>
          <w:rFonts w:eastAsia="Times New Roman"/>
          <w:b/>
          <w:bCs/>
          <w:color w:val="000000"/>
          <w:sz w:val="20"/>
          <w:szCs w:val="20"/>
        </w:rPr>
        <w:t>CAPITAL ONE FINANCIAL CORPORATION</w:t>
      </w:r>
    </w:p>
    <w:p w:rsidR="00000000" w:rsidRDefault="00E0782F">
      <w:pPr>
        <w:jc w:val="center"/>
        <w:divId w:val="1569726257"/>
        <w:rPr>
          <w:rFonts w:eastAsia="Times New Roman"/>
        </w:rPr>
      </w:pPr>
      <w:r>
        <w:rPr>
          <w:rFonts w:eastAsia="Times New Roman"/>
          <w:b/>
          <w:bCs/>
          <w:color w:val="000000"/>
          <w:sz w:val="20"/>
          <w:szCs w:val="20"/>
        </w:rPr>
        <w:t>NOTES TO CONSOLIDATED FINANCIAL STATEMENTS</w:t>
      </w:r>
    </w:p>
    <w:p w:rsidR="00000000" w:rsidRDefault="00E0782F">
      <w:pPr>
        <w:jc w:val="both"/>
        <w:divId w:val="1012757908"/>
        <w:rPr>
          <w:rFonts w:eastAsia="Times New Roman"/>
        </w:rPr>
      </w:pPr>
      <w:r>
        <w:rPr>
          <w:rFonts w:eastAsia="Times New Roman"/>
          <w:color w:val="000000"/>
          <w:sz w:val="20"/>
          <w:szCs w:val="20"/>
        </w:rPr>
        <w:t>The following table summarizes the carrying value of our hedged a</w:t>
      </w:r>
      <w:r>
        <w:rPr>
          <w:rFonts w:eastAsia="Times New Roman"/>
          <w:color w:val="000000"/>
          <w:sz w:val="20"/>
          <w:szCs w:val="20"/>
        </w:rPr>
        <w:t>ssets and liabilities in fair value hedges and the associated cumulative basis adjustments included in those carrying values, excluding basis adjustments related to foreign currency risk, as of December 31, 2020 and 2019.</w:t>
      </w:r>
    </w:p>
    <w:p w:rsidR="00000000" w:rsidRDefault="00E0782F">
      <w:pPr>
        <w:divId w:val="1235579751"/>
        <w:rPr>
          <w:rFonts w:eastAsia="Times New Roman"/>
        </w:rPr>
      </w:pPr>
      <w:r>
        <w:rPr>
          <w:rFonts w:eastAsia="Times New Roman"/>
          <w:b/>
          <w:bCs/>
          <w:color w:val="000000"/>
          <w:sz w:val="18"/>
          <w:szCs w:val="18"/>
        </w:rPr>
        <w:t>Table 9.2: Hedged Items in Fair Va</w:t>
      </w:r>
      <w:r>
        <w:rPr>
          <w:rFonts w:eastAsia="Times New Roman"/>
          <w:b/>
          <w:bCs/>
          <w:color w:val="000000"/>
          <w:sz w:val="18"/>
          <w:szCs w:val="18"/>
        </w:rPr>
        <w:t>lue Hedging Relationships</w:t>
      </w:r>
    </w:p>
    <w:tbl>
      <w:tblPr>
        <w:tblW w:w="4985" w:type="pct"/>
        <w:tblCellMar>
          <w:top w:w="15" w:type="dxa"/>
          <w:left w:w="15" w:type="dxa"/>
          <w:bottom w:w="15" w:type="dxa"/>
          <w:right w:w="15" w:type="dxa"/>
        </w:tblCellMar>
        <w:tblLook w:val="04A0" w:firstRow="1" w:lastRow="0" w:firstColumn="1" w:lastColumn="0" w:noHBand="0" w:noVBand="1"/>
      </w:tblPr>
      <w:tblGrid>
        <w:gridCol w:w="38"/>
        <w:gridCol w:w="967"/>
        <w:gridCol w:w="37"/>
        <w:gridCol w:w="36"/>
        <w:gridCol w:w="36"/>
        <w:gridCol w:w="36"/>
        <w:gridCol w:w="124"/>
        <w:gridCol w:w="1167"/>
        <w:gridCol w:w="36"/>
        <w:gridCol w:w="36"/>
        <w:gridCol w:w="36"/>
        <w:gridCol w:w="36"/>
        <w:gridCol w:w="124"/>
        <w:gridCol w:w="1168"/>
        <w:gridCol w:w="37"/>
        <w:gridCol w:w="36"/>
        <w:gridCol w:w="36"/>
        <w:gridCol w:w="36"/>
        <w:gridCol w:w="111"/>
        <w:gridCol w:w="889"/>
        <w:gridCol w:w="37"/>
        <w:gridCol w:w="36"/>
        <w:gridCol w:w="36"/>
        <w:gridCol w:w="36"/>
        <w:gridCol w:w="124"/>
        <w:gridCol w:w="1167"/>
        <w:gridCol w:w="36"/>
        <w:gridCol w:w="36"/>
        <w:gridCol w:w="36"/>
        <w:gridCol w:w="36"/>
        <w:gridCol w:w="124"/>
        <w:gridCol w:w="1168"/>
        <w:gridCol w:w="37"/>
        <w:gridCol w:w="36"/>
        <w:gridCol w:w="36"/>
        <w:gridCol w:w="36"/>
        <w:gridCol w:w="111"/>
        <w:gridCol w:w="889"/>
        <w:gridCol w:w="37"/>
      </w:tblGrid>
      <w:tr w:rsidR="00000000">
        <w:trPr>
          <w:divId w:val="715668687"/>
        </w:trPr>
        <w:tc>
          <w:tcPr>
            <w:tcW w:w="50" w:type="pct"/>
            <w:vAlign w:val="center"/>
            <w:hideMark/>
          </w:tcPr>
          <w:p w:rsidR="00000000" w:rsidRDefault="00E0782F">
            <w:pPr>
              <w:rPr>
                <w:rFonts w:eastAsia="Times New Roman"/>
              </w:rPr>
            </w:pPr>
          </w:p>
        </w:tc>
        <w:tc>
          <w:tcPr>
            <w:tcW w:w="155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15668687"/>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715668687"/>
          <w:trHeight w:val="54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Cumulative Amount of Basis Adjustments Included in the Carrying Amount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 Amount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Cumulative Amount of Basis Adjustments Included in the Carrying Amount</w:t>
            </w:r>
          </w:p>
        </w:tc>
      </w:tr>
      <w:tr w:rsidR="00000000">
        <w:trPr>
          <w:divId w:val="715668687"/>
          <w:trHeight w:val="54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Discontinued-Hedging Relationships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Discontinued-Hedging Relationships</w:t>
            </w:r>
          </w:p>
        </w:tc>
      </w:tr>
      <w:tr w:rsidR="00000000">
        <w:trPr>
          <w:divId w:val="71566868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Line item on our consolidated balance sheets in which the hedged item is included: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15668687"/>
        </w:trPr>
        <w:tc>
          <w:tcPr>
            <w:tcW w:w="0" w:type="auto"/>
            <w:gridSpan w:val="3"/>
            <w:shd w:val="clear" w:color="auto" w:fill="FFFFFF"/>
            <w:tcMar>
              <w:top w:w="30" w:type="dxa"/>
              <w:left w:w="20" w:type="dxa"/>
              <w:bottom w:w="30" w:type="dxa"/>
              <w:right w:w="20" w:type="dxa"/>
            </w:tcMar>
            <w:vAlign w:val="center"/>
            <w:hideMark/>
          </w:tcPr>
          <w:p w:rsidR="00000000" w:rsidRDefault="00E0782F">
            <w:pPr>
              <w:divId w:val="1472166672"/>
              <w:rPr>
                <w:rFonts w:eastAsia="Times New Roman"/>
              </w:rPr>
            </w:pPr>
            <w:r>
              <w:rPr>
                <w:rFonts w:eastAsia="Times New Roman"/>
                <w:color w:val="000000"/>
                <w:sz w:val="18"/>
                <w:szCs w:val="18"/>
              </w:rPr>
              <w:t>Investment securities available for sal</w:t>
            </w:r>
            <w:r>
              <w:rPr>
                <w:rFonts w:eastAsia="Times New Roman"/>
                <w:color w:val="000000"/>
                <w:sz w:val="18"/>
                <w:szCs w:val="18"/>
              </w:rPr>
              <w:t>e</w:t>
            </w:r>
            <w:r>
              <w:rPr>
                <w:rFonts w:eastAsia="Times New Roman"/>
                <w:color w:val="000000"/>
                <w:sz w:val="12"/>
                <w:szCs w:val="12"/>
              </w:rPr>
              <w:t>(1)(2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9,797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10,825 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1566868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Interest-bearing deposits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(11,312)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(14,310)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1566868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(7,609)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(9,403)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1566868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(21,927)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(1,282)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(27,777)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678653033"/>
        <w:rPr>
          <w:rFonts w:eastAsia="Times New Roman"/>
        </w:rPr>
      </w:pPr>
      <w:r>
        <w:rPr>
          <w:rFonts w:eastAsia="Times New Roman"/>
          <w:color w:val="000000"/>
          <w:sz w:val="20"/>
          <w:szCs w:val="20"/>
        </w:rPr>
        <w:t>__________</w:t>
      </w:r>
    </w:p>
    <w:p w:rsidR="00000000" w:rsidRDefault="00E0782F">
      <w:pPr>
        <w:ind w:hanging="360"/>
        <w:jc w:val="both"/>
        <w:divId w:val="802785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These amounts include the amortized cost basis of our investment securities des</w:t>
      </w:r>
      <w:r>
        <w:rPr>
          <w:rFonts w:eastAsia="Times New Roman"/>
          <w:color w:val="000000"/>
          <w:sz w:val="16"/>
          <w:szCs w:val="16"/>
        </w:rPr>
        <w:t>ignated in hedging relationships for which the hedged item is the last layer expected to be remaining at the end of the hedging relationship. In the second quarter of 2020, we terminated all last of layer hedging relationships with cumulative basis adjustm</w:t>
      </w:r>
      <w:r>
        <w:rPr>
          <w:rFonts w:eastAsia="Times New Roman"/>
          <w:color w:val="000000"/>
          <w:sz w:val="16"/>
          <w:szCs w:val="16"/>
        </w:rPr>
        <w:t>ents related to these discontinued hedging relationships totaling $200 million as of December 31, 2020. As of December 31, 2019, the amortized cost basis of this portfolio was $5.9 billion, the amount of the designated hedged items was $3.1 billion, and th</w:t>
      </w:r>
      <w:r>
        <w:rPr>
          <w:rFonts w:eastAsia="Times New Roman"/>
          <w:color w:val="000000"/>
          <w:sz w:val="16"/>
          <w:szCs w:val="16"/>
        </w:rPr>
        <w:t>e cumulative basis adjustment associated with these hedges was $75 million.</w:t>
      </w:r>
    </w:p>
    <w:p w:rsidR="00000000" w:rsidRDefault="00E0782F">
      <w:pPr>
        <w:ind w:hanging="360"/>
        <w:jc w:val="both"/>
        <w:divId w:val="69612759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Carrying value represents amortized cost.</w:t>
      </w:r>
    </w:p>
    <w:p w:rsidR="00000000" w:rsidRDefault="00E0782F">
      <w:pPr>
        <w:divId w:val="380715429"/>
        <w:rPr>
          <w:rFonts w:eastAsia="Times New Roman"/>
        </w:rPr>
      </w:pPr>
      <w:r>
        <w:rPr>
          <w:rFonts w:eastAsia="Times New Roman"/>
          <w:b/>
          <w:bCs/>
          <w:color w:val="000000"/>
          <w:sz w:val="20"/>
          <w:szCs w:val="20"/>
        </w:rPr>
        <w:t>Balance Sheet Offsetting of Financial Assets and Liabilities</w:t>
      </w:r>
    </w:p>
    <w:p w:rsidR="00000000" w:rsidRDefault="00E0782F">
      <w:pPr>
        <w:jc w:val="both"/>
        <w:divId w:val="47992952"/>
        <w:rPr>
          <w:rFonts w:eastAsia="Times New Roman"/>
        </w:rPr>
      </w:pPr>
      <w:r>
        <w:rPr>
          <w:rFonts w:eastAsia="Times New Roman"/>
          <w:color w:val="000000"/>
          <w:sz w:val="20"/>
          <w:szCs w:val="20"/>
        </w:rPr>
        <w:t>Derivative contracts and repurchase agreements that we execute bilaterally in the OTC market are generally governed by enforceable master netting arrangements where we generally have the right to offset exposure with the same counterparty. Either counterpa</w:t>
      </w:r>
      <w:r>
        <w:rPr>
          <w:rFonts w:eastAsia="Times New Roman"/>
          <w:color w:val="000000"/>
          <w:sz w:val="20"/>
          <w:szCs w:val="20"/>
        </w:rPr>
        <w:t>rty can generally request to net settle all contracts through a single payment upon default on, or termination of, any one contract. We elect to offset the derivative assets and liabilities under master netting arrangements for balance sheet presentation w</w:t>
      </w:r>
      <w:r>
        <w:rPr>
          <w:rFonts w:eastAsia="Times New Roman"/>
          <w:color w:val="000000"/>
          <w:sz w:val="20"/>
          <w:szCs w:val="20"/>
        </w:rPr>
        <w:t>here a right of setoff exists. For derivative contracts entered into under master netting arrangements for which we have not been able to confirm the enforceability of the setoff rights, or those not subject to master netting arrangements, we do not offset</w:t>
      </w:r>
      <w:r>
        <w:rPr>
          <w:rFonts w:eastAsia="Times New Roman"/>
          <w:color w:val="000000"/>
          <w:sz w:val="20"/>
          <w:szCs w:val="20"/>
        </w:rPr>
        <w:t xml:space="preserve"> our derivative positions for balance sheet presentation.</w:t>
      </w:r>
    </w:p>
    <w:p w:rsidR="00000000" w:rsidRDefault="00E0782F">
      <w:pPr>
        <w:jc w:val="both"/>
        <w:divId w:val="637296141"/>
        <w:rPr>
          <w:rFonts w:eastAsia="Times New Roman"/>
        </w:rPr>
      </w:pPr>
      <w:r>
        <w:rPr>
          <w:rFonts w:eastAsia="Times New Roman"/>
          <w:color w:val="000000"/>
          <w:sz w:val="20"/>
          <w:szCs w:val="20"/>
        </w:rPr>
        <w:t xml:space="preserve">The following table presents the gross and net fair values of our derivative assets, derivative liabilities, resale and repurchase agreements and the related offsetting amounts permitted under U.S. </w:t>
      </w:r>
      <w:r>
        <w:rPr>
          <w:rFonts w:eastAsia="Times New Roman"/>
          <w:color w:val="000000"/>
          <w:sz w:val="20"/>
          <w:szCs w:val="20"/>
        </w:rPr>
        <w:t>GAAP as of December 31, 2020 and 2019. The table also includes cash and non-cash collateral received or pledged in accordance with such arrangements. The amount of collateral presented, however, is limited to the amount of the related net derivative fair v</w:t>
      </w:r>
      <w:r>
        <w:rPr>
          <w:rFonts w:eastAsia="Times New Roman"/>
          <w:color w:val="000000"/>
          <w:sz w:val="20"/>
          <w:szCs w:val="20"/>
        </w:rPr>
        <w:t>alues or outstanding balances; therefore, instances of over-collateralization are excluded.</w:t>
      </w:r>
    </w:p>
    <w:p w:rsidR="00000000" w:rsidRDefault="00E0782F">
      <w:pPr>
        <w:jc w:val="both"/>
        <w:divId w:val="78538774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6247357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6247357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6247357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8" style="width:0;height:1.5pt" o:hralign="center" o:hrstd="t" o:hr="t" fillcolor="#a0a0a0" stroked="f"/>
        </w:pict>
      </w:r>
    </w:p>
    <w:p w:rsidR="00000000" w:rsidRDefault="00E0782F">
      <w:pPr>
        <w:jc w:val="both"/>
        <w:divId w:val="58499952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84999526"/>
        <w:rPr>
          <w:rFonts w:eastAsia="Times New Roman"/>
        </w:rPr>
      </w:pPr>
    </w:p>
    <w:p w:rsidR="00000000" w:rsidRDefault="00E0782F">
      <w:pPr>
        <w:jc w:val="center"/>
        <w:divId w:val="584999526"/>
        <w:rPr>
          <w:rFonts w:eastAsia="Times New Roman"/>
        </w:rPr>
      </w:pPr>
      <w:r>
        <w:rPr>
          <w:rFonts w:eastAsia="Times New Roman"/>
          <w:b/>
          <w:bCs/>
          <w:color w:val="000000"/>
          <w:sz w:val="20"/>
          <w:szCs w:val="20"/>
        </w:rPr>
        <w:t>CAPITAL ONE FINANCIAL CORPORATION</w:t>
      </w:r>
    </w:p>
    <w:p w:rsidR="00000000" w:rsidRDefault="00E0782F">
      <w:pPr>
        <w:jc w:val="center"/>
        <w:divId w:val="584999526"/>
        <w:rPr>
          <w:rFonts w:eastAsia="Times New Roman"/>
        </w:rPr>
      </w:pPr>
      <w:r>
        <w:rPr>
          <w:rFonts w:eastAsia="Times New Roman"/>
          <w:b/>
          <w:bCs/>
          <w:color w:val="000000"/>
          <w:sz w:val="20"/>
          <w:szCs w:val="20"/>
        </w:rPr>
        <w:t>NOTES TO CONSOLIDATED FINANCIAL STATEMENTS</w:t>
      </w:r>
    </w:p>
    <w:p w:rsidR="00000000" w:rsidRDefault="00E0782F">
      <w:pPr>
        <w:divId w:val="344677656"/>
        <w:rPr>
          <w:rFonts w:eastAsia="Times New Roman"/>
        </w:rPr>
      </w:pPr>
      <w:r>
        <w:rPr>
          <w:rFonts w:eastAsia="Times New Roman"/>
          <w:b/>
          <w:bCs/>
          <w:color w:val="000000"/>
          <w:sz w:val="18"/>
          <w:szCs w:val="18"/>
        </w:rPr>
        <w:t>Table 9.3: Offsetting of Financial Assets and Financial Liabiliti</w:t>
      </w:r>
      <w:r>
        <w:rPr>
          <w:rFonts w:eastAsia="Times New Roman"/>
          <w:b/>
          <w:bCs/>
          <w:color w:val="000000"/>
          <w:sz w:val="18"/>
          <w:szCs w:val="18"/>
        </w:rPr>
        <w:t>es</w:t>
      </w:r>
    </w:p>
    <w:tbl>
      <w:tblPr>
        <w:tblW w:w="4970" w:type="pct"/>
        <w:tblCellMar>
          <w:top w:w="15" w:type="dxa"/>
          <w:left w:w="15" w:type="dxa"/>
          <w:bottom w:w="15" w:type="dxa"/>
          <w:right w:w="15" w:type="dxa"/>
        </w:tblCellMar>
        <w:tblLook w:val="04A0" w:firstRow="1" w:lastRow="0" w:firstColumn="1" w:lastColumn="0" w:noHBand="0" w:noVBand="1"/>
      </w:tblPr>
      <w:tblGrid>
        <w:gridCol w:w="38"/>
        <w:gridCol w:w="2438"/>
        <w:gridCol w:w="37"/>
        <w:gridCol w:w="36"/>
        <w:gridCol w:w="36"/>
        <w:gridCol w:w="36"/>
        <w:gridCol w:w="111"/>
        <w:gridCol w:w="576"/>
        <w:gridCol w:w="36"/>
        <w:gridCol w:w="36"/>
        <w:gridCol w:w="36"/>
        <w:gridCol w:w="36"/>
        <w:gridCol w:w="111"/>
        <w:gridCol w:w="775"/>
        <w:gridCol w:w="37"/>
        <w:gridCol w:w="36"/>
        <w:gridCol w:w="36"/>
        <w:gridCol w:w="36"/>
        <w:gridCol w:w="111"/>
        <w:gridCol w:w="658"/>
        <w:gridCol w:w="37"/>
        <w:gridCol w:w="36"/>
        <w:gridCol w:w="36"/>
        <w:gridCol w:w="36"/>
        <w:gridCol w:w="111"/>
        <w:gridCol w:w="739"/>
        <w:gridCol w:w="36"/>
        <w:gridCol w:w="36"/>
        <w:gridCol w:w="36"/>
        <w:gridCol w:w="36"/>
        <w:gridCol w:w="111"/>
        <w:gridCol w:w="858"/>
        <w:gridCol w:w="36"/>
        <w:gridCol w:w="36"/>
        <w:gridCol w:w="36"/>
        <w:gridCol w:w="36"/>
        <w:gridCol w:w="111"/>
        <w:gridCol w:w="605"/>
        <w:gridCol w:w="36"/>
      </w:tblGrid>
      <w:tr w:rsidR="00000000">
        <w:trPr>
          <w:divId w:val="1203639333"/>
        </w:trPr>
        <w:tc>
          <w:tcPr>
            <w:tcW w:w="50" w:type="pct"/>
            <w:vAlign w:val="center"/>
            <w:hideMark/>
          </w:tcPr>
          <w:p w:rsidR="00000000" w:rsidRDefault="00E0782F">
            <w:pPr>
              <w:rPr>
                <w:rFonts w:eastAsia="Times New Roman"/>
              </w:rPr>
            </w:pPr>
          </w:p>
        </w:tc>
        <w:tc>
          <w:tcPr>
            <w:tcW w:w="15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5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03639333"/>
          <w:trHeight w:val="42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Securities Collateral Held Under Master Netting Agreements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03639333"/>
          <w:trHeight w:val="42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Cash Collateral Received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Exposure</w:t>
            </w:r>
          </w:p>
        </w:tc>
      </w:tr>
      <w:tr w:rsidR="00000000">
        <w:trPr>
          <w:divId w:val="1203639333"/>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03639333"/>
        </w:trPr>
        <w:tc>
          <w:tcPr>
            <w:tcW w:w="0" w:type="auto"/>
            <w:gridSpan w:val="3"/>
            <w:shd w:val="clear" w:color="auto" w:fill="FFFFFF"/>
            <w:tcMar>
              <w:top w:w="30" w:type="dxa"/>
              <w:left w:w="20" w:type="dxa"/>
              <w:bottom w:w="30" w:type="dxa"/>
              <w:right w:w="20" w:type="dxa"/>
            </w:tcMar>
            <w:vAlign w:val="center"/>
            <w:hideMark/>
          </w:tcPr>
          <w:p w:rsidR="00000000" w:rsidRDefault="00E0782F">
            <w:pPr>
              <w:divId w:val="188107437"/>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03639333"/>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03639333"/>
        </w:trPr>
        <w:tc>
          <w:tcPr>
            <w:tcW w:w="0" w:type="auto"/>
            <w:gridSpan w:val="3"/>
            <w:shd w:val="clear" w:color="auto" w:fill="FFFFFF"/>
            <w:tcMar>
              <w:top w:w="30" w:type="dxa"/>
              <w:left w:w="20" w:type="dxa"/>
              <w:bottom w:w="30" w:type="dxa"/>
              <w:right w:w="20" w:type="dxa"/>
            </w:tcMar>
            <w:vAlign w:val="center"/>
            <w:hideMark/>
          </w:tcPr>
          <w:p w:rsidR="00000000" w:rsidRDefault="00E0782F">
            <w:pPr>
              <w:divId w:val="1765758257"/>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tbl>
      <w:tblPr>
        <w:tblW w:w="4970" w:type="pct"/>
        <w:tblCellMar>
          <w:top w:w="15" w:type="dxa"/>
          <w:left w:w="15" w:type="dxa"/>
          <w:bottom w:w="15" w:type="dxa"/>
          <w:right w:w="15" w:type="dxa"/>
        </w:tblCellMar>
        <w:tblLook w:val="04A0" w:firstRow="1" w:lastRow="0" w:firstColumn="1" w:lastColumn="0" w:noHBand="0" w:noVBand="1"/>
      </w:tblPr>
      <w:tblGrid>
        <w:gridCol w:w="144"/>
        <w:gridCol w:w="2542"/>
        <w:gridCol w:w="144"/>
        <w:gridCol w:w="144"/>
        <w:gridCol w:w="144"/>
        <w:gridCol w:w="144"/>
        <w:gridCol w:w="144"/>
        <w:gridCol w:w="601"/>
        <w:gridCol w:w="144"/>
        <w:gridCol w:w="144"/>
        <w:gridCol w:w="144"/>
        <w:gridCol w:w="144"/>
        <w:gridCol w:w="144"/>
        <w:gridCol w:w="696"/>
        <w:gridCol w:w="144"/>
        <w:gridCol w:w="144"/>
        <w:gridCol w:w="144"/>
        <w:gridCol w:w="144"/>
        <w:gridCol w:w="144"/>
        <w:gridCol w:w="880"/>
        <w:gridCol w:w="144"/>
        <w:gridCol w:w="144"/>
        <w:gridCol w:w="144"/>
        <w:gridCol w:w="144"/>
        <w:gridCol w:w="144"/>
        <w:gridCol w:w="794"/>
        <w:gridCol w:w="144"/>
        <w:gridCol w:w="144"/>
        <w:gridCol w:w="144"/>
        <w:gridCol w:w="144"/>
        <w:gridCol w:w="144"/>
        <w:gridCol w:w="1086"/>
        <w:gridCol w:w="144"/>
        <w:gridCol w:w="144"/>
        <w:gridCol w:w="144"/>
        <w:gridCol w:w="144"/>
        <w:gridCol w:w="144"/>
        <w:gridCol w:w="648"/>
        <w:gridCol w:w="144"/>
      </w:tblGrid>
      <w:tr w:rsidR="00000000">
        <w:tc>
          <w:tcPr>
            <w:tcW w:w="50" w:type="pct"/>
            <w:vAlign w:val="center"/>
            <w:hideMark/>
          </w:tcPr>
          <w:p w:rsidR="00000000" w:rsidRDefault="00E0782F">
            <w:pPr>
              <w:rPr>
                <w:rFonts w:eastAsia="Times New Roman"/>
              </w:rPr>
            </w:pPr>
          </w:p>
        </w:tc>
        <w:tc>
          <w:tcPr>
            <w:tcW w:w="154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5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42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 Amounts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 Amounts Offset in the Balance Sheet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Amounts as Recognized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Securities Collateral Pledged Under Master Netting Agreements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trHeight w:val="42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Cash Collateral Pledged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Exposure</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1254824536"/>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779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757099744"/>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1851211839"/>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1283654205"/>
              <w:rPr>
                <w:rFonts w:eastAsia="Times New Roman"/>
              </w:rPr>
            </w:pPr>
            <w:r>
              <w:rPr>
                <w:rFonts w:eastAsia="Times New Roman"/>
                <w:color w:val="000000"/>
                <w:sz w:val="18"/>
                <w:szCs w:val="18"/>
              </w:rPr>
              <w:t>Repurchase agreement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86795098"/>
        <w:rPr>
          <w:rFonts w:eastAsia="Times New Roman"/>
        </w:rPr>
      </w:pPr>
      <w:r>
        <w:rPr>
          <w:rFonts w:eastAsia="Times New Roman"/>
          <w:color w:val="000000"/>
          <w:sz w:val="20"/>
          <w:szCs w:val="20"/>
        </w:rPr>
        <w:t>__________</w:t>
      </w:r>
    </w:p>
    <w:p w:rsidR="00000000" w:rsidRDefault="00E0782F">
      <w:pPr>
        <w:ind w:hanging="360"/>
        <w:jc w:val="both"/>
        <w:divId w:val="105377046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We received cash collateral from derivative counterparties totaling $862 million and $347 </w:t>
      </w:r>
      <w:r>
        <w:rPr>
          <w:rFonts w:eastAsia="Times New Roman"/>
          <w:color w:val="000000"/>
          <w:sz w:val="16"/>
          <w:szCs w:val="16"/>
        </w:rPr>
        <w:t xml:space="preserve">million as of December 31, 2020 and 2019 , respectively. We also received securities from derivative counterparties with a fair value of approximately $1 million as of both December 31, 2020 and 2019, which we have the ability to re-pledge. We posted $1.5 </w:t>
      </w:r>
      <w:r>
        <w:rPr>
          <w:rFonts w:eastAsia="Times New Roman"/>
          <w:color w:val="000000"/>
          <w:sz w:val="16"/>
          <w:szCs w:val="16"/>
        </w:rPr>
        <w:t>billion and $954 million of cash collateral as of December 31, 2020 and 2019, respectively.</w:t>
      </w:r>
    </w:p>
    <w:p w:rsidR="00000000" w:rsidRDefault="00E0782F">
      <w:pPr>
        <w:ind w:hanging="360"/>
        <w:jc w:val="both"/>
        <w:divId w:val="189720263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Under our customer repurchase agreements, which mature the next business day, we pledged collateral with a fair value of $682 million and $320 million as of Dece</w:t>
      </w:r>
      <w:r>
        <w:rPr>
          <w:rFonts w:eastAsia="Times New Roman"/>
          <w:color w:val="000000"/>
          <w:sz w:val="16"/>
          <w:szCs w:val="16"/>
        </w:rPr>
        <w:t>mber 31, 2020 and 2019 , respectively, primarily consisting of agency RMBS securities.</w:t>
      </w:r>
    </w:p>
    <w:p w:rsidR="00000000" w:rsidRDefault="00E0782F">
      <w:pPr>
        <w:divId w:val="211185321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38161869"/>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73816186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73816186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199" style="width:0;height:1.5pt" o:hralign="center" o:hrstd="t" o:hr="t" fillcolor="#a0a0a0" stroked="f"/>
        </w:pict>
      </w:r>
    </w:p>
    <w:p w:rsidR="00000000" w:rsidRDefault="00E0782F">
      <w:pPr>
        <w:jc w:val="both"/>
        <w:divId w:val="53053878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30538785"/>
        <w:rPr>
          <w:rFonts w:eastAsia="Times New Roman"/>
        </w:rPr>
      </w:pPr>
    </w:p>
    <w:p w:rsidR="00000000" w:rsidRDefault="00E0782F">
      <w:pPr>
        <w:jc w:val="center"/>
        <w:divId w:val="530538785"/>
        <w:rPr>
          <w:rFonts w:eastAsia="Times New Roman"/>
        </w:rPr>
      </w:pPr>
      <w:r>
        <w:rPr>
          <w:rFonts w:eastAsia="Times New Roman"/>
          <w:b/>
          <w:bCs/>
          <w:color w:val="000000"/>
          <w:sz w:val="20"/>
          <w:szCs w:val="20"/>
        </w:rPr>
        <w:t>CAPITAL ONE FINANCIAL CORPORATION</w:t>
      </w:r>
    </w:p>
    <w:p w:rsidR="00000000" w:rsidRDefault="00E0782F">
      <w:pPr>
        <w:jc w:val="center"/>
        <w:divId w:val="530538785"/>
        <w:rPr>
          <w:rFonts w:eastAsia="Times New Roman"/>
        </w:rPr>
      </w:pPr>
      <w:r>
        <w:rPr>
          <w:rFonts w:eastAsia="Times New Roman"/>
          <w:b/>
          <w:bCs/>
          <w:color w:val="000000"/>
          <w:sz w:val="20"/>
          <w:szCs w:val="20"/>
        </w:rPr>
        <w:t>NOTES TO CONSOLIDATED FINANCIAL STATEMENTS</w:t>
      </w:r>
    </w:p>
    <w:p w:rsidR="00000000" w:rsidRDefault="00E0782F">
      <w:pPr>
        <w:divId w:val="1344674429"/>
        <w:rPr>
          <w:rFonts w:eastAsia="Times New Roman"/>
        </w:rPr>
      </w:pPr>
      <w:r>
        <w:rPr>
          <w:rFonts w:eastAsia="Times New Roman"/>
          <w:b/>
          <w:bCs/>
          <w:color w:val="000000"/>
          <w:sz w:val="20"/>
          <w:szCs w:val="20"/>
        </w:rPr>
        <w:t>Income Statement and AOCI Presentation</w:t>
      </w:r>
    </w:p>
    <w:p w:rsidR="00000000" w:rsidRDefault="00E0782F">
      <w:pPr>
        <w:divId w:val="738332535"/>
        <w:rPr>
          <w:rFonts w:eastAsia="Times New Roman"/>
        </w:rPr>
      </w:pPr>
      <w:r>
        <w:rPr>
          <w:rFonts w:eastAsia="Times New Roman"/>
          <w:b/>
          <w:bCs/>
          <w:i/>
          <w:iCs/>
          <w:color w:val="000000"/>
          <w:sz w:val="20"/>
          <w:szCs w:val="20"/>
        </w:rPr>
        <w:t>Fair Value and Cash Flow H</w:t>
      </w:r>
      <w:r>
        <w:rPr>
          <w:rFonts w:eastAsia="Times New Roman"/>
          <w:b/>
          <w:bCs/>
          <w:i/>
          <w:iCs/>
          <w:color w:val="000000"/>
          <w:sz w:val="20"/>
          <w:szCs w:val="20"/>
        </w:rPr>
        <w:t>edges</w:t>
      </w:r>
    </w:p>
    <w:p w:rsidR="00000000" w:rsidRDefault="00E0782F">
      <w:pPr>
        <w:jc w:val="both"/>
        <w:divId w:val="1293824698"/>
        <w:rPr>
          <w:rFonts w:eastAsia="Times New Roman"/>
        </w:rPr>
      </w:pPr>
      <w:r>
        <w:rPr>
          <w:rFonts w:eastAsia="Times New Roman"/>
          <w:color w:val="000000"/>
          <w:sz w:val="20"/>
          <w:szCs w:val="20"/>
        </w:rPr>
        <w:t xml:space="preserve">The net gains (losses) recognized in our consolidated statements of income related to derivatives in fair value and cash flow hedging relationships are presented below for the years ended December 31, 2020, 2019 and 2018. </w:t>
      </w:r>
    </w:p>
    <w:p w:rsidR="00000000" w:rsidRDefault="00E0782F">
      <w:pPr>
        <w:divId w:val="521474726"/>
        <w:rPr>
          <w:rFonts w:eastAsia="Times New Roman"/>
        </w:rPr>
      </w:pPr>
      <w:r>
        <w:rPr>
          <w:rFonts w:eastAsia="Times New Roman"/>
          <w:b/>
          <w:bCs/>
          <w:color w:val="000000"/>
          <w:sz w:val="18"/>
          <w:szCs w:val="18"/>
        </w:rPr>
        <w:t xml:space="preserve">Table 9.4: Effects of Fair </w:t>
      </w:r>
      <w:r>
        <w:rPr>
          <w:rFonts w:eastAsia="Times New Roman"/>
          <w:b/>
          <w:bCs/>
          <w:color w:val="000000"/>
          <w:sz w:val="18"/>
          <w:szCs w:val="18"/>
        </w:rPr>
        <w:t>Value and Cash Flow Hedge Accounting</w:t>
      </w:r>
    </w:p>
    <w:tbl>
      <w:tblPr>
        <w:tblW w:w="4956" w:type="pct"/>
        <w:tblCellMar>
          <w:top w:w="15" w:type="dxa"/>
          <w:left w:w="15" w:type="dxa"/>
          <w:bottom w:w="15" w:type="dxa"/>
          <w:right w:w="15" w:type="dxa"/>
        </w:tblCellMar>
        <w:tblLook w:val="04A0" w:firstRow="1" w:lastRow="0" w:firstColumn="1" w:lastColumn="0" w:noHBand="0" w:noVBand="1"/>
      </w:tblPr>
      <w:tblGrid>
        <w:gridCol w:w="55"/>
        <w:gridCol w:w="1779"/>
        <w:gridCol w:w="36"/>
        <w:gridCol w:w="36"/>
        <w:gridCol w:w="36"/>
        <w:gridCol w:w="36"/>
        <w:gridCol w:w="36"/>
        <w:gridCol w:w="720"/>
        <w:gridCol w:w="36"/>
        <w:gridCol w:w="36"/>
        <w:gridCol w:w="36"/>
        <w:gridCol w:w="36"/>
        <w:gridCol w:w="36"/>
        <w:gridCol w:w="744"/>
        <w:gridCol w:w="36"/>
        <w:gridCol w:w="36"/>
        <w:gridCol w:w="36"/>
        <w:gridCol w:w="36"/>
        <w:gridCol w:w="36"/>
        <w:gridCol w:w="722"/>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699"/>
        <w:gridCol w:w="36"/>
      </w:tblGrid>
      <w:tr w:rsidR="00000000">
        <w:trPr>
          <w:divId w:val="1120995200"/>
        </w:trPr>
        <w:tc>
          <w:tcPr>
            <w:tcW w:w="50" w:type="pct"/>
            <w:vAlign w:val="center"/>
            <w:hideMark/>
          </w:tcPr>
          <w:p w:rsidR="00000000" w:rsidRDefault="00E0782F">
            <w:pPr>
              <w:rPr>
                <w:rFonts w:eastAsia="Times New Roman"/>
              </w:rPr>
            </w:pPr>
          </w:p>
        </w:tc>
        <w:tc>
          <w:tcPr>
            <w:tcW w:w="10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20995200"/>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120995200"/>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802"/>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22"/>
        <w:gridCol w:w="144"/>
      </w:tblGrid>
      <w:tr w:rsidR="00000000">
        <w:tc>
          <w:tcPr>
            <w:tcW w:w="50" w:type="pct"/>
            <w:vAlign w:val="center"/>
            <w:hideMark/>
          </w:tcPr>
          <w:p w:rsidR="00000000" w:rsidRDefault="00E0782F">
            <w:pPr>
              <w:rPr>
                <w:rFonts w:eastAsia="Times New Roman"/>
              </w:rPr>
            </w:pPr>
          </w:p>
        </w:tc>
        <w:tc>
          <w:tcPr>
            <w:tcW w:w="108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2020</w:t>
            </w:r>
          </w:p>
        </w:tc>
      </w:tr>
      <w:tr w:rsidR="00000000">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Non-Interest Income</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952859288"/>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1,877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24,074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1,325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1140729764"/>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(306)</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1296369494"/>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(904)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(125)</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167139815"/>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268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595409660"/>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Realized gains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2005820082"/>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541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divId w:val="1008872621"/>
        <w:rPr>
          <w:rFonts w:eastAsia="Times New Roman"/>
          <w:vanish/>
        </w:rPr>
      </w:pPr>
    </w:p>
    <w:tbl>
      <w:tblPr>
        <w:tblW w:w="4956" w:type="pct"/>
        <w:tblCellMar>
          <w:top w:w="15" w:type="dxa"/>
          <w:left w:w="15" w:type="dxa"/>
          <w:bottom w:w="15" w:type="dxa"/>
          <w:right w:w="15" w:type="dxa"/>
        </w:tblCellMar>
        <w:tblLook w:val="04A0" w:firstRow="1" w:lastRow="0" w:firstColumn="1" w:lastColumn="0" w:noHBand="0" w:noVBand="1"/>
      </w:tblPr>
      <w:tblGrid>
        <w:gridCol w:w="55"/>
        <w:gridCol w:w="1743"/>
        <w:gridCol w:w="36"/>
        <w:gridCol w:w="36"/>
        <w:gridCol w:w="36"/>
        <w:gridCol w:w="36"/>
        <w:gridCol w:w="36"/>
        <w:gridCol w:w="720"/>
        <w:gridCol w:w="36"/>
        <w:gridCol w:w="36"/>
        <w:gridCol w:w="36"/>
        <w:gridCol w:w="36"/>
        <w:gridCol w:w="36"/>
        <w:gridCol w:w="744"/>
        <w:gridCol w:w="36"/>
        <w:gridCol w:w="36"/>
        <w:gridCol w:w="36"/>
        <w:gridCol w:w="36"/>
        <w:gridCol w:w="36"/>
        <w:gridCol w:w="709"/>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748"/>
        <w:gridCol w:w="36"/>
      </w:tblGrid>
      <w:tr w:rsidR="00000000">
        <w:trPr>
          <w:divId w:val="1008872621"/>
        </w:trPr>
        <w:tc>
          <w:tcPr>
            <w:tcW w:w="50" w:type="pct"/>
            <w:vAlign w:val="center"/>
            <w:hideMark/>
          </w:tcPr>
          <w:p w:rsidR="00000000" w:rsidRDefault="00E0782F">
            <w:pPr>
              <w:rPr>
                <w:rFonts w:eastAsia="Times New Roman"/>
              </w:rPr>
            </w:pPr>
          </w:p>
        </w:tc>
        <w:tc>
          <w:tcPr>
            <w:tcW w:w="107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08872621"/>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08872621"/>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0" style="width:0;height:1.5pt" o:hralign="center" o:hrstd="t" o:hr="t" fillcolor="#a0a0a0" stroked="f"/>
        </w:pict>
      </w:r>
    </w:p>
    <w:p w:rsidR="00000000" w:rsidRDefault="00E0782F">
      <w:pPr>
        <w:jc w:val="both"/>
        <w:divId w:val="99348379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993483797"/>
        <w:rPr>
          <w:rFonts w:eastAsia="Times New Roman"/>
        </w:rPr>
      </w:pPr>
    </w:p>
    <w:p w:rsidR="00000000" w:rsidRDefault="00E0782F">
      <w:pPr>
        <w:jc w:val="center"/>
        <w:divId w:val="993483797"/>
        <w:rPr>
          <w:rFonts w:eastAsia="Times New Roman"/>
        </w:rPr>
      </w:pPr>
      <w:r>
        <w:rPr>
          <w:rFonts w:eastAsia="Times New Roman"/>
          <w:b/>
          <w:bCs/>
          <w:color w:val="000000"/>
          <w:sz w:val="20"/>
          <w:szCs w:val="20"/>
        </w:rPr>
        <w:t>CAPITAL ONE FINANCIAL CORPORATION</w:t>
      </w:r>
    </w:p>
    <w:p w:rsidR="00000000" w:rsidRDefault="00E0782F">
      <w:pPr>
        <w:jc w:val="center"/>
        <w:divId w:val="99348379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6"/>
        <w:gridCol w:w="1674"/>
        <w:gridCol w:w="39"/>
        <w:gridCol w:w="36"/>
        <w:gridCol w:w="36"/>
        <w:gridCol w:w="36"/>
        <w:gridCol w:w="111"/>
        <w:gridCol w:w="718"/>
        <w:gridCol w:w="36"/>
        <w:gridCol w:w="36"/>
        <w:gridCol w:w="36"/>
        <w:gridCol w:w="36"/>
        <w:gridCol w:w="111"/>
        <w:gridCol w:w="625"/>
        <w:gridCol w:w="36"/>
        <w:gridCol w:w="36"/>
        <w:gridCol w:w="36"/>
        <w:gridCol w:w="36"/>
        <w:gridCol w:w="110"/>
        <w:gridCol w:w="569"/>
        <w:gridCol w:w="36"/>
        <w:gridCol w:w="36"/>
        <w:gridCol w:w="36"/>
        <w:gridCol w:w="36"/>
        <w:gridCol w:w="110"/>
        <w:gridCol w:w="633"/>
        <w:gridCol w:w="36"/>
        <w:gridCol w:w="36"/>
        <w:gridCol w:w="36"/>
        <w:gridCol w:w="36"/>
        <w:gridCol w:w="111"/>
        <w:gridCol w:w="743"/>
        <w:gridCol w:w="36"/>
        <w:gridCol w:w="36"/>
        <w:gridCol w:w="36"/>
        <w:gridCol w:w="36"/>
        <w:gridCol w:w="111"/>
        <w:gridCol w:w="871"/>
        <w:gridCol w:w="36"/>
        <w:gridCol w:w="36"/>
        <w:gridCol w:w="36"/>
        <w:gridCol w:w="36"/>
        <w:gridCol w:w="111"/>
        <w:gridCol w:w="595"/>
        <w:gridCol w:w="36"/>
      </w:tblGrid>
      <w:tr w:rsidR="00000000">
        <w:trPr>
          <w:divId w:val="1028220715"/>
        </w:trPr>
        <w:tc>
          <w:tcPr>
            <w:tcW w:w="50" w:type="pct"/>
            <w:vAlign w:val="center"/>
            <w:hideMark/>
          </w:tcPr>
          <w:p w:rsidR="00000000" w:rsidRDefault="00E0782F">
            <w:pPr>
              <w:jc w:val="center"/>
              <w:rPr>
                <w:rFonts w:eastAsia="Times New Roman"/>
              </w:rPr>
            </w:pPr>
          </w:p>
        </w:tc>
        <w:tc>
          <w:tcPr>
            <w:tcW w:w="10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2822071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8220715"/>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28220715"/>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Non-Interest Income</w:t>
            </w:r>
          </w:p>
        </w:tc>
      </w:tr>
      <w:tr w:rsidR="00000000">
        <w:trPr>
          <w:divId w:val="102822071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w:t>
            </w:r>
          </w:p>
        </w:tc>
      </w:tr>
      <w:tr w:rsidR="00E0782F">
        <w:trPr>
          <w:divId w:val="10282207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674770659"/>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25,862 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(3,420)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028220715"/>
        </w:trPr>
        <w:tc>
          <w:tcPr>
            <w:tcW w:w="0" w:type="auto"/>
            <w:gridSpan w:val="3"/>
            <w:shd w:val="clear" w:color="auto" w:fill="FFFFFF"/>
            <w:tcMar>
              <w:top w:w="30" w:type="dxa"/>
              <w:left w:w="20" w:type="dxa"/>
              <w:bottom w:w="30" w:type="dxa"/>
              <w:right w:w="20" w:type="dxa"/>
            </w:tcMar>
            <w:vAlign w:val="center"/>
            <w:hideMark/>
          </w:tcPr>
          <w:p w:rsidR="00000000" w:rsidRDefault="00E0782F">
            <w:pPr>
              <w:divId w:val="1626302987"/>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282207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and 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02822071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(108)</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02822071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(278)</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704 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028220715"/>
        </w:trPr>
        <w:tc>
          <w:tcPr>
            <w:tcW w:w="0" w:type="auto"/>
            <w:gridSpan w:val="3"/>
            <w:shd w:val="clear" w:color="auto" w:fill="FFFFFF"/>
            <w:tcMar>
              <w:top w:w="30" w:type="dxa"/>
              <w:left w:w="20" w:type="dxa"/>
              <w:bottom w:w="30" w:type="dxa"/>
              <w:right w:w="20" w:type="dxa"/>
            </w:tcMar>
            <w:vAlign w:val="center"/>
            <w:hideMark/>
          </w:tcPr>
          <w:p w:rsidR="00000000" w:rsidRDefault="00E0782F">
            <w:pPr>
              <w:divId w:val="1315454972"/>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278 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(258)</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(801)</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028220715"/>
        </w:trPr>
        <w:tc>
          <w:tcPr>
            <w:tcW w:w="0" w:type="auto"/>
            <w:gridSpan w:val="3"/>
            <w:shd w:val="clear" w:color="auto" w:fill="CCEEFF"/>
            <w:tcMar>
              <w:top w:w="30" w:type="dxa"/>
              <w:left w:w="20" w:type="dxa"/>
              <w:bottom w:w="30" w:type="dxa"/>
              <w:right w:w="20" w:type="dxa"/>
            </w:tcMar>
            <w:vAlign w:val="center"/>
            <w:hideMark/>
          </w:tcPr>
          <w:p w:rsidR="00000000" w:rsidRDefault="00E0782F">
            <w:pPr>
              <w:divId w:val="921721012"/>
              <w:rPr>
                <w:rFonts w:eastAsia="Times New Roman"/>
              </w:rPr>
            </w:pPr>
            <w:r>
              <w:rPr>
                <w:rFonts w:eastAsia="Times New Roman"/>
                <w:color w:val="000000"/>
                <w:sz w:val="18"/>
                <w:szCs w:val="18"/>
              </w:rPr>
              <w:t>Excluded component of fair value hedge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10282207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expense recognized on fair value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028220715"/>
        </w:trPr>
        <w:tc>
          <w:tcPr>
            <w:tcW w:w="0" w:type="auto"/>
            <w:gridSpan w:val="3"/>
            <w:shd w:val="clear" w:color="auto" w:fill="CCEEFF"/>
            <w:tcMar>
              <w:top w:w="30" w:type="dxa"/>
              <w:left w:w="20" w:type="dxa"/>
              <w:bottom w:w="30" w:type="dxa"/>
              <w:right w:w="20" w:type="dxa"/>
            </w:tcMar>
            <w:vAlign w:val="center"/>
            <w:hideMark/>
          </w:tcPr>
          <w:p w:rsidR="00000000" w:rsidRDefault="00E0782F">
            <w:pPr>
              <w:divId w:val="632518570"/>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282207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02822071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Realized losses reclassified from AOCI into net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(163)</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0282207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Foreign exchange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28220715"/>
        </w:trPr>
        <w:tc>
          <w:tcPr>
            <w:tcW w:w="0" w:type="auto"/>
            <w:gridSpan w:val="3"/>
            <w:shd w:val="clear" w:color="auto" w:fill="CCEEFF"/>
            <w:tcMar>
              <w:top w:w="30" w:type="dxa"/>
              <w:left w:w="20" w:type="dxa"/>
              <w:bottom w:w="30" w:type="dxa"/>
              <w:right w:w="20" w:type="dxa"/>
            </w:tcMar>
            <w:vAlign w:val="center"/>
            <w:hideMark/>
          </w:tcPr>
          <w:p w:rsidR="00000000" w:rsidRDefault="00E0782F">
            <w:pPr>
              <w:divId w:val="1722442462"/>
              <w:rPr>
                <w:rFonts w:eastAsia="Times New Roman"/>
              </w:rPr>
            </w:pPr>
            <w:r>
              <w:rPr>
                <w:rFonts w:eastAsia="Times New Roman"/>
                <w:color w:val="000000"/>
                <w:sz w:val="18"/>
                <w:szCs w:val="18"/>
              </w:rPr>
              <w:t>Realized gains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10282207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(expense) recognized on cash flow hedges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jc w:val="both"/>
        <w:divId w:val="213752631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8630872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8630872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8630872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1" style="width:0;height:1.5pt" o:hralign="center" o:hrstd="t" o:hr="t" fillcolor="#a0a0a0" stroked="f"/>
        </w:pict>
      </w:r>
    </w:p>
    <w:p w:rsidR="00000000" w:rsidRDefault="00E0782F">
      <w:pPr>
        <w:jc w:val="both"/>
        <w:divId w:val="33044767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30447677"/>
        <w:rPr>
          <w:rFonts w:eastAsia="Times New Roman"/>
        </w:rPr>
      </w:pPr>
    </w:p>
    <w:p w:rsidR="00000000" w:rsidRDefault="00E0782F">
      <w:pPr>
        <w:jc w:val="center"/>
        <w:divId w:val="330447677"/>
        <w:rPr>
          <w:rFonts w:eastAsia="Times New Roman"/>
        </w:rPr>
      </w:pPr>
      <w:r>
        <w:rPr>
          <w:rFonts w:eastAsia="Times New Roman"/>
          <w:b/>
          <w:bCs/>
          <w:color w:val="000000"/>
          <w:sz w:val="20"/>
          <w:szCs w:val="20"/>
        </w:rPr>
        <w:t>CAPITAL ONE FINANCIAL CORPORATION</w:t>
      </w:r>
    </w:p>
    <w:p w:rsidR="00000000" w:rsidRDefault="00E0782F">
      <w:pPr>
        <w:jc w:val="center"/>
        <w:divId w:val="33044767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56"/>
        <w:gridCol w:w="1596"/>
        <w:gridCol w:w="39"/>
        <w:gridCol w:w="76"/>
        <w:gridCol w:w="390"/>
        <w:gridCol w:w="75"/>
        <w:gridCol w:w="111"/>
        <w:gridCol w:w="718"/>
        <w:gridCol w:w="36"/>
        <w:gridCol w:w="36"/>
        <w:gridCol w:w="36"/>
        <w:gridCol w:w="36"/>
        <w:gridCol w:w="111"/>
        <w:gridCol w:w="625"/>
        <w:gridCol w:w="36"/>
        <w:gridCol w:w="36"/>
        <w:gridCol w:w="36"/>
        <w:gridCol w:w="36"/>
        <w:gridCol w:w="110"/>
        <w:gridCol w:w="438"/>
        <w:gridCol w:w="36"/>
        <w:gridCol w:w="36"/>
        <w:gridCol w:w="36"/>
        <w:gridCol w:w="36"/>
        <w:gridCol w:w="110"/>
        <w:gridCol w:w="555"/>
        <w:gridCol w:w="36"/>
        <w:gridCol w:w="36"/>
        <w:gridCol w:w="36"/>
        <w:gridCol w:w="36"/>
        <w:gridCol w:w="111"/>
        <w:gridCol w:w="743"/>
        <w:gridCol w:w="36"/>
        <w:gridCol w:w="36"/>
        <w:gridCol w:w="36"/>
        <w:gridCol w:w="36"/>
        <w:gridCol w:w="111"/>
        <w:gridCol w:w="871"/>
        <w:gridCol w:w="36"/>
        <w:gridCol w:w="36"/>
        <w:gridCol w:w="36"/>
        <w:gridCol w:w="36"/>
        <w:gridCol w:w="110"/>
        <w:gridCol w:w="450"/>
        <w:gridCol w:w="36"/>
      </w:tblGrid>
      <w:tr w:rsidR="00000000">
        <w:trPr>
          <w:divId w:val="25713263"/>
        </w:trPr>
        <w:tc>
          <w:tcPr>
            <w:tcW w:w="50" w:type="pct"/>
            <w:vAlign w:val="center"/>
            <w:hideMark/>
          </w:tcPr>
          <w:p w:rsidR="00000000" w:rsidRDefault="00E0782F">
            <w:pPr>
              <w:jc w:val="center"/>
              <w:rPr>
                <w:rFonts w:eastAsia="Times New Roman"/>
              </w:rPr>
            </w:pPr>
          </w:p>
        </w:tc>
        <w:tc>
          <w:tcPr>
            <w:tcW w:w="10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571326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13263"/>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 Interest 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Non-Interest Income</w:t>
            </w:r>
          </w:p>
        </w:tc>
      </w:tr>
      <w:tr w:rsidR="00000000">
        <w:trPr>
          <w:divId w:val="25713263"/>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Investment Securities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Loans, Including Loans Held for Sale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Interest-bearing Deposits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Securitized Debt Obligations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Senior and Subordinated Notes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w:t>
            </w:r>
          </w:p>
        </w:tc>
      </w:tr>
      <w:tr w:rsidR="00E0782F">
        <w:trPr>
          <w:divId w:val="2571326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Total amounts presented in our consolidated statements of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(2,598)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5713263"/>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Fair value hedging relationships: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13263"/>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25713263"/>
        </w:trPr>
        <w:tc>
          <w:tcPr>
            <w:tcW w:w="0" w:type="auto"/>
            <w:gridSpan w:val="3"/>
            <w:shd w:val="clear" w:color="auto" w:fill="FFFF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Interest recognized on derivatives</w:t>
            </w:r>
          </w:p>
        </w:tc>
        <w:tc>
          <w:tcPr>
            <w:tcW w:w="0" w:type="auto"/>
            <w:gridSpan w:val="3"/>
            <w:shd w:val="clear" w:color="auto" w:fill="FFFFFF"/>
            <w:tcMar>
              <w:top w:w="0" w:type="dxa"/>
              <w:left w:w="38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5713263"/>
        </w:trPr>
        <w:tc>
          <w:tcPr>
            <w:tcW w:w="0" w:type="auto"/>
            <w:gridSpan w:val="3"/>
            <w:shd w:val="clear" w:color="auto" w:fill="CCEE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Gains (losses) recognized on derivatives</w:t>
            </w:r>
          </w:p>
        </w:tc>
        <w:tc>
          <w:tcPr>
            <w:tcW w:w="0" w:type="auto"/>
            <w:gridSpan w:val="3"/>
            <w:shd w:val="clear" w:color="auto" w:fill="CCEEFF"/>
            <w:tcMar>
              <w:top w:w="0" w:type="dxa"/>
              <w:left w:w="515"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5713263"/>
        </w:trPr>
        <w:tc>
          <w:tcPr>
            <w:tcW w:w="0" w:type="auto"/>
            <w:gridSpan w:val="3"/>
            <w:shd w:val="clear" w:color="auto" w:fill="FFFFFF"/>
            <w:tcMar>
              <w:top w:w="30" w:type="dxa"/>
              <w:left w:w="20" w:type="dxa"/>
              <w:bottom w:w="30" w:type="dxa"/>
              <w:right w:w="20" w:type="dxa"/>
            </w:tcMar>
            <w:vAlign w:val="bottom"/>
            <w:hideMark/>
          </w:tcPr>
          <w:p w:rsidR="00000000" w:rsidRDefault="00E0782F">
            <w:pPr>
              <w:divId w:val="516040541"/>
              <w:rPr>
                <w:rFonts w:eastAsia="Times New Roman"/>
              </w:rPr>
            </w:pPr>
            <w:r>
              <w:rPr>
                <w:rFonts w:eastAsia="Times New Roman"/>
                <w:color w:val="000000"/>
                <w:sz w:val="18"/>
                <w:szCs w:val="18"/>
              </w:rPr>
              <w:t>Gains (losses) recognized on hedged item</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38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25713263"/>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Net expense recognized on fair value hedges</w:t>
            </w:r>
          </w:p>
        </w:tc>
        <w:tc>
          <w:tcPr>
            <w:tcW w:w="0" w:type="auto"/>
            <w:gridSpan w:val="3"/>
            <w:shd w:val="clear" w:color="auto" w:fill="CCEEFF"/>
            <w:tcMar>
              <w:top w:w="0" w:type="dxa"/>
              <w:left w:w="38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5713263"/>
        </w:trPr>
        <w:tc>
          <w:tcPr>
            <w:tcW w:w="0" w:type="auto"/>
            <w:gridSpan w:val="3"/>
            <w:shd w:val="clear" w:color="auto" w:fill="FFFFFF"/>
            <w:tcMar>
              <w:top w:w="30" w:type="dxa"/>
              <w:left w:w="20" w:type="dxa"/>
              <w:bottom w:w="30" w:type="dxa"/>
              <w:right w:w="20" w:type="dxa"/>
            </w:tcMar>
            <w:vAlign w:val="bottom"/>
            <w:hideMark/>
          </w:tcPr>
          <w:p w:rsidR="00000000" w:rsidRDefault="00E0782F">
            <w:pPr>
              <w:divId w:val="988678295"/>
              <w:rPr>
                <w:rFonts w:eastAsia="Times New Roman"/>
              </w:rPr>
            </w:pPr>
            <w:r>
              <w:rPr>
                <w:rFonts w:eastAsia="Times New Roman"/>
                <w:b/>
                <w:bCs/>
                <w:color w:val="000000"/>
                <w:sz w:val="18"/>
                <w:szCs w:val="18"/>
              </w:rPr>
              <w:t>Cash flow hedging relationships</w:t>
            </w:r>
            <w:r>
              <w:rPr>
                <w:rFonts w:eastAsia="Times New Roman"/>
                <w:b/>
                <w:bCs/>
                <w:color w:val="000000"/>
                <w:sz w:val="18"/>
                <w:szCs w:val="18"/>
              </w:rPr>
              <w:t>:</w:t>
            </w:r>
            <w:r>
              <w:rPr>
                <w:rFonts w:eastAsia="Times New Roman"/>
                <w:b/>
                <w:bCs/>
                <w:color w:val="000000"/>
                <w:sz w:val="12"/>
                <w:szCs w:val="12"/>
              </w:rPr>
              <w:t>(3</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13263"/>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25713263"/>
        </w:trPr>
        <w:tc>
          <w:tcPr>
            <w:tcW w:w="0" w:type="auto"/>
            <w:gridSpan w:val="3"/>
            <w:shd w:val="clear" w:color="auto" w:fill="FFFFFF"/>
            <w:tcMar>
              <w:top w:w="30" w:type="dxa"/>
              <w:left w:w="245" w:type="dxa"/>
              <w:bottom w:w="30" w:type="dxa"/>
              <w:right w:w="20" w:type="dxa"/>
            </w:tcMar>
            <w:vAlign w:val="bottom"/>
            <w:hideMark/>
          </w:tcPr>
          <w:p w:rsidR="00000000" w:rsidRDefault="00E0782F">
            <w:pPr>
              <w:rPr>
                <w:rFonts w:eastAsia="Times New Roman"/>
              </w:rPr>
            </w:pPr>
            <w:r>
              <w:rPr>
                <w:rFonts w:eastAsia="Times New Roman"/>
                <w:color w:val="000000"/>
                <w:sz w:val="18"/>
                <w:szCs w:val="18"/>
              </w:rPr>
              <w:t>Realized losses reclassified from AOCI into net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5713263"/>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5713263"/>
        </w:trPr>
        <w:tc>
          <w:tcPr>
            <w:tcW w:w="0" w:type="auto"/>
            <w:gridSpan w:val="3"/>
            <w:shd w:val="clear" w:color="auto" w:fill="FFFFFF"/>
            <w:tcMar>
              <w:top w:w="30" w:type="dxa"/>
              <w:left w:w="20" w:type="dxa"/>
              <w:bottom w:w="30" w:type="dxa"/>
              <w:right w:w="20" w:type="dxa"/>
            </w:tcMar>
            <w:vAlign w:val="bottom"/>
            <w:hideMark/>
          </w:tcPr>
          <w:p w:rsidR="00000000" w:rsidRDefault="00E0782F">
            <w:pPr>
              <w:divId w:val="494225726"/>
              <w:rPr>
                <w:rFonts w:eastAsia="Times New Roman"/>
              </w:rPr>
            </w:pPr>
            <w:r>
              <w:rPr>
                <w:rFonts w:eastAsia="Times New Roman"/>
                <w:color w:val="000000"/>
                <w:sz w:val="18"/>
                <w:szCs w:val="18"/>
              </w:rPr>
              <w:t>Realized gains (losses) reclassified from AOCI into net incom</w:t>
            </w:r>
            <w:r>
              <w:rPr>
                <w:rFonts w:eastAsia="Times New Roman"/>
                <w:color w:val="000000"/>
                <w:sz w:val="18"/>
                <w:szCs w:val="18"/>
              </w:rPr>
              <w:t>e</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E0782F">
        <w:trPr>
          <w:divId w:val="25713263"/>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Net income (expense) recognized on cash flow hedges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divId w:val="1686664340"/>
        <w:rPr>
          <w:rFonts w:eastAsia="Times New Roman"/>
        </w:rPr>
      </w:pPr>
      <w:r>
        <w:rPr>
          <w:rFonts w:eastAsia="Times New Roman"/>
          <w:color w:val="000000"/>
          <w:sz w:val="20"/>
          <w:szCs w:val="20"/>
        </w:rPr>
        <w:t>__________</w:t>
      </w:r>
    </w:p>
    <w:p w:rsidR="00000000" w:rsidRDefault="00E0782F">
      <w:pPr>
        <w:ind w:hanging="360"/>
        <w:jc w:val="both"/>
        <w:divId w:val="811444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amortization expense of $12 million, $171 million and $75 </w:t>
      </w:r>
      <w:r>
        <w:rPr>
          <w:rFonts w:eastAsia="Times New Roman"/>
          <w:color w:val="000000"/>
          <w:sz w:val="16"/>
          <w:szCs w:val="16"/>
        </w:rPr>
        <w:t>million for the years ended December 31, 2020, 2019</w:t>
      </w:r>
      <w:r>
        <w:rPr>
          <w:rFonts w:eastAsia="Times New Roman"/>
          <w:color w:val="000000"/>
          <w:sz w:val="20"/>
          <w:szCs w:val="20"/>
        </w:rPr>
        <w:t xml:space="preserve"> </w:t>
      </w:r>
      <w:r>
        <w:rPr>
          <w:rFonts w:eastAsia="Times New Roman"/>
          <w:color w:val="000000"/>
          <w:sz w:val="16"/>
          <w:szCs w:val="16"/>
        </w:rPr>
        <w:t>and</w:t>
      </w:r>
      <w:r>
        <w:rPr>
          <w:rFonts w:eastAsia="Times New Roman"/>
          <w:color w:val="000000"/>
          <w:sz w:val="20"/>
          <w:szCs w:val="20"/>
        </w:rPr>
        <w:t xml:space="preserve"> </w:t>
      </w:r>
      <w:r>
        <w:rPr>
          <w:rFonts w:eastAsia="Times New Roman"/>
          <w:color w:val="000000"/>
          <w:sz w:val="16"/>
          <w:szCs w:val="16"/>
        </w:rPr>
        <w:t>2018 respectively, related to basis adjustments on discontinued hedges.</w:t>
      </w:r>
    </w:p>
    <w:p w:rsidR="00000000" w:rsidRDefault="00E0782F">
      <w:pPr>
        <w:ind w:hanging="360"/>
        <w:jc w:val="both"/>
        <w:divId w:val="104282652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Changes in fair values of cross-currency swaps attributable to changes in cross-currency basis spreads are excluded from the assessment of hedge effectiveness and recorded in other comprehensive income. The initial value of the excluded component is recogn</w:t>
      </w:r>
      <w:r>
        <w:rPr>
          <w:rFonts w:eastAsia="Times New Roman"/>
          <w:color w:val="000000"/>
          <w:sz w:val="16"/>
          <w:szCs w:val="16"/>
        </w:rPr>
        <w:t>ized in earnings over the life of the swap under the amortization approach.</w:t>
      </w:r>
    </w:p>
    <w:p w:rsidR="00000000" w:rsidRDefault="00E0782F">
      <w:pPr>
        <w:ind w:hanging="360"/>
        <w:jc w:val="both"/>
        <w:divId w:val="738674859"/>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See “Note 10—Stockholders’ Equity” for the effects of cash flow and net investment hedges on AOCI and amounts reclassified to net income, net of tax.</w:t>
      </w:r>
    </w:p>
    <w:p w:rsidR="00000000" w:rsidRDefault="00E0782F">
      <w:pPr>
        <w:ind w:hanging="360"/>
        <w:jc w:val="both"/>
        <w:divId w:val="1683507889"/>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 xml:space="preserve">We recognized a loss of </w:t>
      </w:r>
      <w:r>
        <w:rPr>
          <w:rFonts w:eastAsia="Times New Roman"/>
          <w:color w:val="000000"/>
          <w:sz w:val="16"/>
          <w:szCs w:val="16"/>
        </w:rPr>
        <w:t>$57 million and $341 million for the years ended December 31, 2020 and 2019, respectively, and a gain of $191 million for the year ended December 31, 2018, on foreign exchange contracts reclassified from AOCI. These amounts were largely offset by the forei</w:t>
      </w:r>
      <w:r>
        <w:rPr>
          <w:rFonts w:eastAsia="Times New Roman"/>
          <w:color w:val="000000"/>
          <w:sz w:val="16"/>
          <w:szCs w:val="16"/>
        </w:rPr>
        <w:t>gn currency transaction gains (losses) on our foreign currency denominated intercompany funding included other non-interest income.</w:t>
      </w:r>
    </w:p>
    <w:p w:rsidR="00000000" w:rsidRDefault="00E0782F">
      <w:pPr>
        <w:jc w:val="both"/>
        <w:divId w:val="361519634"/>
        <w:rPr>
          <w:rFonts w:eastAsia="Times New Roman"/>
        </w:rPr>
      </w:pPr>
      <w:r>
        <w:rPr>
          <w:rFonts w:eastAsia="Times New Roman"/>
          <w:color w:val="000000"/>
          <w:sz w:val="20"/>
          <w:szCs w:val="20"/>
        </w:rPr>
        <w:t>In the next 12 months, we expect to reclassify to earnings net after-tax gains of $652 million recorded in AOCI as of Decemb</w:t>
      </w:r>
      <w:r>
        <w:rPr>
          <w:rFonts w:eastAsia="Times New Roman"/>
          <w:color w:val="000000"/>
          <w:sz w:val="20"/>
          <w:szCs w:val="20"/>
        </w:rPr>
        <w:t>er 31, 2020. These amounts will offset the cash flows associated with the hedged forecasted transactions. The maximum length of time over which forecasted transactions were hedged was approximately 6 years as of December 31, 2020. The amount we expect to r</w:t>
      </w:r>
      <w:r>
        <w:rPr>
          <w:rFonts w:eastAsia="Times New Roman"/>
          <w:color w:val="000000"/>
          <w:sz w:val="20"/>
          <w:szCs w:val="20"/>
        </w:rPr>
        <w:t>eclassify into earnings may change as a result of changes in market conditions and ongoing actions taken as part of our overall risk management strategy.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30088891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30088891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30088891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2" style="width:0;height:1.5pt" o:hralign="center" o:hrstd="t" o:hr="t" fillcolor="#a0a0a0" stroked="f"/>
        </w:pict>
      </w:r>
    </w:p>
    <w:p w:rsidR="00000000" w:rsidRDefault="00E0782F">
      <w:pPr>
        <w:jc w:val="both"/>
        <w:divId w:val="117804177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178041778"/>
        <w:rPr>
          <w:rFonts w:eastAsia="Times New Roman"/>
        </w:rPr>
      </w:pPr>
    </w:p>
    <w:p w:rsidR="00000000" w:rsidRDefault="00E0782F">
      <w:pPr>
        <w:jc w:val="center"/>
        <w:divId w:val="1178041778"/>
        <w:rPr>
          <w:rFonts w:eastAsia="Times New Roman"/>
        </w:rPr>
      </w:pPr>
      <w:r>
        <w:rPr>
          <w:rFonts w:eastAsia="Times New Roman"/>
          <w:b/>
          <w:bCs/>
          <w:color w:val="000000"/>
          <w:sz w:val="20"/>
          <w:szCs w:val="20"/>
        </w:rPr>
        <w:t>CAPITAL ONE FINANCIAL CORPORATION</w:t>
      </w:r>
    </w:p>
    <w:p w:rsidR="00000000" w:rsidRDefault="00E0782F">
      <w:pPr>
        <w:jc w:val="center"/>
        <w:divId w:val="1178041778"/>
        <w:rPr>
          <w:rFonts w:eastAsia="Times New Roman"/>
        </w:rPr>
      </w:pPr>
      <w:r>
        <w:rPr>
          <w:rFonts w:eastAsia="Times New Roman"/>
          <w:b/>
          <w:bCs/>
          <w:color w:val="000000"/>
          <w:sz w:val="20"/>
          <w:szCs w:val="20"/>
        </w:rPr>
        <w:t>NOTES TO CONSOLIDATED FINANCIAL STATEMENTS</w:t>
      </w:r>
    </w:p>
    <w:p w:rsidR="00000000" w:rsidRDefault="00E0782F">
      <w:pPr>
        <w:divId w:val="1236281273"/>
        <w:rPr>
          <w:rFonts w:eastAsia="Times New Roman"/>
        </w:rPr>
      </w:pPr>
      <w:r>
        <w:rPr>
          <w:rFonts w:eastAsia="Times New Roman"/>
          <w:b/>
          <w:bCs/>
          <w:i/>
          <w:iCs/>
          <w:color w:val="000000"/>
          <w:sz w:val="20"/>
          <w:szCs w:val="20"/>
        </w:rPr>
        <w:t>Free-Standing Derivatives</w:t>
      </w:r>
    </w:p>
    <w:p w:rsidR="00000000" w:rsidRDefault="00E0782F">
      <w:pPr>
        <w:jc w:val="both"/>
        <w:divId w:val="1998151226"/>
        <w:rPr>
          <w:rFonts w:eastAsia="Times New Roman"/>
        </w:rPr>
      </w:pPr>
      <w:r>
        <w:rPr>
          <w:rFonts w:eastAsia="Times New Roman"/>
          <w:color w:val="000000"/>
          <w:sz w:val="20"/>
          <w:szCs w:val="20"/>
        </w:rPr>
        <w:t>The net impacts to our consolidated sta</w:t>
      </w:r>
      <w:r>
        <w:rPr>
          <w:rFonts w:eastAsia="Times New Roman"/>
          <w:color w:val="000000"/>
          <w:sz w:val="20"/>
          <w:szCs w:val="20"/>
        </w:rPr>
        <w:t>tements of income related to free-standing derivatives are presented below for the years ended December 31, 2020, 2019 and 2018. These gains or losses are recognized in other non-interest income in our consolidated statements of income.</w:t>
      </w:r>
    </w:p>
    <w:p w:rsidR="00000000" w:rsidRDefault="00E0782F">
      <w:pPr>
        <w:divId w:val="2109889085"/>
        <w:rPr>
          <w:rFonts w:eastAsia="Times New Roman"/>
        </w:rPr>
      </w:pPr>
      <w:r>
        <w:rPr>
          <w:rFonts w:eastAsia="Times New Roman"/>
          <w:b/>
          <w:bCs/>
          <w:color w:val="000000"/>
          <w:sz w:val="18"/>
          <w:szCs w:val="18"/>
        </w:rPr>
        <w:t>Table 9.5: Gains (L</w:t>
      </w:r>
      <w:r>
        <w:rPr>
          <w:rFonts w:eastAsia="Times New Roman"/>
          <w:b/>
          <w:bCs/>
          <w:color w:val="000000"/>
          <w:sz w:val="18"/>
          <w:szCs w:val="18"/>
        </w:rPr>
        <w:t>osses) on Free-Standing Derivatives</w:t>
      </w:r>
    </w:p>
    <w:tbl>
      <w:tblPr>
        <w:tblW w:w="5000" w:type="pct"/>
        <w:tblCellMar>
          <w:top w:w="15" w:type="dxa"/>
          <w:left w:w="15" w:type="dxa"/>
          <w:bottom w:w="15" w:type="dxa"/>
          <w:right w:w="15" w:type="dxa"/>
        </w:tblCellMar>
        <w:tblLook w:val="04A0" w:firstRow="1" w:lastRow="0" w:firstColumn="1" w:lastColumn="0" w:noHBand="0" w:noVBand="1"/>
      </w:tblPr>
      <w:tblGrid>
        <w:gridCol w:w="39"/>
        <w:gridCol w:w="4586"/>
        <w:gridCol w:w="38"/>
        <w:gridCol w:w="36"/>
        <w:gridCol w:w="36"/>
        <w:gridCol w:w="36"/>
        <w:gridCol w:w="36"/>
        <w:gridCol w:w="36"/>
        <w:gridCol w:w="36"/>
        <w:gridCol w:w="36"/>
        <w:gridCol w:w="110"/>
        <w:gridCol w:w="912"/>
        <w:gridCol w:w="36"/>
        <w:gridCol w:w="36"/>
        <w:gridCol w:w="36"/>
        <w:gridCol w:w="36"/>
        <w:gridCol w:w="110"/>
        <w:gridCol w:w="912"/>
        <w:gridCol w:w="36"/>
        <w:gridCol w:w="36"/>
        <w:gridCol w:w="36"/>
        <w:gridCol w:w="36"/>
        <w:gridCol w:w="110"/>
        <w:gridCol w:w="913"/>
        <w:gridCol w:w="36"/>
      </w:tblGrid>
      <w:tr w:rsidR="00000000">
        <w:trPr>
          <w:divId w:val="964310336"/>
        </w:trPr>
        <w:tc>
          <w:tcPr>
            <w:tcW w:w="50" w:type="pct"/>
            <w:vAlign w:val="center"/>
            <w:hideMark/>
          </w:tcPr>
          <w:p w:rsidR="00000000" w:rsidRDefault="00E0782F">
            <w:pPr>
              <w:rPr>
                <w:rFonts w:eastAsia="Times New Roman"/>
              </w:rPr>
            </w:pPr>
          </w:p>
        </w:tc>
        <w:tc>
          <w:tcPr>
            <w:tcW w:w="28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6431033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96431033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9643103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Gains (losses) recognized in other 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6431033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6431033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6431033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Commodity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6431033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Foreign exchange and other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6431033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customer accommodation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6431033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interest rate exposures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6431033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6431033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1802"/>
        <w:gridCol w:w="144"/>
        <w:gridCol w:w="144"/>
        <w:gridCol w:w="144"/>
        <w:gridCol w:w="144"/>
        <w:gridCol w:w="144"/>
        <w:gridCol w:w="745"/>
        <w:gridCol w:w="144"/>
        <w:gridCol w:w="144"/>
        <w:gridCol w:w="144"/>
        <w:gridCol w:w="144"/>
        <w:gridCol w:w="144"/>
        <w:gridCol w:w="770"/>
        <w:gridCol w:w="144"/>
        <w:gridCol w:w="144"/>
        <w:gridCol w:w="144"/>
        <w:gridCol w:w="144"/>
        <w:gridCol w:w="144"/>
        <w:gridCol w:w="745"/>
        <w:gridCol w:w="144"/>
        <w:gridCol w:w="144"/>
        <w:gridCol w:w="144"/>
        <w:gridCol w:w="144"/>
        <w:gridCol w:w="144"/>
        <w:gridCol w:w="745"/>
        <w:gridCol w:w="144"/>
        <w:gridCol w:w="144"/>
        <w:gridCol w:w="144"/>
        <w:gridCol w:w="144"/>
        <w:gridCol w:w="144"/>
        <w:gridCol w:w="770"/>
        <w:gridCol w:w="144"/>
        <w:gridCol w:w="144"/>
        <w:gridCol w:w="144"/>
        <w:gridCol w:w="144"/>
        <w:gridCol w:w="144"/>
        <w:gridCol w:w="770"/>
        <w:gridCol w:w="144"/>
        <w:gridCol w:w="144"/>
        <w:gridCol w:w="144"/>
        <w:gridCol w:w="144"/>
        <w:gridCol w:w="144"/>
        <w:gridCol w:w="722"/>
        <w:gridCol w:w="144"/>
      </w:tblGrid>
      <w:tr w:rsidR="00000000">
        <w:trPr>
          <w:jc w:val="center"/>
        </w:trPr>
        <w:tc>
          <w:tcPr>
            <w:tcW w:w="50" w:type="pct"/>
            <w:vAlign w:val="center"/>
            <w:hideMark/>
          </w:tcPr>
          <w:p w:rsidR="00000000" w:rsidRDefault="00E0782F">
            <w:pPr>
              <w:rPr>
                <w:rFonts w:eastAsia="Times New Roman"/>
              </w:rPr>
            </w:pPr>
          </w:p>
        </w:tc>
        <w:tc>
          <w:tcPr>
            <w:tcW w:w="10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center"/>
        <w:divId w:val="1992636702"/>
        <w:rPr>
          <w:rFonts w:eastAsia="Times New Roman"/>
          <w:vanish/>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55"/>
        <w:gridCol w:w="1779"/>
        <w:gridCol w:w="36"/>
        <w:gridCol w:w="36"/>
        <w:gridCol w:w="36"/>
        <w:gridCol w:w="36"/>
        <w:gridCol w:w="36"/>
        <w:gridCol w:w="720"/>
        <w:gridCol w:w="36"/>
        <w:gridCol w:w="36"/>
        <w:gridCol w:w="36"/>
        <w:gridCol w:w="36"/>
        <w:gridCol w:w="36"/>
        <w:gridCol w:w="744"/>
        <w:gridCol w:w="36"/>
        <w:gridCol w:w="36"/>
        <w:gridCol w:w="36"/>
        <w:gridCol w:w="36"/>
        <w:gridCol w:w="36"/>
        <w:gridCol w:w="722"/>
        <w:gridCol w:w="36"/>
        <w:gridCol w:w="36"/>
        <w:gridCol w:w="36"/>
        <w:gridCol w:w="36"/>
        <w:gridCol w:w="37"/>
        <w:gridCol w:w="722"/>
        <w:gridCol w:w="36"/>
        <w:gridCol w:w="36"/>
        <w:gridCol w:w="36"/>
        <w:gridCol w:w="36"/>
        <w:gridCol w:w="37"/>
        <w:gridCol w:w="746"/>
        <w:gridCol w:w="36"/>
        <w:gridCol w:w="36"/>
        <w:gridCol w:w="36"/>
        <w:gridCol w:w="36"/>
        <w:gridCol w:w="37"/>
        <w:gridCol w:w="746"/>
        <w:gridCol w:w="36"/>
        <w:gridCol w:w="36"/>
        <w:gridCol w:w="36"/>
        <w:gridCol w:w="36"/>
        <w:gridCol w:w="37"/>
        <w:gridCol w:w="699"/>
        <w:gridCol w:w="36"/>
      </w:tblGrid>
      <w:tr w:rsidR="00000000">
        <w:trPr>
          <w:divId w:val="1992636702"/>
          <w:jc w:val="center"/>
        </w:trPr>
        <w:tc>
          <w:tcPr>
            <w:tcW w:w="50" w:type="pct"/>
            <w:vAlign w:val="center"/>
            <w:hideMark/>
          </w:tcPr>
          <w:p w:rsidR="00000000" w:rsidRDefault="00E0782F">
            <w:pPr>
              <w:jc w:val="center"/>
              <w:rPr>
                <w:rFonts w:eastAsia="Times New Roman"/>
              </w:rPr>
            </w:pPr>
          </w:p>
        </w:tc>
        <w:tc>
          <w:tcPr>
            <w:tcW w:w="10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992636702"/>
          <w:trHeight w:val="6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992636702"/>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36" w:type="pct"/>
        <w:jc w:val="center"/>
        <w:tblCellMar>
          <w:top w:w="15" w:type="dxa"/>
          <w:left w:w="15" w:type="dxa"/>
          <w:bottom w:w="15" w:type="dxa"/>
          <w:right w:w="15" w:type="dxa"/>
        </w:tblCellMar>
        <w:tblLook w:val="04A0" w:firstRow="1" w:lastRow="0" w:firstColumn="1" w:lastColumn="0" w:noHBand="0" w:noVBand="1"/>
      </w:tblPr>
      <w:tblGrid>
        <w:gridCol w:w="144"/>
        <w:gridCol w:w="144"/>
        <w:gridCol w:w="144"/>
      </w:tblGrid>
      <w:tr w:rsidR="00000000">
        <w:trPr>
          <w:jc w:val="center"/>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bl>
    <w:p w:rsidR="00000000" w:rsidRDefault="00E0782F">
      <w:pPr>
        <w:jc w:val="center"/>
        <w:divId w:val="1746030563"/>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52273743"/>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5227374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5227374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3" style="width:0;height:1.5pt" o:hralign="center" o:hrstd="t" o:hr="t" fillcolor="#a0a0a0" stroked="f"/>
        </w:pict>
      </w:r>
    </w:p>
    <w:p w:rsidR="00000000" w:rsidRDefault="00E0782F">
      <w:pPr>
        <w:jc w:val="both"/>
        <w:divId w:val="207254046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72540467"/>
        <w:rPr>
          <w:rFonts w:eastAsia="Times New Roman"/>
        </w:rPr>
      </w:pPr>
    </w:p>
    <w:p w:rsidR="00000000" w:rsidRDefault="00E0782F">
      <w:pPr>
        <w:jc w:val="center"/>
        <w:divId w:val="2072540467"/>
        <w:rPr>
          <w:rFonts w:eastAsia="Times New Roman"/>
        </w:rPr>
      </w:pPr>
      <w:r>
        <w:rPr>
          <w:rFonts w:eastAsia="Times New Roman"/>
          <w:b/>
          <w:bCs/>
          <w:color w:val="000000"/>
          <w:sz w:val="20"/>
          <w:szCs w:val="20"/>
        </w:rPr>
        <w:t>CAPITAL ONE FINANCIAL CORPORATION</w:t>
      </w:r>
    </w:p>
    <w:p w:rsidR="00000000" w:rsidRDefault="00E0782F">
      <w:pPr>
        <w:jc w:val="center"/>
        <w:divId w:val="207254046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94660222"/>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94660222"/>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10—STOCKHOLDERS’ EQUITY</w:t>
            </w:r>
          </w:p>
        </w:tc>
      </w:tr>
    </w:tbl>
    <w:p w:rsidR="00000000" w:rsidRDefault="00E0782F">
      <w:pPr>
        <w:divId w:val="725951531"/>
        <w:rPr>
          <w:rFonts w:eastAsia="Times New Roman"/>
        </w:rPr>
      </w:pPr>
      <w:r>
        <w:rPr>
          <w:rFonts w:eastAsia="Times New Roman"/>
          <w:b/>
          <w:bCs/>
          <w:color w:val="000000"/>
          <w:sz w:val="20"/>
          <w:szCs w:val="20"/>
        </w:rPr>
        <w:t>Preferred Stock</w:t>
      </w:r>
    </w:p>
    <w:p w:rsidR="00000000" w:rsidRDefault="00E0782F">
      <w:pPr>
        <w:jc w:val="both"/>
        <w:divId w:val="314842753"/>
        <w:rPr>
          <w:rFonts w:eastAsia="Times New Roman"/>
        </w:rPr>
      </w:pPr>
      <w:r>
        <w:rPr>
          <w:rFonts w:eastAsia="Times New Roman"/>
          <w:color w:val="000000"/>
          <w:sz w:val="20"/>
          <w:szCs w:val="20"/>
        </w:rPr>
        <w:t>The following table summarizes our preferred stock outstanding as of December 31, 2020 and 2019.</w:t>
      </w:r>
    </w:p>
    <w:p w:rsidR="00000000" w:rsidRDefault="00E0782F">
      <w:pPr>
        <w:divId w:val="1586262535"/>
        <w:rPr>
          <w:rFonts w:eastAsia="Times New Roman"/>
        </w:rPr>
      </w:pPr>
      <w:r>
        <w:rPr>
          <w:rFonts w:eastAsia="Times New Roman"/>
          <w:b/>
          <w:bCs/>
          <w:color w:val="000000"/>
          <w:sz w:val="18"/>
          <w:szCs w:val="18"/>
        </w:rPr>
        <w:t>Table 10.1: Preferred Stock Outstandin</w:t>
      </w:r>
      <w:r>
        <w:rPr>
          <w:rFonts w:eastAsia="Times New Roman"/>
          <w:b/>
          <w:bCs/>
          <w:color w:val="000000"/>
          <w:sz w:val="18"/>
          <w:szCs w:val="18"/>
        </w:rPr>
        <w:t>g</w:t>
      </w:r>
      <w:r>
        <w:rPr>
          <w:rFonts w:eastAsia="Times New Roman"/>
          <w:b/>
          <w:bCs/>
          <w:color w:val="000000"/>
          <w:sz w:val="12"/>
          <w:szCs w:val="12"/>
        </w:rPr>
        <w:t>(1</w:t>
      </w:r>
      <w:r>
        <w:rPr>
          <w:rFonts w:eastAsia="Times New Roman"/>
          <w:b/>
          <w:bCs/>
          <w:color w:val="000000"/>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388"/>
        <w:gridCol w:w="36"/>
        <w:gridCol w:w="36"/>
        <w:gridCol w:w="36"/>
        <w:gridCol w:w="36"/>
        <w:gridCol w:w="76"/>
        <w:gridCol w:w="704"/>
        <w:gridCol w:w="36"/>
        <w:gridCol w:w="36"/>
        <w:gridCol w:w="36"/>
        <w:gridCol w:w="36"/>
        <w:gridCol w:w="72"/>
        <w:gridCol w:w="638"/>
        <w:gridCol w:w="37"/>
        <w:gridCol w:w="36"/>
        <w:gridCol w:w="36"/>
        <w:gridCol w:w="36"/>
        <w:gridCol w:w="77"/>
        <w:gridCol w:w="687"/>
        <w:gridCol w:w="36"/>
        <w:gridCol w:w="36"/>
        <w:gridCol w:w="36"/>
        <w:gridCol w:w="36"/>
        <w:gridCol w:w="84"/>
        <w:gridCol w:w="642"/>
        <w:gridCol w:w="37"/>
        <w:gridCol w:w="36"/>
        <w:gridCol w:w="36"/>
        <w:gridCol w:w="36"/>
        <w:gridCol w:w="86"/>
        <w:gridCol w:w="641"/>
        <w:gridCol w:w="37"/>
        <w:gridCol w:w="36"/>
        <w:gridCol w:w="36"/>
        <w:gridCol w:w="36"/>
        <w:gridCol w:w="101"/>
        <w:gridCol w:w="654"/>
        <w:gridCol w:w="36"/>
        <w:gridCol w:w="36"/>
        <w:gridCol w:w="36"/>
        <w:gridCol w:w="36"/>
        <w:gridCol w:w="81"/>
        <w:gridCol w:w="698"/>
        <w:gridCol w:w="36"/>
        <w:gridCol w:w="36"/>
        <w:gridCol w:w="36"/>
        <w:gridCol w:w="36"/>
        <w:gridCol w:w="101"/>
        <w:gridCol w:w="572"/>
        <w:gridCol w:w="36"/>
        <w:gridCol w:w="36"/>
        <w:gridCol w:w="36"/>
        <w:gridCol w:w="36"/>
        <w:gridCol w:w="101"/>
        <w:gridCol w:w="572"/>
        <w:gridCol w:w="36"/>
      </w:tblGrid>
      <w:tr w:rsidR="00000000">
        <w:trPr>
          <w:divId w:val="982927137"/>
        </w:trPr>
        <w:tc>
          <w:tcPr>
            <w:tcW w:w="50" w:type="pct"/>
            <w:vAlign w:val="center"/>
            <w:hideMark/>
          </w:tcPr>
          <w:p w:rsidR="00000000" w:rsidRDefault="00E0782F">
            <w:pPr>
              <w:rPr>
                <w:rFonts w:eastAsia="Times New Roman"/>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8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82927137"/>
          <w:trHeight w:val="4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Redeemable by Issuer Beginning</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Per Annum Dividend Rate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Dividend Frequency</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Liquidation Preference per Share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Total Shares Outstanding</w:t>
            </w:r>
            <w:r>
              <w:rPr>
                <w:rFonts w:eastAsia="Times New Roman"/>
                <w:b/>
                <w:bCs/>
                <w:color w:val="000000"/>
                <w:sz w:val="14"/>
                <w:szCs w:val="14"/>
              </w:rPr>
              <w:br/>
              <w:t xml:space="preserve">as of </w:t>
            </w:r>
            <w:r>
              <w:rPr>
                <w:rFonts w:eastAsia="Times New Roman"/>
                <w:b/>
                <w:bCs/>
                <w:color w:val="000000"/>
                <w:sz w:val="14"/>
                <w:szCs w:val="14"/>
              </w:rPr>
              <w:b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 xml:space="preserve">Carrying Value </w:t>
            </w:r>
            <w:r>
              <w:rPr>
                <w:rFonts w:eastAsia="Times New Roman"/>
                <w:b/>
                <w:bCs/>
                <w:color w:val="000000"/>
                <w:sz w:val="14"/>
                <w:szCs w:val="14"/>
              </w:rPr>
              <w:br/>
              <w:t>(in millions)</w:t>
            </w:r>
          </w:p>
        </w:tc>
      </w:tr>
      <w:tr w:rsidR="00000000">
        <w:trPr>
          <w:divId w:val="982927137"/>
          <w:trHeight w:val="400"/>
        </w:trPr>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Series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Description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Issuance Date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December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December 31, 2019</w:t>
            </w:r>
          </w:p>
        </w:tc>
      </w:tr>
      <w:tr w:rsidR="00000000">
        <w:trPr>
          <w:divId w:val="98292713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divId w:val="763919723"/>
              <w:rPr>
                <w:rFonts w:eastAsia="Times New Roman"/>
              </w:rPr>
            </w:pPr>
            <w:r>
              <w:rPr>
                <w:rFonts w:eastAsia="Times New Roman"/>
                <w:b/>
                <w:bCs/>
                <w:color w:val="000000"/>
                <w:sz w:val="16"/>
                <w:szCs w:val="16"/>
              </w:rPr>
              <w:t xml:space="preserve">Series </w:t>
            </w:r>
            <w:r>
              <w:rPr>
                <w:rFonts w:eastAsia="Times New Roman"/>
                <w:b/>
                <w:bCs/>
                <w:color w:val="000000"/>
                <w:sz w:val="16"/>
                <w:szCs w:val="16"/>
              </w:rPr>
              <w:t>B</w:t>
            </w:r>
            <w:r>
              <w:rPr>
                <w:rFonts w:eastAsia="Times New Roman"/>
                <w:b/>
                <w:bCs/>
                <w:color w:val="000000"/>
                <w:sz w:val="10"/>
                <w:szCs w:val="10"/>
              </w:rPr>
              <w:t>(2</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 xml:space="preserve">6.000%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August 20, 2012</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September 1, 2017</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6.000%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8292713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82927137"/>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Series 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Fixed-to-Floating Rate</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May 14, 2015</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June 1, 2020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 xml:space="preserve">5.550% through 5/31/2020; </w:t>
            </w:r>
          </w:p>
          <w:p w:rsidR="00000000" w:rsidRDefault="00E0782F">
            <w:pPr>
              <w:jc w:val="center"/>
              <w:rPr>
                <w:rFonts w:eastAsia="Times New Roman"/>
              </w:rPr>
            </w:pPr>
            <w:r>
              <w:rPr>
                <w:rFonts w:eastAsia="Times New Roman"/>
                <w:color w:val="000000"/>
                <w:sz w:val="16"/>
                <w:szCs w:val="16"/>
              </w:rPr>
              <w:t xml:space="preserve">3-mo. </w:t>
            </w:r>
            <w:r>
              <w:rPr>
                <w:rFonts w:eastAsia="Times New Roman"/>
                <w:color w:val="000000"/>
                <w:sz w:val="16"/>
                <w:szCs w:val="16"/>
              </w:rPr>
              <w:t>LIBOR + 380 bps thereafter</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Semi-Annually through 5/31/2020; Quarterly thereafter</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988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988 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3"/>
            <w:shd w:val="clear" w:color="auto" w:fill="CCEEFF"/>
            <w:tcMar>
              <w:top w:w="30" w:type="dxa"/>
              <w:left w:w="20" w:type="dxa"/>
              <w:bottom w:w="30" w:type="dxa"/>
              <w:right w:w="20" w:type="dxa"/>
            </w:tcMar>
            <w:vAlign w:val="bottom"/>
            <w:hideMark/>
          </w:tcPr>
          <w:p w:rsidR="00000000" w:rsidRDefault="00E0782F">
            <w:pPr>
              <w:divId w:val="375587427"/>
              <w:rPr>
                <w:rFonts w:eastAsia="Times New Roman"/>
              </w:rPr>
            </w:pPr>
            <w:r>
              <w:rPr>
                <w:rFonts w:eastAsia="Times New Roman"/>
                <w:b/>
                <w:bCs/>
                <w:color w:val="000000"/>
                <w:sz w:val="16"/>
                <w:szCs w:val="16"/>
              </w:rPr>
              <w:t xml:space="preserve">Series </w:t>
            </w:r>
            <w:r>
              <w:rPr>
                <w:rFonts w:eastAsia="Times New Roman"/>
                <w:b/>
                <w:bCs/>
                <w:color w:val="000000"/>
                <w:sz w:val="16"/>
                <w:szCs w:val="16"/>
              </w:rPr>
              <w:t>F</w:t>
            </w:r>
            <w:r>
              <w:rPr>
                <w:rFonts w:eastAsia="Times New Roman"/>
                <w:b/>
                <w:bCs/>
                <w:color w:val="000000"/>
                <w:sz w:val="10"/>
                <w:szCs w:val="10"/>
              </w:rPr>
              <w:t>(3</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 xml:space="preserve">6.200%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August 24, 2015</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December 1, 2020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6.200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484 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Series 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5.200%</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July 29, 2016</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December 1, 2021</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5.200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600,000 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583</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583 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Series H</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 xml:space="preserve">6.000%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November 29, 2016</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December 1, 2021</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6.000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500,000 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483</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483 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Series I</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 xml:space="preserve">5.000% </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September 11, 2019</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December 1, 2024</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5.000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1,500,000 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1,462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1,462 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Series J</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 xml:space="preserve">4.800% </w:t>
            </w:r>
            <w:r>
              <w:rPr>
                <w:rFonts w:eastAsia="Times New Roman"/>
                <w:color w:val="000000"/>
                <w:sz w:val="16"/>
                <w:szCs w:val="16"/>
              </w:rPr>
              <w:br/>
              <w:t>Non-Cumulative</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January 31, 2020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June 1, 2025</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4.800</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Quarterly</w:t>
            </w:r>
          </w:p>
        </w:tc>
        <w:tc>
          <w:tcPr>
            <w:tcW w:w="0" w:type="auto"/>
            <w:gridSpan w:val="3"/>
            <w:shd w:val="clear" w:color="auto" w:fill="CCEE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1,250,000 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1,209</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6"/>
                <w:szCs w:val="16"/>
              </w:rPr>
              <w:t>Series 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4.625%</w:t>
            </w:r>
            <w:r>
              <w:rPr>
                <w:rFonts w:eastAsia="Times New Roman"/>
                <w:color w:val="000000"/>
                <w:sz w:val="16"/>
                <w:szCs w:val="16"/>
              </w:rPr>
              <w:br/>
              <w:t>Non-Cumulative</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September 17, 2020</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December 1, 2025</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4.625</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color w:val="000000"/>
                <w:sz w:val="16"/>
                <w:szCs w:val="16"/>
              </w:rPr>
              <w:t>Quarterly</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125,000 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6"/>
                <w:szCs w:val="16"/>
              </w:rPr>
              <w:t>122</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982927137"/>
        </w:trPr>
        <w:tc>
          <w:tcPr>
            <w:tcW w:w="0" w:type="auto"/>
            <w:gridSpan w:val="45"/>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4,847</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4,853 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381901619"/>
        <w:rPr>
          <w:rFonts w:eastAsia="Times New Roman"/>
        </w:rPr>
      </w:pPr>
      <w:r>
        <w:rPr>
          <w:rFonts w:eastAsia="Times New Roman"/>
          <w:color w:val="000000"/>
          <w:sz w:val="20"/>
          <w:szCs w:val="20"/>
        </w:rPr>
        <w:t>__________</w:t>
      </w:r>
    </w:p>
    <w:p w:rsidR="00000000" w:rsidRDefault="00E0782F">
      <w:pPr>
        <w:ind w:hanging="360"/>
        <w:jc w:val="both"/>
        <w:divId w:val="56946333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Except for Series E, ownership is held in the form of depositary shares, each representing a 1/40th interest in a share of fixed-rate non-cumulative perpetual preferred stock.</w:t>
      </w:r>
    </w:p>
    <w:p w:rsidR="00000000" w:rsidRDefault="00E0782F">
      <w:pPr>
        <w:ind w:hanging="360"/>
        <w:jc w:val="both"/>
        <w:divId w:val="1539049589"/>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On March 2, 2020, we redeemed all outstanding shares of our preferred stock S</w:t>
      </w:r>
      <w:r>
        <w:rPr>
          <w:rFonts w:eastAsia="Times New Roman"/>
          <w:color w:val="000000"/>
          <w:sz w:val="16"/>
          <w:szCs w:val="16"/>
        </w:rPr>
        <w:t>eries B.</w:t>
      </w:r>
    </w:p>
    <w:p w:rsidR="00000000" w:rsidRDefault="00E0782F">
      <w:pPr>
        <w:ind w:hanging="360"/>
        <w:jc w:val="both"/>
        <w:divId w:val="12659178"/>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On December 1, 2020, we redeemed all outstanding shares of our preferred stock Series F.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95328925"/>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9532892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9532892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4" style="width:0;height:1.5pt" o:hralign="center" o:hrstd="t" o:hr="t" fillcolor="#a0a0a0" stroked="f"/>
        </w:pict>
      </w:r>
    </w:p>
    <w:p w:rsidR="00000000" w:rsidRDefault="00E0782F">
      <w:pPr>
        <w:jc w:val="both"/>
        <w:divId w:val="59382962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93829623"/>
        <w:rPr>
          <w:rFonts w:eastAsia="Times New Roman"/>
        </w:rPr>
      </w:pPr>
    </w:p>
    <w:p w:rsidR="00000000" w:rsidRDefault="00E0782F">
      <w:pPr>
        <w:jc w:val="center"/>
        <w:divId w:val="593829623"/>
        <w:rPr>
          <w:rFonts w:eastAsia="Times New Roman"/>
        </w:rPr>
      </w:pPr>
      <w:r>
        <w:rPr>
          <w:rFonts w:eastAsia="Times New Roman"/>
          <w:b/>
          <w:bCs/>
          <w:color w:val="000000"/>
          <w:sz w:val="20"/>
          <w:szCs w:val="20"/>
        </w:rPr>
        <w:t>CAPITAL ONE FINANCIAL CORPORATION</w:t>
      </w:r>
    </w:p>
    <w:p w:rsidR="00000000" w:rsidRDefault="00E0782F">
      <w:pPr>
        <w:jc w:val="center"/>
        <w:divId w:val="593829623"/>
        <w:rPr>
          <w:rFonts w:eastAsia="Times New Roman"/>
        </w:rPr>
      </w:pPr>
      <w:r>
        <w:rPr>
          <w:rFonts w:eastAsia="Times New Roman"/>
          <w:b/>
          <w:bCs/>
          <w:color w:val="000000"/>
          <w:sz w:val="20"/>
          <w:szCs w:val="20"/>
        </w:rPr>
        <w:t>NOTES TO CONSOLIDATED FINANCIAL STATEMENTS</w:t>
      </w:r>
    </w:p>
    <w:p w:rsidR="00000000" w:rsidRDefault="00E0782F">
      <w:pPr>
        <w:divId w:val="1866018661"/>
        <w:rPr>
          <w:rFonts w:eastAsia="Times New Roman"/>
        </w:rPr>
      </w:pPr>
      <w:r>
        <w:rPr>
          <w:rFonts w:eastAsia="Times New Roman"/>
          <w:b/>
          <w:bCs/>
          <w:color w:val="000000"/>
          <w:sz w:val="20"/>
          <w:szCs w:val="20"/>
        </w:rPr>
        <w:t>Accumulated Other Comprehensive Income</w:t>
      </w:r>
    </w:p>
    <w:p w:rsidR="00000000" w:rsidRDefault="00E0782F">
      <w:pPr>
        <w:jc w:val="both"/>
        <w:divId w:val="1465847079"/>
        <w:rPr>
          <w:rFonts w:eastAsia="Times New Roman"/>
        </w:rPr>
      </w:pPr>
      <w:r>
        <w:rPr>
          <w:rFonts w:eastAsia="Times New Roman"/>
          <w:color w:val="000000"/>
          <w:sz w:val="20"/>
          <w:szCs w:val="20"/>
        </w:rPr>
        <w:t>AOCI primarily consists of</w:t>
      </w:r>
      <w:r>
        <w:rPr>
          <w:rFonts w:eastAsia="Times New Roman"/>
          <w:color w:val="000000"/>
          <w:sz w:val="20"/>
          <w:szCs w:val="20"/>
        </w:rPr>
        <w:t xml:space="preserve"> accumulated net unrealized gains or losses associated with securities available for sale, changes in fair value of derivatives in hedging relationships, and foreign currency translation adjustments.</w:t>
      </w:r>
    </w:p>
    <w:p w:rsidR="00000000" w:rsidRDefault="00E0782F">
      <w:pPr>
        <w:jc w:val="both"/>
        <w:divId w:val="357389847"/>
        <w:rPr>
          <w:rFonts w:eastAsia="Times New Roman"/>
        </w:rPr>
      </w:pPr>
      <w:r>
        <w:rPr>
          <w:rFonts w:eastAsia="Times New Roman"/>
          <w:color w:val="000000"/>
          <w:sz w:val="20"/>
          <w:szCs w:val="20"/>
        </w:rPr>
        <w:t>The following table includes the AOCI impacts from the a</w:t>
      </w:r>
      <w:r>
        <w:rPr>
          <w:rFonts w:eastAsia="Times New Roman"/>
          <w:color w:val="000000"/>
          <w:sz w:val="20"/>
          <w:szCs w:val="20"/>
        </w:rPr>
        <w:t xml:space="preserve">doption of the CECL standard and the changes in AOCI by component for the years ended December 31, 2020, 2019 and 2018. </w:t>
      </w:r>
    </w:p>
    <w:p w:rsidR="00000000" w:rsidRDefault="00E0782F">
      <w:pPr>
        <w:divId w:val="1300184513"/>
        <w:rPr>
          <w:rFonts w:eastAsia="Times New Roman"/>
        </w:rPr>
      </w:pPr>
      <w:r>
        <w:rPr>
          <w:rFonts w:eastAsia="Times New Roman"/>
          <w:b/>
          <w:bCs/>
          <w:color w:val="000000"/>
          <w:sz w:val="18"/>
          <w:szCs w:val="18"/>
        </w:rPr>
        <w:t>Table 10.2: AOCI</w:t>
      </w:r>
    </w:p>
    <w:tbl>
      <w:tblPr>
        <w:tblW w:w="4985" w:type="pct"/>
        <w:tblCellMar>
          <w:top w:w="15" w:type="dxa"/>
          <w:left w:w="15" w:type="dxa"/>
          <w:bottom w:w="15" w:type="dxa"/>
          <w:right w:w="15" w:type="dxa"/>
        </w:tblCellMar>
        <w:tblLook w:val="04A0" w:firstRow="1" w:lastRow="0" w:firstColumn="1" w:lastColumn="0" w:noHBand="0" w:noVBand="1"/>
      </w:tblPr>
      <w:tblGrid>
        <w:gridCol w:w="55"/>
        <w:gridCol w:w="3720"/>
        <w:gridCol w:w="36"/>
        <w:gridCol w:w="36"/>
        <w:gridCol w:w="36"/>
        <w:gridCol w:w="36"/>
        <w:gridCol w:w="36"/>
        <w:gridCol w:w="641"/>
        <w:gridCol w:w="36"/>
        <w:gridCol w:w="36"/>
        <w:gridCol w:w="36"/>
        <w:gridCol w:w="36"/>
        <w:gridCol w:w="36"/>
        <w:gridCol w:w="36"/>
        <w:gridCol w:w="36"/>
        <w:gridCol w:w="36"/>
        <w:gridCol w:w="36"/>
        <w:gridCol w:w="36"/>
        <w:gridCol w:w="36"/>
        <w:gridCol w:w="830"/>
        <w:gridCol w:w="36"/>
        <w:gridCol w:w="36"/>
        <w:gridCol w:w="36"/>
        <w:gridCol w:w="36"/>
        <w:gridCol w:w="36"/>
        <w:gridCol w:w="793"/>
        <w:gridCol w:w="36"/>
        <w:gridCol w:w="36"/>
        <w:gridCol w:w="36"/>
        <w:gridCol w:w="36"/>
        <w:gridCol w:w="36"/>
        <w:gridCol w:w="545"/>
        <w:gridCol w:w="36"/>
        <w:gridCol w:w="36"/>
        <w:gridCol w:w="36"/>
        <w:gridCol w:w="36"/>
        <w:gridCol w:w="36"/>
        <w:gridCol w:w="545"/>
        <w:gridCol w:w="36"/>
      </w:tblGrid>
      <w:tr w:rsidR="00000000">
        <w:trPr>
          <w:divId w:val="666592797"/>
        </w:trPr>
        <w:tc>
          <w:tcPr>
            <w:tcW w:w="50" w:type="pct"/>
            <w:vAlign w:val="center"/>
            <w:hideMark/>
          </w:tcPr>
          <w:p w:rsidR="00000000" w:rsidRDefault="00E0782F">
            <w:pPr>
              <w:rPr>
                <w:rFonts w:eastAsia="Times New Roman"/>
              </w:rPr>
            </w:pPr>
          </w:p>
        </w:tc>
        <w:tc>
          <w:tcPr>
            <w:tcW w:w="23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3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66592797"/>
          <w:trHeight w:val="60"/>
        </w:trPr>
        <w:tc>
          <w:tcPr>
            <w:tcW w:w="0" w:type="auto"/>
            <w:gridSpan w:val="3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66659279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149"/>
        <w:gridCol w:w="144"/>
        <w:gridCol w:w="144"/>
        <w:gridCol w:w="144"/>
        <w:gridCol w:w="144"/>
        <w:gridCol w:w="144"/>
        <w:gridCol w:w="684"/>
        <w:gridCol w:w="144"/>
        <w:gridCol w:w="144"/>
        <w:gridCol w:w="144"/>
        <w:gridCol w:w="144"/>
        <w:gridCol w:w="144"/>
        <w:gridCol w:w="878"/>
        <w:gridCol w:w="144"/>
        <w:gridCol w:w="144"/>
        <w:gridCol w:w="144"/>
        <w:gridCol w:w="144"/>
        <w:gridCol w:w="144"/>
        <w:gridCol w:w="842"/>
        <w:gridCol w:w="144"/>
        <w:gridCol w:w="144"/>
        <w:gridCol w:w="144"/>
        <w:gridCol w:w="144"/>
        <w:gridCol w:w="144"/>
        <w:gridCol w:w="576"/>
        <w:gridCol w:w="144"/>
        <w:gridCol w:w="144"/>
        <w:gridCol w:w="144"/>
        <w:gridCol w:w="144"/>
        <w:gridCol w:w="144"/>
        <w:gridCol w:w="588"/>
        <w:gridCol w:w="144"/>
        <w:gridCol w:w="144"/>
        <w:gridCol w:w="144"/>
        <w:gridCol w:w="144"/>
        <w:gridCol w:w="144"/>
        <w:gridCol w:w="588"/>
        <w:gridCol w:w="144"/>
      </w:tblGrid>
      <w:tr w:rsidR="00000000">
        <w:tc>
          <w:tcPr>
            <w:tcW w:w="50" w:type="pct"/>
            <w:vAlign w:val="center"/>
            <w:hideMark/>
          </w:tcPr>
          <w:p w:rsidR="00000000" w:rsidRDefault="00E0782F">
            <w:pPr>
              <w:rPr>
                <w:rFonts w:eastAsia="Times New Roman"/>
              </w:rPr>
            </w:pPr>
          </w:p>
        </w:tc>
        <w:tc>
          <w:tcPr>
            <w:tcW w:w="18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Securities Available for Sale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Hedging Relationship</w:t>
            </w:r>
            <w:r>
              <w:rPr>
                <w:rFonts w:eastAsia="Times New Roman"/>
                <w:b/>
                <w:bCs/>
                <w:color w:val="000000"/>
                <w:sz w:val="14"/>
                <w:szCs w:val="14"/>
              </w:rPr>
              <w:t>s</w:t>
            </w:r>
            <w:r>
              <w:rPr>
                <w:rFonts w:eastAsia="Times New Roman"/>
                <w:b/>
                <w:bCs/>
                <w:color w:val="000000"/>
                <w:sz w:val="9"/>
                <w:szCs w:val="9"/>
              </w:rPr>
              <w:t>(1</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Foreign Currency Translation Adjustment</w:t>
            </w:r>
            <w:r>
              <w:rPr>
                <w:rFonts w:eastAsia="Times New Roman"/>
                <w:b/>
                <w:bCs/>
                <w:color w:val="000000"/>
                <w:sz w:val="14"/>
                <w:szCs w:val="14"/>
              </w:rPr>
              <w:t>s</w:t>
            </w:r>
            <w:r>
              <w:rPr>
                <w:rFonts w:eastAsia="Times New Roman"/>
                <w:b/>
                <w:bCs/>
                <w:color w:val="000000"/>
                <w:sz w:val="9"/>
                <w:szCs w:val="9"/>
              </w:rPr>
              <w:t>(2</w:t>
            </w:r>
            <w:r>
              <w:rPr>
                <w:rFonts w:eastAsia="Times New Roman"/>
                <w:b/>
                <w:bCs/>
                <w:color w:val="000000"/>
                <w:sz w:val="9"/>
                <w:szCs w:val="9"/>
              </w:rPr>
              <w: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Securities Held to Maturity</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Other</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AOCI as of December 31, 2017</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(281)</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(524)</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(926)</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Cumulative effects from adoption of new accounting standards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divId w:val="2050062870"/>
              <w:rPr>
                <w:rFonts w:eastAsia="Times New Roman"/>
              </w:rPr>
            </w:pPr>
            <w:r>
              <w:rPr>
                <w:rFonts w:eastAsia="Times New Roman"/>
                <w:color w:val="000000"/>
                <w:sz w:val="16"/>
                <w:szCs w:val="16"/>
              </w:rPr>
              <w:t>Transfer of securities held to maturity to available for sal</w:t>
            </w:r>
            <w:r>
              <w:rPr>
                <w:rFonts w:eastAsia="Times New Roman"/>
                <w:color w:val="000000"/>
                <w:sz w:val="16"/>
                <w:szCs w:val="16"/>
              </w:rPr>
              <w:t>e</w:t>
            </w:r>
            <w:r>
              <w:rPr>
                <w:rFonts w:eastAsia="Times New Roman"/>
                <w:color w:val="000000"/>
                <w:sz w:val="10"/>
                <w:szCs w:val="10"/>
              </w:rPr>
              <w:t>(3</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(325)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Other comprehensive income (loss)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(293)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(459)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AOCI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(190)</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(1,263)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Other comprehensive income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1,171 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Other comprehensive income,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650 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772 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1,531 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E0782F">
            <w:pPr>
              <w:divId w:val="1135215765"/>
              <w:rPr>
                <w:rFonts w:eastAsia="Times New Roman"/>
              </w:rPr>
            </w:pPr>
            <w:r>
              <w:rPr>
                <w:rFonts w:eastAsia="Times New Roman"/>
                <w:color w:val="000000"/>
                <w:sz w:val="16"/>
                <w:szCs w:val="16"/>
              </w:rPr>
              <w:t>Transfer of securities held to maturity to available for sale, net of ta</w:t>
            </w:r>
            <w:r>
              <w:rPr>
                <w:rFonts w:eastAsia="Times New Roman"/>
                <w:color w:val="000000"/>
                <w:sz w:val="16"/>
                <w:szCs w:val="16"/>
              </w:rPr>
              <w:t>x</w:t>
            </w:r>
            <w:r>
              <w:rPr>
                <w:rFonts w:eastAsia="Times New Roman"/>
                <w:color w:val="000000"/>
                <w:sz w:val="10"/>
                <w:szCs w:val="10"/>
              </w:rPr>
              <w:t>(4</w:t>
            </w:r>
            <w:r>
              <w:rPr>
                <w:rFonts w:eastAsia="Times New Roman"/>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724</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164</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6"/>
                <w:szCs w:val="16"/>
              </w:rPr>
              <w:t>888</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AOCI as of December 31, 2019</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935 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354 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(107)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(26)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6"/>
                <w:szCs w:val="16"/>
              </w:rPr>
              <w:t>1,156 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Cumulative effects from the adoption of the CECL standard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comprehensive income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1,278</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1,401</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76</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5</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2,760</w:t>
            </w: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Amounts reclassified from AOCI into earnings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(393)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(414)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Other comprehensive income,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1,259</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1,008</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76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2,346</w:t>
            </w: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6"/>
                <w:szCs w:val="16"/>
              </w:rPr>
              <w:t>AOCI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2,186</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1,362</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0</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(23)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6"/>
                <w:szCs w:val="16"/>
              </w:rPr>
              <w:t>3,494</w:t>
            </w: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84557978"/>
        <w:rPr>
          <w:rFonts w:eastAsia="Times New Roman"/>
        </w:rPr>
      </w:pPr>
      <w:r>
        <w:rPr>
          <w:rFonts w:eastAsia="Times New Roman"/>
          <w:color w:val="000000"/>
          <w:sz w:val="20"/>
          <w:szCs w:val="20"/>
        </w:rPr>
        <w:t>__________</w:t>
      </w:r>
    </w:p>
    <w:p w:rsidR="00000000" w:rsidRDefault="00E0782F">
      <w:pPr>
        <w:ind w:hanging="360"/>
        <w:jc w:val="both"/>
        <w:divId w:val="44161419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amounts related to cash flow hedges as well as the excluded component of cross-currency swaps designated as fair value hedges.</w:t>
      </w:r>
    </w:p>
    <w:p w:rsidR="00000000" w:rsidRDefault="00E0782F">
      <w:pPr>
        <w:ind w:hanging="360"/>
        <w:jc w:val="both"/>
        <w:divId w:val="67025966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Includes </w:t>
      </w:r>
      <w:r>
        <w:rPr>
          <w:rFonts w:eastAsia="Times New Roman"/>
          <w:color w:val="000000"/>
          <w:sz w:val="16"/>
          <w:szCs w:val="16"/>
        </w:rPr>
        <w:t>other comprehensive loss of $65 million, loss of $49 million and gain of $150 million for the years ended December 31, 2020, 2019 and 2018 respectively, from hedging instruments designated as net investment hedges.</w:t>
      </w:r>
    </w:p>
    <w:p w:rsidR="00000000" w:rsidRDefault="00E0782F">
      <w:pPr>
        <w:ind w:hanging="360"/>
        <w:jc w:val="both"/>
        <w:divId w:val="1673213592"/>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 xml:space="preserve">In the first quarter of 2018, we made </w:t>
      </w:r>
      <w:r>
        <w:rPr>
          <w:rFonts w:eastAsia="Times New Roman"/>
          <w:color w:val="000000"/>
          <w:sz w:val="16"/>
          <w:szCs w:val="16"/>
        </w:rPr>
        <w:t xml:space="preserve">a one-time transfer of held to maturity securities with a carrying value of $9.0 billion to available for sale as a result of our adoption of ASU No. 2017-12, Derivatives and Hedging (Topic 815): Targeted Improvements to Accounting for Hedging Activities. </w:t>
      </w:r>
      <w:r>
        <w:rPr>
          <w:rFonts w:eastAsia="Times New Roman"/>
          <w:color w:val="000000"/>
          <w:sz w:val="16"/>
          <w:szCs w:val="16"/>
        </w:rPr>
        <w:t>This transfer resulted in an after-tax gain of $82 million ($107 million pre-tax) to AOCI.</w:t>
      </w:r>
    </w:p>
    <w:p w:rsidR="00000000" w:rsidRDefault="00E0782F">
      <w:pPr>
        <w:ind w:hanging="360"/>
        <w:jc w:val="both"/>
        <w:divId w:val="2715035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On December 31, 2019, we transferred our entire portfolio of held to maturity securities to available for sale in consideration of changes to regulatory capital r</w:t>
      </w:r>
      <w:r>
        <w:rPr>
          <w:rFonts w:eastAsia="Times New Roman"/>
          <w:color w:val="000000"/>
          <w:sz w:val="16"/>
          <w:szCs w:val="16"/>
        </w:rPr>
        <w:t>equirements under the Tailoring Rules.</w:t>
      </w:r>
    </w:p>
    <w:tbl>
      <w:tblPr>
        <w:tblW w:w="4978" w:type="pct"/>
        <w:tblCellMar>
          <w:top w:w="15" w:type="dxa"/>
          <w:left w:w="15" w:type="dxa"/>
          <w:bottom w:w="15" w:type="dxa"/>
          <w:right w:w="15" w:type="dxa"/>
        </w:tblCellMar>
        <w:tblLook w:val="04A0" w:firstRow="1" w:lastRow="0" w:firstColumn="1" w:lastColumn="0" w:noHBand="0" w:noVBand="1"/>
      </w:tblPr>
      <w:tblGrid>
        <w:gridCol w:w="54"/>
        <w:gridCol w:w="3353"/>
        <w:gridCol w:w="36"/>
        <w:gridCol w:w="36"/>
        <w:gridCol w:w="36"/>
        <w:gridCol w:w="36"/>
        <w:gridCol w:w="36"/>
        <w:gridCol w:w="554"/>
        <w:gridCol w:w="36"/>
        <w:gridCol w:w="36"/>
        <w:gridCol w:w="36"/>
        <w:gridCol w:w="36"/>
        <w:gridCol w:w="36"/>
        <w:gridCol w:w="36"/>
        <w:gridCol w:w="36"/>
        <w:gridCol w:w="36"/>
        <w:gridCol w:w="36"/>
        <w:gridCol w:w="36"/>
        <w:gridCol w:w="36"/>
        <w:gridCol w:w="817"/>
        <w:gridCol w:w="36"/>
        <w:gridCol w:w="36"/>
        <w:gridCol w:w="36"/>
        <w:gridCol w:w="36"/>
        <w:gridCol w:w="36"/>
        <w:gridCol w:w="794"/>
        <w:gridCol w:w="36"/>
        <w:gridCol w:w="36"/>
        <w:gridCol w:w="36"/>
        <w:gridCol w:w="36"/>
        <w:gridCol w:w="36"/>
        <w:gridCol w:w="546"/>
        <w:gridCol w:w="36"/>
        <w:gridCol w:w="36"/>
        <w:gridCol w:w="36"/>
        <w:gridCol w:w="36"/>
        <w:gridCol w:w="36"/>
        <w:gridCol w:w="356"/>
        <w:gridCol w:w="36"/>
        <w:gridCol w:w="36"/>
        <w:gridCol w:w="36"/>
        <w:gridCol w:w="36"/>
        <w:gridCol w:w="36"/>
        <w:gridCol w:w="463"/>
        <w:gridCol w:w="36"/>
      </w:tblGrid>
      <w:tr w:rsidR="00000000">
        <w:tc>
          <w:tcPr>
            <w:tcW w:w="50" w:type="pct"/>
            <w:vAlign w:val="center"/>
            <w:hideMark/>
          </w:tcPr>
          <w:p w:rsidR="00000000" w:rsidRDefault="00E0782F">
            <w:pPr>
              <w:ind w:hanging="360"/>
              <w:jc w:val="both"/>
              <w:rPr>
                <w:rFonts w:eastAsia="Times New Roman"/>
              </w:rPr>
            </w:pPr>
          </w:p>
        </w:tc>
        <w:tc>
          <w:tcPr>
            <w:tcW w:w="20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3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60"/>
        </w:trPr>
        <w:tc>
          <w:tcPr>
            <w:tcW w:w="0" w:type="auto"/>
            <w:gridSpan w:val="39"/>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460656217"/>
        <w:rPr>
          <w:rFonts w:eastAsia="Times New Roman"/>
          <w:vanish/>
        </w:rPr>
      </w:pPr>
    </w:p>
    <w:tbl>
      <w:tblPr>
        <w:tblW w:w="4978" w:type="pct"/>
        <w:tblCellMar>
          <w:top w:w="15" w:type="dxa"/>
          <w:left w:w="15" w:type="dxa"/>
          <w:bottom w:w="15" w:type="dxa"/>
          <w:right w:w="15" w:type="dxa"/>
        </w:tblCellMar>
        <w:tblLook w:val="04A0" w:firstRow="1" w:lastRow="0" w:firstColumn="1" w:lastColumn="0" w:noHBand="0" w:noVBand="1"/>
      </w:tblPr>
      <w:tblGrid>
        <w:gridCol w:w="54"/>
        <w:gridCol w:w="3353"/>
        <w:gridCol w:w="36"/>
        <w:gridCol w:w="36"/>
        <w:gridCol w:w="36"/>
        <w:gridCol w:w="36"/>
        <w:gridCol w:w="36"/>
        <w:gridCol w:w="554"/>
        <w:gridCol w:w="36"/>
        <w:gridCol w:w="36"/>
        <w:gridCol w:w="36"/>
        <w:gridCol w:w="36"/>
        <w:gridCol w:w="36"/>
        <w:gridCol w:w="36"/>
        <w:gridCol w:w="36"/>
        <w:gridCol w:w="36"/>
        <w:gridCol w:w="36"/>
        <w:gridCol w:w="36"/>
        <w:gridCol w:w="36"/>
        <w:gridCol w:w="817"/>
        <w:gridCol w:w="36"/>
        <w:gridCol w:w="36"/>
        <w:gridCol w:w="36"/>
        <w:gridCol w:w="36"/>
        <w:gridCol w:w="36"/>
        <w:gridCol w:w="794"/>
        <w:gridCol w:w="36"/>
        <w:gridCol w:w="36"/>
        <w:gridCol w:w="36"/>
        <w:gridCol w:w="36"/>
        <w:gridCol w:w="36"/>
        <w:gridCol w:w="546"/>
        <w:gridCol w:w="36"/>
        <w:gridCol w:w="36"/>
        <w:gridCol w:w="36"/>
        <w:gridCol w:w="36"/>
        <w:gridCol w:w="36"/>
        <w:gridCol w:w="356"/>
        <w:gridCol w:w="36"/>
        <w:gridCol w:w="36"/>
        <w:gridCol w:w="36"/>
        <w:gridCol w:w="36"/>
        <w:gridCol w:w="36"/>
        <w:gridCol w:w="463"/>
        <w:gridCol w:w="36"/>
      </w:tblGrid>
      <w:tr w:rsidR="00000000">
        <w:trPr>
          <w:divId w:val="460656217"/>
        </w:trPr>
        <w:tc>
          <w:tcPr>
            <w:tcW w:w="50" w:type="pct"/>
            <w:vAlign w:val="center"/>
            <w:hideMark/>
          </w:tcPr>
          <w:p w:rsidR="00000000" w:rsidRDefault="00E0782F">
            <w:pPr>
              <w:jc w:val="both"/>
              <w:rPr>
                <w:rFonts w:eastAsia="Times New Roman"/>
              </w:rPr>
            </w:pPr>
          </w:p>
        </w:tc>
        <w:tc>
          <w:tcPr>
            <w:tcW w:w="209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3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60656217"/>
          <w:trHeight w:val="60"/>
        </w:trPr>
        <w:tc>
          <w:tcPr>
            <w:tcW w:w="0" w:type="auto"/>
            <w:gridSpan w:val="39"/>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4606562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4606562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606562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606562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606562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606562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4606562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179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5" style="width:0;height:1.5pt" o:hralign="center" o:hrstd="t" o:hr="t" fillcolor="#a0a0a0" stroked="f"/>
        </w:pict>
      </w:r>
    </w:p>
    <w:p w:rsidR="00000000" w:rsidRDefault="00E0782F">
      <w:pPr>
        <w:jc w:val="both"/>
        <w:divId w:val="82039209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820392090"/>
        <w:rPr>
          <w:rFonts w:eastAsia="Times New Roman"/>
        </w:rPr>
      </w:pPr>
    </w:p>
    <w:p w:rsidR="00000000" w:rsidRDefault="00E0782F">
      <w:pPr>
        <w:jc w:val="center"/>
        <w:divId w:val="820392090"/>
        <w:rPr>
          <w:rFonts w:eastAsia="Times New Roman"/>
        </w:rPr>
      </w:pPr>
      <w:r>
        <w:rPr>
          <w:rFonts w:eastAsia="Times New Roman"/>
          <w:b/>
          <w:bCs/>
          <w:color w:val="000000"/>
          <w:sz w:val="20"/>
          <w:szCs w:val="20"/>
        </w:rPr>
        <w:t>CAPITAL ONE FINANCIAL CORPORATION</w:t>
      </w:r>
    </w:p>
    <w:p w:rsidR="00000000" w:rsidRDefault="00E0782F">
      <w:pPr>
        <w:jc w:val="center"/>
        <w:divId w:val="820392090"/>
        <w:rPr>
          <w:rFonts w:eastAsia="Times New Roman"/>
        </w:rPr>
      </w:pPr>
      <w:r>
        <w:rPr>
          <w:rFonts w:eastAsia="Times New Roman"/>
          <w:b/>
          <w:bCs/>
          <w:color w:val="000000"/>
          <w:sz w:val="20"/>
          <w:szCs w:val="20"/>
        </w:rPr>
        <w:t>NOTES TO CONSOLIDATED FINANCIAL STATEMENTS</w:t>
      </w:r>
    </w:p>
    <w:p w:rsidR="00000000" w:rsidRDefault="00E0782F">
      <w:pPr>
        <w:jc w:val="both"/>
        <w:divId w:val="191767883"/>
        <w:rPr>
          <w:rFonts w:eastAsia="Times New Roman"/>
        </w:rPr>
      </w:pPr>
      <w:r>
        <w:rPr>
          <w:rFonts w:eastAsia="Times New Roman"/>
          <w:color w:val="000000"/>
          <w:sz w:val="20"/>
          <w:szCs w:val="20"/>
        </w:rPr>
        <w:t>The following table presents amounts reclassified from each component of AOCI to our consolidated statements of income for the years ended December 31, 2020, 2019 and 2018.</w:t>
      </w:r>
    </w:p>
    <w:p w:rsidR="00000000" w:rsidRDefault="00E0782F">
      <w:pPr>
        <w:divId w:val="947153256"/>
        <w:rPr>
          <w:rFonts w:eastAsia="Times New Roman"/>
        </w:rPr>
      </w:pPr>
      <w:r>
        <w:rPr>
          <w:rFonts w:eastAsia="Times New Roman"/>
          <w:b/>
          <w:bCs/>
          <w:color w:val="000000"/>
          <w:sz w:val="18"/>
          <w:szCs w:val="18"/>
        </w:rPr>
        <w:t>Table 10.3: Reclassifications from AOCI</w:t>
      </w:r>
    </w:p>
    <w:tbl>
      <w:tblPr>
        <w:tblW w:w="4985" w:type="pct"/>
        <w:tblCellMar>
          <w:top w:w="15" w:type="dxa"/>
          <w:left w:w="15" w:type="dxa"/>
          <w:bottom w:w="15" w:type="dxa"/>
          <w:right w:w="15" w:type="dxa"/>
        </w:tblCellMar>
        <w:tblLook w:val="04A0" w:firstRow="1" w:lastRow="0" w:firstColumn="1" w:lastColumn="0" w:noHBand="0" w:noVBand="1"/>
      </w:tblPr>
      <w:tblGrid>
        <w:gridCol w:w="45"/>
        <w:gridCol w:w="1854"/>
        <w:gridCol w:w="38"/>
        <w:gridCol w:w="36"/>
        <w:gridCol w:w="36"/>
        <w:gridCol w:w="36"/>
        <w:gridCol w:w="62"/>
        <w:gridCol w:w="3249"/>
        <w:gridCol w:w="36"/>
        <w:gridCol w:w="36"/>
        <w:gridCol w:w="36"/>
        <w:gridCol w:w="46"/>
        <w:gridCol w:w="36"/>
        <w:gridCol w:w="36"/>
        <w:gridCol w:w="36"/>
        <w:gridCol w:w="36"/>
        <w:gridCol w:w="110"/>
        <w:gridCol w:w="657"/>
        <w:gridCol w:w="36"/>
        <w:gridCol w:w="36"/>
        <w:gridCol w:w="36"/>
        <w:gridCol w:w="36"/>
        <w:gridCol w:w="110"/>
        <w:gridCol w:w="657"/>
        <w:gridCol w:w="36"/>
        <w:gridCol w:w="36"/>
        <w:gridCol w:w="36"/>
        <w:gridCol w:w="36"/>
        <w:gridCol w:w="110"/>
        <w:gridCol w:w="659"/>
        <w:gridCol w:w="36"/>
      </w:tblGrid>
      <w:tr w:rsidR="00000000">
        <w:trPr>
          <w:divId w:val="845437148"/>
        </w:trPr>
        <w:tc>
          <w:tcPr>
            <w:tcW w:w="50" w:type="pct"/>
            <w:vAlign w:val="center"/>
            <w:hideMark/>
          </w:tcPr>
          <w:p w:rsidR="00000000" w:rsidRDefault="00E0782F">
            <w:pPr>
              <w:rPr>
                <w:rFonts w:eastAsia="Times New Roman"/>
              </w:rPr>
            </w:pPr>
          </w:p>
        </w:tc>
        <w:tc>
          <w:tcPr>
            <w:tcW w:w="116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0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45437148"/>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4543714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AOCI Components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Affected Income Statement Line Item</w:t>
            </w:r>
          </w:p>
        </w:tc>
        <w:tc>
          <w:tcPr>
            <w:tcW w:w="0" w:type="auto"/>
            <w:vAlign w:val="center"/>
            <w:hideMark/>
          </w:tcPr>
          <w:p w:rsidR="00000000" w:rsidRDefault="00E0782F">
            <w:pPr>
              <w:jc w:val="cente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84543714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(159)</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Hedging relationships: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45437148"/>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Foreign exchange contracts: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expense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before income taxes</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516</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30" w:type="dxa"/>
              <w:left w:w="20" w:type="dxa"/>
              <w:bottom w:w="30" w:type="dxa"/>
              <w:right w:w="20" w:type="dxa"/>
            </w:tcMar>
            <w:vAlign w:val="center"/>
            <w:hideMark/>
          </w:tcPr>
          <w:p w:rsidR="00000000" w:rsidRDefault="00E0782F">
            <w:pPr>
              <w:divId w:val="1485126043"/>
              <w:rPr>
                <w:rFonts w:eastAsia="Times New Roman"/>
              </w:rPr>
            </w:pPr>
            <w:r>
              <w:rPr>
                <w:rFonts w:eastAsia="Times New Roman"/>
                <w:b/>
                <w:bCs/>
                <w:color w:val="000000"/>
                <w:sz w:val="18"/>
                <w:szCs w:val="18"/>
              </w:rPr>
              <w:t>Securities held to maturity</w:t>
            </w:r>
            <w:r>
              <w:rPr>
                <w:rFonts w:eastAsia="Times New Roman"/>
                <w:b/>
                <w:bCs/>
                <w:color w:val="000000"/>
                <w:sz w:val="18"/>
                <w:szCs w:val="18"/>
              </w:rPr>
              <w:t>:</w:t>
            </w:r>
            <w:r>
              <w:rPr>
                <w:rFonts w:eastAsia="Times New Roman"/>
                <w:b/>
                <w:bCs/>
                <w:color w:val="000000"/>
                <w:sz w:val="12"/>
                <w:szCs w:val="12"/>
              </w:rPr>
              <w:t>(1</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 and non-interest expense</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Net income </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45437148"/>
        </w:trPr>
        <w:tc>
          <w:tcPr>
            <w:tcW w:w="0" w:type="auto"/>
            <w:gridSpan w:val="9"/>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reclassifications</w:t>
            </w:r>
          </w:p>
        </w:tc>
        <w:tc>
          <w:tcPr>
            <w:tcW w:w="0" w:type="auto"/>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49768384"/>
        <w:rPr>
          <w:rFonts w:eastAsia="Times New Roman"/>
        </w:rPr>
      </w:pPr>
      <w:r>
        <w:rPr>
          <w:rFonts w:eastAsia="Times New Roman"/>
          <w:color w:val="000000"/>
          <w:sz w:val="20"/>
          <w:szCs w:val="20"/>
        </w:rPr>
        <w:t>__________</w:t>
      </w:r>
    </w:p>
    <w:p w:rsidR="00000000" w:rsidRDefault="00E0782F">
      <w:pPr>
        <w:ind w:hanging="360"/>
        <w:jc w:val="both"/>
        <w:divId w:val="1741292445"/>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On December 31, 2019, we transferred our entire portfolio of held to maturity securities to available for sale.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26248434"/>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2624843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2624843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6" style="width:0;height:1.5pt" o:hralign="center" o:hrstd="t" o:hr="t" fillcolor="#a0a0a0" stroked="f"/>
        </w:pict>
      </w:r>
    </w:p>
    <w:p w:rsidR="00000000" w:rsidRDefault="00E0782F">
      <w:pPr>
        <w:jc w:val="both"/>
        <w:divId w:val="153730945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537309453"/>
        <w:rPr>
          <w:rFonts w:eastAsia="Times New Roman"/>
        </w:rPr>
      </w:pPr>
    </w:p>
    <w:p w:rsidR="00000000" w:rsidRDefault="00E0782F">
      <w:pPr>
        <w:jc w:val="center"/>
        <w:divId w:val="1537309453"/>
        <w:rPr>
          <w:rFonts w:eastAsia="Times New Roman"/>
        </w:rPr>
      </w:pPr>
      <w:r>
        <w:rPr>
          <w:rFonts w:eastAsia="Times New Roman"/>
          <w:b/>
          <w:bCs/>
          <w:color w:val="000000"/>
          <w:sz w:val="20"/>
          <w:szCs w:val="20"/>
        </w:rPr>
        <w:t>CAPITAL ONE FINANCIAL CORPORATION</w:t>
      </w:r>
    </w:p>
    <w:p w:rsidR="00000000" w:rsidRDefault="00E0782F">
      <w:pPr>
        <w:jc w:val="center"/>
        <w:divId w:val="1537309453"/>
        <w:rPr>
          <w:rFonts w:eastAsia="Times New Roman"/>
        </w:rPr>
      </w:pPr>
      <w:r>
        <w:rPr>
          <w:rFonts w:eastAsia="Times New Roman"/>
          <w:b/>
          <w:bCs/>
          <w:color w:val="000000"/>
          <w:sz w:val="20"/>
          <w:szCs w:val="20"/>
        </w:rPr>
        <w:t>NOTES TO CONSOLIDATED FINANCIAL STATEMENTS</w:t>
      </w:r>
    </w:p>
    <w:p w:rsidR="00000000" w:rsidRDefault="00E0782F">
      <w:pPr>
        <w:jc w:val="both"/>
        <w:divId w:val="1439639213"/>
        <w:rPr>
          <w:rFonts w:eastAsia="Times New Roman"/>
        </w:rPr>
      </w:pPr>
      <w:r>
        <w:rPr>
          <w:rFonts w:eastAsia="Times New Roman"/>
          <w:color w:val="000000"/>
          <w:sz w:val="20"/>
          <w:szCs w:val="20"/>
        </w:rPr>
        <w:t>The table below summarizes other comprehensive income (loss) activity and the related tax impact for the years ended December 31, 2020, 2019 and 2018.</w:t>
      </w:r>
    </w:p>
    <w:p w:rsidR="00000000" w:rsidRDefault="00E0782F">
      <w:pPr>
        <w:divId w:val="1296527611"/>
        <w:rPr>
          <w:rFonts w:eastAsia="Times New Roman"/>
        </w:rPr>
      </w:pPr>
      <w:r>
        <w:rPr>
          <w:rFonts w:eastAsia="Times New Roman"/>
          <w:b/>
          <w:bCs/>
          <w:color w:val="000000"/>
          <w:sz w:val="18"/>
          <w:szCs w:val="18"/>
        </w:rPr>
        <w:t>Table 10.4: Other Comprehensive Income (Loss)</w:t>
      </w:r>
    </w:p>
    <w:tbl>
      <w:tblPr>
        <w:tblW w:w="4992" w:type="pct"/>
        <w:tblCellMar>
          <w:top w:w="15" w:type="dxa"/>
          <w:left w:w="15" w:type="dxa"/>
          <w:bottom w:w="15" w:type="dxa"/>
          <w:right w:w="15" w:type="dxa"/>
        </w:tblCellMar>
        <w:tblLook w:val="04A0" w:firstRow="1" w:lastRow="0" w:firstColumn="1" w:lastColumn="0" w:noHBand="0" w:noVBand="1"/>
      </w:tblPr>
      <w:tblGrid>
        <w:gridCol w:w="49"/>
        <w:gridCol w:w="3934"/>
        <w:gridCol w:w="36"/>
        <w:gridCol w:w="36"/>
        <w:gridCol w:w="36"/>
        <w:gridCol w:w="36"/>
        <w:gridCol w:w="36"/>
        <w:gridCol w:w="406"/>
        <w:gridCol w:w="36"/>
        <w:gridCol w:w="36"/>
        <w:gridCol w:w="36"/>
        <w:gridCol w:w="36"/>
        <w:gridCol w:w="36"/>
        <w:gridCol w:w="461"/>
        <w:gridCol w:w="36"/>
        <w:gridCol w:w="36"/>
        <w:gridCol w:w="36"/>
        <w:gridCol w:w="36"/>
        <w:gridCol w:w="36"/>
        <w:gridCol w:w="406"/>
        <w:gridCol w:w="36"/>
        <w:gridCol w:w="36"/>
        <w:gridCol w:w="36"/>
        <w:gridCol w:w="36"/>
        <w:gridCol w:w="36"/>
        <w:gridCol w:w="406"/>
        <w:gridCol w:w="36"/>
        <w:gridCol w:w="36"/>
        <w:gridCol w:w="36"/>
        <w:gridCol w:w="36"/>
        <w:gridCol w:w="36"/>
        <w:gridCol w:w="461"/>
        <w:gridCol w:w="36"/>
        <w:gridCol w:w="36"/>
        <w:gridCol w:w="36"/>
        <w:gridCol w:w="36"/>
        <w:gridCol w:w="36"/>
        <w:gridCol w:w="40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863910007"/>
        </w:trPr>
        <w:tc>
          <w:tcPr>
            <w:tcW w:w="50" w:type="pct"/>
            <w:vAlign w:val="center"/>
            <w:hideMark/>
          </w:tcPr>
          <w:p w:rsidR="00000000" w:rsidRDefault="00E0782F">
            <w:pPr>
              <w:rPr>
                <w:rFonts w:eastAsia="Times New Roman"/>
              </w:rPr>
            </w:pPr>
          </w:p>
        </w:tc>
        <w:tc>
          <w:tcPr>
            <w:tcW w:w="258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Height w:val="60"/>
        </w:trPr>
        <w:tc>
          <w:tcPr>
            <w:tcW w:w="0" w:type="auto"/>
            <w:gridSpan w:val="39"/>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6391000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348"/>
        <w:gridCol w:w="144"/>
        <w:gridCol w:w="144"/>
        <w:gridCol w:w="144"/>
        <w:gridCol w:w="144"/>
        <w:gridCol w:w="144"/>
        <w:gridCol w:w="478"/>
        <w:gridCol w:w="144"/>
        <w:gridCol w:w="144"/>
        <w:gridCol w:w="144"/>
        <w:gridCol w:w="144"/>
        <w:gridCol w:w="144"/>
        <w:gridCol w:w="539"/>
        <w:gridCol w:w="144"/>
        <w:gridCol w:w="144"/>
        <w:gridCol w:w="144"/>
        <w:gridCol w:w="144"/>
        <w:gridCol w:w="144"/>
        <w:gridCol w:w="478"/>
        <w:gridCol w:w="144"/>
        <w:gridCol w:w="144"/>
        <w:gridCol w:w="144"/>
        <w:gridCol w:w="144"/>
        <w:gridCol w:w="144"/>
        <w:gridCol w:w="478"/>
        <w:gridCol w:w="144"/>
        <w:gridCol w:w="144"/>
        <w:gridCol w:w="144"/>
        <w:gridCol w:w="144"/>
        <w:gridCol w:w="144"/>
        <w:gridCol w:w="539"/>
        <w:gridCol w:w="144"/>
        <w:gridCol w:w="144"/>
        <w:gridCol w:w="144"/>
        <w:gridCol w:w="144"/>
        <w:gridCol w:w="144"/>
        <w:gridCol w:w="478"/>
        <w:gridCol w:w="144"/>
        <w:gridCol w:w="144"/>
        <w:gridCol w:w="144"/>
        <w:gridCol w:w="144"/>
        <w:gridCol w:w="144"/>
        <w:gridCol w:w="478"/>
        <w:gridCol w:w="144"/>
        <w:gridCol w:w="144"/>
        <w:gridCol w:w="144"/>
        <w:gridCol w:w="144"/>
        <w:gridCol w:w="144"/>
        <w:gridCol w:w="539"/>
        <w:gridCol w:w="144"/>
        <w:gridCol w:w="144"/>
        <w:gridCol w:w="144"/>
        <w:gridCol w:w="144"/>
        <w:gridCol w:w="144"/>
        <w:gridCol w:w="480"/>
        <w:gridCol w:w="144"/>
      </w:tblGrid>
      <w:tr w:rsidR="00000000">
        <w:tc>
          <w:tcPr>
            <w:tcW w:w="50" w:type="pct"/>
            <w:vAlign w:val="center"/>
            <w:hideMark/>
          </w:tcPr>
          <w:p w:rsidR="00000000" w:rsidRDefault="00E0782F">
            <w:pPr>
              <w:rPr>
                <w:rFonts w:eastAsia="Times New Roman"/>
              </w:rPr>
            </w:pPr>
          </w:p>
        </w:tc>
        <w:tc>
          <w:tcPr>
            <w:tcW w:w="1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51"/>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Before</w:t>
            </w:r>
            <w:r>
              <w:rPr>
                <w:rFonts w:eastAsia="Times New Roman"/>
                <w:b/>
                <w:bCs/>
                <w:color w:val="000000"/>
                <w:sz w:val="16"/>
                <w:szCs w:val="16"/>
              </w:rPr>
              <w:br/>
              <w:t>Tax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Provision</w:t>
            </w:r>
            <w:r>
              <w:rPr>
                <w:rFonts w:eastAsia="Times New Roman"/>
                <w:b/>
                <w:bCs/>
                <w:color w:val="000000"/>
                <w:sz w:val="16"/>
                <w:szCs w:val="16"/>
              </w:rPr>
              <w:br/>
              <w:t>(Benefit)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After</w:t>
            </w:r>
            <w:r>
              <w:rPr>
                <w:rFonts w:eastAsia="Times New Roman"/>
                <w:b/>
                <w:bCs/>
                <w:color w:val="000000"/>
                <w:sz w:val="16"/>
                <w:szCs w:val="16"/>
              </w:rPr>
              <w:br/>
              <w:t>Tax</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b/>
                <w:bCs/>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E0782F">
            <w:pPr>
              <w:jc w:val="both"/>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unrealized gains (loss) on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unrealized gains (loss) on hedging relationships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1,329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1,016</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244</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772</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967592846"/>
              <w:rPr>
                <w:rFonts w:eastAsia="Times New Roman"/>
              </w:rPr>
            </w:pPr>
            <w:r>
              <w:rPr>
                <w:rFonts w:eastAsia="Times New Roman"/>
                <w:color w:val="000000"/>
                <w:sz w:val="18"/>
                <w:szCs w:val="18"/>
              </w:rPr>
              <w:t>Foreign currency translation adjustment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54</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70</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changes in securities held to maturity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36</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10</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26</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588</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141</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447</w:t>
            </w: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E0782F">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388770971"/>
        <w:rPr>
          <w:rFonts w:eastAsia="Times New Roman"/>
        </w:rPr>
      </w:pPr>
      <w:r>
        <w:rPr>
          <w:rFonts w:eastAsia="Times New Roman"/>
          <w:color w:val="000000"/>
          <w:sz w:val="20"/>
          <w:szCs w:val="20"/>
        </w:rPr>
        <w:t>__________</w:t>
      </w:r>
    </w:p>
    <w:p w:rsidR="00000000" w:rsidRDefault="00E0782F">
      <w:pPr>
        <w:ind w:hanging="360"/>
        <w:jc w:val="both"/>
        <w:divId w:val="114720789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the impact of hedging instruments designated as net investment hedges.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72743323"/>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7274332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7274332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7" style="width:0;height:1.5pt" o:hralign="center" o:hrstd="t" o:hr="t" fillcolor="#a0a0a0" stroked="f"/>
        </w:pict>
      </w:r>
    </w:p>
    <w:p w:rsidR="00000000" w:rsidRDefault="00E0782F">
      <w:pPr>
        <w:jc w:val="both"/>
        <w:divId w:val="135326257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353262579"/>
        <w:rPr>
          <w:rFonts w:eastAsia="Times New Roman"/>
        </w:rPr>
      </w:pPr>
    </w:p>
    <w:p w:rsidR="00000000" w:rsidRDefault="00E0782F">
      <w:pPr>
        <w:jc w:val="center"/>
        <w:divId w:val="1353262579"/>
        <w:rPr>
          <w:rFonts w:eastAsia="Times New Roman"/>
        </w:rPr>
      </w:pPr>
      <w:r>
        <w:rPr>
          <w:rFonts w:eastAsia="Times New Roman"/>
          <w:b/>
          <w:bCs/>
          <w:color w:val="000000"/>
          <w:sz w:val="20"/>
          <w:szCs w:val="20"/>
        </w:rPr>
        <w:t>CAPITAL ONE FINANCIAL CORPORATION</w:t>
      </w:r>
    </w:p>
    <w:p w:rsidR="00000000" w:rsidRDefault="00E0782F">
      <w:pPr>
        <w:jc w:val="center"/>
        <w:divId w:val="1353262579"/>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021468590"/>
          <w:jc w:val="center"/>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21468590"/>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11—REGULATORY AND CAPITAL ADEQUACY</w:t>
            </w:r>
          </w:p>
        </w:tc>
      </w:tr>
    </w:tbl>
    <w:p w:rsidR="00000000" w:rsidRDefault="00E0782F">
      <w:pPr>
        <w:divId w:val="1216314964"/>
        <w:rPr>
          <w:rFonts w:eastAsia="Times New Roman"/>
        </w:rPr>
      </w:pPr>
      <w:r>
        <w:rPr>
          <w:rFonts w:eastAsia="Times New Roman"/>
          <w:b/>
          <w:bCs/>
          <w:color w:val="000000"/>
          <w:sz w:val="20"/>
          <w:szCs w:val="20"/>
        </w:rPr>
        <w:t>Regulation and Capital Adequacy</w:t>
      </w:r>
    </w:p>
    <w:p w:rsidR="00000000" w:rsidRDefault="00E0782F">
      <w:pPr>
        <w:jc w:val="both"/>
        <w:divId w:val="319846149"/>
        <w:rPr>
          <w:rFonts w:eastAsia="Times New Roman"/>
        </w:rPr>
      </w:pPr>
      <w:r>
        <w:rPr>
          <w:rFonts w:eastAsia="Times New Roman"/>
          <w:color w:val="000000"/>
          <w:sz w:val="20"/>
          <w:szCs w:val="20"/>
        </w:rPr>
        <w:t>Bank holding companies (“BHCs”) and national banks are subject to capital adequacy standards adopted by the Federal Reserve, Office of the Comptroller of the Currency (“OCC”) and Federal Deposit Insurance Corporation (collec</w:t>
      </w:r>
      <w:r>
        <w:rPr>
          <w:rFonts w:eastAsia="Times New Roman"/>
          <w:color w:val="000000"/>
          <w:sz w:val="20"/>
          <w:szCs w:val="20"/>
        </w:rPr>
        <w:t>tively, the “Federal Banking Agencies”), including rules of the Federal Reserve and the OCC “Basel III Capital Rules” to implement certain capital liquidity requirements published by the Basel Committee on Banking Supervision, along with certain Dodd-Frank</w:t>
      </w:r>
      <w:r>
        <w:rPr>
          <w:rFonts w:eastAsia="Times New Roman"/>
          <w:color w:val="000000"/>
          <w:sz w:val="20"/>
          <w:szCs w:val="20"/>
        </w:rPr>
        <w:t xml:space="preserve"> Act and other provisions. Moreover, the Banks, as insured depository institutions, are subject to prompt corrective action (“PCA”) capital regulations, which require the Federal Banking Agencies to take prompt corrective action for banks that do not meet </w:t>
      </w:r>
      <w:r>
        <w:rPr>
          <w:rFonts w:eastAsia="Times New Roman"/>
          <w:color w:val="000000"/>
          <w:sz w:val="20"/>
          <w:szCs w:val="20"/>
        </w:rPr>
        <w:t xml:space="preserve">PCA capital requirements. </w:t>
      </w:r>
    </w:p>
    <w:p w:rsidR="00000000" w:rsidRDefault="00E0782F">
      <w:pPr>
        <w:jc w:val="both"/>
        <w:divId w:val="382943151"/>
        <w:rPr>
          <w:rFonts w:eastAsia="Times New Roman"/>
        </w:rPr>
      </w:pPr>
      <w:r>
        <w:rPr>
          <w:rFonts w:eastAsia="Times New Roman"/>
          <w:color w:val="000000"/>
          <w:sz w:val="20"/>
          <w:szCs w:val="20"/>
        </w:rPr>
        <w:t>In July 2019, the Federal Banking Agencies finalized certain changes to the Basel III Capital Rules for institutions not subject to the Basel III Advanced Approaches (“Capital Simplification Rule”). These changes, effective Janua</w:t>
      </w:r>
      <w:r>
        <w:rPr>
          <w:rFonts w:eastAsia="Times New Roman"/>
          <w:color w:val="000000"/>
          <w:sz w:val="20"/>
          <w:szCs w:val="20"/>
        </w:rPr>
        <w:t>ry 1, 2020, generally raised the threshold above which a covered institution such as the Company must deduct certain assets from its common equity Tier 1 capital, including certain deferred tax assets, mortgage servicing assets, and investments in unconsol</w:t>
      </w:r>
      <w:r>
        <w:rPr>
          <w:rFonts w:eastAsia="Times New Roman"/>
          <w:color w:val="000000"/>
          <w:sz w:val="20"/>
          <w:szCs w:val="20"/>
        </w:rPr>
        <w:t>idated financial institutions.</w:t>
      </w:r>
    </w:p>
    <w:p w:rsidR="00000000" w:rsidRDefault="00E0782F">
      <w:pPr>
        <w:jc w:val="both"/>
        <w:divId w:val="618226637"/>
        <w:rPr>
          <w:rFonts w:eastAsia="Times New Roman"/>
        </w:rPr>
      </w:pPr>
      <w:r>
        <w:rPr>
          <w:rFonts w:eastAsia="Times New Roman"/>
          <w:color w:val="000000"/>
          <w:sz w:val="20"/>
          <w:szCs w:val="20"/>
        </w:rPr>
        <w:t>In October 2019, the Federal Banking Agencies amended the Basel III Capital Rules to provide for tailored application of certain capital requirements across different categories of banking institutions (“Tailoring Rules”). As</w:t>
      </w:r>
      <w:r>
        <w:rPr>
          <w:rFonts w:eastAsia="Times New Roman"/>
          <w:color w:val="000000"/>
          <w:sz w:val="20"/>
          <w:szCs w:val="20"/>
        </w:rPr>
        <w:t xml:space="preserve"> a BHC with total consolidated assets of at least $250 billion that does not exceed any of the applicable risk-based thresholds, we are a Category III institution under the Tailoring Rules. As such, we are no longer subject to the Basel III Advanced Approa</w:t>
      </w:r>
      <w:r>
        <w:rPr>
          <w:rFonts w:eastAsia="Times New Roman"/>
          <w:color w:val="000000"/>
          <w:sz w:val="20"/>
          <w:szCs w:val="20"/>
        </w:rPr>
        <w:t>ches and certain associated capital requirements and have the option of excluding certain elements of AOCI from our regulatory capital. Effective in the first quarter of 2020, we excluded certain elements of AOCI from our regulatory capital as permitted by</w:t>
      </w:r>
      <w:r>
        <w:rPr>
          <w:rFonts w:eastAsia="Times New Roman"/>
          <w:color w:val="000000"/>
          <w:sz w:val="20"/>
          <w:szCs w:val="20"/>
        </w:rPr>
        <w:t xml:space="preserve"> the Tailoring Rules. The Tailoring Rules and Capital Simplification Rule have, taken together, decreased our capital requirements.</w:t>
      </w:r>
    </w:p>
    <w:p w:rsidR="00000000" w:rsidRDefault="00E0782F">
      <w:pPr>
        <w:jc w:val="both"/>
        <w:divId w:val="1212612840"/>
        <w:rPr>
          <w:rFonts w:eastAsia="Times New Roman"/>
        </w:rPr>
      </w:pPr>
      <w:r>
        <w:rPr>
          <w:rFonts w:eastAsia="Times New Roman"/>
          <w:color w:val="000000"/>
          <w:sz w:val="20"/>
          <w:szCs w:val="20"/>
        </w:rPr>
        <w:t>As part of their response to the COVID-19 pandemic, the Federal Banking Agencies adopted the 2020 CECL Transition Rule which</w:t>
      </w:r>
      <w:r>
        <w:rPr>
          <w:rFonts w:eastAsia="Times New Roman"/>
          <w:color w:val="000000"/>
          <w:sz w:val="20"/>
          <w:szCs w:val="20"/>
        </w:rPr>
        <w:t xml:space="preserve"> provides banking institutions an optional five-year transition period to phase in the impact of the CECL standard on their regulatory capital. </w:t>
      </w:r>
    </w:p>
    <w:p w:rsidR="00000000" w:rsidRDefault="00E0782F">
      <w:pPr>
        <w:jc w:val="both"/>
        <w:divId w:val="1124881230"/>
        <w:rPr>
          <w:rFonts w:eastAsia="Times New Roman"/>
        </w:rPr>
      </w:pPr>
      <w:r>
        <w:rPr>
          <w:rFonts w:eastAsia="Times New Roman"/>
          <w:color w:val="000000"/>
          <w:sz w:val="20"/>
          <w:szCs w:val="20"/>
        </w:rPr>
        <w:t>Pursuant to the 2020 CECL Transition Rule, a banking institution may elect to delay the estimated impact of ado</w:t>
      </w:r>
      <w:r>
        <w:rPr>
          <w:rFonts w:eastAsia="Times New Roman"/>
          <w:color w:val="000000"/>
          <w:sz w:val="20"/>
          <w:szCs w:val="20"/>
        </w:rPr>
        <w:t>pting CECL on its regulatory capital through December 31, 2021 and then phase in the estimated cumulative impact from January 1, 2022 through December 31, 2024. For the “day 2” ongoing impact of CECL during the initial two years, the Federal Banking Agenci</w:t>
      </w:r>
      <w:r>
        <w:rPr>
          <w:rFonts w:eastAsia="Times New Roman"/>
          <w:color w:val="000000"/>
          <w:sz w:val="20"/>
          <w:szCs w:val="20"/>
        </w:rPr>
        <w:t>es use a uniform “scaling factor” of 25% as an approximation of the increase in the allowance under the CECL standard compared to the prior incurred loss methodology. Accordingly, from January 1, 2020 through December 31, 2021, electing banking institution</w:t>
      </w:r>
      <w:r>
        <w:rPr>
          <w:rFonts w:eastAsia="Times New Roman"/>
          <w:color w:val="000000"/>
          <w:sz w:val="20"/>
          <w:szCs w:val="20"/>
        </w:rPr>
        <w:t>s are permitted to add back to their regulatory capital an amount equal to the sum of the after-tax “day 1” CECL adoption impact and 25% of the increase in the allowance since the adoption of the CECL standard. Beginning January 1, 2022 through December 31</w:t>
      </w:r>
      <w:r>
        <w:rPr>
          <w:rFonts w:eastAsia="Times New Roman"/>
          <w:color w:val="000000"/>
          <w:sz w:val="20"/>
          <w:szCs w:val="20"/>
        </w:rPr>
        <w:t>, 2024, the after-tax “day 1” CECL adoption impact and the cumulative “day 2” ongoing impact will be phased in to regulatory capital at 25% per year. The following table summarizes the capital impact delay and phase in period on our regulatory capital from</w:t>
      </w:r>
      <w:r>
        <w:rPr>
          <w:rFonts w:eastAsia="Times New Roman"/>
          <w:color w:val="000000"/>
          <w:sz w:val="20"/>
          <w:szCs w:val="20"/>
        </w:rPr>
        <w:t xml:space="preserve"> years 2020 to 2025.</w:t>
      </w:r>
    </w:p>
    <w:tbl>
      <w:tblPr>
        <w:tblW w:w="4963" w:type="pct"/>
        <w:tblCellMar>
          <w:top w:w="15" w:type="dxa"/>
          <w:left w:w="15" w:type="dxa"/>
          <w:bottom w:w="15" w:type="dxa"/>
          <w:right w:w="15" w:type="dxa"/>
        </w:tblCellMar>
        <w:tblLook w:val="04A0" w:firstRow="1" w:lastRow="0" w:firstColumn="1" w:lastColumn="0" w:noHBand="0" w:noVBand="1"/>
      </w:tblPr>
      <w:tblGrid>
        <w:gridCol w:w="53"/>
        <w:gridCol w:w="2299"/>
        <w:gridCol w:w="37"/>
        <w:gridCol w:w="36"/>
        <w:gridCol w:w="36"/>
        <w:gridCol w:w="36"/>
        <w:gridCol w:w="48"/>
        <w:gridCol w:w="775"/>
        <w:gridCol w:w="39"/>
        <w:gridCol w:w="38"/>
        <w:gridCol w:w="38"/>
        <w:gridCol w:w="38"/>
        <w:gridCol w:w="48"/>
        <w:gridCol w:w="773"/>
        <w:gridCol w:w="38"/>
        <w:gridCol w:w="36"/>
        <w:gridCol w:w="36"/>
        <w:gridCol w:w="36"/>
        <w:gridCol w:w="50"/>
        <w:gridCol w:w="775"/>
        <w:gridCol w:w="36"/>
        <w:gridCol w:w="36"/>
        <w:gridCol w:w="36"/>
        <w:gridCol w:w="36"/>
        <w:gridCol w:w="50"/>
        <w:gridCol w:w="776"/>
        <w:gridCol w:w="36"/>
        <w:gridCol w:w="36"/>
        <w:gridCol w:w="36"/>
        <w:gridCol w:w="36"/>
        <w:gridCol w:w="50"/>
        <w:gridCol w:w="789"/>
        <w:gridCol w:w="36"/>
        <w:gridCol w:w="36"/>
        <w:gridCol w:w="36"/>
        <w:gridCol w:w="36"/>
        <w:gridCol w:w="54"/>
        <w:gridCol w:w="793"/>
        <w:gridCol w:w="36"/>
      </w:tblGrid>
      <w:tr w:rsidR="00000000">
        <w:trPr>
          <w:divId w:val="1050497965"/>
        </w:trPr>
        <w:tc>
          <w:tcPr>
            <w:tcW w:w="50" w:type="pct"/>
            <w:vAlign w:val="center"/>
            <w:hideMark/>
          </w:tcPr>
          <w:p w:rsidR="00000000" w:rsidRDefault="00E0782F">
            <w:pPr>
              <w:jc w:val="both"/>
              <w:rPr>
                <w:rFonts w:eastAsia="Times New Roman"/>
              </w:rPr>
            </w:pPr>
          </w:p>
        </w:tc>
        <w:tc>
          <w:tcPr>
            <w:tcW w:w="14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50497965"/>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Capital Impact Delayed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Phase In Period</w:t>
            </w:r>
          </w:p>
        </w:tc>
      </w:tr>
      <w:tr w:rsidR="00000000">
        <w:trPr>
          <w:divId w:val="1050497965"/>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bottom w:val="single" w:sz="8" w:space="0" w:color="FFFFFF"/>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8"/>
                <w:szCs w:val="18"/>
              </w:rPr>
              <w:t>2025</w:t>
            </w:r>
          </w:p>
        </w:tc>
      </w:tr>
      <w:tr w:rsidR="00000000">
        <w:trPr>
          <w:divId w:val="1050497965"/>
          <w:trHeight w:val="480"/>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“Day 1” CECL adoption impact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Capital impact delayed to 2022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25%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50%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75% Phased In</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Fully Phased In</w:t>
            </w:r>
          </w:p>
        </w:tc>
      </w:tr>
      <w:tr w:rsidR="00000000">
        <w:trPr>
          <w:divId w:val="1050497965"/>
          <w:trHeight w:val="640"/>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Cumulative “day 2” ongoing impact</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color w:val="000000"/>
                <w:sz w:val="18"/>
                <w:szCs w:val="18"/>
              </w:rPr>
              <w:t>25% scaling factor as an approximation of the increase in allowance under CECL</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r>
    </w:tbl>
    <w:p w:rsidR="00000000" w:rsidRDefault="00E0782F">
      <w:pPr>
        <w:jc w:val="both"/>
        <w:divId w:val="973943338"/>
        <w:rPr>
          <w:rFonts w:eastAsia="Times New Roman"/>
        </w:rPr>
      </w:pPr>
      <w:r>
        <w:rPr>
          <w:rFonts w:eastAsia="Times New Roman"/>
          <w:color w:val="000000"/>
          <w:sz w:val="20"/>
          <w:szCs w:val="20"/>
        </w:rPr>
        <w:t>We adopted the CECL standard (for accounting purposes) as of January 1, 2020, and made the 2020 CECL Transition Election (for regulatory capital purposes) in the first quarter of 2020. Therefore, the applicable amounts presented in this Report reflect such</w:t>
      </w:r>
      <w:r>
        <w:rPr>
          <w:rFonts w:eastAsia="Times New Roman"/>
          <w:color w:val="000000"/>
          <w:sz w:val="20"/>
          <w:szCs w:val="20"/>
        </w:rPr>
        <w:t xml:space="preserve"> election. </w:t>
      </w:r>
    </w:p>
    <w:p w:rsidR="00000000" w:rsidRDefault="00E0782F">
      <w:pPr>
        <w:jc w:val="both"/>
        <w:divId w:val="2063165234"/>
        <w:rPr>
          <w:rFonts w:eastAsia="Times New Roman"/>
        </w:rPr>
      </w:pPr>
      <w:r>
        <w:rPr>
          <w:rFonts w:eastAsia="Times New Roman"/>
          <w:color w:val="000000"/>
          <w:sz w:val="20"/>
          <w:szCs w:val="20"/>
        </w:rPr>
        <w:t>Under the Basel III Capital Rules, our regulatory minimum risk-based and leverage capital requirements include a common equity Tier 1 capital ratio of at least 4.5%, a Tier 1 capital ratio of at least 6.0%, a total capital ratio of at least 8.0</w:t>
      </w:r>
      <w:r>
        <w:rPr>
          <w:rFonts w:eastAsia="Times New Roman"/>
          <w:color w:val="000000"/>
          <w:sz w:val="20"/>
          <w:szCs w:val="20"/>
        </w:rPr>
        <w:t>%, a Tier 1 leverage capital ratio of at least 4.0% and a supplementary leverage ratio of at least 3.0%.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7679000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7679000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7679000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8" style="width:0;height:1.5pt" o:hralign="center" o:hrstd="t" o:hr="t" fillcolor="#a0a0a0" stroked="f"/>
        </w:pict>
      </w:r>
    </w:p>
    <w:p w:rsidR="00000000" w:rsidRDefault="00E0782F">
      <w:pPr>
        <w:jc w:val="both"/>
        <w:divId w:val="106090201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060902019"/>
        <w:rPr>
          <w:rFonts w:eastAsia="Times New Roman"/>
        </w:rPr>
      </w:pPr>
    </w:p>
    <w:p w:rsidR="00000000" w:rsidRDefault="00E0782F">
      <w:pPr>
        <w:jc w:val="center"/>
        <w:divId w:val="1060902019"/>
        <w:rPr>
          <w:rFonts w:eastAsia="Times New Roman"/>
        </w:rPr>
      </w:pPr>
      <w:r>
        <w:rPr>
          <w:rFonts w:eastAsia="Times New Roman"/>
          <w:b/>
          <w:bCs/>
          <w:color w:val="000000"/>
          <w:sz w:val="20"/>
          <w:szCs w:val="20"/>
        </w:rPr>
        <w:t>CAPITAL ONE FINANCIAL CORPORATION</w:t>
      </w:r>
    </w:p>
    <w:p w:rsidR="00000000" w:rsidRDefault="00E0782F">
      <w:pPr>
        <w:jc w:val="center"/>
        <w:divId w:val="1060902019"/>
        <w:rPr>
          <w:rFonts w:eastAsia="Times New Roman"/>
        </w:rPr>
      </w:pPr>
      <w:r>
        <w:rPr>
          <w:rFonts w:eastAsia="Times New Roman"/>
          <w:b/>
          <w:bCs/>
          <w:color w:val="000000"/>
          <w:sz w:val="20"/>
          <w:szCs w:val="20"/>
        </w:rPr>
        <w:t>NOTES TO CONSOLIDATED FINANCIAL STATEMENTS</w:t>
      </w:r>
    </w:p>
    <w:p w:rsidR="00000000" w:rsidRDefault="00E0782F">
      <w:pPr>
        <w:jc w:val="both"/>
        <w:divId w:val="2037998077"/>
        <w:rPr>
          <w:rFonts w:eastAsia="Times New Roman"/>
        </w:rPr>
      </w:pPr>
      <w:r>
        <w:rPr>
          <w:rFonts w:eastAsia="Times New Roman"/>
          <w:color w:val="000000"/>
          <w:sz w:val="20"/>
          <w:szCs w:val="20"/>
        </w:rPr>
        <w:t xml:space="preserve">For additional information about the capital adequacy guidelines </w:t>
      </w:r>
      <w:r>
        <w:rPr>
          <w:rFonts w:eastAsia="Times New Roman"/>
          <w:color w:val="000000"/>
          <w:sz w:val="20"/>
          <w:szCs w:val="20"/>
        </w:rPr>
        <w:t xml:space="preserve">we are subject to, see “Part I —Item 1. Business—Supervision and Regulation.” </w:t>
      </w:r>
    </w:p>
    <w:p w:rsidR="00000000" w:rsidRDefault="00E0782F">
      <w:pPr>
        <w:jc w:val="both"/>
        <w:divId w:val="1448042882"/>
        <w:rPr>
          <w:rFonts w:eastAsia="Times New Roman"/>
        </w:rPr>
      </w:pPr>
      <w:r>
        <w:rPr>
          <w:rFonts w:eastAsia="Times New Roman"/>
          <w:color w:val="000000"/>
          <w:sz w:val="20"/>
          <w:szCs w:val="20"/>
        </w:rPr>
        <w:t>The following table</w:t>
      </w:r>
      <w:r>
        <w:rPr>
          <w:rFonts w:eastAsia="Times New Roman"/>
          <w:b/>
          <w:bCs/>
          <w:color w:val="000000"/>
          <w:sz w:val="20"/>
          <w:szCs w:val="20"/>
        </w:rPr>
        <w:t xml:space="preserve"> </w:t>
      </w:r>
      <w:r>
        <w:rPr>
          <w:rFonts w:eastAsia="Times New Roman"/>
          <w:color w:val="000000"/>
          <w:sz w:val="20"/>
          <w:szCs w:val="20"/>
        </w:rPr>
        <w:t>provides a comparison of our regulatory capital amounts and ratios under the Basel III Standardized Approach subject to the applicable transition provisions,</w:t>
      </w:r>
      <w:r>
        <w:rPr>
          <w:rFonts w:eastAsia="Times New Roman"/>
          <w:color w:val="000000"/>
          <w:sz w:val="20"/>
          <w:szCs w:val="20"/>
        </w:rPr>
        <w:t xml:space="preserve"> the regulatory minimum capital adequacy ratios and the PCA well-capitalized level for each ratio, where applicable, as of December 31, 2020 and 2019.</w:t>
      </w:r>
    </w:p>
    <w:p w:rsidR="00000000" w:rsidRDefault="00E0782F">
      <w:pPr>
        <w:divId w:val="1503079613"/>
        <w:rPr>
          <w:rFonts w:eastAsia="Times New Roman"/>
        </w:rPr>
      </w:pPr>
      <w:r>
        <w:rPr>
          <w:rFonts w:eastAsia="Times New Roman"/>
          <w:b/>
          <w:bCs/>
          <w:color w:val="000000"/>
          <w:sz w:val="18"/>
          <w:szCs w:val="18"/>
        </w:rPr>
        <w:t>Table 11.1: Capital Ratios Under Basel II</w:t>
      </w:r>
      <w:r>
        <w:rPr>
          <w:rFonts w:eastAsia="Times New Roman"/>
          <w:b/>
          <w:bCs/>
          <w:color w:val="000000"/>
          <w:sz w:val="18"/>
          <w:szCs w:val="18"/>
        </w:rPr>
        <w:t>I</w:t>
      </w:r>
      <w:r>
        <w:rPr>
          <w:rFonts w:eastAsia="Times New Roman"/>
          <w:b/>
          <w:bCs/>
          <w:color w:val="000000"/>
          <w:sz w:val="12"/>
          <w:szCs w:val="12"/>
        </w:rPr>
        <w:t>(1</w:t>
      </w:r>
      <w:r>
        <w:rPr>
          <w:rFonts w:eastAsia="Times New Roman"/>
          <w:b/>
          <w:bCs/>
          <w:color w:val="000000"/>
          <w:sz w:val="12"/>
          <w:szCs w:val="12"/>
        </w:rPr>
        <w:t>)</w:t>
      </w:r>
    </w:p>
    <w:tbl>
      <w:tblPr>
        <w:tblW w:w="4970" w:type="pct"/>
        <w:tblCellMar>
          <w:top w:w="15" w:type="dxa"/>
          <w:left w:w="15" w:type="dxa"/>
          <w:bottom w:w="15" w:type="dxa"/>
          <w:right w:w="15" w:type="dxa"/>
        </w:tblCellMar>
        <w:tblLook w:val="04A0" w:firstRow="1" w:lastRow="0" w:firstColumn="1" w:lastColumn="0" w:noHBand="0" w:noVBand="1"/>
      </w:tblPr>
      <w:tblGrid>
        <w:gridCol w:w="40"/>
        <w:gridCol w:w="1087"/>
        <w:gridCol w:w="38"/>
        <w:gridCol w:w="36"/>
        <w:gridCol w:w="36"/>
        <w:gridCol w:w="36"/>
        <w:gridCol w:w="110"/>
        <w:gridCol w:w="540"/>
        <w:gridCol w:w="36"/>
        <w:gridCol w:w="36"/>
        <w:gridCol w:w="36"/>
        <w:gridCol w:w="36"/>
        <w:gridCol w:w="73"/>
        <w:gridCol w:w="467"/>
        <w:gridCol w:w="200"/>
        <w:gridCol w:w="36"/>
        <w:gridCol w:w="36"/>
        <w:gridCol w:w="36"/>
        <w:gridCol w:w="87"/>
        <w:gridCol w:w="630"/>
        <w:gridCol w:w="200"/>
        <w:gridCol w:w="36"/>
        <w:gridCol w:w="36"/>
        <w:gridCol w:w="36"/>
        <w:gridCol w:w="92"/>
        <w:gridCol w:w="722"/>
        <w:gridCol w:w="200"/>
        <w:gridCol w:w="36"/>
        <w:gridCol w:w="36"/>
        <w:gridCol w:w="36"/>
        <w:gridCol w:w="110"/>
        <w:gridCol w:w="540"/>
        <w:gridCol w:w="36"/>
        <w:gridCol w:w="36"/>
        <w:gridCol w:w="36"/>
        <w:gridCol w:w="36"/>
        <w:gridCol w:w="73"/>
        <w:gridCol w:w="467"/>
        <w:gridCol w:w="170"/>
        <w:gridCol w:w="36"/>
        <w:gridCol w:w="36"/>
        <w:gridCol w:w="36"/>
        <w:gridCol w:w="87"/>
        <w:gridCol w:w="630"/>
        <w:gridCol w:w="170"/>
        <w:gridCol w:w="36"/>
        <w:gridCol w:w="36"/>
        <w:gridCol w:w="36"/>
        <w:gridCol w:w="92"/>
        <w:gridCol w:w="722"/>
        <w:gridCol w:w="170"/>
      </w:tblGrid>
      <w:tr w:rsidR="00000000">
        <w:trPr>
          <w:divId w:val="276646434"/>
        </w:trPr>
        <w:tc>
          <w:tcPr>
            <w:tcW w:w="50" w:type="pct"/>
            <w:vAlign w:val="center"/>
            <w:hideMark/>
          </w:tcPr>
          <w:p w:rsidR="00000000" w:rsidRDefault="00E0782F">
            <w:pPr>
              <w:rPr>
                <w:rFonts w:eastAsia="Times New Roman"/>
              </w:rPr>
            </w:pPr>
          </w:p>
        </w:tc>
        <w:tc>
          <w:tcPr>
            <w:tcW w:w="138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7664643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27664643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Capital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Capital</w:t>
            </w:r>
            <w:r>
              <w:rPr>
                <w:rFonts w:eastAsia="Times New Roman"/>
                <w:b/>
                <w:bCs/>
                <w:color w:val="000000"/>
                <w:sz w:val="16"/>
                <w:szCs w:val="16"/>
              </w:rPr>
              <w:b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Capital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Capital</w:t>
            </w:r>
            <w:r>
              <w:rPr>
                <w:rFonts w:eastAsia="Times New Roman"/>
                <w:b/>
                <w:bCs/>
                <w:color w:val="000000"/>
                <w:sz w:val="16"/>
                <w:szCs w:val="16"/>
              </w:rPr>
              <w:br/>
              <w:t>Ratio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Minimum</w:t>
            </w:r>
            <w:r>
              <w:rPr>
                <w:rFonts w:eastAsia="Times New Roman"/>
                <w:b/>
                <w:bCs/>
                <w:color w:val="000000"/>
                <w:sz w:val="16"/>
                <w:szCs w:val="16"/>
              </w:rPr>
              <w:br/>
            </w:r>
            <w:r>
              <w:rPr>
                <w:rFonts w:eastAsia="Times New Roman"/>
                <w:b/>
                <w:bCs/>
                <w:color w:val="000000"/>
                <w:sz w:val="16"/>
                <w:szCs w:val="16"/>
              </w:rPr>
              <w:t>Capital</w:t>
            </w:r>
            <w:r>
              <w:rPr>
                <w:rFonts w:eastAsia="Times New Roman"/>
                <w:b/>
                <w:bCs/>
                <w:color w:val="000000"/>
                <w:sz w:val="16"/>
                <w:szCs w:val="16"/>
              </w:rPr>
              <w:br/>
              <w:t>Adequacy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Well-</w:t>
            </w:r>
            <w:r>
              <w:rPr>
                <w:rFonts w:eastAsia="Times New Roman"/>
                <w:b/>
                <w:bCs/>
                <w:color w:val="000000"/>
                <w:sz w:val="16"/>
                <w:szCs w:val="16"/>
              </w:rPr>
              <w:br/>
              <w:t>Capitalized</w:t>
            </w:r>
          </w:p>
        </w:tc>
      </w:tr>
      <w:tr w:rsidR="00000000">
        <w:trPr>
          <w:divId w:val="27664643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Capital One Financial Corp:</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1388870784"/>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40,736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38,162 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color w:val="000000"/>
                <w:sz w:val="18"/>
                <w:szCs w:val="18"/>
              </w:rPr>
              <w:t>N/A</w:t>
            </w: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divId w:val="1962883791"/>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45,583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43,015 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13.7 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w:t>
            </w: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837303130"/>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52,788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17.7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50,348 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divId w:val="1986930106"/>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45,583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43,015 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11.7 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color w:val="000000"/>
                <w:sz w:val="18"/>
                <w:szCs w:val="18"/>
              </w:rPr>
              <w:t>N/A</w:t>
            </w: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1421752790"/>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45,583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43,015 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9.9 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color w:val="000000"/>
                <w:sz w:val="18"/>
                <w:szCs w:val="18"/>
              </w:rPr>
              <w:t>N/A</w:t>
            </w: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COBNA: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1800563562"/>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19,924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17,883 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divId w:val="1475487123"/>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19,924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17,883 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37822732"/>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21,708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20,109 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18.1 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divId w:val="1779905915"/>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19,924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17,883 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1104227090"/>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19,924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17,883 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12.1 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color w:val="000000"/>
                <w:sz w:val="18"/>
                <w:szCs w:val="18"/>
              </w:rPr>
              <w:t>N/A</w:t>
            </w: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18"/>
                <w:szCs w:val="18"/>
              </w:rPr>
              <w:t>CONA:</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1706786467"/>
              <w:rPr>
                <w:rFonts w:eastAsia="Times New Roman"/>
              </w:rPr>
            </w:pPr>
            <w:r>
              <w:rPr>
                <w:rFonts w:eastAsia="Times New Roman"/>
                <w:color w:val="000000"/>
                <w:sz w:val="18"/>
                <w:szCs w:val="18"/>
              </w:rPr>
              <w:t>Common equity Tier 1 capita</w:t>
            </w:r>
            <w:r>
              <w:rPr>
                <w:rFonts w:eastAsia="Times New Roman"/>
                <w:color w:val="000000"/>
                <w:sz w:val="18"/>
                <w:szCs w:val="18"/>
              </w:rPr>
              <w:t>l</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26,671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28,445 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divId w:val="1603687974"/>
              <w:rPr>
                <w:rFonts w:eastAsia="Times New Roman"/>
              </w:rPr>
            </w:pPr>
            <w:r>
              <w:rPr>
                <w:rFonts w:eastAsia="Times New Roman"/>
                <w:color w:val="000000"/>
                <w:sz w:val="18"/>
                <w:szCs w:val="18"/>
              </w:rPr>
              <w:t>Tier 1 capita</w:t>
            </w:r>
            <w:r>
              <w:rPr>
                <w:rFonts w:eastAsia="Times New Roman"/>
                <w:color w:val="000000"/>
                <w:sz w:val="18"/>
                <w:szCs w:val="18"/>
              </w:rPr>
              <w:t>l</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26,671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28,445 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522086312"/>
              <w:rPr>
                <w:rFonts w:eastAsia="Times New Roman"/>
              </w:rPr>
            </w:pPr>
            <w:r>
              <w:rPr>
                <w:rFonts w:eastAsia="Times New Roman"/>
                <w:color w:val="000000"/>
                <w:sz w:val="18"/>
                <w:szCs w:val="18"/>
              </w:rPr>
              <w:t>Total capita</w:t>
            </w:r>
            <w:r>
              <w:rPr>
                <w:rFonts w:eastAsia="Times New Roman"/>
                <w:color w:val="000000"/>
                <w:sz w:val="18"/>
                <w:szCs w:val="18"/>
              </w:rPr>
              <w:t>l</w:t>
            </w:r>
            <w:r>
              <w:rPr>
                <w:rFonts w:eastAsia="Times New Roman"/>
                <w:color w:val="000000"/>
                <w:sz w:val="12"/>
                <w:szCs w:val="12"/>
              </w:rPr>
              <w:t>(4</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29,369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8.0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30,852 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CCEEFF"/>
            <w:tcMar>
              <w:top w:w="30" w:type="dxa"/>
              <w:left w:w="20" w:type="dxa"/>
              <w:bottom w:w="30" w:type="dxa"/>
              <w:right w:w="20" w:type="dxa"/>
            </w:tcMar>
            <w:vAlign w:val="bottom"/>
            <w:hideMark/>
          </w:tcPr>
          <w:p w:rsidR="00000000" w:rsidRDefault="00E0782F">
            <w:pPr>
              <w:divId w:val="1029723347"/>
              <w:rPr>
                <w:rFonts w:eastAsia="Times New Roman"/>
              </w:rPr>
            </w:pPr>
            <w:r>
              <w:rPr>
                <w:rFonts w:eastAsia="Times New Roman"/>
                <w:color w:val="000000"/>
                <w:sz w:val="18"/>
                <w:szCs w:val="18"/>
              </w:rPr>
              <w:t>Tier 1 leverag</w:t>
            </w:r>
            <w:r>
              <w:rPr>
                <w:rFonts w:eastAsia="Times New Roman"/>
                <w:color w:val="000000"/>
                <w:sz w:val="18"/>
                <w:szCs w:val="18"/>
              </w:rPr>
              <w:t>e</w:t>
            </w:r>
            <w:r>
              <w:rPr>
                <w:rFonts w:eastAsia="Times New Roman"/>
                <w:color w:val="000000"/>
                <w:sz w:val="12"/>
                <w:szCs w:val="12"/>
              </w:rPr>
              <w:t>(5</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26,671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28,445 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276646434"/>
        </w:trPr>
        <w:tc>
          <w:tcPr>
            <w:tcW w:w="0" w:type="auto"/>
            <w:gridSpan w:val="3"/>
            <w:shd w:val="clear" w:color="auto" w:fill="FFFFFF"/>
            <w:tcMar>
              <w:top w:w="30" w:type="dxa"/>
              <w:left w:w="20" w:type="dxa"/>
              <w:bottom w:w="30" w:type="dxa"/>
              <w:right w:w="20" w:type="dxa"/>
            </w:tcMar>
            <w:vAlign w:val="bottom"/>
            <w:hideMark/>
          </w:tcPr>
          <w:p w:rsidR="00000000" w:rsidRDefault="00E0782F">
            <w:pPr>
              <w:divId w:val="1147934183"/>
              <w:rPr>
                <w:rFonts w:eastAsia="Times New Roman"/>
              </w:rPr>
            </w:pPr>
            <w:r>
              <w:rPr>
                <w:rFonts w:eastAsia="Times New Roman"/>
                <w:color w:val="000000"/>
                <w:sz w:val="18"/>
                <w:szCs w:val="18"/>
              </w:rPr>
              <w:t>Supplementary leverag</w:t>
            </w:r>
            <w:r>
              <w:rPr>
                <w:rFonts w:eastAsia="Times New Roman"/>
                <w:color w:val="000000"/>
                <w:sz w:val="18"/>
                <w:szCs w:val="18"/>
              </w:rPr>
              <w:t>e</w:t>
            </w:r>
            <w:r>
              <w:rPr>
                <w:rFonts w:eastAsia="Times New Roman"/>
                <w:color w:val="000000"/>
                <w:sz w:val="12"/>
                <w:szCs w:val="12"/>
              </w:rPr>
              <w:t>(6</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26,671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28,445 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60" w:type="dxa"/>
            </w:tcMar>
            <w:vAlign w:val="bottom"/>
            <w:hideMark/>
          </w:tcPr>
          <w:p w:rsidR="00000000" w:rsidRDefault="00E0782F">
            <w:pPr>
              <w:jc w:val="right"/>
              <w:rPr>
                <w:rFonts w:eastAsia="Times New Roman"/>
              </w:rPr>
            </w:pPr>
            <w:r>
              <w:rPr>
                <w:rFonts w:eastAsia="Times New Roman"/>
                <w:color w:val="000000"/>
                <w:sz w:val="18"/>
                <w:szCs w:val="18"/>
              </w:rPr>
              <w:t>N/A</w:t>
            </w:r>
          </w:p>
        </w:tc>
      </w:tr>
    </w:tbl>
    <w:p w:rsidR="00000000" w:rsidRDefault="00E0782F">
      <w:pPr>
        <w:divId w:val="324086759"/>
        <w:rPr>
          <w:rFonts w:eastAsia="Times New Roman"/>
        </w:rPr>
      </w:pPr>
      <w:r>
        <w:rPr>
          <w:rFonts w:eastAsia="Times New Roman"/>
          <w:color w:val="000000"/>
          <w:sz w:val="20"/>
          <w:szCs w:val="20"/>
        </w:rPr>
        <w:t>__________</w:t>
      </w:r>
    </w:p>
    <w:p w:rsidR="00000000" w:rsidRDefault="00E0782F">
      <w:pPr>
        <w:ind w:hanging="360"/>
        <w:jc w:val="both"/>
        <w:divId w:val="139874977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Capital requirements that are not applicable are denoted by “N/A.”</w:t>
      </w:r>
    </w:p>
    <w:p w:rsidR="00000000" w:rsidRDefault="00E0782F">
      <w:pPr>
        <w:ind w:hanging="360"/>
        <w:jc w:val="both"/>
        <w:divId w:val="953169666"/>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Common equity Tier 1 capital ratio is a regulatory capital measure calculated based on common equity Tier 1 capital divided by risk-weighted assets.</w:t>
      </w:r>
    </w:p>
    <w:p w:rsidR="00000000" w:rsidRDefault="00E0782F">
      <w:pPr>
        <w:ind w:hanging="360"/>
        <w:jc w:val="both"/>
        <w:divId w:val="1904563220"/>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Tier 1 capital ratio is a regulatory capital measure calculated based on Tier 1 capital divided by risk-</w:t>
      </w:r>
      <w:r>
        <w:rPr>
          <w:rFonts w:eastAsia="Times New Roman"/>
          <w:color w:val="000000"/>
          <w:sz w:val="16"/>
          <w:szCs w:val="16"/>
        </w:rPr>
        <w:t>weighted assets.</w:t>
      </w:r>
    </w:p>
    <w:p w:rsidR="00000000" w:rsidRDefault="00E0782F">
      <w:pPr>
        <w:ind w:hanging="360"/>
        <w:jc w:val="both"/>
        <w:divId w:val="544098807"/>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Total capital ratio is a regulatory capital measure calculated based on total capital divided by risk-weighted assets.</w:t>
      </w:r>
    </w:p>
    <w:p w:rsidR="00000000" w:rsidRDefault="00E0782F">
      <w:pPr>
        <w:ind w:hanging="360"/>
        <w:jc w:val="both"/>
        <w:divId w:val="437261626"/>
        <w:rPr>
          <w:rFonts w:eastAsia="Times New Roman"/>
        </w:rPr>
      </w:pPr>
      <w:r>
        <w:rPr>
          <w:rFonts w:eastAsia="Times New Roman"/>
          <w:color w:val="000000"/>
          <w:sz w:val="10"/>
          <w:szCs w:val="10"/>
        </w:rPr>
        <w:t>(5</w:t>
      </w:r>
      <w:r>
        <w:rPr>
          <w:rFonts w:eastAsia="Times New Roman"/>
          <w:color w:val="000000"/>
          <w:sz w:val="10"/>
          <w:szCs w:val="10"/>
        </w:rPr>
        <w:t>)</w:t>
      </w:r>
      <w:r>
        <w:rPr>
          <w:rFonts w:eastAsia="Times New Roman"/>
          <w:color w:val="000000"/>
          <w:sz w:val="16"/>
          <w:szCs w:val="16"/>
        </w:rPr>
        <w:t>Tier 1 leverage ratio is a regulatory capital measure calculated based on Tier 1 capital divided by adjusted avera</w:t>
      </w:r>
      <w:r>
        <w:rPr>
          <w:rFonts w:eastAsia="Times New Roman"/>
          <w:color w:val="000000"/>
          <w:sz w:val="16"/>
          <w:szCs w:val="16"/>
        </w:rPr>
        <w:t>ge assets.</w:t>
      </w:r>
    </w:p>
    <w:p w:rsidR="00000000" w:rsidRDefault="00E0782F">
      <w:pPr>
        <w:ind w:hanging="360"/>
        <w:jc w:val="both"/>
        <w:divId w:val="1729765956"/>
        <w:rPr>
          <w:rFonts w:eastAsia="Times New Roman"/>
        </w:rPr>
      </w:pPr>
      <w:r>
        <w:rPr>
          <w:rFonts w:eastAsia="Times New Roman"/>
          <w:color w:val="000000"/>
          <w:sz w:val="10"/>
          <w:szCs w:val="10"/>
        </w:rPr>
        <w:t>(6</w:t>
      </w:r>
      <w:r>
        <w:rPr>
          <w:rFonts w:eastAsia="Times New Roman"/>
          <w:color w:val="000000"/>
          <w:sz w:val="10"/>
          <w:szCs w:val="10"/>
        </w:rPr>
        <w:t>)</w:t>
      </w:r>
      <w:r>
        <w:rPr>
          <w:rFonts w:eastAsia="Times New Roman"/>
          <w:color w:val="000000"/>
          <w:sz w:val="16"/>
          <w:szCs w:val="16"/>
        </w:rPr>
        <w:t>Supplementary leverage ratio is a regulatory capital measure calculated based on Tier 1 capital divided by total leverage exposure.</w:t>
      </w:r>
    </w:p>
    <w:p w:rsidR="00000000" w:rsidRDefault="00E0782F">
      <w:pPr>
        <w:jc w:val="both"/>
        <w:divId w:val="734743943"/>
        <w:rPr>
          <w:rFonts w:eastAsia="Times New Roman"/>
        </w:rPr>
      </w:pPr>
      <w:r>
        <w:rPr>
          <w:rFonts w:eastAsia="Times New Roman"/>
          <w:color w:val="000000"/>
          <w:sz w:val="20"/>
          <w:szCs w:val="20"/>
        </w:rPr>
        <w:t>We exceeded the minimum capital requirements and each of the Banks exceeded the minimum regulatory requirement</w:t>
      </w:r>
      <w:r>
        <w:rPr>
          <w:rFonts w:eastAsia="Times New Roman"/>
          <w:color w:val="000000"/>
          <w:sz w:val="20"/>
          <w:szCs w:val="20"/>
        </w:rPr>
        <w:t>s and were well-capitalized under PCA requirements as of both December 31, 2020 and 2019.</w:t>
      </w:r>
    </w:p>
    <w:p w:rsidR="00000000" w:rsidRDefault="00E0782F">
      <w:pPr>
        <w:jc w:val="both"/>
        <w:divId w:val="1607886071"/>
        <w:rPr>
          <w:rFonts w:eastAsia="Times New Roman"/>
        </w:rPr>
      </w:pPr>
      <w:r>
        <w:rPr>
          <w:rFonts w:eastAsia="Times New Roman"/>
          <w:color w:val="000000"/>
          <w:sz w:val="20"/>
          <w:szCs w:val="20"/>
        </w:rPr>
        <w:t>Regulatory restrictions exist that limit the ability of the Banks to transfer funds to our BHC. As of December 31, 2020, funds available for dividend payments from CO</w:t>
      </w:r>
      <w:r>
        <w:rPr>
          <w:rFonts w:eastAsia="Times New Roman"/>
          <w:color w:val="000000"/>
          <w:sz w:val="20"/>
          <w:szCs w:val="20"/>
        </w:rPr>
        <w:t>BNA and CONA were $4.0 billion and $1.8 billion, respectively. Applicable provisions that may be contained in our borrowing agreements or the borrowing agreements of our subsidiaries may limit our subsidiaries’ ability to pay dividends to us or our ability</w:t>
      </w:r>
      <w:r>
        <w:rPr>
          <w:rFonts w:eastAsia="Times New Roman"/>
          <w:color w:val="000000"/>
          <w:sz w:val="20"/>
          <w:szCs w:val="20"/>
        </w:rPr>
        <w:t xml:space="preserve"> to pay dividends to our stockholders.</w:t>
      </w:r>
    </w:p>
    <w:p w:rsidR="00000000" w:rsidRDefault="00E0782F">
      <w:pPr>
        <w:jc w:val="both"/>
        <w:divId w:val="6518248"/>
        <w:rPr>
          <w:rFonts w:eastAsia="Times New Roman"/>
        </w:rPr>
      </w:pPr>
      <w:r>
        <w:rPr>
          <w:rFonts w:eastAsia="Times New Roman"/>
          <w:color w:val="000000"/>
          <w:sz w:val="20"/>
          <w:szCs w:val="20"/>
        </w:rPr>
        <w:t>The reserve requirement the Federal Reserve requires depository institutions to maintain against specified deposit liabilities was $1.7 billion for us as of December 31, 2019, before being reduced to zero for all depo</w:t>
      </w:r>
      <w:r>
        <w:rPr>
          <w:rFonts w:eastAsia="Times New Roman"/>
          <w:color w:val="000000"/>
          <w:sz w:val="20"/>
          <w:szCs w:val="20"/>
        </w:rPr>
        <w:t>sitory institutions in March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8291668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78291668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78291668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09" style="width:0;height:1.5pt" o:hralign="center" o:hrstd="t" o:hr="t" fillcolor="#a0a0a0" stroked="f"/>
        </w:pict>
      </w:r>
    </w:p>
    <w:p w:rsidR="00000000" w:rsidRDefault="00E0782F">
      <w:pPr>
        <w:jc w:val="both"/>
        <w:divId w:val="31734864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17348641"/>
        <w:rPr>
          <w:rFonts w:eastAsia="Times New Roman"/>
        </w:rPr>
      </w:pPr>
    </w:p>
    <w:p w:rsidR="00000000" w:rsidRDefault="00E0782F">
      <w:pPr>
        <w:jc w:val="center"/>
        <w:divId w:val="317348641"/>
        <w:rPr>
          <w:rFonts w:eastAsia="Times New Roman"/>
        </w:rPr>
      </w:pPr>
      <w:r>
        <w:rPr>
          <w:rFonts w:eastAsia="Times New Roman"/>
          <w:b/>
          <w:bCs/>
          <w:color w:val="000000"/>
          <w:sz w:val="20"/>
          <w:szCs w:val="20"/>
        </w:rPr>
        <w:t>CAPITAL ONE FINANCIAL CORPORATION</w:t>
      </w:r>
    </w:p>
    <w:p w:rsidR="00000000" w:rsidRDefault="00E0782F">
      <w:pPr>
        <w:jc w:val="center"/>
        <w:divId w:val="317348641"/>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49980716"/>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49980716"/>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12—EARNINGS PER COMMON SHARE</w:t>
            </w:r>
          </w:p>
        </w:tc>
      </w:tr>
    </w:tbl>
    <w:p w:rsidR="00000000" w:rsidRDefault="00E0782F">
      <w:pPr>
        <w:jc w:val="both"/>
        <w:divId w:val="1323969188"/>
        <w:rPr>
          <w:rFonts w:eastAsia="Times New Roman"/>
        </w:rPr>
      </w:pPr>
      <w:r>
        <w:rPr>
          <w:rFonts w:eastAsia="Times New Roman"/>
          <w:color w:val="000000"/>
          <w:sz w:val="20"/>
          <w:szCs w:val="20"/>
        </w:rPr>
        <w:t>The following table sets forth the computation of basic and diluted earnings per common share. Dividends and undistributed earnings allocated to participating securities represent the application of the “two-class” method as described in “Note 1—Summary of</w:t>
      </w:r>
      <w:r>
        <w:rPr>
          <w:rFonts w:eastAsia="Times New Roman"/>
          <w:color w:val="000000"/>
          <w:sz w:val="20"/>
          <w:szCs w:val="20"/>
        </w:rPr>
        <w:t xml:space="preserve"> Significant Accounting Policies.”</w:t>
      </w:r>
    </w:p>
    <w:p w:rsidR="00000000" w:rsidRDefault="00E0782F">
      <w:pPr>
        <w:divId w:val="1510094626"/>
        <w:rPr>
          <w:rFonts w:eastAsia="Times New Roman"/>
        </w:rPr>
      </w:pPr>
      <w:r>
        <w:rPr>
          <w:rFonts w:eastAsia="Times New Roman"/>
          <w:b/>
          <w:bCs/>
          <w:color w:val="000000"/>
          <w:sz w:val="18"/>
          <w:szCs w:val="18"/>
        </w:rPr>
        <w:t>Table 12.1: Computation of Basic and Diluted Earnings per Common Share</w:t>
      </w:r>
    </w:p>
    <w:tbl>
      <w:tblPr>
        <w:tblW w:w="4985" w:type="pct"/>
        <w:tblCellMar>
          <w:top w:w="15" w:type="dxa"/>
          <w:left w:w="15" w:type="dxa"/>
          <w:bottom w:w="15" w:type="dxa"/>
          <w:right w:w="15" w:type="dxa"/>
        </w:tblCellMar>
        <w:tblLook w:val="04A0" w:firstRow="1" w:lastRow="0" w:firstColumn="1" w:lastColumn="0" w:noHBand="0" w:noVBand="1"/>
      </w:tblPr>
      <w:tblGrid>
        <w:gridCol w:w="40"/>
        <w:gridCol w:w="5386"/>
        <w:gridCol w:w="39"/>
        <w:gridCol w:w="36"/>
        <w:gridCol w:w="36"/>
        <w:gridCol w:w="36"/>
        <w:gridCol w:w="36"/>
        <w:gridCol w:w="36"/>
        <w:gridCol w:w="36"/>
        <w:gridCol w:w="36"/>
        <w:gridCol w:w="110"/>
        <w:gridCol w:w="551"/>
        <w:gridCol w:w="36"/>
        <w:gridCol w:w="36"/>
        <w:gridCol w:w="36"/>
        <w:gridCol w:w="36"/>
        <w:gridCol w:w="110"/>
        <w:gridCol w:w="553"/>
        <w:gridCol w:w="36"/>
        <w:gridCol w:w="36"/>
        <w:gridCol w:w="36"/>
        <w:gridCol w:w="36"/>
        <w:gridCol w:w="110"/>
        <w:gridCol w:w="590"/>
        <w:gridCol w:w="36"/>
        <w:gridCol w:w="36"/>
        <w:gridCol w:w="36"/>
        <w:gridCol w:w="36"/>
        <w:gridCol w:w="36"/>
        <w:gridCol w:w="36"/>
        <w:gridCol w:w="36"/>
      </w:tblGrid>
      <w:tr w:rsidR="00000000">
        <w:trPr>
          <w:divId w:val="1279095806"/>
        </w:trPr>
        <w:tc>
          <w:tcPr>
            <w:tcW w:w="50" w:type="pct"/>
            <w:vAlign w:val="center"/>
            <w:hideMark/>
          </w:tcPr>
          <w:p w:rsidR="00000000" w:rsidRDefault="00E0782F">
            <w:pPr>
              <w:rPr>
                <w:rFonts w:eastAsia="Times New Roman"/>
              </w:rPr>
            </w:pPr>
          </w:p>
        </w:tc>
        <w:tc>
          <w:tcPr>
            <w:tcW w:w="3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1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0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27909580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and shares in millions, except per share data)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c>
          <w:tcPr>
            <w:tcW w:w="0" w:type="auto"/>
            <w:gridSpan w:val="3"/>
            <w:vAlign w:val="center"/>
            <w:hideMark/>
          </w:tcPr>
          <w:p w:rsidR="00000000" w:rsidRDefault="00E0782F">
            <w:pPr>
              <w:jc w:val="center"/>
              <w:rPr>
                <w:rFonts w:eastAsia="Times New Roman"/>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net of tax</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5,533 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discontinued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Dividends and undistributed earnings allocated to participating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Preferred stock dividends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(280)</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Issuance cost for redeemed 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available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2,375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5,192 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5,710 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Height w:val="240"/>
        </w:trPr>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weighted-average basic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457.8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Stock options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contingently issuable shares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divId w:val="557129827"/>
              <w:rPr>
                <w:rFonts w:eastAsia="Times New Roman"/>
              </w:rPr>
            </w:pPr>
            <w:r>
              <w:rPr>
                <w:rFonts w:eastAsia="Times New Roman"/>
                <w:color w:val="000000"/>
                <w:sz w:val="18"/>
                <w:szCs w:val="18"/>
              </w:rPr>
              <w:t>Warrant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242424"/>
                <w:sz w:val="18"/>
                <w:szCs w:val="18"/>
              </w:rPr>
              <w:t>0.5 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weighted-average diluted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458.9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469.9 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Basic 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per basic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divId w:val="196360118"/>
              <w:rPr>
                <w:rFonts w:eastAsia="Times New Roman"/>
              </w:rPr>
            </w:pPr>
            <w:r>
              <w:rPr>
                <w:rFonts w:eastAsia="Times New Roman"/>
                <w:b/>
                <w:bCs/>
                <w:color w:val="000000"/>
                <w:sz w:val="18"/>
                <w:szCs w:val="18"/>
              </w:rPr>
              <w:t>Diluted earnings per common share</w:t>
            </w:r>
            <w:r>
              <w:rPr>
                <w:rFonts w:eastAsia="Times New Roman"/>
                <w:b/>
                <w:bCs/>
                <w:color w:val="000000"/>
                <w:sz w:val="18"/>
                <w:szCs w:val="18"/>
              </w:rPr>
              <w:t>:</w:t>
            </w:r>
            <w:r>
              <w:rPr>
                <w:rFonts w:eastAsia="Times New Roman"/>
                <w:b/>
                <w:bCs/>
                <w:color w:val="000000"/>
                <w:sz w:val="12"/>
                <w:szCs w:val="12"/>
              </w:rPr>
              <w:t>(2</w:t>
            </w:r>
            <w:r>
              <w:rPr>
                <w:rFonts w:eastAsia="Times New Roman"/>
                <w:b/>
                <w:bCs/>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from continuing operations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discontinued operations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27909580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 per diluted common share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1912344231"/>
        <w:rPr>
          <w:rFonts w:eastAsia="Times New Roman"/>
        </w:rPr>
      </w:pPr>
      <w:r>
        <w:rPr>
          <w:rFonts w:eastAsia="Times New Roman"/>
          <w:color w:val="000000"/>
          <w:sz w:val="20"/>
          <w:szCs w:val="20"/>
        </w:rPr>
        <w:t>__________</w:t>
      </w:r>
    </w:p>
    <w:p w:rsidR="00000000" w:rsidRDefault="00E0782F">
      <w:pPr>
        <w:ind w:hanging="360"/>
        <w:jc w:val="both"/>
        <w:divId w:val="820780050"/>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rPr>
        <w:t xml:space="preserve">Represents warrants issued as part of the U.S. Department of Treasury’s Troubled Assets Relief Program which were either exercised or </w:t>
      </w:r>
      <w:r>
        <w:rPr>
          <w:rFonts w:eastAsia="Times New Roman"/>
          <w:color w:val="000000"/>
          <w:sz w:val="16"/>
          <w:szCs w:val="16"/>
        </w:rPr>
        <w:t xml:space="preserve">expired on November 14, 2018. </w:t>
      </w:r>
    </w:p>
    <w:p w:rsidR="00000000" w:rsidRDefault="00E0782F">
      <w:pPr>
        <w:ind w:hanging="360"/>
        <w:jc w:val="both"/>
        <w:divId w:val="174217357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shd w:val="clear" w:color="auto" w:fill="FFFFFF"/>
        </w:rPr>
        <w:t>Excluded from the computation of diluted earnings per share were aw</w:t>
      </w:r>
      <w:r>
        <w:rPr>
          <w:rFonts w:eastAsia="Times New Roman"/>
          <w:color w:val="000000"/>
          <w:sz w:val="16"/>
          <w:szCs w:val="16"/>
        </w:rPr>
        <w:t>ards of 6 thousand and options of 523 thousand with an exercise price ranging from $63.73 to $86.34, 69 </w:t>
      </w:r>
      <w:r>
        <w:rPr>
          <w:rFonts w:eastAsia="Times New Roman"/>
          <w:color w:val="000000"/>
          <w:sz w:val="16"/>
          <w:szCs w:val="16"/>
        </w:rPr>
        <w:t>thousand shares related to options with an exercise price of $86.34 and 56 thousand shares related to options with an exercise price of $86.34 for the years ended December 31, 2020, 2019 and 2018, respectively, because their inclusion would be anti-dil</w:t>
      </w:r>
      <w:r>
        <w:rPr>
          <w:rFonts w:eastAsia="Times New Roman"/>
          <w:color w:val="000000"/>
          <w:sz w:val="16"/>
          <w:szCs w:val="16"/>
          <w:shd w:val="clear" w:color="auto" w:fill="FFFFFF"/>
        </w:rPr>
        <w:t>utiv</w:t>
      </w:r>
      <w:r>
        <w:rPr>
          <w:rFonts w:eastAsia="Times New Roman"/>
          <w:color w:val="000000"/>
          <w:sz w:val="16"/>
          <w:szCs w:val="16"/>
          <w:shd w:val="clear" w:color="auto" w:fill="FFFFFF"/>
        </w:rPr>
        <w:t>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19686591"/>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1968659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1968659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0" style="width:0;height:1.5pt" o:hralign="center" o:hrstd="t" o:hr="t" fillcolor="#a0a0a0" stroked="f"/>
        </w:pict>
      </w:r>
    </w:p>
    <w:p w:rsidR="00000000" w:rsidRDefault="00E0782F">
      <w:pPr>
        <w:jc w:val="both"/>
        <w:divId w:val="101792862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017928620"/>
        <w:rPr>
          <w:rFonts w:eastAsia="Times New Roman"/>
        </w:rPr>
      </w:pPr>
    </w:p>
    <w:p w:rsidR="00000000" w:rsidRDefault="00E0782F">
      <w:pPr>
        <w:jc w:val="center"/>
        <w:divId w:val="1017928620"/>
        <w:rPr>
          <w:rFonts w:eastAsia="Times New Roman"/>
        </w:rPr>
      </w:pPr>
      <w:r>
        <w:rPr>
          <w:rFonts w:eastAsia="Times New Roman"/>
          <w:b/>
          <w:bCs/>
          <w:color w:val="000000"/>
          <w:sz w:val="20"/>
          <w:szCs w:val="20"/>
        </w:rPr>
        <w:t>CAPITAL ONE FINANCIAL CORPORATION</w:t>
      </w:r>
    </w:p>
    <w:p w:rsidR="00000000" w:rsidRDefault="00E0782F">
      <w:pPr>
        <w:jc w:val="center"/>
        <w:divId w:val="1017928620"/>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80322121"/>
          <w:jc w:val="center"/>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380322121"/>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13—STOCK-BASED COMPENSATION PLANS</w:t>
            </w:r>
          </w:p>
        </w:tc>
      </w:tr>
    </w:tbl>
    <w:p w:rsidR="00000000" w:rsidRDefault="00E0782F">
      <w:pPr>
        <w:divId w:val="2046370600"/>
        <w:rPr>
          <w:rFonts w:eastAsia="Times New Roman"/>
        </w:rPr>
      </w:pPr>
      <w:r>
        <w:rPr>
          <w:rFonts w:eastAsia="Times New Roman"/>
          <w:b/>
          <w:bCs/>
          <w:color w:val="000000"/>
          <w:sz w:val="20"/>
          <w:szCs w:val="20"/>
        </w:rPr>
        <w:t>Stock Plans</w:t>
      </w:r>
    </w:p>
    <w:p w:rsidR="00000000" w:rsidRDefault="00E0782F">
      <w:pPr>
        <w:jc w:val="both"/>
        <w:divId w:val="1106314288"/>
        <w:rPr>
          <w:rFonts w:eastAsia="Times New Roman"/>
        </w:rPr>
      </w:pPr>
      <w:r>
        <w:rPr>
          <w:rFonts w:eastAsia="Times New Roman"/>
          <w:color w:val="000000"/>
          <w:sz w:val="20"/>
          <w:szCs w:val="20"/>
        </w:rPr>
        <w:t>We have one active stock-based compensation plan available for the issuance of shares to employees, directors and third-party service providers (if applicable). As of December 31, 2020, under the Amended and Restated 2004 Stock Incentive plan (</w:t>
      </w:r>
      <w:r>
        <w:rPr>
          <w:rFonts w:eastAsia="Times New Roman"/>
          <w:color w:val="000000"/>
          <w:sz w:val="20"/>
          <w:szCs w:val="20"/>
        </w:rPr>
        <w:t>“2004 Plan”), we are authorized to issue 55 million common shares in various forms, primarily share-settled restricted stock units (“RSUs”), performance share units (“PSUs”), and non-qualified stock options. Of this amount, approximately 7 million shares r</w:t>
      </w:r>
      <w:r>
        <w:rPr>
          <w:rFonts w:eastAsia="Times New Roman"/>
          <w:color w:val="000000"/>
          <w:sz w:val="20"/>
          <w:szCs w:val="20"/>
        </w:rPr>
        <w:t xml:space="preserve">emain available for future issuance as of December 31, 2020. The 2004 Plan permits the use of newly issued shares or treasury shares upon the settlement of options and stock-based incentive awards, and we generally settle by issuing new shares. </w:t>
      </w:r>
    </w:p>
    <w:p w:rsidR="00000000" w:rsidRDefault="00E0782F">
      <w:pPr>
        <w:jc w:val="both"/>
        <w:divId w:val="790632530"/>
        <w:rPr>
          <w:rFonts w:eastAsia="Times New Roman"/>
        </w:rPr>
      </w:pPr>
      <w:r>
        <w:rPr>
          <w:rFonts w:eastAsia="Times New Roman"/>
          <w:color w:val="000000"/>
          <w:sz w:val="20"/>
          <w:szCs w:val="20"/>
        </w:rPr>
        <w:t>We also is</w:t>
      </w:r>
      <w:r>
        <w:rPr>
          <w:rFonts w:eastAsia="Times New Roman"/>
          <w:color w:val="000000"/>
          <w:sz w:val="20"/>
          <w:szCs w:val="20"/>
        </w:rPr>
        <w:t>sue cash-settled restricted stock units. These cash-settled units are not counted against the common shares authorized for issuance or available for issuance under the 2004 Plan. Cash-settled units vesting during 2020, 2019 and 2018 resulted in cash paymen</w:t>
      </w:r>
      <w:r>
        <w:rPr>
          <w:rFonts w:eastAsia="Times New Roman"/>
          <w:color w:val="000000"/>
          <w:sz w:val="20"/>
          <w:szCs w:val="20"/>
        </w:rPr>
        <w:t xml:space="preserve">ts to associates of $12 million, $15 million and $39 million, respectively. There was no unrecognized compensation cost for unvested cash-settled units as of December 31, 2020. </w:t>
      </w:r>
    </w:p>
    <w:p w:rsidR="00000000" w:rsidRDefault="00E0782F">
      <w:pPr>
        <w:jc w:val="both"/>
        <w:divId w:val="505287429"/>
        <w:rPr>
          <w:rFonts w:eastAsia="Times New Roman"/>
        </w:rPr>
      </w:pPr>
      <w:r>
        <w:rPr>
          <w:rFonts w:eastAsia="Times New Roman"/>
          <w:color w:val="000000"/>
          <w:sz w:val="20"/>
          <w:szCs w:val="20"/>
        </w:rPr>
        <w:t>Total stock-based compensation expense recognized during 2020, 2019 and 2018 w</w:t>
      </w:r>
      <w:r>
        <w:rPr>
          <w:rFonts w:eastAsia="Times New Roman"/>
          <w:color w:val="000000"/>
          <w:sz w:val="20"/>
          <w:szCs w:val="20"/>
        </w:rPr>
        <w:t>as $203 million, $239 million and $170 million, respectively. The total income tax benefit for stock-based compensation recognized during 2020, 2019 and 2018 was $43 million, $50 million and $34 million, respectively.</w:t>
      </w:r>
    </w:p>
    <w:p w:rsidR="00000000" w:rsidRDefault="00E0782F">
      <w:pPr>
        <w:jc w:val="both"/>
        <w:divId w:val="1011370827"/>
        <w:rPr>
          <w:rFonts w:eastAsia="Times New Roman"/>
        </w:rPr>
      </w:pPr>
      <w:r>
        <w:rPr>
          <w:rFonts w:eastAsia="Times New Roman"/>
          <w:color w:val="000000"/>
          <w:sz w:val="20"/>
          <w:szCs w:val="20"/>
        </w:rPr>
        <w:t xml:space="preserve">In addition, we maintain an Associate </w:t>
      </w:r>
      <w:r>
        <w:rPr>
          <w:rFonts w:eastAsia="Times New Roman"/>
          <w:color w:val="000000"/>
          <w:sz w:val="20"/>
          <w:szCs w:val="20"/>
        </w:rPr>
        <w:t xml:space="preserve">Stock Purchase Plan (“Purchase Plan”), which is a compensatory plan under the accounting guidance for stock-based compensation. Related to the Purchase Plan, we recognized compensation expense of $30 million, $25 million and $23 million for 2020, 2019 and </w:t>
      </w:r>
      <w:r>
        <w:rPr>
          <w:rFonts w:eastAsia="Times New Roman"/>
          <w:color w:val="000000"/>
          <w:sz w:val="20"/>
          <w:szCs w:val="20"/>
        </w:rPr>
        <w:t>2018, respectively. We also maintain a Dividend Reinvestment and Stock Purchase Plan (“DRP”), which allows participating stockholders to purchase additional shares of our common stock through automatic reinvestment of dividends or optional cash investments</w:t>
      </w:r>
      <w:r>
        <w:rPr>
          <w:rFonts w:eastAsia="Times New Roman"/>
          <w:color w:val="000000"/>
          <w:sz w:val="20"/>
          <w:szCs w:val="20"/>
        </w:rPr>
        <w:t>.</w:t>
      </w:r>
    </w:p>
    <w:p w:rsidR="00000000" w:rsidRDefault="00E0782F">
      <w:pPr>
        <w:divId w:val="302391168"/>
        <w:rPr>
          <w:rFonts w:eastAsia="Times New Roman"/>
        </w:rPr>
      </w:pPr>
      <w:r>
        <w:rPr>
          <w:rFonts w:eastAsia="Times New Roman"/>
          <w:b/>
          <w:bCs/>
          <w:i/>
          <w:iCs/>
          <w:color w:val="000000"/>
          <w:sz w:val="20"/>
          <w:szCs w:val="20"/>
        </w:rPr>
        <w:t>Restricted Stock Units and Performance Share Units</w:t>
      </w:r>
    </w:p>
    <w:p w:rsidR="00000000" w:rsidRDefault="00E0782F">
      <w:pPr>
        <w:jc w:val="both"/>
        <w:divId w:val="78406907"/>
        <w:rPr>
          <w:rFonts w:eastAsia="Times New Roman"/>
        </w:rPr>
      </w:pPr>
      <w:r>
        <w:rPr>
          <w:rFonts w:eastAsia="Times New Roman"/>
          <w:color w:val="000000"/>
          <w:sz w:val="20"/>
          <w:szCs w:val="20"/>
        </w:rPr>
        <w:t>RSUs represent share-settled awards that do not contain performance conditions and are granted to certain employees at no cost to the recipient. RSUs generally vest over three years from the date of gran</w:t>
      </w:r>
      <w:r>
        <w:rPr>
          <w:rFonts w:eastAsia="Times New Roman"/>
          <w:color w:val="000000"/>
          <w:sz w:val="20"/>
          <w:szCs w:val="20"/>
        </w:rPr>
        <w:t>t; however, some RSUs cliff vest on or shortly after the first or third anniversary of the grant date. RSUs are subject to forfeiture until certain restrictions have lapsed, including continued employment for a specified period of time.</w:t>
      </w:r>
    </w:p>
    <w:p w:rsidR="00000000" w:rsidRDefault="00E0782F">
      <w:pPr>
        <w:jc w:val="both"/>
        <w:divId w:val="205603857"/>
        <w:rPr>
          <w:rFonts w:eastAsia="Times New Roman"/>
        </w:rPr>
      </w:pPr>
      <w:r>
        <w:rPr>
          <w:rFonts w:eastAsia="Times New Roman"/>
          <w:color w:val="000000"/>
          <w:sz w:val="20"/>
          <w:szCs w:val="20"/>
        </w:rPr>
        <w:t>PSUs represent shar</w:t>
      </w:r>
      <w:r>
        <w:rPr>
          <w:rFonts w:eastAsia="Times New Roman"/>
          <w:color w:val="000000"/>
          <w:sz w:val="20"/>
          <w:szCs w:val="20"/>
        </w:rPr>
        <w:t>e-settled awards that contain performance conditions and are granted to certain employees at no cost to the recipient. PSUs generally vest over three years from the date of grant; however, some PSUs cliff vest on or shortly after the third anniversary of t</w:t>
      </w:r>
      <w:r>
        <w:rPr>
          <w:rFonts w:eastAsia="Times New Roman"/>
          <w:color w:val="000000"/>
          <w:sz w:val="20"/>
          <w:szCs w:val="20"/>
        </w:rPr>
        <w:t>he grant date. The number of PSUs that step vest over three years can be reduced by 50% or 100% depending on whether specific performance goals are met during the vesting period. The number of three-year cliff vesting PSUs that will ultimately vest is cont</w:t>
      </w:r>
      <w:r>
        <w:rPr>
          <w:rFonts w:eastAsia="Times New Roman"/>
          <w:color w:val="000000"/>
          <w:sz w:val="20"/>
          <w:szCs w:val="20"/>
        </w:rPr>
        <w:t>ingent upon meeting specific performance goals over a three-year period. These PSUs also include an opportunity to receive from 0% to 150% of the target number of common shares.</w:t>
      </w:r>
    </w:p>
    <w:p w:rsidR="00000000" w:rsidRDefault="00E0782F">
      <w:pPr>
        <w:jc w:val="both"/>
        <w:divId w:val="1395279587"/>
        <w:rPr>
          <w:rFonts w:eastAsia="Times New Roman"/>
        </w:rPr>
      </w:pPr>
      <w:r>
        <w:rPr>
          <w:rFonts w:eastAsia="Times New Roman"/>
          <w:color w:val="000000"/>
          <w:sz w:val="20"/>
          <w:szCs w:val="20"/>
        </w:rPr>
        <w:t>A recipient of an RSU or PSU is entitled to receive a share of common stock af</w:t>
      </w:r>
      <w:r>
        <w:rPr>
          <w:rFonts w:eastAsia="Times New Roman"/>
          <w:color w:val="000000"/>
          <w:sz w:val="20"/>
          <w:szCs w:val="20"/>
        </w:rPr>
        <w:t>ter the applicable restrictions lapse and is generally entitled to receive cash payments or additional shares of common stock equivalent to any dividends paid on the underlying common stock during the period the RSU or PSU is outstanding, but is not entitl</w:t>
      </w:r>
      <w:r>
        <w:rPr>
          <w:rFonts w:eastAsia="Times New Roman"/>
          <w:color w:val="000000"/>
          <w:sz w:val="20"/>
          <w:szCs w:val="20"/>
        </w:rPr>
        <w:t>ed to voting rights. Generally, the value of RSUs and PSUs will equal the fair value of our common stock on the date of grant and the expense is recognized over the vesting period. Certain PSUs have discretionary vesting conditions and are remeasured at fa</w:t>
      </w:r>
      <w:r>
        <w:rPr>
          <w:rFonts w:eastAsia="Times New Roman"/>
          <w:color w:val="000000"/>
          <w:sz w:val="20"/>
          <w:szCs w:val="20"/>
        </w:rPr>
        <w:t xml:space="preserve">ir value each reporting period.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2660198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2660198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2660198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1" style="width:0;height:1.5pt" o:hralign="center" o:hrstd="t" o:hr="t" fillcolor="#a0a0a0" stroked="f"/>
        </w:pict>
      </w:r>
    </w:p>
    <w:p w:rsidR="00000000" w:rsidRDefault="00E0782F">
      <w:pPr>
        <w:jc w:val="both"/>
        <w:divId w:val="134423811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344238112"/>
        <w:rPr>
          <w:rFonts w:eastAsia="Times New Roman"/>
        </w:rPr>
      </w:pPr>
    </w:p>
    <w:p w:rsidR="00000000" w:rsidRDefault="00E0782F">
      <w:pPr>
        <w:jc w:val="center"/>
        <w:divId w:val="1344238112"/>
        <w:rPr>
          <w:rFonts w:eastAsia="Times New Roman"/>
        </w:rPr>
      </w:pPr>
      <w:r>
        <w:rPr>
          <w:rFonts w:eastAsia="Times New Roman"/>
          <w:b/>
          <w:bCs/>
          <w:color w:val="000000"/>
          <w:sz w:val="20"/>
          <w:szCs w:val="20"/>
        </w:rPr>
        <w:t>CAPITAL ONE FINANCIAL CORPORATION</w:t>
      </w:r>
    </w:p>
    <w:p w:rsidR="00000000" w:rsidRDefault="00E0782F">
      <w:pPr>
        <w:jc w:val="center"/>
        <w:divId w:val="1344238112"/>
        <w:rPr>
          <w:rFonts w:eastAsia="Times New Roman"/>
        </w:rPr>
      </w:pPr>
      <w:r>
        <w:rPr>
          <w:rFonts w:eastAsia="Times New Roman"/>
          <w:b/>
          <w:bCs/>
          <w:color w:val="000000"/>
          <w:sz w:val="20"/>
          <w:szCs w:val="20"/>
        </w:rPr>
        <w:t>NOTES TO CONSOLIDATED FINANCIAL STATEMENTS</w:t>
      </w:r>
    </w:p>
    <w:p w:rsidR="00000000" w:rsidRDefault="00E0782F">
      <w:pPr>
        <w:jc w:val="both"/>
        <w:divId w:val="1430857882"/>
        <w:rPr>
          <w:rFonts w:eastAsia="Times New Roman"/>
        </w:rPr>
      </w:pPr>
      <w:r>
        <w:rPr>
          <w:rFonts w:eastAsia="Times New Roman"/>
          <w:color w:val="000000"/>
          <w:sz w:val="20"/>
          <w:szCs w:val="20"/>
        </w:rPr>
        <w:t>The following table presents a summary of 2020 activity for RSUs and PSUs.</w:t>
      </w:r>
    </w:p>
    <w:p w:rsidR="00000000" w:rsidRDefault="00E0782F">
      <w:pPr>
        <w:divId w:val="753939308"/>
        <w:rPr>
          <w:rFonts w:eastAsia="Times New Roman"/>
        </w:rPr>
      </w:pPr>
      <w:r>
        <w:rPr>
          <w:rFonts w:eastAsia="Times New Roman"/>
          <w:b/>
          <w:bCs/>
          <w:color w:val="000000"/>
          <w:sz w:val="18"/>
          <w:szCs w:val="18"/>
        </w:rPr>
        <w:t>Table 13.1: Summary of Restricted Stock Units and Performance Share Units</w:t>
      </w:r>
    </w:p>
    <w:tbl>
      <w:tblPr>
        <w:tblW w:w="5000" w:type="pct"/>
        <w:tblCellMar>
          <w:top w:w="15" w:type="dxa"/>
          <w:left w:w="15" w:type="dxa"/>
          <w:bottom w:w="15" w:type="dxa"/>
          <w:right w:w="15" w:type="dxa"/>
        </w:tblCellMar>
        <w:tblLook w:val="04A0" w:firstRow="1" w:lastRow="0" w:firstColumn="1" w:lastColumn="0" w:noHBand="0" w:noVBand="1"/>
      </w:tblPr>
      <w:tblGrid>
        <w:gridCol w:w="40"/>
        <w:gridCol w:w="4582"/>
        <w:gridCol w:w="37"/>
        <w:gridCol w:w="36"/>
        <w:gridCol w:w="36"/>
        <w:gridCol w:w="36"/>
        <w:gridCol w:w="85"/>
        <w:gridCol w:w="460"/>
        <w:gridCol w:w="36"/>
        <w:gridCol w:w="36"/>
        <w:gridCol w:w="36"/>
        <w:gridCol w:w="36"/>
        <w:gridCol w:w="111"/>
        <w:gridCol w:w="923"/>
        <w:gridCol w:w="37"/>
        <w:gridCol w:w="36"/>
        <w:gridCol w:w="36"/>
        <w:gridCol w:w="36"/>
        <w:gridCol w:w="73"/>
        <w:gridCol w:w="398"/>
        <w:gridCol w:w="38"/>
        <w:gridCol w:w="37"/>
        <w:gridCol w:w="36"/>
        <w:gridCol w:w="36"/>
        <w:gridCol w:w="111"/>
        <w:gridCol w:w="905"/>
        <w:gridCol w:w="37"/>
      </w:tblGrid>
      <w:tr w:rsidR="00000000">
        <w:trPr>
          <w:divId w:val="2006276537"/>
        </w:trPr>
        <w:tc>
          <w:tcPr>
            <w:tcW w:w="50" w:type="pct"/>
            <w:vAlign w:val="center"/>
            <w:hideMark/>
          </w:tcPr>
          <w:p w:rsidR="00000000" w:rsidRDefault="00E0782F">
            <w:pPr>
              <w:rPr>
                <w:rFonts w:eastAsia="Times New Roman"/>
              </w:rPr>
            </w:pPr>
          </w:p>
        </w:tc>
        <w:tc>
          <w:tcPr>
            <w:tcW w:w="278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2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06276537"/>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Restricted Stock Units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Performance Share Unit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r>
      <w:tr w:rsidR="00000000">
        <w:trPr>
          <w:divId w:val="200627653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(Shares/units in thousands)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Units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 Date</w:t>
            </w:r>
            <w:r>
              <w:rPr>
                <w:rFonts w:eastAsia="Times New Roman"/>
                <w:b/>
                <w:bCs/>
                <w:color w:val="000000"/>
                <w:sz w:val="16"/>
                <w:szCs w:val="16"/>
              </w:rPr>
              <w:br/>
              <w:t>Fair Value</w:t>
            </w:r>
            <w:r>
              <w:rPr>
                <w:rFonts w:eastAsia="Times New Roman"/>
                <w:b/>
                <w:bCs/>
                <w:color w:val="000000"/>
                <w:sz w:val="16"/>
                <w:szCs w:val="16"/>
              </w:rPr>
              <w:br/>
              <w:t>per Unit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Units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Grant Date</w:t>
            </w:r>
            <w:r>
              <w:rPr>
                <w:rFonts w:eastAsia="Times New Roman"/>
                <w:b/>
                <w:bCs/>
                <w:color w:val="000000"/>
                <w:sz w:val="16"/>
                <w:szCs w:val="16"/>
              </w:rPr>
              <w:br/>
              <w:t>Fair Value</w:t>
            </w:r>
            <w:r>
              <w:rPr>
                <w:rFonts w:eastAsia="Times New Roman"/>
                <w:b/>
                <w:bCs/>
                <w:color w:val="000000"/>
                <w:sz w:val="16"/>
                <w:szCs w:val="16"/>
              </w:rPr>
              <w:br/>
              <w:t>per Unit</w:t>
            </w:r>
          </w:p>
        </w:tc>
      </w:tr>
      <w:tr w:rsidR="00000000">
        <w:trPr>
          <w:divId w:val="200627653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Unvested as of January 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3,670 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84.74 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89.95 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6276537"/>
        </w:trPr>
        <w:tc>
          <w:tcPr>
            <w:tcW w:w="0" w:type="auto"/>
            <w:gridSpan w:val="3"/>
            <w:shd w:val="clear" w:color="auto" w:fill="FFFFFF"/>
            <w:tcMar>
              <w:top w:w="30" w:type="dxa"/>
              <w:left w:w="20" w:type="dxa"/>
              <w:bottom w:w="30" w:type="dxa"/>
              <w:right w:w="20" w:type="dxa"/>
            </w:tcMar>
            <w:vAlign w:val="center"/>
            <w:hideMark/>
          </w:tcPr>
          <w:p w:rsidR="00000000" w:rsidRDefault="00E0782F">
            <w:pPr>
              <w:divId w:val="1365525014"/>
              <w:rPr>
                <w:rFonts w:eastAsia="Times New Roman"/>
              </w:rPr>
            </w:pPr>
            <w:r>
              <w:rPr>
                <w:rFonts w:eastAsia="Times New Roman"/>
                <w:color w:val="000000"/>
                <w:sz w:val="18"/>
                <w:szCs w:val="18"/>
              </w:rPr>
              <w:t>Grante</w:t>
            </w:r>
            <w:r>
              <w:rPr>
                <w:rFonts w:eastAsia="Times New Roman"/>
                <w:color w:val="000000"/>
                <w:sz w:val="18"/>
                <w:szCs w:val="18"/>
              </w:rPr>
              <w:t>d</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988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100.04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627653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89.39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(855)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88.19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627653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90.98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0627653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Unvested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86.14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96.15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728303255"/>
        <w:rPr>
          <w:rFonts w:eastAsia="Times New Roman"/>
        </w:rPr>
      </w:pPr>
      <w:r>
        <w:rPr>
          <w:rFonts w:eastAsia="Times New Roman"/>
          <w:color w:val="000000"/>
          <w:sz w:val="20"/>
          <w:szCs w:val="20"/>
        </w:rPr>
        <w:t>_________</w:t>
      </w:r>
    </w:p>
    <w:p w:rsidR="00000000" w:rsidRDefault="00E0782F">
      <w:pPr>
        <w:ind w:hanging="360"/>
        <w:jc w:val="both"/>
        <w:divId w:val="135969556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Granted and vested include adjustments for achievement of specific performance goals for performance share units granted in prior periods.</w:t>
      </w:r>
    </w:p>
    <w:p w:rsidR="00000000" w:rsidRDefault="00E0782F">
      <w:pPr>
        <w:ind w:hanging="360"/>
        <w:jc w:val="both"/>
        <w:divId w:val="61031475"/>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 weighted-average grant date fair value of RSUs was $83.29 and $100.73 in 2019 and 2018, respectively. The weig</w:t>
      </w:r>
      <w:r>
        <w:rPr>
          <w:rFonts w:eastAsia="Times New Roman"/>
          <w:color w:val="000000"/>
          <w:sz w:val="16"/>
          <w:szCs w:val="16"/>
        </w:rPr>
        <w:t>hted-average grant date fair value of PSUs was $78.18 and $100.65 in 2019 and 2018, respectively.</w:t>
      </w:r>
    </w:p>
    <w:p w:rsidR="00000000" w:rsidRDefault="00E0782F">
      <w:pPr>
        <w:jc w:val="both"/>
        <w:divId w:val="1916696166"/>
        <w:rPr>
          <w:rFonts w:eastAsia="Times New Roman"/>
        </w:rPr>
      </w:pPr>
      <w:r>
        <w:rPr>
          <w:rFonts w:eastAsia="Times New Roman"/>
          <w:color w:val="000000"/>
          <w:sz w:val="20"/>
          <w:szCs w:val="20"/>
        </w:rPr>
        <w:t>The total fair value of RSUs that vested during 2020, 2019 and 2018 was $140 million, $122 million and $139 million, respectively. The total fair value of PSU</w:t>
      </w:r>
      <w:r>
        <w:rPr>
          <w:rFonts w:eastAsia="Times New Roman"/>
          <w:color w:val="000000"/>
          <w:sz w:val="20"/>
          <w:szCs w:val="20"/>
        </w:rPr>
        <w:t>s that vested was $82 million in both 2020 and 2019 and $92 million in 2018. As of December 31, 2020, the unrecognized compensation expense related to unvested RSUs is $166 million, which is expected to be amortized over a weighted-average period of approx</w:t>
      </w:r>
      <w:r>
        <w:rPr>
          <w:rFonts w:eastAsia="Times New Roman"/>
          <w:color w:val="000000"/>
          <w:sz w:val="20"/>
          <w:szCs w:val="20"/>
        </w:rPr>
        <w:t>imately 1.8 years; and the unrecognized compensation related to unvested PSUs was $34 million, which is expected to be amortized over a weighted-average period of approximately 1 year.</w:t>
      </w:r>
    </w:p>
    <w:p w:rsidR="00000000" w:rsidRDefault="00E0782F">
      <w:pPr>
        <w:divId w:val="1692343662"/>
        <w:rPr>
          <w:rFonts w:eastAsia="Times New Roman"/>
        </w:rPr>
      </w:pPr>
      <w:r>
        <w:rPr>
          <w:rFonts w:eastAsia="Times New Roman"/>
          <w:b/>
          <w:bCs/>
          <w:i/>
          <w:iCs/>
          <w:color w:val="000000"/>
          <w:sz w:val="20"/>
          <w:szCs w:val="20"/>
        </w:rPr>
        <w:t>Stock Options</w:t>
      </w:r>
    </w:p>
    <w:p w:rsidR="00000000" w:rsidRDefault="00E0782F">
      <w:pPr>
        <w:jc w:val="both"/>
        <w:divId w:val="359399759"/>
        <w:rPr>
          <w:rFonts w:eastAsia="Times New Roman"/>
        </w:rPr>
      </w:pPr>
      <w:r>
        <w:rPr>
          <w:rFonts w:eastAsia="Times New Roman"/>
          <w:color w:val="000000"/>
          <w:sz w:val="20"/>
          <w:szCs w:val="20"/>
        </w:rPr>
        <w:t>Stock options have a maximum contractual term of ten year</w:t>
      </w:r>
      <w:r>
        <w:rPr>
          <w:rFonts w:eastAsia="Times New Roman"/>
          <w:color w:val="000000"/>
          <w:sz w:val="20"/>
          <w:szCs w:val="20"/>
        </w:rPr>
        <w:t>s. Generally, the exercise price of stock options will equal the fair market value of our common stock on the date of grant. Option vesting is determined at the time of grant and may be subject to the achievement of any applicable performance conditions. O</w:t>
      </w:r>
      <w:r>
        <w:rPr>
          <w:rFonts w:eastAsia="Times New Roman"/>
          <w:color w:val="000000"/>
          <w:sz w:val="20"/>
          <w:szCs w:val="20"/>
        </w:rPr>
        <w:t>ptions generally become exercisable over three years beginning on the first anniversary of the date of grant; however, some option grants cliff vest on or shortly after the first or third anniversary of the grant date.</w:t>
      </w:r>
    </w:p>
    <w:p w:rsidR="00000000" w:rsidRDefault="00E0782F">
      <w:pPr>
        <w:jc w:val="both"/>
        <w:divId w:val="948126397"/>
        <w:rPr>
          <w:rFonts w:eastAsia="Times New Roman"/>
        </w:rPr>
      </w:pPr>
      <w:r>
        <w:rPr>
          <w:rFonts w:eastAsia="Times New Roman"/>
          <w:color w:val="000000"/>
          <w:sz w:val="20"/>
          <w:szCs w:val="20"/>
        </w:rPr>
        <w:t>The following table presents a summar</w:t>
      </w:r>
      <w:r>
        <w:rPr>
          <w:rFonts w:eastAsia="Times New Roman"/>
          <w:color w:val="000000"/>
          <w:sz w:val="20"/>
          <w:szCs w:val="20"/>
        </w:rPr>
        <w:t>y of 2020 activity for stock options and the balance of stock options exercisable as of December 31, 2020.</w:t>
      </w:r>
    </w:p>
    <w:p w:rsidR="00000000" w:rsidRDefault="00E0782F">
      <w:pPr>
        <w:divId w:val="1743260340"/>
        <w:rPr>
          <w:rFonts w:eastAsia="Times New Roman"/>
        </w:rPr>
      </w:pPr>
      <w:r>
        <w:rPr>
          <w:rFonts w:eastAsia="Times New Roman"/>
          <w:b/>
          <w:bCs/>
          <w:color w:val="000000"/>
          <w:sz w:val="18"/>
          <w:szCs w:val="18"/>
        </w:rPr>
        <w:t>Table 13.2: Summary of Stock Options Activity</w:t>
      </w:r>
    </w:p>
    <w:tbl>
      <w:tblPr>
        <w:tblW w:w="4963" w:type="pct"/>
        <w:tblCellMar>
          <w:top w:w="15" w:type="dxa"/>
          <w:left w:w="15" w:type="dxa"/>
          <w:bottom w:w="15" w:type="dxa"/>
          <w:right w:w="15" w:type="dxa"/>
        </w:tblCellMar>
        <w:tblLook w:val="04A0" w:firstRow="1" w:lastRow="0" w:firstColumn="1" w:lastColumn="0" w:noHBand="0" w:noVBand="1"/>
      </w:tblPr>
      <w:tblGrid>
        <w:gridCol w:w="47"/>
        <w:gridCol w:w="4262"/>
        <w:gridCol w:w="37"/>
        <w:gridCol w:w="36"/>
        <w:gridCol w:w="36"/>
        <w:gridCol w:w="36"/>
        <w:gridCol w:w="55"/>
        <w:gridCol w:w="724"/>
        <w:gridCol w:w="36"/>
        <w:gridCol w:w="36"/>
        <w:gridCol w:w="36"/>
        <w:gridCol w:w="36"/>
        <w:gridCol w:w="111"/>
        <w:gridCol w:w="757"/>
        <w:gridCol w:w="36"/>
        <w:gridCol w:w="36"/>
        <w:gridCol w:w="36"/>
        <w:gridCol w:w="36"/>
        <w:gridCol w:w="79"/>
        <w:gridCol w:w="781"/>
        <w:gridCol w:w="36"/>
        <w:gridCol w:w="36"/>
        <w:gridCol w:w="36"/>
        <w:gridCol w:w="36"/>
        <w:gridCol w:w="111"/>
        <w:gridCol w:w="705"/>
        <w:gridCol w:w="36"/>
      </w:tblGrid>
      <w:tr w:rsidR="00000000">
        <w:trPr>
          <w:divId w:val="1443183515"/>
        </w:trPr>
        <w:tc>
          <w:tcPr>
            <w:tcW w:w="50" w:type="pct"/>
            <w:vAlign w:val="center"/>
            <w:hideMark/>
          </w:tcPr>
          <w:p w:rsidR="00000000" w:rsidRDefault="00E0782F">
            <w:pPr>
              <w:rPr>
                <w:rFonts w:eastAsia="Times New Roman"/>
              </w:rPr>
            </w:pPr>
          </w:p>
        </w:tc>
        <w:tc>
          <w:tcPr>
            <w:tcW w:w="26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8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4318351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(Shares in thousands, and intrinsic value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Shares</w:t>
            </w:r>
            <w:r>
              <w:rPr>
                <w:rFonts w:eastAsia="Times New Roman"/>
                <w:b/>
                <w:bCs/>
                <w:color w:val="000000"/>
                <w:sz w:val="16"/>
                <w:szCs w:val="16"/>
              </w:rPr>
              <w:br/>
              <w:t>Subject to</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144318351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Outstanding as of January 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3,185 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431835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431835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Exercised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(1,392)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44.76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4318351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4318351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Expired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443183515"/>
        </w:trPr>
        <w:tc>
          <w:tcPr>
            <w:tcW w:w="0" w:type="auto"/>
            <w:gridSpan w:val="3"/>
            <w:shd w:val="clear" w:color="auto" w:fill="FFFFFF"/>
            <w:tcMar>
              <w:top w:w="30" w:type="dxa"/>
              <w:left w:w="20" w:type="dxa"/>
              <w:bottom w:w="30" w:type="dxa"/>
              <w:right w:w="20" w:type="dxa"/>
            </w:tcMar>
            <w:vAlign w:val="center"/>
            <w:hideMark/>
          </w:tcPr>
          <w:p w:rsidR="00000000" w:rsidRDefault="00E0782F">
            <w:pPr>
              <w:divId w:val="538202131"/>
              <w:rPr>
                <w:rFonts w:eastAsia="Times New Roman"/>
              </w:rPr>
            </w:pPr>
            <w:r>
              <w:rPr>
                <w:rFonts w:eastAsia="Times New Roman"/>
                <w:color w:val="000000"/>
                <w:sz w:val="18"/>
                <w:szCs w:val="18"/>
              </w:rPr>
              <w:t>Outstanding and Exercisable as of December 31, 2020</w:t>
            </w:r>
            <w:r>
              <w:rPr>
                <w:rFonts w:eastAsia="Times New Roman"/>
                <w:color w:val="B3B3B3"/>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63.91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3.27 years</w:t>
            </w: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43183515"/>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both"/>
        <w:divId w:val="948271390"/>
        <w:rPr>
          <w:rFonts w:eastAsia="Times New Roman"/>
        </w:rPr>
      </w:pPr>
      <w:r>
        <w:rPr>
          <w:rFonts w:eastAsia="Times New Roman"/>
          <w:color w:val="000000"/>
          <w:sz w:val="20"/>
          <w:szCs w:val="20"/>
        </w:rPr>
        <w:t xml:space="preserve">There were no </w:t>
      </w:r>
      <w:r>
        <w:rPr>
          <w:rFonts w:eastAsia="Times New Roman"/>
          <w:color w:val="000000"/>
          <w:sz w:val="20"/>
          <w:szCs w:val="20"/>
        </w:rPr>
        <w:t>stock options granted in 2020, 2019 and 2018. The total intrinsic value of stock options exercised during 2020, 2019 and 2018 was $65 million, $10 million and $94 million,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01314780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01314780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01314780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2" style="width:0;height:1.5pt" o:hralign="center" o:hrstd="t" o:hr="t" fillcolor="#a0a0a0" stroked="f"/>
        </w:pict>
      </w:r>
    </w:p>
    <w:p w:rsidR="00000000" w:rsidRDefault="00E0782F">
      <w:pPr>
        <w:jc w:val="both"/>
        <w:divId w:val="156101240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561012403"/>
        <w:rPr>
          <w:rFonts w:eastAsia="Times New Roman"/>
        </w:rPr>
      </w:pPr>
    </w:p>
    <w:p w:rsidR="00000000" w:rsidRDefault="00E0782F">
      <w:pPr>
        <w:jc w:val="center"/>
        <w:divId w:val="1561012403"/>
        <w:rPr>
          <w:rFonts w:eastAsia="Times New Roman"/>
        </w:rPr>
      </w:pPr>
      <w:r>
        <w:rPr>
          <w:rFonts w:eastAsia="Times New Roman"/>
          <w:b/>
          <w:bCs/>
          <w:color w:val="000000"/>
          <w:sz w:val="20"/>
          <w:szCs w:val="20"/>
        </w:rPr>
        <w:t>CAPITAL ONE FINANCIAL CORPORATION</w:t>
      </w:r>
    </w:p>
    <w:p w:rsidR="00000000" w:rsidRDefault="00E0782F">
      <w:pPr>
        <w:jc w:val="center"/>
        <w:divId w:val="156101240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574510361"/>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74510361"/>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14—EMPLOYEE BENEFIT PLANS</w:t>
            </w:r>
          </w:p>
        </w:tc>
      </w:tr>
    </w:tbl>
    <w:p w:rsidR="00000000" w:rsidRDefault="00E0782F">
      <w:pPr>
        <w:divId w:val="528760723"/>
        <w:rPr>
          <w:rFonts w:eastAsia="Times New Roman"/>
        </w:rPr>
      </w:pPr>
      <w:r>
        <w:rPr>
          <w:rFonts w:eastAsia="Times New Roman"/>
          <w:b/>
          <w:bCs/>
          <w:color w:val="000000"/>
          <w:sz w:val="20"/>
          <w:szCs w:val="20"/>
        </w:rPr>
        <w:t>Defined Contribution Plan</w:t>
      </w:r>
    </w:p>
    <w:p w:rsidR="00000000" w:rsidRDefault="00E0782F">
      <w:pPr>
        <w:jc w:val="both"/>
        <w:divId w:val="400562045"/>
        <w:rPr>
          <w:rFonts w:eastAsia="Times New Roman"/>
        </w:rPr>
      </w:pPr>
      <w:r>
        <w:rPr>
          <w:rFonts w:eastAsia="Times New Roman"/>
          <w:color w:val="000000"/>
          <w:sz w:val="20"/>
          <w:szCs w:val="20"/>
        </w:rPr>
        <w:t xml:space="preserve">We sponsor a contributory Associate Savings Plan (the “Plan”) in which all full-time and part-time associates over the age of 18 are eligible to participate. We make non-elective contributions to each eligible associates’ account </w:t>
      </w:r>
      <w:r>
        <w:rPr>
          <w:rFonts w:eastAsia="Times New Roman"/>
          <w:color w:val="000000"/>
          <w:sz w:val="20"/>
          <w:szCs w:val="20"/>
        </w:rPr>
        <w:t>and match a portion of associate contributions. We also sponsor a voluntary non-qualified deferred compensation plan in which select groups of employees are eligible to participate. We make contributions to this plan based on participants’ deferral of sala</w:t>
      </w:r>
      <w:r>
        <w:rPr>
          <w:rFonts w:eastAsia="Times New Roman"/>
          <w:color w:val="000000"/>
          <w:sz w:val="20"/>
          <w:szCs w:val="20"/>
        </w:rPr>
        <w:t>ry, bonuses and other eligible pay. In addition, we match participants’ excess compensation (compensation over the Internal Revenue Service (“IRS”) compensation limit) less deferrals. We contributed a total of $350 million, $316 million and $291 million to</w:t>
      </w:r>
      <w:r>
        <w:rPr>
          <w:rFonts w:eastAsia="Times New Roman"/>
          <w:color w:val="000000"/>
          <w:sz w:val="20"/>
          <w:szCs w:val="20"/>
        </w:rPr>
        <w:t xml:space="preserve"> these plans during the years ended December 31, 2020, 2019 and 2018, respectively.</w:t>
      </w:r>
    </w:p>
    <w:p w:rsidR="00000000" w:rsidRDefault="00E0782F">
      <w:pPr>
        <w:divId w:val="650445763"/>
        <w:rPr>
          <w:rFonts w:eastAsia="Times New Roman"/>
        </w:rPr>
      </w:pPr>
      <w:r>
        <w:rPr>
          <w:rFonts w:eastAsia="Times New Roman"/>
          <w:b/>
          <w:bCs/>
          <w:color w:val="000000"/>
          <w:sz w:val="20"/>
          <w:szCs w:val="20"/>
        </w:rPr>
        <w:t>Defined Benefit Pension and Other Postretirement Benefit Plans</w:t>
      </w:r>
    </w:p>
    <w:p w:rsidR="00000000" w:rsidRDefault="00E0782F">
      <w:pPr>
        <w:jc w:val="both"/>
        <w:divId w:val="1204944902"/>
        <w:rPr>
          <w:rFonts w:eastAsia="Times New Roman"/>
        </w:rPr>
      </w:pPr>
      <w:r>
        <w:rPr>
          <w:rFonts w:eastAsia="Times New Roman"/>
          <w:color w:val="000000"/>
          <w:sz w:val="20"/>
          <w:szCs w:val="20"/>
        </w:rPr>
        <w:t xml:space="preserve">We sponsor a frozen qualified defined benefit pension plan and several non-qualified defined benefit pension </w:t>
      </w:r>
      <w:r>
        <w:rPr>
          <w:rFonts w:eastAsia="Times New Roman"/>
          <w:color w:val="000000"/>
          <w:sz w:val="20"/>
          <w:szCs w:val="20"/>
        </w:rPr>
        <w:t>plans. We also sponsor a plan that provides other postretirement benefits, including medical and life insurance coverage. Our pension plans and the other postretirement benefit plan are valued using December 31 as the measurement date each year. Our policy</w:t>
      </w:r>
      <w:r>
        <w:rPr>
          <w:rFonts w:eastAsia="Times New Roman"/>
          <w:color w:val="000000"/>
          <w:sz w:val="20"/>
          <w:szCs w:val="20"/>
        </w:rPr>
        <w:t xml:space="preserve"> is to amortize prior service amounts on a straight-line basis over the average remaining years of service to full eligibility for benefits of active plan participants.</w:t>
      </w:r>
    </w:p>
    <w:p w:rsidR="00000000" w:rsidRDefault="00E0782F">
      <w:pPr>
        <w:jc w:val="both"/>
        <w:divId w:val="1658681497"/>
        <w:rPr>
          <w:rFonts w:eastAsia="Times New Roman"/>
        </w:rPr>
      </w:pPr>
      <w:r>
        <w:rPr>
          <w:rFonts w:eastAsia="Times New Roman"/>
          <w:color w:val="000000"/>
          <w:sz w:val="20"/>
          <w:szCs w:val="20"/>
        </w:rPr>
        <w:t>The following table sets forth, on an aggregated basis, changes in the benefit obligati</w:t>
      </w:r>
      <w:r>
        <w:rPr>
          <w:rFonts w:eastAsia="Times New Roman"/>
          <w:color w:val="000000"/>
          <w:sz w:val="20"/>
          <w:szCs w:val="20"/>
        </w:rPr>
        <w:t>on and plan assets, the funded status and how the funded status is recognized on our consolidated balance sheets.</w:t>
      </w:r>
    </w:p>
    <w:p w:rsidR="00000000" w:rsidRDefault="00E0782F">
      <w:pPr>
        <w:divId w:val="997271247"/>
        <w:rPr>
          <w:rFonts w:eastAsia="Times New Roman"/>
        </w:rPr>
      </w:pPr>
      <w:r>
        <w:rPr>
          <w:rFonts w:eastAsia="Times New Roman"/>
          <w:b/>
          <w:bCs/>
          <w:color w:val="000000"/>
          <w:sz w:val="18"/>
          <w:szCs w:val="18"/>
        </w:rPr>
        <w:t>Table 14.1: Changes in Benefit Obligation and Plan Assets</w:t>
      </w:r>
    </w:p>
    <w:tbl>
      <w:tblPr>
        <w:tblW w:w="5000" w:type="pct"/>
        <w:tblCellMar>
          <w:top w:w="15" w:type="dxa"/>
          <w:left w:w="15" w:type="dxa"/>
          <w:bottom w:w="15" w:type="dxa"/>
          <w:right w:w="15" w:type="dxa"/>
        </w:tblCellMar>
        <w:tblLook w:val="04A0" w:firstRow="1" w:lastRow="0" w:firstColumn="1" w:lastColumn="0" w:noHBand="0" w:noVBand="1"/>
      </w:tblPr>
      <w:tblGrid>
        <w:gridCol w:w="39"/>
        <w:gridCol w:w="4995"/>
        <w:gridCol w:w="38"/>
        <w:gridCol w:w="36"/>
        <w:gridCol w:w="36"/>
        <w:gridCol w:w="36"/>
        <w:gridCol w:w="111"/>
        <w:gridCol w:w="483"/>
        <w:gridCol w:w="37"/>
        <w:gridCol w:w="37"/>
        <w:gridCol w:w="39"/>
        <w:gridCol w:w="36"/>
        <w:gridCol w:w="110"/>
        <w:gridCol w:w="482"/>
        <w:gridCol w:w="36"/>
        <w:gridCol w:w="36"/>
        <w:gridCol w:w="36"/>
        <w:gridCol w:w="36"/>
        <w:gridCol w:w="111"/>
        <w:gridCol w:w="614"/>
        <w:gridCol w:w="37"/>
        <w:gridCol w:w="37"/>
        <w:gridCol w:w="51"/>
        <w:gridCol w:w="36"/>
        <w:gridCol w:w="110"/>
        <w:gridCol w:w="615"/>
        <w:gridCol w:w="36"/>
      </w:tblGrid>
      <w:tr w:rsidR="00000000">
        <w:trPr>
          <w:divId w:val="1231037681"/>
        </w:trPr>
        <w:tc>
          <w:tcPr>
            <w:tcW w:w="50" w:type="pct"/>
            <w:vAlign w:val="center"/>
            <w:hideMark/>
          </w:tcPr>
          <w:p w:rsidR="00000000" w:rsidRDefault="00E0782F">
            <w:pPr>
              <w:rPr>
                <w:rFonts w:eastAsia="Times New Roman"/>
              </w:rPr>
            </w:pPr>
          </w:p>
        </w:tc>
        <w:tc>
          <w:tcPr>
            <w:tcW w:w="330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31037681"/>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Defined Pension </w:t>
            </w:r>
            <w:r>
              <w:rPr>
                <w:rFonts w:eastAsia="Times New Roman"/>
                <w:b/>
                <w:bCs/>
                <w:color w:val="000000"/>
                <w:sz w:val="16"/>
                <w:szCs w:val="16"/>
              </w:rPr>
              <w:br/>
              <w:t>Benefits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 </w:t>
            </w:r>
            <w:r>
              <w:rPr>
                <w:rFonts w:eastAsia="Times New Roman"/>
                <w:b/>
                <w:bCs/>
                <w:color w:val="000000"/>
                <w:sz w:val="16"/>
                <w:szCs w:val="16"/>
              </w:rPr>
              <w:t>Postretirement</w:t>
            </w:r>
            <w:r>
              <w:rPr>
                <w:rFonts w:eastAsia="Times New Roman"/>
                <w:b/>
                <w:bCs/>
                <w:color w:val="000000"/>
                <w:sz w:val="16"/>
                <w:szCs w:val="16"/>
              </w:rPr>
              <w:br/>
              <w:t>Benefits</w:t>
            </w:r>
          </w:p>
        </w:tc>
      </w:tr>
      <w:tr w:rsidR="00000000">
        <w:trPr>
          <w:divId w:val="1231037681"/>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r>
      <w:tr w:rsidR="00000000">
        <w:trPr>
          <w:divId w:val="123103768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Change in benefit obligation: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3103768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Accumulated benefit obligation as of January 1,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Service cost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cost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1</w:t>
            </w:r>
          </w:p>
        </w:tc>
      </w:tr>
      <w:tr w:rsidR="00000000">
        <w:trPr>
          <w:divId w:val="123103768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Benefits paid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Actuarial loss (gain)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Accumulated benefit obligation as of December 31,</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Change in plan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3103768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Fair value of plan assets as of January 1,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Actual return on plan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Employer contributions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Benefits paid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Fair value of plan assets as of December 31,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3103768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Over (under) funded status as of December 31,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997"/>
        <w:gridCol w:w="37"/>
        <w:gridCol w:w="36"/>
        <w:gridCol w:w="36"/>
        <w:gridCol w:w="36"/>
        <w:gridCol w:w="111"/>
        <w:gridCol w:w="483"/>
        <w:gridCol w:w="37"/>
        <w:gridCol w:w="37"/>
        <w:gridCol w:w="39"/>
        <w:gridCol w:w="36"/>
        <w:gridCol w:w="110"/>
        <w:gridCol w:w="482"/>
        <w:gridCol w:w="36"/>
        <w:gridCol w:w="36"/>
        <w:gridCol w:w="36"/>
        <w:gridCol w:w="36"/>
        <w:gridCol w:w="111"/>
        <w:gridCol w:w="614"/>
        <w:gridCol w:w="37"/>
        <w:gridCol w:w="37"/>
        <w:gridCol w:w="51"/>
        <w:gridCol w:w="36"/>
        <w:gridCol w:w="110"/>
        <w:gridCol w:w="615"/>
        <w:gridCol w:w="36"/>
      </w:tblGrid>
      <w:tr w:rsidR="00000000">
        <w:trPr>
          <w:divId w:val="954949854"/>
        </w:trPr>
        <w:tc>
          <w:tcPr>
            <w:tcW w:w="50" w:type="pct"/>
            <w:vAlign w:val="center"/>
            <w:hideMark/>
          </w:tcPr>
          <w:p w:rsidR="00000000" w:rsidRDefault="00E0782F">
            <w:pPr>
              <w:jc w:val="both"/>
              <w:rPr>
                <w:rFonts w:eastAsia="Times New Roman"/>
              </w:rPr>
            </w:pPr>
          </w:p>
        </w:tc>
        <w:tc>
          <w:tcPr>
            <w:tcW w:w="330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5494985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Defined Pension </w:t>
            </w:r>
            <w:r>
              <w:rPr>
                <w:rFonts w:eastAsia="Times New Roman"/>
                <w:b/>
                <w:bCs/>
                <w:color w:val="000000"/>
                <w:sz w:val="16"/>
                <w:szCs w:val="16"/>
              </w:rPr>
              <w:br/>
              <w:t>Benefits</w:t>
            </w:r>
          </w:p>
        </w:tc>
        <w:tc>
          <w:tcPr>
            <w:tcW w:w="0" w:type="auto"/>
            <w:gridSpan w:val="3"/>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Other Postretirement</w:t>
            </w:r>
            <w:r>
              <w:rPr>
                <w:rFonts w:eastAsia="Times New Roman"/>
                <w:b/>
                <w:bCs/>
                <w:color w:val="000000"/>
                <w:sz w:val="16"/>
                <w:szCs w:val="16"/>
              </w:rPr>
              <w:br/>
              <w:t>Benefits</w:t>
            </w:r>
          </w:p>
        </w:tc>
      </w:tr>
      <w:tr w:rsidR="00000000">
        <w:trPr>
          <w:divId w:val="95494985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r>
      <w:tr w:rsidR="00000000">
        <w:trPr>
          <w:divId w:val="95494985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 xml:space="preserve">Balance sheet presentation as of December 31, </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5494985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5494985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5494985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 xml:space="preserve">Net amount recognized as of December 31, </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137627308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3879332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3879332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3879332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3" style="width:0;height:1.5pt" o:hralign="center" o:hrstd="t" o:hr="t" fillcolor="#a0a0a0" stroked="f"/>
        </w:pict>
      </w:r>
    </w:p>
    <w:p w:rsidR="00000000" w:rsidRDefault="00E0782F">
      <w:pPr>
        <w:jc w:val="both"/>
        <w:divId w:val="197783169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977831690"/>
        <w:rPr>
          <w:rFonts w:eastAsia="Times New Roman"/>
        </w:rPr>
      </w:pPr>
    </w:p>
    <w:p w:rsidR="00000000" w:rsidRDefault="00E0782F">
      <w:pPr>
        <w:jc w:val="center"/>
        <w:divId w:val="1977831690"/>
        <w:rPr>
          <w:rFonts w:eastAsia="Times New Roman"/>
        </w:rPr>
      </w:pPr>
      <w:r>
        <w:rPr>
          <w:rFonts w:eastAsia="Times New Roman"/>
          <w:b/>
          <w:bCs/>
          <w:color w:val="000000"/>
          <w:sz w:val="20"/>
          <w:szCs w:val="20"/>
        </w:rPr>
        <w:t>CAPITAL ONE FINANCIAL CORPORATION</w:t>
      </w:r>
    </w:p>
    <w:p w:rsidR="00000000" w:rsidRDefault="00E0782F">
      <w:pPr>
        <w:jc w:val="center"/>
        <w:divId w:val="1977831690"/>
        <w:rPr>
          <w:rFonts w:eastAsia="Times New Roman"/>
        </w:rPr>
      </w:pPr>
      <w:r>
        <w:rPr>
          <w:rFonts w:eastAsia="Times New Roman"/>
          <w:b/>
          <w:bCs/>
          <w:color w:val="000000"/>
          <w:sz w:val="20"/>
          <w:szCs w:val="20"/>
        </w:rPr>
        <w:t>NOTES TO CONSOLIDATED FINANCIAL STATEMENTS</w:t>
      </w:r>
    </w:p>
    <w:p w:rsidR="00000000" w:rsidRDefault="00E0782F">
      <w:pPr>
        <w:jc w:val="both"/>
        <w:divId w:val="2048407316"/>
        <w:rPr>
          <w:rFonts w:eastAsia="Times New Roman"/>
        </w:rPr>
      </w:pPr>
      <w:r>
        <w:rPr>
          <w:rFonts w:eastAsia="Times New Roman"/>
          <w:color w:val="000000"/>
          <w:sz w:val="20"/>
          <w:szCs w:val="20"/>
        </w:rPr>
        <w:t>Net periodic benefit gain for our defined benefit pension plans a</w:t>
      </w:r>
      <w:r>
        <w:rPr>
          <w:rFonts w:eastAsia="Times New Roman"/>
          <w:color w:val="000000"/>
          <w:sz w:val="20"/>
          <w:szCs w:val="20"/>
        </w:rPr>
        <w:t>nd other postretirement benefit plan totaled $8 million, $10 million and $12 million in 2020, 2019 and 2018, respectively. We recognized a pre-tax gain of $4 million and $18 million in other comprehensive income for our defined benefit pension plans and ot</w:t>
      </w:r>
      <w:r>
        <w:rPr>
          <w:rFonts w:eastAsia="Times New Roman"/>
          <w:color w:val="000000"/>
          <w:sz w:val="20"/>
          <w:szCs w:val="20"/>
        </w:rPr>
        <w:t xml:space="preserve">her postretirement benefit plan in 2020 and 2019, respectively, compared to a pre-tax loss of $17 million in 2018. </w:t>
      </w:r>
    </w:p>
    <w:p w:rsidR="00000000" w:rsidRDefault="00E0782F">
      <w:pPr>
        <w:jc w:val="both"/>
        <w:divId w:val="120921206"/>
        <w:rPr>
          <w:rFonts w:eastAsia="Times New Roman"/>
        </w:rPr>
      </w:pPr>
      <w:r>
        <w:rPr>
          <w:rFonts w:eastAsia="Times New Roman"/>
          <w:color w:val="000000"/>
          <w:sz w:val="20"/>
          <w:szCs w:val="20"/>
        </w:rPr>
        <w:t>Pre-tax amounts recognized in AOCI that have not yet been recognized as a component of net periodic benefit cost consist of net actuarial lo</w:t>
      </w:r>
      <w:r>
        <w:rPr>
          <w:rFonts w:eastAsia="Times New Roman"/>
          <w:color w:val="000000"/>
          <w:sz w:val="20"/>
          <w:szCs w:val="20"/>
        </w:rPr>
        <w:t>ss of $40 million and $41 million for our defined benefit pension plans as of December 31, 2020 and 2019, respectively, and net actuarial gain of $6 million and $4 million for our other postretirement benefit plan as of December 31, 2020 and 2019, respecti</w:t>
      </w:r>
      <w:r>
        <w:rPr>
          <w:rFonts w:eastAsia="Times New Roman"/>
          <w:color w:val="000000"/>
          <w:sz w:val="20"/>
          <w:szCs w:val="20"/>
        </w:rPr>
        <w:t>vely. There was no meaningful prior service cost recognized in AOCI.</w:t>
      </w:r>
    </w:p>
    <w:p w:rsidR="00000000" w:rsidRDefault="00E0782F">
      <w:pPr>
        <w:divId w:val="1769737728"/>
        <w:rPr>
          <w:rFonts w:eastAsia="Times New Roman"/>
        </w:rPr>
      </w:pPr>
      <w:r>
        <w:rPr>
          <w:rFonts w:eastAsia="Times New Roman"/>
          <w:b/>
          <w:bCs/>
          <w:i/>
          <w:iCs/>
          <w:color w:val="000000"/>
          <w:sz w:val="20"/>
          <w:szCs w:val="20"/>
        </w:rPr>
        <w:t>Plan Assets and Fair Value Measurement</w:t>
      </w:r>
    </w:p>
    <w:p w:rsidR="00000000" w:rsidRDefault="00E0782F">
      <w:pPr>
        <w:jc w:val="both"/>
        <w:divId w:val="595021468"/>
        <w:rPr>
          <w:rFonts w:eastAsia="Times New Roman"/>
        </w:rPr>
      </w:pPr>
      <w:r>
        <w:rPr>
          <w:rFonts w:eastAsia="Times New Roman"/>
          <w:color w:val="000000"/>
          <w:sz w:val="20"/>
          <w:szCs w:val="20"/>
        </w:rPr>
        <w:t xml:space="preserve">Plan assets are invested using a total return investment approach whereby a mix of equity securities and debt securities are used to preserve asset </w:t>
      </w:r>
      <w:r>
        <w:rPr>
          <w:rFonts w:eastAsia="Times New Roman"/>
          <w:color w:val="000000"/>
          <w:sz w:val="20"/>
          <w:szCs w:val="20"/>
        </w:rPr>
        <w:t>values, diversify risk and enhance our ability to achieve our benchmark for long-term investment return. Investment strategies and asset allocations are based on careful consideration of plan liabilities, the plan’s funded status and our financial conditio</w:t>
      </w:r>
      <w:r>
        <w:rPr>
          <w:rFonts w:eastAsia="Times New Roman"/>
          <w:color w:val="000000"/>
          <w:sz w:val="20"/>
          <w:szCs w:val="20"/>
        </w:rPr>
        <w:t>n. Investment performance and asset allocation are measured and monitored on a daily basis.</w:t>
      </w:r>
    </w:p>
    <w:p w:rsidR="00000000" w:rsidRDefault="00E0782F">
      <w:pPr>
        <w:jc w:val="both"/>
        <w:divId w:val="1599630558"/>
        <w:rPr>
          <w:rFonts w:eastAsia="Times New Roman"/>
        </w:rPr>
      </w:pPr>
      <w:r>
        <w:rPr>
          <w:rFonts w:eastAsia="Times New Roman"/>
          <w:color w:val="000000"/>
          <w:sz w:val="20"/>
          <w:szCs w:val="20"/>
        </w:rPr>
        <w:t>As of December 31, 2020 and 2019, our plan assets totaled $280 million and $260 million, respectively. We invested substantially all our plan assets in common colle</w:t>
      </w:r>
      <w:r>
        <w:rPr>
          <w:rFonts w:eastAsia="Times New Roman"/>
          <w:color w:val="000000"/>
          <w:sz w:val="20"/>
          <w:szCs w:val="20"/>
        </w:rPr>
        <w:t>ctive trusts, which primarily consist of domestic and international equity securities, government securities and corporate and municipal bonds. Our plan assets were classified as Level 2 in the fair value hierarchy as of December 31, 2020 and 2019. For inf</w:t>
      </w:r>
      <w:r>
        <w:rPr>
          <w:rFonts w:eastAsia="Times New Roman"/>
          <w:color w:val="000000"/>
          <w:sz w:val="20"/>
          <w:szCs w:val="20"/>
        </w:rPr>
        <w:t>ormation on fair value measurements, including descriptions of Level 1, 2 and 3 of the fair value hierarchy and the valuation methods we utilize, see “Note 16—Fair Value Measurement.”</w:t>
      </w:r>
    </w:p>
    <w:p w:rsidR="00000000" w:rsidRDefault="00E0782F">
      <w:pPr>
        <w:divId w:val="419253570"/>
        <w:rPr>
          <w:rFonts w:eastAsia="Times New Roman"/>
        </w:rPr>
      </w:pPr>
      <w:r>
        <w:rPr>
          <w:rFonts w:eastAsia="Times New Roman"/>
          <w:b/>
          <w:bCs/>
          <w:i/>
          <w:iCs/>
          <w:color w:val="000000"/>
          <w:sz w:val="20"/>
          <w:szCs w:val="20"/>
        </w:rPr>
        <w:t>Expected Future Benefit Payments</w:t>
      </w:r>
    </w:p>
    <w:p w:rsidR="00000000" w:rsidRDefault="00E0782F">
      <w:pPr>
        <w:jc w:val="both"/>
        <w:divId w:val="1833913752"/>
        <w:rPr>
          <w:rFonts w:eastAsia="Times New Roman"/>
        </w:rPr>
      </w:pPr>
      <w:r>
        <w:rPr>
          <w:rFonts w:eastAsia="Times New Roman"/>
          <w:color w:val="000000"/>
          <w:sz w:val="20"/>
          <w:szCs w:val="20"/>
        </w:rPr>
        <w:t>As of December 31, 2020, the benefits e</w:t>
      </w:r>
      <w:r>
        <w:rPr>
          <w:rFonts w:eastAsia="Times New Roman"/>
          <w:color w:val="000000"/>
          <w:sz w:val="20"/>
          <w:szCs w:val="20"/>
        </w:rPr>
        <w:t xml:space="preserve">xpected to be paid in the next ten years totaled </w:t>
      </w:r>
      <w:r>
        <w:rPr>
          <w:rFonts w:eastAsia="Times New Roman"/>
          <w:color w:val="242424"/>
          <w:sz w:val="20"/>
          <w:szCs w:val="20"/>
        </w:rPr>
        <w:t>$110 million</w:t>
      </w:r>
      <w:r>
        <w:rPr>
          <w:rFonts w:eastAsia="Times New Roman"/>
          <w:color w:val="000000"/>
          <w:sz w:val="20"/>
          <w:szCs w:val="20"/>
        </w:rPr>
        <w:t xml:space="preserve"> for our defined pension benefit plans and </w:t>
      </w:r>
      <w:r>
        <w:rPr>
          <w:rFonts w:eastAsia="Times New Roman"/>
          <w:color w:val="242424"/>
          <w:sz w:val="20"/>
          <w:szCs w:val="20"/>
        </w:rPr>
        <w:t>$14 million</w:t>
      </w:r>
      <w:r>
        <w:rPr>
          <w:rFonts w:eastAsia="Times New Roman"/>
          <w:color w:val="000000"/>
          <w:sz w:val="20"/>
          <w:szCs w:val="20"/>
        </w:rPr>
        <w:t xml:space="preserve"> for our other postretirement benefit plan,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66239442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66239442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66239442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4" style="width:0;height:1.5pt" o:hralign="center" o:hrstd="t" o:hr="t" fillcolor="#a0a0a0" stroked="f"/>
        </w:pict>
      </w:r>
    </w:p>
    <w:p w:rsidR="00000000" w:rsidRDefault="00E0782F">
      <w:pPr>
        <w:jc w:val="both"/>
        <w:divId w:val="68848291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688482911"/>
        <w:rPr>
          <w:rFonts w:eastAsia="Times New Roman"/>
        </w:rPr>
      </w:pPr>
    </w:p>
    <w:p w:rsidR="00000000" w:rsidRDefault="00E0782F">
      <w:pPr>
        <w:jc w:val="center"/>
        <w:divId w:val="688482911"/>
        <w:rPr>
          <w:rFonts w:eastAsia="Times New Roman"/>
        </w:rPr>
      </w:pPr>
      <w:r>
        <w:rPr>
          <w:rFonts w:eastAsia="Times New Roman"/>
          <w:b/>
          <w:bCs/>
          <w:color w:val="000000"/>
          <w:sz w:val="20"/>
          <w:szCs w:val="20"/>
        </w:rPr>
        <w:t>CAPITAL ONE FINANCIAL CORPORATION</w:t>
      </w:r>
    </w:p>
    <w:p w:rsidR="00000000" w:rsidRDefault="00E0782F">
      <w:pPr>
        <w:jc w:val="center"/>
        <w:divId w:val="688482911"/>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325522263"/>
          <w:jc w:val="center"/>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325522263"/>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15—INCOME TAXES</w:t>
            </w:r>
          </w:p>
        </w:tc>
      </w:tr>
    </w:tbl>
    <w:p w:rsidR="00000000" w:rsidRDefault="00E0782F">
      <w:pPr>
        <w:jc w:val="both"/>
        <w:divId w:val="248853505"/>
        <w:rPr>
          <w:rFonts w:eastAsia="Times New Roman"/>
        </w:rPr>
      </w:pPr>
      <w:r>
        <w:rPr>
          <w:rFonts w:eastAsia="Times New Roman"/>
          <w:color w:val="000000"/>
          <w:sz w:val="20"/>
          <w:szCs w:val="20"/>
        </w:rPr>
        <w:t xml:space="preserve">We recognize the current and deferred tax consequences of all transactions that have been recognized in the financial statements using the provisions of the enacted tax laws. Current income tax expense represents our estimated taxes to be paid or refunded </w:t>
      </w:r>
      <w:r>
        <w:rPr>
          <w:rFonts w:eastAsia="Times New Roman"/>
          <w:color w:val="000000"/>
          <w:sz w:val="20"/>
          <w:szCs w:val="20"/>
        </w:rPr>
        <w:t>for the current period and includes income tax expense related to our uncertain tax positions, as well as tax-related interest and penalties. Deferred tax assets and liabilities are determined based on differences between the financial reporting and tax ba</w:t>
      </w:r>
      <w:r>
        <w:rPr>
          <w:rFonts w:eastAsia="Times New Roman"/>
          <w:color w:val="000000"/>
          <w:sz w:val="20"/>
          <w:szCs w:val="20"/>
        </w:rPr>
        <w:t>sis of assets and liabilities and are measured using the enacted tax rates and laws that will be in effect when the differences are expected to reverse. We record valuation allowances to reduce deferred tax assets to the amount that is more likely than not</w:t>
      </w:r>
      <w:r>
        <w:rPr>
          <w:rFonts w:eastAsia="Times New Roman"/>
          <w:color w:val="000000"/>
          <w:sz w:val="20"/>
          <w:szCs w:val="20"/>
        </w:rPr>
        <w:t xml:space="preserve"> to be realized. We record the effect of remeasuring deferred tax assets and liabilities due to a change in tax rates or laws as a component of income tax expense related to continuing operations for the period in which the change is enacted. We subsequent</w:t>
      </w:r>
      <w:r>
        <w:rPr>
          <w:rFonts w:eastAsia="Times New Roman"/>
          <w:color w:val="000000"/>
          <w:sz w:val="20"/>
          <w:szCs w:val="20"/>
        </w:rPr>
        <w:t>ly release income tax effects stranded in AOCI using a portfolio approach. Income tax benefits are recognized when, based on their technical merits, they are more likely than not to be sustained upon examination. The amount recognized is the largest amount</w:t>
      </w:r>
      <w:r>
        <w:rPr>
          <w:rFonts w:eastAsia="Times New Roman"/>
          <w:color w:val="000000"/>
          <w:sz w:val="20"/>
          <w:szCs w:val="20"/>
        </w:rPr>
        <w:t xml:space="preserve"> of benefit that is more likely than not to be realized upon settlement.</w:t>
      </w:r>
    </w:p>
    <w:p w:rsidR="00000000" w:rsidRDefault="00E0782F">
      <w:pPr>
        <w:jc w:val="both"/>
        <w:divId w:val="751897453"/>
        <w:rPr>
          <w:rFonts w:eastAsia="Times New Roman"/>
        </w:rPr>
      </w:pPr>
      <w:r>
        <w:rPr>
          <w:rFonts w:eastAsia="Times New Roman"/>
          <w:color w:val="000000"/>
          <w:sz w:val="20"/>
          <w:szCs w:val="20"/>
        </w:rPr>
        <w:t>The following table presents significant components of the provision for income taxes attributable to continuing operations for the years ended December 31, 2020, 2019 and 2018.</w:t>
      </w:r>
    </w:p>
    <w:p w:rsidR="00000000" w:rsidRDefault="00E0782F">
      <w:pPr>
        <w:divId w:val="1826042644"/>
        <w:rPr>
          <w:rFonts w:eastAsia="Times New Roman"/>
        </w:rPr>
      </w:pPr>
      <w:r>
        <w:rPr>
          <w:rFonts w:eastAsia="Times New Roman"/>
          <w:b/>
          <w:bCs/>
          <w:color w:val="000000"/>
          <w:sz w:val="18"/>
          <w:szCs w:val="18"/>
        </w:rPr>
        <w:t>Table 15.1: Significant Components of the Provision for Income Taxes Attributa</w:t>
      </w:r>
      <w:r>
        <w:rPr>
          <w:rFonts w:eastAsia="Times New Roman"/>
          <w:b/>
          <w:bCs/>
          <w:color w:val="000000"/>
          <w:sz w:val="18"/>
          <w:szCs w:val="18"/>
        </w:rPr>
        <w:t>ble to Continuing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414"/>
        <w:gridCol w:w="38"/>
        <w:gridCol w:w="36"/>
        <w:gridCol w:w="36"/>
        <w:gridCol w:w="36"/>
        <w:gridCol w:w="110"/>
        <w:gridCol w:w="675"/>
        <w:gridCol w:w="36"/>
        <w:gridCol w:w="36"/>
        <w:gridCol w:w="36"/>
        <w:gridCol w:w="36"/>
        <w:gridCol w:w="110"/>
        <w:gridCol w:w="688"/>
        <w:gridCol w:w="36"/>
        <w:gridCol w:w="36"/>
        <w:gridCol w:w="36"/>
        <w:gridCol w:w="36"/>
        <w:gridCol w:w="110"/>
        <w:gridCol w:w="690"/>
        <w:gridCol w:w="36"/>
      </w:tblGrid>
      <w:tr w:rsidR="00000000">
        <w:trPr>
          <w:divId w:val="1811089980"/>
        </w:trPr>
        <w:tc>
          <w:tcPr>
            <w:tcW w:w="50" w:type="pct"/>
            <w:vAlign w:val="center"/>
            <w:hideMark/>
          </w:tcPr>
          <w:p w:rsidR="00000000" w:rsidRDefault="00E0782F">
            <w:pPr>
              <w:rPr>
                <w:rFonts w:eastAsia="Times New Roman"/>
              </w:rPr>
            </w:pPr>
          </w:p>
        </w:tc>
        <w:tc>
          <w:tcPr>
            <w:tcW w:w="328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81108998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181108998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1811089980"/>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Current income tax provision: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1108998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Federal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State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current provision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1,637 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579 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Deferred income tax provision (benefit):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1108998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Federal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w:t>
            </w:r>
            <w:r>
              <w:rPr>
                <w:rFonts w:eastAsia="Times New Roman"/>
                <w:b/>
                <w:bCs/>
                <w:color w:val="000000"/>
                <w:sz w:val="18"/>
                <w:szCs w:val="18"/>
              </w:rPr>
              <w:t>1,357)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(222)</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State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International taxes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deferred provision (benefit)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(1,627)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714 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811089980"/>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income tax provision</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divId w:val="476727344"/>
        <w:rPr>
          <w:rFonts w:eastAsia="Times New Roman"/>
        </w:rPr>
      </w:pPr>
      <w:r>
        <w:rPr>
          <w:rFonts w:eastAsia="Times New Roman"/>
          <w:color w:val="000000"/>
          <w:sz w:val="20"/>
          <w:szCs w:val="20"/>
        </w:rPr>
        <w:t>The international income tax provision is related to pre-tax earnings from foreign operations of approximately $293 million, $215 million and $382 million in 2020, 2019 and 2018, r</w:t>
      </w:r>
      <w:r>
        <w:rPr>
          <w:rFonts w:eastAsia="Times New Roman"/>
          <w:color w:val="000000"/>
          <w:sz w:val="20"/>
          <w:szCs w:val="20"/>
        </w:rPr>
        <w:t>espectively.</w:t>
      </w:r>
    </w:p>
    <w:p w:rsidR="00000000" w:rsidRDefault="00E0782F">
      <w:pPr>
        <w:jc w:val="both"/>
        <w:divId w:val="105664375"/>
        <w:rPr>
          <w:rFonts w:eastAsia="Times New Roman"/>
        </w:rPr>
      </w:pPr>
      <w:r>
        <w:rPr>
          <w:rFonts w:eastAsia="Times New Roman"/>
          <w:color w:val="000000"/>
          <w:sz w:val="20"/>
          <w:szCs w:val="20"/>
        </w:rPr>
        <w:t>Total income tax provision does not reflect the tax effects of items that are included in AOCI, which include tax provisions of $702 million, $727 million and $15 million in 2020, 2019 and 2018, respectively. See “Note 10—Stockholders’ Equity”</w:t>
      </w:r>
      <w:r>
        <w:rPr>
          <w:rFonts w:eastAsia="Times New Roman"/>
          <w:color w:val="000000"/>
          <w:sz w:val="20"/>
          <w:szCs w:val="20"/>
        </w:rPr>
        <w:t xml:space="preserve"> for additional information.</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95853413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95853413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95853413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189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5" style="width:0;height:1.5pt" o:hralign="center" o:hrstd="t" o:hr="t" fillcolor="#a0a0a0" stroked="f"/>
        </w:pict>
      </w:r>
    </w:p>
    <w:p w:rsidR="00000000" w:rsidRDefault="00E0782F">
      <w:pPr>
        <w:jc w:val="both"/>
        <w:divId w:val="33438139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34381395"/>
        <w:rPr>
          <w:rFonts w:eastAsia="Times New Roman"/>
        </w:rPr>
      </w:pPr>
    </w:p>
    <w:p w:rsidR="00000000" w:rsidRDefault="00E0782F">
      <w:pPr>
        <w:jc w:val="center"/>
        <w:divId w:val="334381395"/>
        <w:rPr>
          <w:rFonts w:eastAsia="Times New Roman"/>
        </w:rPr>
      </w:pPr>
      <w:r>
        <w:rPr>
          <w:rFonts w:eastAsia="Times New Roman"/>
          <w:b/>
          <w:bCs/>
          <w:color w:val="000000"/>
          <w:sz w:val="20"/>
          <w:szCs w:val="20"/>
        </w:rPr>
        <w:t>CAPITAL ONE FINANCIAL CORPORATION</w:t>
      </w:r>
    </w:p>
    <w:p w:rsidR="00000000" w:rsidRDefault="00E0782F">
      <w:pPr>
        <w:jc w:val="center"/>
        <w:divId w:val="334381395"/>
        <w:rPr>
          <w:rFonts w:eastAsia="Times New Roman"/>
        </w:rPr>
      </w:pPr>
      <w:r>
        <w:rPr>
          <w:rFonts w:eastAsia="Times New Roman"/>
          <w:b/>
          <w:bCs/>
          <w:color w:val="000000"/>
          <w:sz w:val="20"/>
          <w:szCs w:val="20"/>
        </w:rPr>
        <w:t>NOTES TO CONSOLIDATED FINANCIAL STATEMENTS</w:t>
      </w:r>
    </w:p>
    <w:p w:rsidR="00000000" w:rsidRDefault="00E0782F">
      <w:pPr>
        <w:jc w:val="both"/>
        <w:divId w:val="933317694"/>
        <w:rPr>
          <w:rFonts w:eastAsia="Times New Roman"/>
        </w:rPr>
      </w:pPr>
      <w:r>
        <w:rPr>
          <w:rFonts w:eastAsia="Times New Roman"/>
          <w:color w:val="000000"/>
          <w:sz w:val="20"/>
          <w:szCs w:val="20"/>
        </w:rPr>
        <w:t>The following table presents the reconciliation of the U.S. feder</w:t>
      </w:r>
      <w:r>
        <w:rPr>
          <w:rFonts w:eastAsia="Times New Roman"/>
          <w:color w:val="000000"/>
          <w:sz w:val="20"/>
          <w:szCs w:val="20"/>
        </w:rPr>
        <w:t>al statutory income tax rate to the effective income tax rate applicable to income from continuing operations for the years ended December 31, 2020, 2019 and 2018.</w:t>
      </w:r>
    </w:p>
    <w:p w:rsidR="00000000" w:rsidRDefault="00E0782F">
      <w:pPr>
        <w:divId w:val="62411703"/>
        <w:rPr>
          <w:rFonts w:eastAsia="Times New Roman"/>
        </w:rPr>
      </w:pPr>
      <w:r>
        <w:rPr>
          <w:rFonts w:eastAsia="Times New Roman"/>
          <w:b/>
          <w:bCs/>
          <w:color w:val="000000"/>
          <w:sz w:val="18"/>
          <w:szCs w:val="18"/>
        </w:rPr>
        <w:t>Table 15.2: Effective Income Tax Rate</w:t>
      </w:r>
    </w:p>
    <w:tbl>
      <w:tblPr>
        <w:tblW w:w="5000" w:type="pct"/>
        <w:tblCellMar>
          <w:top w:w="15" w:type="dxa"/>
          <w:left w:w="15" w:type="dxa"/>
          <w:bottom w:w="15" w:type="dxa"/>
          <w:right w:w="15" w:type="dxa"/>
        </w:tblCellMar>
        <w:tblLook w:val="04A0" w:firstRow="1" w:lastRow="0" w:firstColumn="1" w:lastColumn="0" w:noHBand="0" w:noVBand="1"/>
      </w:tblPr>
      <w:tblGrid>
        <w:gridCol w:w="38"/>
        <w:gridCol w:w="6093"/>
        <w:gridCol w:w="37"/>
        <w:gridCol w:w="36"/>
        <w:gridCol w:w="36"/>
        <w:gridCol w:w="36"/>
        <w:gridCol w:w="62"/>
        <w:gridCol w:w="393"/>
        <w:gridCol w:w="201"/>
        <w:gridCol w:w="36"/>
        <w:gridCol w:w="36"/>
        <w:gridCol w:w="36"/>
        <w:gridCol w:w="52"/>
        <w:gridCol w:w="338"/>
        <w:gridCol w:w="171"/>
        <w:gridCol w:w="36"/>
        <w:gridCol w:w="36"/>
        <w:gridCol w:w="36"/>
        <w:gridCol w:w="52"/>
        <w:gridCol w:w="374"/>
        <w:gridCol w:w="171"/>
      </w:tblGrid>
      <w:tr w:rsidR="00000000">
        <w:trPr>
          <w:divId w:val="2022271495"/>
        </w:trPr>
        <w:tc>
          <w:tcPr>
            <w:tcW w:w="50" w:type="pct"/>
            <w:vAlign w:val="center"/>
            <w:hideMark/>
          </w:tcPr>
          <w:p w:rsidR="00000000" w:rsidRDefault="00E0782F">
            <w:pPr>
              <w:rPr>
                <w:rFonts w:eastAsia="Times New Roman"/>
              </w:rPr>
            </w:pPr>
          </w:p>
        </w:tc>
        <w:tc>
          <w:tcPr>
            <w:tcW w:w="371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02227149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2022271495"/>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202227149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at U.S. federal statutory tax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r w:rsidR="00000000">
        <w:trPr>
          <w:divId w:val="202227149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State taxes, net of federal benefit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222714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Non-deductible expenses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2227149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Affordable housing, new markets and other tax credits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222714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Tax-exempt interest and other nontaxable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(0.7)</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2227149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IRS method changes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222714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Changes in valuation allowance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2227149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net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202227149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Effective income tax rate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w:t>
            </w:r>
          </w:p>
        </w:tc>
      </w:tr>
    </w:tbl>
    <w:p w:rsidR="00000000" w:rsidRDefault="00E0782F">
      <w:pPr>
        <w:jc w:val="both"/>
        <w:divId w:val="994794480"/>
        <w:rPr>
          <w:rFonts w:eastAsia="Times New Roman"/>
        </w:rPr>
      </w:pPr>
      <w:r>
        <w:rPr>
          <w:rFonts w:eastAsia="Times New Roman"/>
          <w:color w:val="000000"/>
          <w:sz w:val="20"/>
          <w:szCs w:val="20"/>
        </w:rPr>
        <w:t>The following table presents significant components of our deferred tax assets and liabilities as of </w:t>
      </w:r>
      <w:r>
        <w:rPr>
          <w:rFonts w:eastAsia="Times New Roman"/>
          <w:color w:val="000000"/>
          <w:sz w:val="20"/>
          <w:szCs w:val="20"/>
        </w:rPr>
        <w:t>December 31, 2020 and 2019. The valuation allowance below represents the adjustment of our foreign tax credit carryforward, certain state deferred tax assets and net operating loss carryforwards to the amount we have determined is more likely than not to b</w:t>
      </w:r>
      <w:r>
        <w:rPr>
          <w:rFonts w:eastAsia="Times New Roman"/>
          <w:color w:val="000000"/>
          <w:sz w:val="20"/>
          <w:szCs w:val="20"/>
        </w:rPr>
        <w:t>e realized.</w:t>
      </w:r>
    </w:p>
    <w:p w:rsidR="00000000" w:rsidRDefault="00E0782F">
      <w:pPr>
        <w:divId w:val="1007681916"/>
        <w:rPr>
          <w:rFonts w:eastAsia="Times New Roman"/>
        </w:rPr>
      </w:pPr>
      <w:r>
        <w:rPr>
          <w:rFonts w:eastAsia="Times New Roman"/>
          <w:b/>
          <w:bCs/>
          <w:color w:val="000000"/>
          <w:sz w:val="18"/>
          <w:szCs w:val="18"/>
        </w:rPr>
        <w:t>Table 15.3: Significant Components of Deferred Tax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1"/>
        <w:gridCol w:w="6232"/>
        <w:gridCol w:w="39"/>
        <w:gridCol w:w="36"/>
        <w:gridCol w:w="36"/>
        <w:gridCol w:w="36"/>
        <w:gridCol w:w="111"/>
        <w:gridCol w:w="742"/>
        <w:gridCol w:w="36"/>
        <w:gridCol w:w="36"/>
        <w:gridCol w:w="36"/>
        <w:gridCol w:w="36"/>
        <w:gridCol w:w="111"/>
        <w:gridCol w:w="742"/>
        <w:gridCol w:w="36"/>
      </w:tblGrid>
      <w:tr w:rsidR="00000000">
        <w:trPr>
          <w:divId w:val="900285786"/>
        </w:trPr>
        <w:tc>
          <w:tcPr>
            <w:tcW w:w="50" w:type="pct"/>
            <w:vAlign w:val="center"/>
            <w:hideMark/>
          </w:tcPr>
          <w:p w:rsidR="00000000" w:rsidRDefault="00E0782F">
            <w:pPr>
              <w:rPr>
                <w:rFonts w:eastAsia="Times New Roman"/>
              </w:rPr>
            </w:pPr>
          </w:p>
        </w:tc>
        <w:tc>
          <w:tcPr>
            <w:tcW w:w="377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0028578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9002857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Deferred tax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Allowance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3,649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Rewards programs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579 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operating loss and tax credit carryforwards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Compensation </w:t>
            </w:r>
            <w:r>
              <w:rPr>
                <w:rFonts w:eastAsia="Times New Roman"/>
                <w:color w:val="000000"/>
                <w:sz w:val="18"/>
                <w:szCs w:val="18"/>
              </w:rPr>
              <w:t>and employee benefits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Partnership investments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Unearned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Goodwill and intangibles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Fixed assets and leases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51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Subtotal</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6,031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Valuation allowance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(296)</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deferred tax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5,735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3,677 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00285786"/>
        </w:trPr>
        <w:tc>
          <w:tcPr>
            <w:tcW w:w="0" w:type="auto"/>
            <w:gridSpan w:val="3"/>
            <w:shd w:val="clear" w:color="auto" w:fill="FFFFFF"/>
            <w:tcMar>
              <w:top w:w="30" w:type="dxa"/>
              <w:left w:w="20" w:type="dxa"/>
              <w:bottom w:w="30" w:type="dxa"/>
              <w:right w:w="20" w:type="dxa"/>
            </w:tcMar>
            <w:vAlign w:val="center"/>
            <w:hideMark/>
          </w:tcPr>
          <w:p w:rsidR="00000000" w:rsidRDefault="00E0782F">
            <w:pPr>
              <w:divId w:val="1778715200"/>
              <w:rPr>
                <w:rFonts w:eastAsia="Times New Roman"/>
              </w:rPr>
            </w:pPr>
            <w:r>
              <w:rPr>
                <w:rFonts w:eastAsia="Times New Roman"/>
                <w:color w:val="000000"/>
                <w:sz w:val="18"/>
                <w:szCs w:val="18"/>
              </w:rPr>
              <w:t>Security </w:t>
            </w:r>
            <w:r>
              <w:rPr>
                <w:rFonts w:eastAsia="Times New Roman"/>
                <w:color w:val="000000"/>
                <w:sz w:val="18"/>
                <w:szCs w:val="18"/>
              </w:rPr>
              <w:t>and loan valuation</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805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Original issue discount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unrealized gains on derivatives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Right-of-use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Partnership investments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Mortgage servicing rights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 fees and expenses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Fixed assets and leases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2,409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1,957 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002857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deferred tax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3,326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716511811"/>
        <w:rPr>
          <w:rFonts w:eastAsia="Times New Roman"/>
        </w:rPr>
      </w:pPr>
      <w:r>
        <w:rPr>
          <w:rFonts w:eastAsia="Times New Roman"/>
          <w:color w:val="000000"/>
          <w:sz w:val="20"/>
          <w:szCs w:val="20"/>
        </w:rPr>
        <w:t>_________</w:t>
      </w:r>
    </w:p>
    <w:p w:rsidR="00000000" w:rsidRDefault="00E0782F">
      <w:pPr>
        <w:ind w:hanging="360"/>
        <w:jc w:val="both"/>
        <w:divId w:val="12721339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Amount includes the tax impact of our December 31, 2019 transfer of our entire portfolio of held to maturity securities to available for sale.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1584711"/>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158471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158471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6" style="width:0;height:1.5pt" o:hralign="center" o:hrstd="t" o:hr="t" fillcolor="#a0a0a0" stroked="f"/>
        </w:pict>
      </w:r>
    </w:p>
    <w:p w:rsidR="00000000" w:rsidRDefault="00E0782F">
      <w:pPr>
        <w:jc w:val="both"/>
        <w:divId w:val="637047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6370478"/>
        <w:rPr>
          <w:rFonts w:eastAsia="Times New Roman"/>
        </w:rPr>
      </w:pPr>
    </w:p>
    <w:p w:rsidR="00000000" w:rsidRDefault="00E0782F">
      <w:pPr>
        <w:jc w:val="center"/>
        <w:divId w:val="6370478"/>
        <w:rPr>
          <w:rFonts w:eastAsia="Times New Roman"/>
        </w:rPr>
      </w:pPr>
      <w:r>
        <w:rPr>
          <w:rFonts w:eastAsia="Times New Roman"/>
          <w:b/>
          <w:bCs/>
          <w:color w:val="000000"/>
          <w:sz w:val="20"/>
          <w:szCs w:val="20"/>
        </w:rPr>
        <w:t>CAPITAL ONE FINANCIAL CORPORATION</w:t>
      </w:r>
    </w:p>
    <w:p w:rsidR="00000000" w:rsidRDefault="00E0782F">
      <w:pPr>
        <w:jc w:val="center"/>
        <w:divId w:val="6370478"/>
        <w:rPr>
          <w:rFonts w:eastAsia="Times New Roman"/>
        </w:rPr>
      </w:pPr>
      <w:r>
        <w:rPr>
          <w:rFonts w:eastAsia="Times New Roman"/>
          <w:b/>
          <w:bCs/>
          <w:color w:val="000000"/>
          <w:sz w:val="20"/>
          <w:szCs w:val="20"/>
        </w:rPr>
        <w:t>NOTES TO CONSOLIDATED FINANCIAL STATEMENTS</w:t>
      </w:r>
    </w:p>
    <w:p w:rsidR="00000000" w:rsidRDefault="00E0782F">
      <w:pPr>
        <w:jc w:val="both"/>
        <w:divId w:val="232592696"/>
        <w:rPr>
          <w:rFonts w:eastAsia="Times New Roman"/>
        </w:rPr>
      </w:pPr>
      <w:r>
        <w:rPr>
          <w:rFonts w:eastAsia="Times New Roman"/>
          <w:color w:val="000000"/>
          <w:sz w:val="20"/>
          <w:szCs w:val="20"/>
        </w:rPr>
        <w:t>Our gross federal net operating loss carryforwards were $36 million and $31 million as of December 31, 2020 and 2019, respectively. These operating loss carryforwards were attributable to acquisitions and will expire from 2028 to 2037, though $26 million h</w:t>
      </w:r>
      <w:r>
        <w:rPr>
          <w:rFonts w:eastAsia="Times New Roman"/>
          <w:color w:val="000000"/>
          <w:sz w:val="20"/>
          <w:szCs w:val="20"/>
        </w:rPr>
        <w:t xml:space="preserve">as no expiration. Under IRS rules, our ability to utilize these losses against future income is limited. The net tax value of our state net operating loss carryforwards were $250 million and $237 million as of December 31, 2020 and 2019, respectively, and </w:t>
      </w:r>
      <w:r>
        <w:rPr>
          <w:rFonts w:eastAsia="Times New Roman"/>
          <w:color w:val="000000"/>
          <w:sz w:val="20"/>
          <w:szCs w:val="20"/>
        </w:rPr>
        <w:t>they will expire from 2021 to 2040. Our foreign tax credit carryforward was $56 million and $40 million as of December 31, 2020 and 2019, respectively. This carryforward will begin expiring in 2028.</w:t>
      </w:r>
    </w:p>
    <w:p w:rsidR="00000000" w:rsidRDefault="00E0782F">
      <w:pPr>
        <w:jc w:val="both"/>
        <w:divId w:val="588807453"/>
        <w:rPr>
          <w:rFonts w:eastAsia="Times New Roman"/>
        </w:rPr>
      </w:pPr>
      <w:r>
        <w:rPr>
          <w:rFonts w:eastAsia="Times New Roman"/>
          <w:color w:val="000000"/>
          <w:sz w:val="20"/>
          <w:szCs w:val="20"/>
        </w:rPr>
        <w:t>Our valuation allowance increased by $73 million to $296 </w:t>
      </w:r>
      <w:r>
        <w:rPr>
          <w:rFonts w:eastAsia="Times New Roman"/>
          <w:color w:val="000000"/>
          <w:sz w:val="20"/>
          <w:szCs w:val="20"/>
        </w:rPr>
        <w:t>million as of December 31, 2020 compared to $223 million as of December 31, 2019. Of the total increase, $56 million is due to the determination that our foreign tax credit carryforwards will not be fully realized prior to expiration. The remaining increas</w:t>
      </w:r>
      <w:r>
        <w:rPr>
          <w:rFonts w:eastAsia="Times New Roman"/>
          <w:color w:val="000000"/>
          <w:sz w:val="20"/>
          <w:szCs w:val="20"/>
        </w:rPr>
        <w:t>e relates to current year increments for state net operating loss and interest carryforwards.</w:t>
      </w:r>
    </w:p>
    <w:p w:rsidR="00000000" w:rsidRDefault="00E0782F">
      <w:pPr>
        <w:jc w:val="both"/>
        <w:divId w:val="1794445356"/>
        <w:rPr>
          <w:rFonts w:eastAsia="Times New Roman"/>
        </w:rPr>
      </w:pPr>
      <w:r>
        <w:rPr>
          <w:rFonts w:eastAsia="Times New Roman"/>
          <w:color w:val="000000"/>
          <w:sz w:val="20"/>
          <w:szCs w:val="20"/>
        </w:rPr>
        <w:t xml:space="preserve">We recognize accrued interest and penalties related to income taxes as a component of income tax expense. We recognized $16 million, $4 million and $6 million of </w:t>
      </w:r>
      <w:r>
        <w:rPr>
          <w:rFonts w:eastAsia="Times New Roman"/>
          <w:color w:val="000000"/>
          <w:sz w:val="20"/>
          <w:szCs w:val="20"/>
        </w:rPr>
        <w:t>such expense in 2020, 2019 and 2018, respectively.</w:t>
      </w:r>
    </w:p>
    <w:p w:rsidR="00000000" w:rsidRDefault="00E0782F">
      <w:pPr>
        <w:jc w:val="both"/>
        <w:divId w:val="32728560"/>
        <w:rPr>
          <w:rFonts w:eastAsia="Times New Roman"/>
        </w:rPr>
      </w:pPr>
      <w:r>
        <w:rPr>
          <w:rFonts w:eastAsia="Times New Roman"/>
          <w:color w:val="000000"/>
          <w:sz w:val="20"/>
          <w:szCs w:val="20"/>
        </w:rPr>
        <w:t>The following table presents the accrued balance of tax, interest and penalties related to unrecognized tax benefits.</w:t>
      </w:r>
    </w:p>
    <w:p w:rsidR="00000000" w:rsidRDefault="00E0782F">
      <w:pPr>
        <w:divId w:val="1306426561"/>
        <w:rPr>
          <w:rFonts w:eastAsia="Times New Roman"/>
        </w:rPr>
      </w:pPr>
      <w:r>
        <w:rPr>
          <w:rFonts w:eastAsia="Times New Roman"/>
          <w:b/>
          <w:bCs/>
          <w:color w:val="000000"/>
          <w:sz w:val="18"/>
          <w:szCs w:val="18"/>
        </w:rPr>
        <w:t>Table 15.4: Reconciliation of the Change in Unrecognized Tax Benefits</w:t>
      </w:r>
    </w:p>
    <w:tbl>
      <w:tblPr>
        <w:tblW w:w="4963" w:type="pct"/>
        <w:tblCellMar>
          <w:top w:w="15" w:type="dxa"/>
          <w:left w:w="15" w:type="dxa"/>
          <w:bottom w:w="15" w:type="dxa"/>
          <w:right w:w="15" w:type="dxa"/>
        </w:tblCellMar>
        <w:tblLook w:val="04A0" w:firstRow="1" w:lastRow="0" w:firstColumn="1" w:lastColumn="0" w:noHBand="0" w:noVBand="1"/>
      </w:tblPr>
      <w:tblGrid>
        <w:gridCol w:w="40"/>
        <w:gridCol w:w="4940"/>
        <w:gridCol w:w="39"/>
        <w:gridCol w:w="36"/>
        <w:gridCol w:w="36"/>
        <w:gridCol w:w="36"/>
        <w:gridCol w:w="111"/>
        <w:gridCol w:w="887"/>
        <w:gridCol w:w="36"/>
        <w:gridCol w:w="36"/>
        <w:gridCol w:w="36"/>
        <w:gridCol w:w="36"/>
        <w:gridCol w:w="111"/>
        <w:gridCol w:w="787"/>
        <w:gridCol w:w="36"/>
        <w:gridCol w:w="36"/>
        <w:gridCol w:w="36"/>
        <w:gridCol w:w="36"/>
        <w:gridCol w:w="111"/>
        <w:gridCol w:w="787"/>
        <w:gridCol w:w="36"/>
      </w:tblGrid>
      <w:tr w:rsidR="00000000">
        <w:trPr>
          <w:divId w:val="797141486"/>
        </w:trPr>
        <w:tc>
          <w:tcPr>
            <w:tcW w:w="50" w:type="pct"/>
            <w:vAlign w:val="center"/>
            <w:hideMark/>
          </w:tcPr>
          <w:p w:rsidR="00000000" w:rsidRDefault="00E0782F">
            <w:pPr>
              <w:rPr>
                <w:rFonts w:eastAsia="Times New Roman"/>
              </w:rPr>
            </w:pPr>
          </w:p>
        </w:tc>
        <w:tc>
          <w:tcPr>
            <w:tcW w:w="31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9714148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Unrecognized</w:t>
            </w:r>
            <w:r>
              <w:rPr>
                <w:rFonts w:eastAsia="Times New Roman"/>
                <w:b/>
                <w:bCs/>
                <w:color w:val="000000"/>
                <w:sz w:val="16"/>
                <w:szCs w:val="16"/>
              </w:rPr>
              <w:br/>
              <w:t>Tax Benefits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Accrued</w:t>
            </w:r>
            <w:r>
              <w:rPr>
                <w:rFonts w:eastAsia="Times New Roman"/>
                <w:b/>
                <w:bCs/>
                <w:color w:val="000000"/>
                <w:sz w:val="16"/>
                <w:szCs w:val="16"/>
              </w:rPr>
              <w:br/>
              <w:t>Interest and</w:t>
            </w:r>
            <w:r>
              <w:rPr>
                <w:rFonts w:eastAsia="Times New Roman"/>
                <w:b/>
                <w:bCs/>
                <w:color w:val="000000"/>
                <w:sz w:val="16"/>
                <w:szCs w:val="16"/>
              </w:rPr>
              <w:br/>
              <w:t>Penalties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Gross Tax,</w:t>
            </w:r>
            <w:r>
              <w:rPr>
                <w:rFonts w:eastAsia="Times New Roman"/>
                <w:b/>
                <w:bCs/>
                <w:color w:val="000000"/>
                <w:sz w:val="16"/>
                <w:szCs w:val="16"/>
              </w:rPr>
              <w:br/>
              <w:t>Interest and</w:t>
            </w:r>
            <w:r>
              <w:rPr>
                <w:rFonts w:eastAsia="Times New Roman"/>
                <w:b/>
                <w:bCs/>
                <w:color w:val="000000"/>
                <w:sz w:val="16"/>
                <w:szCs w:val="16"/>
              </w:rPr>
              <w:br/>
              <w:t>Penalties</w:t>
            </w:r>
          </w:p>
        </w:tc>
      </w:tr>
      <w:tr w:rsidR="00000000">
        <w:trPr>
          <w:divId w:val="79714148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January 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Additions for tax positions related to the current year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Additions for tax positions related to prior years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Reductions for tax positions related to prior years due to IRS and other settlements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Additions for tax positions related to the current year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Additions for tax positions related to prior years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Reductions for tax positions related to prior years due to IRS and other settlements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2019</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Additions for tax positions related to the current year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Additions for tax positions related to prior years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Reductions for tax positions related to prior years due to IRS and other settlements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Balance as of December 31, 2020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497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714148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Portion of balance at December </w:t>
            </w:r>
            <w:r>
              <w:rPr>
                <w:rFonts w:eastAsia="Times New Roman"/>
                <w:color w:val="000000"/>
                <w:sz w:val="18"/>
                <w:szCs w:val="18"/>
              </w:rPr>
              <w:t>31, 2020 that, if recognized, would impact the effective income tax rate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153</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35</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188</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bl>
    <w:p w:rsidR="00000000" w:rsidRDefault="00E0782F">
      <w:pPr>
        <w:jc w:val="both"/>
        <w:divId w:val="108207628"/>
        <w:rPr>
          <w:rFonts w:eastAsia="Times New Roman"/>
        </w:rPr>
      </w:pPr>
      <w:r>
        <w:rPr>
          <w:rFonts w:eastAsia="Times New Roman"/>
          <w:color w:val="000000"/>
          <w:sz w:val="20"/>
          <w:szCs w:val="20"/>
        </w:rPr>
        <w:t xml:space="preserve">We are subject to examination by the IRS and other tax authorities in certain countries and states in which we operate. The tax years subject to examination vary by jurisdiction. During </w:t>
      </w:r>
      <w:r>
        <w:rPr>
          <w:rFonts w:eastAsia="Times New Roman"/>
          <w:color w:val="000000"/>
          <w:sz w:val="20"/>
          <w:szCs w:val="20"/>
        </w:rPr>
        <w:t>2020, we continued to participate in the IRS Compliance Assurance Process (“CAP”) for our 2018, 2019 and 2020 federal income tax return years, and have been accepted into CAP for 2021. During 2020, the IRS review of our 2017 federal income tax return was c</w:t>
      </w:r>
      <w:r>
        <w:rPr>
          <w:rFonts w:eastAsia="Times New Roman"/>
          <w:color w:val="000000"/>
          <w:sz w:val="20"/>
          <w:szCs w:val="20"/>
        </w:rPr>
        <w:t>ompleted, with one issue remaining open. This issue is now pending at the IRS Independent Office of Appeals, with a resolution expected during 2021. The IRS review of our 2018 and 2019 federal income tax returns is also substantially completed and these ye</w:t>
      </w:r>
      <w:r>
        <w:rPr>
          <w:rFonts w:eastAsia="Times New Roman"/>
          <w:color w:val="000000"/>
          <w:sz w:val="20"/>
          <w:szCs w:val="20"/>
        </w:rPr>
        <w:t>ars are also expected to be closed in 2021. We expect that the IRS review of our 2020 federal income tax return will be substantially completed prior to its filing in 2021.  </w:t>
      </w:r>
    </w:p>
    <w:p w:rsidR="00000000" w:rsidRDefault="00E0782F">
      <w:pPr>
        <w:jc w:val="both"/>
        <w:divId w:val="1321041483"/>
        <w:rPr>
          <w:rFonts w:eastAsia="Times New Roman"/>
        </w:rPr>
      </w:pPr>
      <w:r>
        <w:rPr>
          <w:rFonts w:eastAsia="Times New Roman"/>
          <w:color w:val="000000"/>
          <w:sz w:val="20"/>
          <w:szCs w:val="20"/>
        </w:rPr>
        <w:t xml:space="preserve">It is reasonably possible that further adjustments to the Company’s unrecognized </w:t>
      </w:r>
      <w:r>
        <w:rPr>
          <w:rFonts w:eastAsia="Times New Roman"/>
          <w:color w:val="000000"/>
          <w:sz w:val="20"/>
          <w:szCs w:val="20"/>
        </w:rPr>
        <w:t>tax benefits may be made within 12 months of the reporting date as a result of future judicial or regulatory interpretations of existing tax laws. At this time, an estimate of the potential changes to the amount of unrecognized tax benefits cannot be made.</w:t>
      </w:r>
    </w:p>
    <w:p w:rsidR="00000000" w:rsidRDefault="00E0782F">
      <w:pPr>
        <w:jc w:val="both"/>
        <w:divId w:val="999775362"/>
        <w:rPr>
          <w:rFonts w:eastAsia="Times New Roman"/>
        </w:rPr>
      </w:pPr>
      <w:r>
        <w:rPr>
          <w:rFonts w:eastAsia="Times New Roman"/>
          <w:color w:val="000000"/>
          <w:sz w:val="20"/>
          <w:szCs w:val="20"/>
        </w:rPr>
        <w:t>As of December 31, 2020, the company has approximately $1.6 billion of unremitted earnings of subsidiaries operating outside the U.S. that upon repatriation would have no additional U.S. income taxes. In accordance with the guidance for accounting for inc</w:t>
      </w:r>
      <w:r>
        <w:rPr>
          <w:rFonts w:eastAsia="Times New Roman"/>
          <w:color w:val="000000"/>
          <w:sz w:val="20"/>
          <w:szCs w:val="20"/>
        </w:rPr>
        <w:t>ome taxes in special areas, these earnings are considered by management to be invested indefinitely, except for the earnings of our Philippines subsidiary as we have made distributions and expect to make distributions in the future.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485893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1485893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1485893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7" style="width:0;height:1.5pt" o:hralign="center" o:hrstd="t" o:hr="t" fillcolor="#a0a0a0" stroked="f"/>
        </w:pict>
      </w:r>
    </w:p>
    <w:p w:rsidR="00000000" w:rsidRDefault="00E0782F">
      <w:pPr>
        <w:jc w:val="both"/>
        <w:divId w:val="8273020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82730202"/>
        <w:rPr>
          <w:rFonts w:eastAsia="Times New Roman"/>
        </w:rPr>
      </w:pPr>
    </w:p>
    <w:p w:rsidR="00000000" w:rsidRDefault="00E0782F">
      <w:pPr>
        <w:jc w:val="center"/>
        <w:divId w:val="82730202"/>
        <w:rPr>
          <w:rFonts w:eastAsia="Times New Roman"/>
        </w:rPr>
      </w:pPr>
      <w:r>
        <w:rPr>
          <w:rFonts w:eastAsia="Times New Roman"/>
          <w:b/>
          <w:bCs/>
          <w:color w:val="000000"/>
          <w:sz w:val="20"/>
          <w:szCs w:val="20"/>
        </w:rPr>
        <w:t>CAPITAL ONE FINANCIAL CORPORATION</w:t>
      </w:r>
    </w:p>
    <w:p w:rsidR="00000000" w:rsidRDefault="00E0782F">
      <w:pPr>
        <w:jc w:val="center"/>
        <w:divId w:val="82730202"/>
        <w:rPr>
          <w:rFonts w:eastAsia="Times New Roman"/>
        </w:rPr>
      </w:pPr>
      <w:r>
        <w:rPr>
          <w:rFonts w:eastAsia="Times New Roman"/>
          <w:b/>
          <w:bCs/>
          <w:color w:val="000000"/>
          <w:sz w:val="20"/>
          <w:szCs w:val="20"/>
        </w:rPr>
        <w:t>NOTES TO CONSOLIDATED FINANCIAL STATEMENTS</w:t>
      </w:r>
    </w:p>
    <w:p w:rsidR="00000000" w:rsidRDefault="00E0782F">
      <w:pPr>
        <w:jc w:val="both"/>
        <w:divId w:val="942300090"/>
        <w:rPr>
          <w:rFonts w:eastAsia="Times New Roman"/>
        </w:rPr>
      </w:pPr>
      <w:r>
        <w:rPr>
          <w:rFonts w:eastAsia="Times New Roman"/>
          <w:color w:val="000000"/>
          <w:sz w:val="20"/>
          <w:szCs w:val="20"/>
        </w:rPr>
        <w:t>As of December 31, 2020, U.S. income taxes of $69 million have no</w:t>
      </w:r>
      <w:r>
        <w:rPr>
          <w:rFonts w:eastAsia="Times New Roman"/>
          <w:color w:val="000000"/>
          <w:sz w:val="20"/>
          <w:szCs w:val="20"/>
        </w:rPr>
        <w:t>t been provided for approximately $287 million of previously acquired thrift bad debt reserves created for tax purposes as of December 31, 1987. These amounts, acquired as a result of previous mergers and acquisitions, are subject to recapture in the unlik</w:t>
      </w:r>
      <w:r>
        <w:rPr>
          <w:rFonts w:eastAsia="Times New Roman"/>
          <w:color w:val="000000"/>
          <w:sz w:val="20"/>
          <w:szCs w:val="20"/>
        </w:rPr>
        <w:t>ely event that CONA, as the successor to the merged and acquired entities, makes distributions in excess of earnings and profits, redeems its stock or liquidates.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89958664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89958664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89958664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8" style="width:0;height:1.5pt" o:hralign="center" o:hrstd="t" o:hr="t" fillcolor="#a0a0a0" stroked="f"/>
        </w:pict>
      </w:r>
    </w:p>
    <w:p w:rsidR="00000000" w:rsidRDefault="00E0782F">
      <w:pPr>
        <w:jc w:val="both"/>
        <w:divId w:val="111375002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113750023"/>
        <w:rPr>
          <w:rFonts w:eastAsia="Times New Roman"/>
        </w:rPr>
      </w:pPr>
    </w:p>
    <w:p w:rsidR="00000000" w:rsidRDefault="00E0782F">
      <w:pPr>
        <w:jc w:val="center"/>
        <w:divId w:val="1113750023"/>
        <w:rPr>
          <w:rFonts w:eastAsia="Times New Roman"/>
        </w:rPr>
      </w:pPr>
      <w:r>
        <w:rPr>
          <w:rFonts w:eastAsia="Times New Roman"/>
          <w:b/>
          <w:bCs/>
          <w:color w:val="000000"/>
          <w:sz w:val="20"/>
          <w:szCs w:val="20"/>
        </w:rPr>
        <w:t>CAPITAL ONE FINANCIAL CORPORATION</w:t>
      </w:r>
    </w:p>
    <w:p w:rsidR="00000000" w:rsidRDefault="00E0782F">
      <w:pPr>
        <w:jc w:val="center"/>
        <w:divId w:val="111375002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954480954"/>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954480954"/>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16—FAIR VALUE MEASUREMENT</w:t>
            </w:r>
          </w:p>
        </w:tc>
      </w:tr>
    </w:tbl>
    <w:p w:rsidR="00000000" w:rsidRDefault="00E0782F">
      <w:pPr>
        <w:jc w:val="both"/>
        <w:divId w:val="1384333970"/>
        <w:rPr>
          <w:rFonts w:eastAsia="Times New Roman"/>
        </w:rPr>
      </w:pPr>
      <w:r>
        <w:rPr>
          <w:rFonts w:eastAsia="Times New Roman"/>
          <w:color w:val="000000"/>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eastAsia="Times New Roman"/>
          <w:color w:val="000000"/>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eastAsia="Times New Roman"/>
          <w:color w:val="000000"/>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eastAsia="Times New Roman"/>
          <w:color w:val="000000"/>
          <w:sz w:val="20"/>
          <w:szCs w:val="20"/>
        </w:rPr>
        <w:t>bed below:</w:t>
      </w:r>
    </w:p>
    <w:tbl>
      <w:tblPr>
        <w:tblW w:w="5000" w:type="pct"/>
        <w:tblCellMar>
          <w:top w:w="15" w:type="dxa"/>
          <w:left w:w="15" w:type="dxa"/>
          <w:bottom w:w="15" w:type="dxa"/>
          <w:right w:w="15" w:type="dxa"/>
        </w:tblCellMar>
        <w:tblLook w:val="04A0" w:firstRow="1" w:lastRow="0" w:firstColumn="1" w:lastColumn="0" w:noHBand="0" w:noVBand="1"/>
      </w:tblPr>
      <w:tblGrid>
        <w:gridCol w:w="86"/>
        <w:gridCol w:w="607"/>
        <w:gridCol w:w="36"/>
        <w:gridCol w:w="36"/>
        <w:gridCol w:w="36"/>
        <w:gridCol w:w="36"/>
        <w:gridCol w:w="38"/>
        <w:gridCol w:w="7394"/>
        <w:gridCol w:w="37"/>
      </w:tblGrid>
      <w:tr w:rsidR="00000000">
        <w:trPr>
          <w:divId w:val="173886847"/>
        </w:trPr>
        <w:tc>
          <w:tcPr>
            <w:tcW w:w="50" w:type="pct"/>
            <w:vAlign w:val="center"/>
            <w:hideMark/>
          </w:tcPr>
          <w:p w:rsidR="00000000" w:rsidRDefault="00E0782F">
            <w:pPr>
              <w:jc w:val="both"/>
              <w:rPr>
                <w:rFonts w:eastAsia="Times New Roman"/>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9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73886847"/>
        </w:trPr>
        <w:tc>
          <w:tcPr>
            <w:tcW w:w="0" w:type="auto"/>
            <w:gridSpan w:val="3"/>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20"/>
                <w:szCs w:val="20"/>
              </w:rPr>
              <w:t>Level 1:</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color w:val="000000"/>
                <w:sz w:val="20"/>
                <w:szCs w:val="20"/>
              </w:rPr>
              <w:t>Valuation is based on quoted prices (unadjusted) in active markets for identical assets or liabilities.</w:t>
            </w:r>
          </w:p>
        </w:tc>
      </w:tr>
      <w:tr w:rsidR="00000000">
        <w:trPr>
          <w:divId w:val="173886847"/>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20"/>
                <w:szCs w:val="20"/>
              </w:rPr>
              <w:t>Level 2:</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color w:val="000000"/>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eastAsia="Times New Roman"/>
                <w:color w:val="000000"/>
                <w:sz w:val="20"/>
                <w:szCs w:val="20"/>
              </w:rPr>
              <w:t>market data for substantially the full term of the assets or liabilities.</w:t>
            </w:r>
          </w:p>
        </w:tc>
      </w:tr>
      <w:tr w:rsidR="00000000">
        <w:trPr>
          <w:divId w:val="173886847"/>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20"/>
                <w:szCs w:val="20"/>
              </w:rPr>
              <w:t>Level 3:</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color w:val="000000"/>
                <w:sz w:val="20"/>
                <w:szCs w:val="20"/>
              </w:rPr>
              <w:t>Valuation is generated from techniques that use significant assumptions not observable in the market. Valuation techniques include pricing models, discounted cash fl</w:t>
            </w:r>
            <w:r>
              <w:rPr>
                <w:rFonts w:eastAsia="Times New Roman"/>
                <w:color w:val="000000"/>
                <w:sz w:val="20"/>
                <w:szCs w:val="20"/>
              </w:rPr>
              <w:t>ow methodologies or similar techniques.</w:t>
            </w:r>
          </w:p>
        </w:tc>
      </w:tr>
    </w:tbl>
    <w:p w:rsidR="00000000" w:rsidRDefault="00E0782F">
      <w:pPr>
        <w:jc w:val="both"/>
        <w:divId w:val="534729631"/>
        <w:rPr>
          <w:rFonts w:eastAsia="Times New Roman"/>
        </w:rPr>
      </w:pPr>
      <w:r>
        <w:rPr>
          <w:rFonts w:eastAsia="Times New Roman"/>
          <w:color w:val="000000"/>
          <w:sz w:val="20"/>
          <w:szCs w:val="20"/>
        </w:rPr>
        <w:t>The accounting guidance for fair value measurements requires that we maximize the use of observable inputs and minimize the use of unobservable inputs in determining fair value. The accounting guidance provides for the irrevocable option to elect, on a con</w:t>
      </w:r>
      <w:r>
        <w:rPr>
          <w:rFonts w:eastAsia="Times New Roman"/>
          <w:color w:val="000000"/>
          <w:sz w:val="20"/>
          <w:szCs w:val="20"/>
        </w:rPr>
        <w:t>tract-by-contract basis, to measure certain financial assets and liabilities at fair value at inception of the contract and record any subsequent changes in fair value in earnings.</w:t>
      </w:r>
    </w:p>
    <w:p w:rsidR="00000000" w:rsidRDefault="00E0782F">
      <w:pPr>
        <w:divId w:val="703290509"/>
        <w:rPr>
          <w:rFonts w:eastAsia="Times New Roman"/>
        </w:rPr>
      </w:pPr>
      <w:r>
        <w:rPr>
          <w:rFonts w:eastAsia="Times New Roman"/>
          <w:b/>
          <w:bCs/>
          <w:color w:val="000000"/>
          <w:sz w:val="20"/>
          <w:szCs w:val="20"/>
        </w:rPr>
        <w:t>Assets and Liabilities Measured at Fair Value on a Recurring Basis</w:t>
      </w:r>
    </w:p>
    <w:p w:rsidR="00000000" w:rsidRDefault="00E0782F">
      <w:pPr>
        <w:jc w:val="both"/>
        <w:divId w:val="672143530"/>
        <w:rPr>
          <w:rFonts w:eastAsia="Times New Roman"/>
        </w:rPr>
      </w:pPr>
      <w:r>
        <w:rPr>
          <w:rFonts w:eastAsia="Times New Roman"/>
          <w:color w:val="000000"/>
          <w:sz w:val="20"/>
          <w:szCs w:val="20"/>
        </w:rPr>
        <w:t>The foll</w:t>
      </w:r>
      <w:r>
        <w:rPr>
          <w:rFonts w:eastAsia="Times New Roman"/>
          <w:color w:val="000000"/>
          <w:sz w:val="20"/>
          <w:szCs w:val="20"/>
        </w:rPr>
        <w:t>owing describes the valuation techniques used in estimating the fair value of our financial assets and liabilities recorded at fair value on a recurring basis.</w:t>
      </w:r>
    </w:p>
    <w:p w:rsidR="00000000" w:rsidRDefault="00E0782F">
      <w:pPr>
        <w:divId w:val="1034885903"/>
        <w:rPr>
          <w:rFonts w:eastAsia="Times New Roman"/>
        </w:rPr>
      </w:pPr>
      <w:r>
        <w:rPr>
          <w:rFonts w:eastAsia="Times New Roman"/>
          <w:b/>
          <w:bCs/>
          <w:i/>
          <w:iCs/>
          <w:color w:val="000000"/>
          <w:sz w:val="20"/>
          <w:szCs w:val="20"/>
        </w:rPr>
        <w:t>Investment Securities</w:t>
      </w:r>
    </w:p>
    <w:p w:rsidR="00000000" w:rsidRDefault="00E0782F">
      <w:pPr>
        <w:jc w:val="both"/>
        <w:divId w:val="433984517"/>
        <w:rPr>
          <w:rFonts w:eastAsia="Times New Roman"/>
        </w:rPr>
      </w:pPr>
      <w:r>
        <w:rPr>
          <w:rFonts w:eastAsia="Times New Roman"/>
          <w:color w:val="000000"/>
          <w:sz w:val="20"/>
          <w:szCs w:val="20"/>
        </w:rPr>
        <w:t>We measure the fair value of our U.S. Treasury securities using quoted pri</w:t>
      </w:r>
      <w:r>
        <w:rPr>
          <w:rFonts w:eastAsia="Times New Roman"/>
          <w:color w:val="000000"/>
          <w:sz w:val="20"/>
          <w:szCs w:val="20"/>
        </w:rPr>
        <w:t>ces in active markets. For the majority of securities in other investment categories, we utilize multiple vendor pricing services to obtain fair value measurements. We use a waterfall of pricing vendors determined using our annual assessment of pricing ser</w:t>
      </w:r>
      <w:r>
        <w:rPr>
          <w:rFonts w:eastAsia="Times New Roman"/>
          <w:color w:val="000000"/>
          <w:sz w:val="20"/>
          <w:szCs w:val="20"/>
        </w:rPr>
        <w:t xml:space="preserve">vice performance. A pricing service may be considered as the preferred or primary pricing provider depending on how closely aligned its prices are to other vendor prices, and how consistent the prices are with other available market information. The price </w:t>
      </w:r>
      <w:r>
        <w:rPr>
          <w:rFonts w:eastAsia="Times New Roman"/>
          <w:color w:val="000000"/>
          <w:sz w:val="20"/>
          <w:szCs w:val="20"/>
        </w:rPr>
        <w:t>of each security is confirmed by comparing with other vendor prices before it is finalized.</w:t>
      </w:r>
    </w:p>
    <w:p w:rsidR="00000000" w:rsidRDefault="00E0782F">
      <w:pPr>
        <w:jc w:val="both"/>
        <w:divId w:val="284240023"/>
        <w:rPr>
          <w:rFonts w:eastAsia="Times New Roman"/>
        </w:rPr>
      </w:pPr>
      <w:r>
        <w:rPr>
          <w:rFonts w:eastAsia="Times New Roman"/>
          <w:color w:val="000000"/>
          <w:sz w:val="20"/>
          <w:szCs w:val="20"/>
        </w:rPr>
        <w:t>RMBS and CMBS are generally classified as Level 2 or 3. When significant assumptions are not consistently observable, fair values are derived using the best availab</w:t>
      </w:r>
      <w:r>
        <w:rPr>
          <w:rFonts w:eastAsia="Times New Roman"/>
          <w:color w:val="000000"/>
          <w:sz w:val="20"/>
          <w:szCs w:val="20"/>
        </w:rPr>
        <w:t>le data. Such data may include quotes provided by dealers, valuation from external pricing services, independent pricing models, or other model-based valuation techniques, for example, calculation of the present values of future cash flows incorporating as</w:t>
      </w:r>
      <w:r>
        <w:rPr>
          <w:rFonts w:eastAsia="Times New Roman"/>
          <w:color w:val="000000"/>
          <w:sz w:val="20"/>
          <w:szCs w:val="20"/>
        </w:rPr>
        <w:t>sumptions such as benchmark yields, spreads, prepayment speeds, credit ratings and losses. Generally, the pricing services utilize observable market data to the extent available. Pricing models may be used, which can vary by asset class and may also incorp</w:t>
      </w:r>
      <w:r>
        <w:rPr>
          <w:rFonts w:eastAsia="Times New Roman"/>
          <w:color w:val="000000"/>
          <w:sz w:val="20"/>
          <w:szCs w:val="20"/>
        </w:rPr>
        <w:t>orate available trade, bid and other market information. Across asset classes, information such as trader/dealer inputs, credit spreads, forward curves and prepayment speeds are used to help determine appropriate valuations. Because many fixed income secur</w:t>
      </w:r>
      <w:r>
        <w:rPr>
          <w:rFonts w:eastAsia="Times New Roman"/>
          <w:color w:val="000000"/>
          <w:sz w:val="20"/>
          <w:szCs w:val="20"/>
        </w:rPr>
        <w:t>ities do not trade on a daily basis, the pricing models may apply available information through processes such as benchmarking curves, grouping securities based on their characteristics and using matrix pricing to prepare valuations. In addition, model pro</w:t>
      </w:r>
      <w:r>
        <w:rPr>
          <w:rFonts w:eastAsia="Times New Roman"/>
          <w:color w:val="000000"/>
          <w:sz w:val="20"/>
          <w:szCs w:val="20"/>
        </w:rPr>
        <w:t>cesses are used by the pricing services to develop prepayment assumptions.</w:t>
      </w:r>
    </w:p>
    <w:p w:rsidR="00000000" w:rsidRDefault="00E0782F">
      <w:pPr>
        <w:jc w:val="both"/>
        <w:divId w:val="1201699049"/>
        <w:rPr>
          <w:rFonts w:eastAsia="Times New Roman"/>
        </w:rPr>
      </w:pPr>
      <w:r>
        <w:rPr>
          <w:rFonts w:eastAsia="Times New Roman"/>
          <w:color w:val="000000"/>
          <w:sz w:val="20"/>
          <w:szCs w:val="20"/>
        </w:rPr>
        <w:t>We validate the pricing obtained from the primary pricing providers through comparison of pricing to additional sources, including other pricing services, dealer pricing indications</w:t>
      </w:r>
      <w:r>
        <w:rPr>
          <w:rFonts w:eastAsia="Times New Roman"/>
          <w:color w:val="000000"/>
          <w:sz w:val="20"/>
          <w:szCs w:val="20"/>
        </w:rPr>
        <w:t xml:space="preserve"> in transaction results and other internal sources. Pricing variances among different pricing sources are analyzed. Additionally, on an on-going basis, we request more detailed information from the valuation vendors to understand the pricing methodology an</w:t>
      </w:r>
      <w:r>
        <w:rPr>
          <w:rFonts w:eastAsia="Times New Roman"/>
          <w:color w:val="000000"/>
          <w:sz w:val="20"/>
          <w:szCs w:val="20"/>
        </w:rPr>
        <w:t>d assumptions used to value the securities.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7567713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7567713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7567713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19" style="width:0;height:1.5pt" o:hralign="center" o:hrstd="t" o:hr="t" fillcolor="#a0a0a0" stroked="f"/>
        </w:pict>
      </w:r>
    </w:p>
    <w:p w:rsidR="00000000" w:rsidRDefault="00E0782F">
      <w:pPr>
        <w:jc w:val="both"/>
        <w:divId w:val="1732849029"/>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732849029"/>
        <w:rPr>
          <w:rFonts w:eastAsia="Times New Roman"/>
        </w:rPr>
      </w:pPr>
    </w:p>
    <w:p w:rsidR="00000000" w:rsidRDefault="00E0782F">
      <w:pPr>
        <w:jc w:val="center"/>
        <w:divId w:val="1732849029"/>
        <w:rPr>
          <w:rFonts w:eastAsia="Times New Roman"/>
        </w:rPr>
      </w:pPr>
      <w:r>
        <w:rPr>
          <w:rFonts w:eastAsia="Times New Roman"/>
          <w:b/>
          <w:bCs/>
          <w:color w:val="000000"/>
          <w:sz w:val="20"/>
          <w:szCs w:val="20"/>
        </w:rPr>
        <w:t>CAPITAL ONE FINANCIAL CORPORATION</w:t>
      </w:r>
    </w:p>
    <w:p w:rsidR="00000000" w:rsidRDefault="00E0782F">
      <w:pPr>
        <w:jc w:val="center"/>
        <w:divId w:val="1732849029"/>
        <w:rPr>
          <w:rFonts w:eastAsia="Times New Roman"/>
        </w:rPr>
      </w:pPr>
      <w:r>
        <w:rPr>
          <w:rFonts w:eastAsia="Times New Roman"/>
          <w:b/>
          <w:bCs/>
          <w:color w:val="000000"/>
          <w:sz w:val="20"/>
          <w:szCs w:val="20"/>
        </w:rPr>
        <w:t>NOTES TO CONSOLIDATED FINANCIAL STATEMENTS</w:t>
      </w:r>
    </w:p>
    <w:p w:rsidR="00000000" w:rsidRDefault="00E0782F">
      <w:pPr>
        <w:divId w:val="1842155250"/>
        <w:rPr>
          <w:rFonts w:eastAsia="Times New Roman"/>
        </w:rPr>
      </w:pPr>
      <w:r>
        <w:rPr>
          <w:rFonts w:eastAsia="Times New Roman"/>
          <w:b/>
          <w:bCs/>
          <w:i/>
          <w:iCs/>
          <w:color w:val="000000"/>
          <w:sz w:val="20"/>
          <w:szCs w:val="20"/>
        </w:rPr>
        <w:t>Derivative Assets and Liabilities</w:t>
      </w:r>
    </w:p>
    <w:p w:rsidR="00000000" w:rsidRDefault="00E0782F">
      <w:pPr>
        <w:jc w:val="both"/>
        <w:divId w:val="1689403920"/>
        <w:rPr>
          <w:rFonts w:eastAsia="Times New Roman"/>
        </w:rPr>
      </w:pPr>
      <w:r>
        <w:rPr>
          <w:rFonts w:eastAsia="Times New Roman"/>
          <w:color w:val="000000"/>
          <w:sz w:val="20"/>
          <w:szCs w:val="20"/>
        </w:rPr>
        <w:t>We use both exchange-traded and OTC derivatives to manage our interest rate, foreign currency and commodity risk exposures. When quoted market prices are available and used to value our exchange-traded derivatives, we classify them as Level 1. However, the</w:t>
      </w:r>
      <w:r>
        <w:rPr>
          <w:rFonts w:eastAsia="Times New Roman"/>
          <w:color w:val="000000"/>
          <w:sz w:val="20"/>
          <w:szCs w:val="20"/>
        </w:rPr>
        <w:t xml:space="preserve"> majority of our derivatives do not have readily available quoted market prices. Therefore, we value most of our derivatives using vendor-based models. We primarily rely on market observable inputs for these models, including, for example, interest rate yi</w:t>
      </w:r>
      <w:r>
        <w:rPr>
          <w:rFonts w:eastAsia="Times New Roman"/>
          <w:color w:val="000000"/>
          <w:sz w:val="20"/>
          <w:szCs w:val="20"/>
        </w:rPr>
        <w:t>eld curves, credit curves, option volatility and currency rates. These inputs can vary depending on the type of derivatives and nature of the underlying rate, price or index upon which the value of the derivative is based. We typically classify derivatives</w:t>
      </w:r>
      <w:r>
        <w:rPr>
          <w:rFonts w:eastAsia="Times New Roman"/>
          <w:color w:val="000000"/>
          <w:sz w:val="20"/>
          <w:szCs w:val="20"/>
        </w:rPr>
        <w:t xml:space="preserve"> as Level 2 when significant inputs can be observed in a liquid market and the model itself does not require significant judgment. When instruments are traded in less liquid markets and significant inputs are unobservable, such as interest rate swaps whose</w:t>
      </w:r>
      <w:r>
        <w:rPr>
          <w:rFonts w:eastAsia="Times New Roman"/>
          <w:color w:val="000000"/>
          <w:sz w:val="20"/>
          <w:szCs w:val="20"/>
        </w:rPr>
        <w:t xml:space="preserve"> remaining terms do not correlate with market observable interest rate yield curves, such derivatives are classified as Level 3. We consider the impact of credit risk valuation adjustments when measuring the fair value of derivative contracts in order to r</w:t>
      </w:r>
      <w:r>
        <w:rPr>
          <w:rFonts w:eastAsia="Times New Roman"/>
          <w:color w:val="000000"/>
          <w:sz w:val="20"/>
          <w:szCs w:val="20"/>
        </w:rPr>
        <w:t>eflect the credit quality of the counterparty and our own credit quality. Official internal pricing is compared against additional pricing sources such as external valuation agents and other internal sources. Pricing variances among different pricing sourc</w:t>
      </w:r>
      <w:r>
        <w:rPr>
          <w:rFonts w:eastAsia="Times New Roman"/>
          <w:color w:val="000000"/>
          <w:sz w:val="20"/>
          <w:szCs w:val="20"/>
        </w:rPr>
        <w:t>es are analyzed and validated. These derivatives are included in other assets or other liabilities on the consolidated balance sheets.</w:t>
      </w:r>
    </w:p>
    <w:p w:rsidR="00000000" w:rsidRDefault="00E0782F">
      <w:pPr>
        <w:divId w:val="1841196932"/>
        <w:rPr>
          <w:rFonts w:eastAsia="Times New Roman"/>
        </w:rPr>
      </w:pPr>
      <w:r>
        <w:rPr>
          <w:rFonts w:eastAsia="Times New Roman"/>
          <w:b/>
          <w:bCs/>
          <w:i/>
          <w:iCs/>
          <w:color w:val="000000"/>
          <w:sz w:val="20"/>
          <w:szCs w:val="20"/>
        </w:rPr>
        <w:t>Loans Held for Sale</w:t>
      </w:r>
    </w:p>
    <w:p w:rsidR="00000000" w:rsidRDefault="00E0782F">
      <w:pPr>
        <w:jc w:val="both"/>
        <w:divId w:val="900822875"/>
        <w:rPr>
          <w:rFonts w:eastAsia="Times New Roman"/>
        </w:rPr>
      </w:pPr>
      <w:r>
        <w:rPr>
          <w:rFonts w:eastAsia="Times New Roman"/>
          <w:color w:val="000000"/>
          <w:sz w:val="20"/>
          <w:szCs w:val="20"/>
        </w:rPr>
        <w:t xml:space="preserve">In our commercial business, we originate multifamily commercial real estate loans with the intent to </w:t>
      </w:r>
      <w:r>
        <w:rPr>
          <w:rFonts w:eastAsia="Times New Roman"/>
          <w:color w:val="000000"/>
          <w:sz w:val="20"/>
          <w:szCs w:val="20"/>
        </w:rPr>
        <w:t xml:space="preserve">sell them to GSEs. Beginning in the fourth quarter of 2019, we elected the fair value option for such loans as part of our management of interest rate risk in our multifamily agency business. These held for sale loans are valued based on market observable </w:t>
      </w:r>
      <w:r>
        <w:rPr>
          <w:rFonts w:eastAsia="Times New Roman"/>
          <w:color w:val="000000"/>
          <w:sz w:val="20"/>
          <w:szCs w:val="20"/>
        </w:rPr>
        <w:t>inputs and are therefore classified as Level 2. Unrealized gains and losses on these loans are recorded in other non-interest income in our consolidated statements of income.</w:t>
      </w:r>
    </w:p>
    <w:p w:rsidR="00000000" w:rsidRDefault="00E0782F">
      <w:pPr>
        <w:divId w:val="43872151"/>
        <w:rPr>
          <w:rFonts w:eastAsia="Times New Roman"/>
        </w:rPr>
      </w:pPr>
      <w:r>
        <w:rPr>
          <w:rFonts w:eastAsia="Times New Roman"/>
          <w:b/>
          <w:bCs/>
          <w:i/>
          <w:iCs/>
          <w:color w:val="000000"/>
          <w:sz w:val="20"/>
          <w:szCs w:val="20"/>
        </w:rPr>
        <w:t xml:space="preserve">Retained Interests in Securitizations </w:t>
      </w:r>
    </w:p>
    <w:p w:rsidR="00000000" w:rsidRDefault="00E0782F">
      <w:pPr>
        <w:jc w:val="both"/>
        <w:divId w:val="259333626"/>
        <w:rPr>
          <w:rFonts w:eastAsia="Times New Roman"/>
        </w:rPr>
      </w:pPr>
      <w:r>
        <w:rPr>
          <w:rFonts w:eastAsia="Times New Roman"/>
          <w:color w:val="000000"/>
          <w:sz w:val="20"/>
          <w:szCs w:val="20"/>
        </w:rPr>
        <w:t>We have retained interests in various mort</w:t>
      </w:r>
      <w:r>
        <w:rPr>
          <w:rFonts w:eastAsia="Times New Roman"/>
          <w:color w:val="000000"/>
          <w:sz w:val="20"/>
          <w:szCs w:val="20"/>
        </w:rPr>
        <w:t>gage securitizations from previous acquisitions. Our retained interests primarily include interest-only bonds and negative amortization bonds. We record these retained interests at fair value using market indications and valuation models to calculate the p</w:t>
      </w:r>
      <w:r>
        <w:rPr>
          <w:rFonts w:eastAsia="Times New Roman"/>
          <w:color w:val="000000"/>
          <w:sz w:val="20"/>
          <w:szCs w:val="20"/>
        </w:rPr>
        <w:t>resent value of future cash flows. The models incorporate various assumptions that market participants use in estimating future cash flows including voluntary prepayment rate, discount rate, default rate and loss severity. Due to the use of significant uno</w:t>
      </w:r>
      <w:r>
        <w:rPr>
          <w:rFonts w:eastAsia="Times New Roman"/>
          <w:color w:val="000000"/>
          <w:sz w:val="20"/>
          <w:szCs w:val="20"/>
        </w:rPr>
        <w:t>bservable inputs, retained interests in securitizations are classified as Level 3 under the fair value hierarchy.</w:t>
      </w:r>
    </w:p>
    <w:p w:rsidR="00000000" w:rsidRDefault="00E0782F">
      <w:pPr>
        <w:divId w:val="533659650"/>
        <w:rPr>
          <w:rFonts w:eastAsia="Times New Roman"/>
        </w:rPr>
      </w:pPr>
      <w:r>
        <w:rPr>
          <w:rFonts w:eastAsia="Times New Roman"/>
          <w:b/>
          <w:bCs/>
          <w:i/>
          <w:iCs/>
          <w:color w:val="000000"/>
          <w:sz w:val="20"/>
          <w:szCs w:val="20"/>
        </w:rPr>
        <w:t>Deferred Compensation Plan Assets</w:t>
      </w:r>
    </w:p>
    <w:p w:rsidR="00000000" w:rsidRDefault="00E0782F">
      <w:pPr>
        <w:jc w:val="both"/>
        <w:divId w:val="1120685436"/>
        <w:rPr>
          <w:rFonts w:eastAsia="Times New Roman"/>
        </w:rPr>
      </w:pPr>
      <w:r>
        <w:rPr>
          <w:rFonts w:eastAsia="Times New Roman"/>
          <w:color w:val="000000"/>
          <w:sz w:val="20"/>
          <w:szCs w:val="20"/>
        </w:rPr>
        <w:t>We offer a voluntary non-qualified deferred compensation plan to eligible associates. In addition to partici</w:t>
      </w:r>
      <w:r>
        <w:rPr>
          <w:rFonts w:eastAsia="Times New Roman"/>
          <w:color w:val="000000"/>
          <w:sz w:val="20"/>
          <w:szCs w:val="20"/>
        </w:rPr>
        <w:t xml:space="preserve">pant deferrals, we make contributions to the plan. Participants invest these contributions in a variety of publicly traded mutual funds. The plan assets, which consist of publicly traded mutual funds, are classified as Level 1. </w:t>
      </w:r>
    </w:p>
    <w:p w:rsidR="00000000" w:rsidRDefault="00E0782F">
      <w:pPr>
        <w:jc w:val="both"/>
        <w:divId w:val="696739711"/>
        <w:rPr>
          <w:rFonts w:eastAsia="Times New Roman"/>
        </w:rPr>
      </w:pPr>
      <w:r>
        <w:rPr>
          <w:rFonts w:eastAsia="Times New Roman"/>
          <w:color w:val="000000"/>
          <w:sz w:val="20"/>
          <w:szCs w:val="20"/>
        </w:rPr>
        <w:t>The determination of the le</w:t>
      </w:r>
      <w:r>
        <w:rPr>
          <w:rFonts w:eastAsia="Times New Roman"/>
          <w:color w:val="000000"/>
          <w:sz w:val="20"/>
          <w:szCs w:val="20"/>
        </w:rPr>
        <w:t>veling of financial instruments in the fair value hierarchy is performed at the end of each reporting period. We consider all available information, including observable market data, indications of market liquidity and orderliness, and our understanding of</w:t>
      </w:r>
      <w:r>
        <w:rPr>
          <w:rFonts w:eastAsia="Times New Roman"/>
          <w:color w:val="000000"/>
          <w:sz w:val="20"/>
          <w:szCs w:val="20"/>
        </w:rPr>
        <w:t xml:space="preserve"> the valuation techniques and significant inputs. Based upon the specific facts and circumstances of each instrument or instrument category, judgments are made regarding the significance of the observable or unobservable inputs to the instruments’ fair val</w:t>
      </w:r>
      <w:r>
        <w:rPr>
          <w:rFonts w:eastAsia="Times New Roman"/>
          <w:color w:val="000000"/>
          <w:sz w:val="20"/>
          <w:szCs w:val="20"/>
        </w:rPr>
        <w:t>ue measurement in its entirety. If unobservable inputs are considered significant, the instrument is classified as Level 3. The process for determining fair value using unobservable inputs is generally more subjective and involves a high degree of manageme</w:t>
      </w:r>
      <w:r>
        <w:rPr>
          <w:rFonts w:eastAsia="Times New Roman"/>
          <w:color w:val="000000"/>
          <w:sz w:val="20"/>
          <w:szCs w:val="20"/>
        </w:rPr>
        <w:t>nt judgment and assumptions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54048615"/>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5404861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5404861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0" style="width:0;height:1.5pt" o:hralign="center" o:hrstd="t" o:hr="t" fillcolor="#a0a0a0" stroked="f"/>
        </w:pict>
      </w:r>
    </w:p>
    <w:p w:rsidR="00000000" w:rsidRDefault="00E0782F">
      <w:pPr>
        <w:jc w:val="both"/>
        <w:divId w:val="5933080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59330802"/>
        <w:rPr>
          <w:rFonts w:eastAsia="Times New Roman"/>
        </w:rPr>
      </w:pPr>
    </w:p>
    <w:p w:rsidR="00000000" w:rsidRDefault="00E0782F">
      <w:pPr>
        <w:jc w:val="center"/>
        <w:divId w:val="59330802"/>
        <w:rPr>
          <w:rFonts w:eastAsia="Times New Roman"/>
        </w:rPr>
      </w:pPr>
      <w:r>
        <w:rPr>
          <w:rFonts w:eastAsia="Times New Roman"/>
          <w:b/>
          <w:bCs/>
          <w:color w:val="000000"/>
          <w:sz w:val="20"/>
          <w:szCs w:val="20"/>
        </w:rPr>
        <w:t>CAPITAL ONE FINANCIAL CORPORATION</w:t>
      </w:r>
    </w:p>
    <w:p w:rsidR="00000000" w:rsidRDefault="00E0782F">
      <w:pPr>
        <w:jc w:val="center"/>
        <w:divId w:val="59330802"/>
        <w:rPr>
          <w:rFonts w:eastAsia="Times New Roman"/>
        </w:rPr>
      </w:pPr>
      <w:r>
        <w:rPr>
          <w:rFonts w:eastAsia="Times New Roman"/>
          <w:b/>
          <w:bCs/>
          <w:color w:val="000000"/>
          <w:sz w:val="20"/>
          <w:szCs w:val="20"/>
        </w:rPr>
        <w:t>NOTES TO CONSOLIDATED FINANCIAL STATEMENTS</w:t>
      </w:r>
    </w:p>
    <w:p w:rsidR="00000000" w:rsidRDefault="00E0782F">
      <w:pPr>
        <w:divId w:val="50352505"/>
        <w:rPr>
          <w:rFonts w:eastAsia="Times New Roman"/>
        </w:rPr>
      </w:pPr>
      <w:r>
        <w:rPr>
          <w:rFonts w:eastAsia="Times New Roman"/>
          <w:color w:val="000000"/>
          <w:sz w:val="20"/>
          <w:szCs w:val="20"/>
        </w:rPr>
        <w:t>The following table displays our assets and liabilities measured on our consolidated balance sheets at fair value on a recurring basis as of December 31, 2020 and 2019.</w:t>
      </w:r>
    </w:p>
    <w:p w:rsidR="00000000" w:rsidRDefault="00E0782F">
      <w:pPr>
        <w:divId w:val="829715766"/>
        <w:rPr>
          <w:rFonts w:eastAsia="Times New Roman"/>
        </w:rPr>
      </w:pPr>
      <w:r>
        <w:rPr>
          <w:rFonts w:eastAsia="Times New Roman"/>
          <w:b/>
          <w:bCs/>
          <w:color w:val="000000"/>
          <w:sz w:val="18"/>
          <w:szCs w:val="18"/>
        </w:rPr>
        <w:t>Table 16.1: Assets and Liabilities Measured at 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3537"/>
        <w:gridCol w:w="38"/>
        <w:gridCol w:w="36"/>
        <w:gridCol w:w="36"/>
        <w:gridCol w:w="36"/>
        <w:gridCol w:w="111"/>
        <w:gridCol w:w="611"/>
        <w:gridCol w:w="37"/>
        <w:gridCol w:w="37"/>
        <w:gridCol w:w="46"/>
        <w:gridCol w:w="37"/>
        <w:gridCol w:w="111"/>
        <w:gridCol w:w="611"/>
        <w:gridCol w:w="37"/>
        <w:gridCol w:w="37"/>
        <w:gridCol w:w="46"/>
        <w:gridCol w:w="37"/>
        <w:gridCol w:w="110"/>
        <w:gridCol w:w="610"/>
        <w:gridCol w:w="36"/>
        <w:gridCol w:w="36"/>
        <w:gridCol w:w="36"/>
        <w:gridCol w:w="36"/>
        <w:gridCol w:w="111"/>
        <w:gridCol w:w="931"/>
        <w:gridCol w:w="36"/>
        <w:gridCol w:w="36"/>
        <w:gridCol w:w="36"/>
        <w:gridCol w:w="36"/>
        <w:gridCol w:w="110"/>
        <w:gridCol w:w="630"/>
        <w:gridCol w:w="36"/>
      </w:tblGrid>
      <w:tr w:rsidR="00000000">
        <w:trPr>
          <w:divId w:val="1211766532"/>
        </w:trPr>
        <w:tc>
          <w:tcPr>
            <w:tcW w:w="50" w:type="pct"/>
            <w:vAlign w:val="center"/>
            <w:hideMark/>
          </w:tcPr>
          <w:p w:rsidR="00000000" w:rsidRDefault="00E0782F">
            <w:pPr>
              <w:rPr>
                <w:rFonts w:eastAsia="Times New Roman"/>
              </w:rPr>
            </w:pPr>
          </w:p>
        </w:tc>
        <w:tc>
          <w:tcPr>
            <w:tcW w:w="256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11766532"/>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1211766532"/>
          <w:trHeight w:val="24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11766532"/>
          <w:trHeight w:val="24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121176653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1176653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1176653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9,318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76,375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76,703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11,624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11,735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2,689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9,460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90,546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100,445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596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11766532"/>
        </w:trPr>
        <w:tc>
          <w:tcPr>
            <w:tcW w:w="0" w:type="auto"/>
            <w:gridSpan w:val="3"/>
            <w:shd w:val="clear" w:color="auto" w:fill="FFFFFF"/>
            <w:tcMar>
              <w:top w:w="30" w:type="dxa"/>
              <w:left w:w="20" w:type="dxa"/>
              <w:bottom w:w="30" w:type="dxa"/>
              <w:right w:w="20" w:type="dxa"/>
            </w:tcMar>
            <w:vAlign w:val="center"/>
            <w:hideMark/>
          </w:tcPr>
          <w:p w:rsidR="00000000" w:rsidRDefault="00E0782F">
            <w:pPr>
              <w:divId w:val="1121144163"/>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(1,148)</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2,267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CCEEFF"/>
            <w:tcMar>
              <w:top w:w="30" w:type="dxa"/>
              <w:left w:w="20" w:type="dxa"/>
              <w:bottom w:w="30" w:type="dxa"/>
              <w:right w:w="20" w:type="dxa"/>
            </w:tcMar>
            <w:vAlign w:val="center"/>
            <w:hideMark/>
          </w:tcPr>
          <w:p w:rsidR="00000000" w:rsidRDefault="00E0782F">
            <w:pPr>
              <w:divId w:val="167938369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10,158</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94,700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(1,148)</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104,345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1176653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11766532"/>
        </w:trPr>
        <w:tc>
          <w:tcPr>
            <w:tcW w:w="0" w:type="auto"/>
            <w:gridSpan w:val="3"/>
            <w:shd w:val="clear" w:color="auto" w:fill="CCEEFF"/>
            <w:tcMar>
              <w:top w:w="30" w:type="dxa"/>
              <w:left w:w="20" w:type="dxa"/>
              <w:bottom w:w="30" w:type="dxa"/>
              <w:right w:w="20" w:type="dxa"/>
            </w:tcMar>
            <w:vAlign w:val="center"/>
            <w:hideMark/>
          </w:tcPr>
          <w:p w:rsidR="00000000" w:rsidRDefault="00E0782F">
            <w:pPr>
              <w:divId w:val="1396080033"/>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1,137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779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21176653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779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267"/>
        <w:gridCol w:w="144"/>
        <w:gridCol w:w="144"/>
        <w:gridCol w:w="144"/>
        <w:gridCol w:w="144"/>
        <w:gridCol w:w="144"/>
        <w:gridCol w:w="576"/>
        <w:gridCol w:w="144"/>
        <w:gridCol w:w="144"/>
        <w:gridCol w:w="144"/>
        <w:gridCol w:w="144"/>
        <w:gridCol w:w="144"/>
        <w:gridCol w:w="576"/>
        <w:gridCol w:w="144"/>
        <w:gridCol w:w="144"/>
        <w:gridCol w:w="144"/>
        <w:gridCol w:w="144"/>
        <w:gridCol w:w="144"/>
        <w:gridCol w:w="576"/>
        <w:gridCol w:w="144"/>
        <w:gridCol w:w="144"/>
        <w:gridCol w:w="144"/>
        <w:gridCol w:w="144"/>
        <w:gridCol w:w="144"/>
        <w:gridCol w:w="878"/>
        <w:gridCol w:w="144"/>
        <w:gridCol w:w="144"/>
        <w:gridCol w:w="144"/>
        <w:gridCol w:w="144"/>
        <w:gridCol w:w="144"/>
        <w:gridCol w:w="576"/>
        <w:gridCol w:w="144"/>
      </w:tblGrid>
      <w:tr w:rsidR="00000000">
        <w:tc>
          <w:tcPr>
            <w:tcW w:w="50" w:type="pct"/>
            <w:vAlign w:val="center"/>
            <w:hideMark/>
          </w:tcPr>
          <w:p w:rsidR="00000000" w:rsidRDefault="00E0782F">
            <w:pPr>
              <w:rPr>
                <w:rFonts w:eastAsia="Times New Roman"/>
              </w:rPr>
            </w:pPr>
          </w:p>
        </w:tc>
        <w:tc>
          <w:tcPr>
            <w:tcW w:w="256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trHeight w:val="24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Fair Value Measurements Using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Netting Adjustment</w:t>
            </w:r>
            <w:r>
              <w:rPr>
                <w:rFonts w:eastAsia="Times New Roman"/>
                <w:b/>
                <w:bCs/>
                <w:color w:val="000000"/>
                <w:sz w:val="16"/>
                <w:szCs w:val="16"/>
              </w:rPr>
              <w:t>s</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trHeight w:val="24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U.S. Treasury securities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63,909 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64,338 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9,426 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74,416 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79,213 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260383869"/>
              <w:rPr>
                <w:rFonts w:eastAsia="Times New Roman"/>
              </w:rPr>
            </w:pPr>
            <w:r>
              <w:rPr>
                <w:rFonts w:eastAsia="Times New Roman"/>
                <w:color w:val="000000"/>
                <w:sz w:val="18"/>
                <w:szCs w:val="18"/>
              </w:rPr>
              <w:t>Derivative asset</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1,568 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(633)</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1965496331"/>
              <w:rPr>
                <w:rFonts w:eastAsia="Times New Roman"/>
              </w:rPr>
            </w:pPr>
            <w:r>
              <w:rPr>
                <w:rFonts w:eastAsia="Times New Roman"/>
                <w:color w:val="000000"/>
                <w:sz w:val="18"/>
                <w:szCs w:val="18"/>
              </w:rPr>
              <w:t>Othe</w:t>
            </w:r>
            <w:r>
              <w:rPr>
                <w:rFonts w:eastAsia="Times New Roman"/>
                <w:color w:val="000000"/>
                <w:sz w:val="18"/>
                <w:szCs w:val="18"/>
              </w:rPr>
              <w:t>r</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4,783 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76,235 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(633)</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80,970 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2080250049"/>
              <w:rPr>
                <w:rFonts w:eastAsia="Times New Roman"/>
              </w:rPr>
            </w:pPr>
            <w:r>
              <w:rPr>
                <w:rFonts w:eastAsia="Times New Roman"/>
                <w:color w:val="000000"/>
                <w:sz w:val="18"/>
                <w:szCs w:val="18"/>
              </w:rPr>
              <w:t>Derivative liabilitie</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w:t>
            </w:r>
            <w:r>
              <w:rPr>
                <w:rFonts w:eastAsia="Times New Roman"/>
                <w:color w:val="000000"/>
                <w:sz w:val="18"/>
                <w:szCs w:val="18"/>
              </w:rPr>
              <w:t>523)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550383809"/>
        <w:rPr>
          <w:rFonts w:eastAsia="Times New Roman"/>
        </w:rPr>
      </w:pPr>
      <w:r>
        <w:rPr>
          <w:rFonts w:eastAsia="Times New Roman"/>
          <w:color w:val="000000"/>
          <w:sz w:val="20"/>
          <w:szCs w:val="20"/>
        </w:rPr>
        <w:t>__________</w:t>
      </w:r>
    </w:p>
    <w:p w:rsidR="00000000" w:rsidRDefault="00E0782F">
      <w:pPr>
        <w:ind w:hanging="360"/>
        <w:jc w:val="both"/>
        <w:divId w:val="65929332"/>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Represents balance sheet netting of derivative asse</w:t>
      </w:r>
      <w:r>
        <w:rPr>
          <w:rFonts w:eastAsia="Times New Roman"/>
          <w:color w:val="000000"/>
          <w:sz w:val="16"/>
          <w:szCs w:val="16"/>
        </w:rPr>
        <w:t>ts and liabilities, and related payables and receivables for cash collateral held or placed with the same counterparty. See “Note 9—Derivative Instruments and Hedging Activities” for additional information.</w:t>
      </w:r>
    </w:p>
    <w:p w:rsidR="00000000" w:rsidRDefault="00E0782F">
      <w:pPr>
        <w:ind w:hanging="360"/>
        <w:jc w:val="both"/>
        <w:divId w:val="1741979020"/>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Does not reflect $31 million and $12 million r</w:t>
      </w:r>
      <w:r>
        <w:rPr>
          <w:rFonts w:eastAsia="Times New Roman"/>
          <w:color w:val="000000"/>
          <w:sz w:val="16"/>
          <w:szCs w:val="16"/>
        </w:rPr>
        <w:t>ecognized as a net valuation allowance on derivative assets and liabilities for non-performance risk as of December 31, 2020 and 2019</w:t>
      </w:r>
      <w:r>
        <w:rPr>
          <w:rFonts w:eastAsia="Times New Roman"/>
          <w:color w:val="000000"/>
          <w:sz w:val="16"/>
          <w:szCs w:val="16"/>
          <w:shd w:val="clear" w:color="auto" w:fill="FFFFFF"/>
        </w:rPr>
        <w:t>, respectively. Non-performance risk is included in derivative assets and liabilities, which are part of other assets and o</w:t>
      </w:r>
      <w:r>
        <w:rPr>
          <w:rFonts w:eastAsia="Times New Roman"/>
          <w:color w:val="000000"/>
          <w:sz w:val="16"/>
          <w:szCs w:val="16"/>
          <w:shd w:val="clear" w:color="auto" w:fill="FFFFFF"/>
        </w:rPr>
        <w:t>ther liabilities on the consolidated balance sheets, and is offset through non-interest income in the consolidated statements of income.</w:t>
      </w:r>
    </w:p>
    <w:p w:rsidR="00000000" w:rsidRDefault="00E0782F">
      <w:pPr>
        <w:ind w:hanging="360"/>
        <w:jc w:val="both"/>
        <w:divId w:val="342098647"/>
        <w:rPr>
          <w:rFonts w:eastAsia="Times New Roman"/>
        </w:rPr>
      </w:pPr>
      <w:r>
        <w:rPr>
          <w:rFonts w:eastAsia="Times New Roman"/>
          <w:color w:val="000000"/>
          <w:sz w:val="10"/>
          <w:szCs w:val="10"/>
          <w:shd w:val="clear" w:color="auto" w:fill="FFFFFF"/>
        </w:rPr>
        <w:t>(3</w:t>
      </w:r>
      <w:r>
        <w:rPr>
          <w:rFonts w:eastAsia="Times New Roman"/>
          <w:color w:val="000000"/>
          <w:sz w:val="10"/>
          <w:szCs w:val="10"/>
          <w:shd w:val="clear" w:color="auto" w:fill="FFFFFF"/>
        </w:rPr>
        <w:t>)</w:t>
      </w:r>
      <w:r>
        <w:rPr>
          <w:rFonts w:eastAsia="Times New Roman"/>
          <w:color w:val="000000"/>
          <w:sz w:val="16"/>
          <w:szCs w:val="16"/>
        </w:rPr>
        <w:t>As of December 31, 2020 and 2019, other includes retained interests in securitizations of $55 million and $66 millio</w:t>
      </w:r>
      <w:r>
        <w:rPr>
          <w:rFonts w:eastAsia="Times New Roman"/>
          <w:color w:val="000000"/>
          <w:sz w:val="16"/>
          <w:szCs w:val="16"/>
        </w:rPr>
        <w:t>n, deferred compensation plan assets of $414 million and $343 million, and equity securities of $568 million (including unrealized gains of $535 million) and $1 million, respectively.</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30214971"/>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3021497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3021497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1" style="width:0;height:1.5pt" o:hralign="center" o:hrstd="t" o:hr="t" fillcolor="#a0a0a0" stroked="f"/>
        </w:pict>
      </w:r>
    </w:p>
    <w:p w:rsidR="00000000" w:rsidRDefault="00E0782F">
      <w:pPr>
        <w:jc w:val="both"/>
        <w:divId w:val="39701789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97017895"/>
        <w:rPr>
          <w:rFonts w:eastAsia="Times New Roman"/>
        </w:rPr>
      </w:pPr>
    </w:p>
    <w:p w:rsidR="00000000" w:rsidRDefault="00E0782F">
      <w:pPr>
        <w:jc w:val="center"/>
        <w:divId w:val="397017895"/>
        <w:rPr>
          <w:rFonts w:eastAsia="Times New Roman"/>
        </w:rPr>
      </w:pPr>
      <w:r>
        <w:rPr>
          <w:rFonts w:eastAsia="Times New Roman"/>
          <w:b/>
          <w:bCs/>
          <w:color w:val="000000"/>
          <w:sz w:val="20"/>
          <w:szCs w:val="20"/>
        </w:rPr>
        <w:t>CAPITAL ONE FINANCIAL CORPORATION</w:t>
      </w:r>
    </w:p>
    <w:p w:rsidR="00000000" w:rsidRDefault="00E0782F">
      <w:pPr>
        <w:jc w:val="center"/>
        <w:divId w:val="397017895"/>
        <w:rPr>
          <w:rFonts w:eastAsia="Times New Roman"/>
        </w:rPr>
      </w:pPr>
      <w:r>
        <w:rPr>
          <w:rFonts w:eastAsia="Times New Roman"/>
          <w:b/>
          <w:bCs/>
          <w:color w:val="000000"/>
          <w:sz w:val="20"/>
          <w:szCs w:val="20"/>
        </w:rPr>
        <w:t>NOTES TO CONSOLIDATED FINANCIAL STATEMENTS</w:t>
      </w:r>
    </w:p>
    <w:p w:rsidR="00000000" w:rsidRDefault="00E0782F">
      <w:pPr>
        <w:divId w:val="1745949077"/>
        <w:rPr>
          <w:rFonts w:eastAsia="Times New Roman"/>
        </w:rPr>
      </w:pPr>
      <w:r>
        <w:rPr>
          <w:rFonts w:eastAsia="Times New Roman"/>
          <w:b/>
          <w:bCs/>
          <w:color w:val="000000"/>
          <w:sz w:val="20"/>
          <w:szCs w:val="20"/>
          <w:shd w:val="clear" w:color="auto" w:fill="FFFFFF"/>
        </w:rPr>
        <w:t>Level 3 Recurring Fair Val</w:t>
      </w:r>
      <w:r>
        <w:rPr>
          <w:rFonts w:eastAsia="Times New Roman"/>
          <w:b/>
          <w:bCs/>
          <w:color w:val="000000"/>
          <w:sz w:val="20"/>
          <w:szCs w:val="20"/>
        </w:rPr>
        <w:t>ue Rollforward</w:t>
      </w:r>
    </w:p>
    <w:p w:rsidR="00000000" w:rsidRDefault="00E0782F">
      <w:pPr>
        <w:jc w:val="both"/>
        <w:divId w:val="115174757"/>
        <w:rPr>
          <w:rFonts w:eastAsia="Times New Roman"/>
        </w:rPr>
      </w:pPr>
      <w:r>
        <w:rPr>
          <w:rFonts w:eastAsia="Times New Roman"/>
          <w:color w:val="000000"/>
          <w:sz w:val="20"/>
          <w:szCs w:val="20"/>
        </w:rPr>
        <w:t>The table below presents</w:t>
      </w:r>
      <w:r>
        <w:rPr>
          <w:rFonts w:eastAsia="Times New Roman"/>
          <w:color w:val="000000"/>
          <w:sz w:val="20"/>
          <w:szCs w:val="20"/>
        </w:rPr>
        <w:t xml:space="preserve"> a reconciliation for all assets and liabilities measured and recognized at fair value on a recurring basis using significant unobservable inputs (Level 3) for the years ended December 31, 2020, 2019 and 2018. Generally, transfers into Level 3 were primari</w:t>
      </w:r>
      <w:r>
        <w:rPr>
          <w:rFonts w:eastAsia="Times New Roman"/>
          <w:color w:val="000000"/>
          <w:sz w:val="20"/>
          <w:szCs w:val="20"/>
        </w:rPr>
        <w:t>ly driven by the usage of unobservable assumptions in the pricing of these financial instruments as evidenced by wider pricing variations among pricing vendors and transfers out of Level 3 were primarily driven by the usage of assumptions corroborated by m</w:t>
      </w:r>
      <w:r>
        <w:rPr>
          <w:rFonts w:eastAsia="Times New Roman"/>
          <w:color w:val="000000"/>
          <w:sz w:val="20"/>
          <w:szCs w:val="20"/>
        </w:rPr>
        <w:t>arket observable information as evidenced by tighter pricing among multiple pricing sources.</w:t>
      </w:r>
    </w:p>
    <w:p w:rsidR="00000000" w:rsidRDefault="00E0782F">
      <w:pPr>
        <w:divId w:val="1758822281"/>
        <w:rPr>
          <w:rFonts w:eastAsia="Times New Roman"/>
        </w:rPr>
      </w:pPr>
      <w:r>
        <w:rPr>
          <w:rFonts w:eastAsia="Times New Roman"/>
          <w:b/>
          <w:bCs/>
          <w:color w:val="000000"/>
          <w:sz w:val="18"/>
          <w:szCs w:val="18"/>
        </w:rPr>
        <w:t>Table 16.2: Level 3 Recurring Fair Value Rollforward</w:t>
      </w:r>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0"/>
        <w:gridCol w:w="390"/>
        <w:gridCol w:w="36"/>
        <w:gridCol w:w="36"/>
        <w:gridCol w:w="36"/>
        <w:gridCol w:w="36"/>
        <w:gridCol w:w="111"/>
        <w:gridCol w:w="490"/>
        <w:gridCol w:w="791"/>
      </w:tblGrid>
      <w:tr w:rsidR="00000000">
        <w:trPr>
          <w:divId w:val="498228825"/>
        </w:trPr>
        <w:tc>
          <w:tcPr>
            <w:tcW w:w="50" w:type="pct"/>
            <w:vAlign w:val="center"/>
            <w:hideMark/>
          </w:tcPr>
          <w:p w:rsidR="00000000" w:rsidRDefault="00E0782F">
            <w:pPr>
              <w:rPr>
                <w:rFonts w:eastAsia="Times New Roman"/>
              </w:rPr>
            </w:pPr>
          </w:p>
        </w:tc>
        <w:tc>
          <w:tcPr>
            <w:tcW w:w="6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0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98228825"/>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E0782F">
            <w:pPr>
              <w:rPr>
                <w:rFonts w:eastAsia="Times New Roman"/>
                <w:sz w:val="20"/>
                <w:szCs w:val="20"/>
              </w:rPr>
            </w:pPr>
          </w:p>
        </w:tc>
      </w:tr>
      <w:tr w:rsidR="00000000">
        <w:trPr>
          <w:divId w:val="498228825"/>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Year Ended December 31, 2020</w:t>
            </w:r>
          </w:p>
        </w:tc>
        <w:tc>
          <w:tcPr>
            <w:tcW w:w="0" w:type="auto"/>
            <w:vAlign w:val="center"/>
            <w:hideMark/>
          </w:tcPr>
          <w:p w:rsidR="00000000" w:rsidRDefault="00E0782F">
            <w:pPr>
              <w:rPr>
                <w:rFonts w:eastAsia="Times New Roman"/>
                <w:sz w:val="20"/>
                <w:szCs w:val="20"/>
              </w:rPr>
            </w:pPr>
          </w:p>
        </w:tc>
      </w:tr>
      <w:tr w:rsidR="00000000">
        <w:trPr>
          <w:divId w:val="498228825"/>
          <w:trHeight w:val="30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Total Gains (Losses) (Realized/Unrealized)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r>
              <w:rPr>
                <w:rFonts w:eastAsia="Times New Roman"/>
                <w:b/>
                <w:bCs/>
                <w:color w:val="000000"/>
                <w:sz w:val="12"/>
                <w:szCs w:val="12"/>
              </w:rPr>
              <w:t>Net Unrealized Gains (Losses) Included in Net Income Related to Assets and Liabilities Still Held as of December 31, 202</w:t>
            </w:r>
            <w:r>
              <w:rPr>
                <w:rFonts w:eastAsia="Times New Roman"/>
                <w:b/>
                <w:bCs/>
                <w:color w:val="000000"/>
                <w:sz w:val="12"/>
                <w:szCs w:val="12"/>
              </w:rPr>
              <w:t>0</w:t>
            </w:r>
            <w:r>
              <w:rPr>
                <w:rFonts w:eastAsia="Times New Roman"/>
                <w:b/>
                <w:bCs/>
                <w:color w:val="000000"/>
                <w:sz w:val="8"/>
                <w:szCs w:val="8"/>
              </w:rPr>
              <w:t>(1</w:t>
            </w:r>
            <w:r>
              <w:rPr>
                <w:rFonts w:eastAsia="Times New Roman"/>
                <w:b/>
                <w:bCs/>
                <w:color w:val="000000"/>
                <w:sz w:val="8"/>
                <w:szCs w:val="8"/>
              </w:rPr>
              <w:t>)</w:t>
            </w:r>
          </w:p>
          <w:p w:rsidR="00000000" w:rsidRDefault="00E0782F">
            <w:pPr>
              <w:jc w:val="center"/>
              <w:rPr>
                <w:rFonts w:eastAsia="Times New Roman"/>
              </w:rPr>
            </w:pPr>
          </w:p>
        </w:tc>
      </w:tr>
      <w:tr w:rsidR="00000000">
        <w:trPr>
          <w:divId w:val="498228825"/>
          <w:trHeight w:val="46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4"/>
                <w:szCs w:val="14"/>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Balance, January 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Included</w:t>
            </w:r>
          </w:p>
          <w:p w:rsidR="00000000" w:rsidRDefault="00E0782F">
            <w:pPr>
              <w:jc w:val="center"/>
              <w:rPr>
                <w:rFonts w:eastAsia="Times New Roman"/>
              </w:rPr>
            </w:pPr>
            <w:r>
              <w:rPr>
                <w:rFonts w:eastAsia="Times New Roman"/>
                <w:b/>
                <w:bCs/>
                <w:color w:val="000000"/>
                <w:sz w:val="12"/>
                <w:szCs w:val="12"/>
              </w:rPr>
              <w:t>in Net</w:t>
            </w:r>
          </w:p>
          <w:p w:rsidR="00000000" w:rsidRDefault="00E0782F">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Balance, December 31, 2020</w:t>
            </w:r>
          </w:p>
        </w:tc>
        <w:tc>
          <w:tcPr>
            <w:tcW w:w="0" w:type="auto"/>
            <w:tcMar>
              <w:top w:w="0" w:type="dxa"/>
              <w:left w:w="20" w:type="dxa"/>
              <w:bottom w:w="0" w:type="dxa"/>
              <w:right w:w="20" w:type="dxa"/>
            </w:tcMar>
            <w:vAlign w:val="center"/>
            <w:hideMark/>
          </w:tcPr>
          <w:p w:rsidR="00000000" w:rsidRDefault="00E0782F">
            <w:pPr>
              <w:jc w:val="center"/>
              <w:rPr>
                <w:rFonts w:eastAsia="Times New Roman"/>
              </w:rPr>
            </w:pPr>
          </w:p>
        </w:tc>
      </w:tr>
      <w:tr w:rsidR="00000000">
        <w:trPr>
          <w:divId w:val="4982288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1457603811"/>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(2)(4</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49822882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328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r>
      <w:tr w:rsidR="00E0782F">
        <w:trPr>
          <w:divId w:val="498228825"/>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(9)</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371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(229)</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r>
      <w:tr w:rsidR="00000000">
        <w:trPr>
          <w:divId w:val="498228825"/>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498228825"/>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577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439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16</w:t>
            </w:r>
            <w:r>
              <w:rPr>
                <w:rFonts w:eastAsia="Times New Roman"/>
                <w:color w:val="000000"/>
                <w:sz w:val="18"/>
                <w:szCs w:val="18"/>
              </w:rPr>
              <w:t> </w:t>
            </w:r>
          </w:p>
        </w:tc>
      </w:tr>
      <w:tr w:rsidR="00000000">
        <w:trPr>
          <w:divId w:val="49822882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98228825"/>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498228825"/>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(11)</w:t>
            </w:r>
          </w:p>
        </w:tc>
      </w:tr>
      <w:tr w:rsidR="00E0782F">
        <w:trPr>
          <w:divId w:val="498228825"/>
        </w:trPr>
        <w:tc>
          <w:tcPr>
            <w:tcW w:w="0" w:type="auto"/>
            <w:gridSpan w:val="3"/>
            <w:shd w:val="clear" w:color="auto" w:fill="CCEEFF"/>
            <w:tcMar>
              <w:top w:w="30" w:type="dxa"/>
              <w:left w:w="20" w:type="dxa"/>
              <w:bottom w:w="30" w:type="dxa"/>
              <w:right w:w="20" w:type="dxa"/>
            </w:tcMar>
            <w:vAlign w:val="center"/>
            <w:hideMark/>
          </w:tcPr>
          <w:p w:rsidR="00000000" w:rsidRDefault="00E0782F">
            <w:pPr>
              <w:divId w:val="1705448403"/>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(37)</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b/>
                <w:bCs/>
                <w:color w:val="000000"/>
                <w:sz w:val="18"/>
                <w:szCs w:val="18"/>
              </w:rPr>
              <w:t>10</w:t>
            </w:r>
            <w:r>
              <w:rPr>
                <w:rFonts w:eastAsia="Times New Roman"/>
                <w:color w:val="000000"/>
                <w:sz w:val="18"/>
                <w:szCs w:val="18"/>
              </w:rPr>
              <w:t> </w:t>
            </w:r>
          </w:p>
        </w:tc>
      </w:tr>
    </w:tbl>
    <w:p w:rsidR="00000000" w:rsidRDefault="00E0782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38"/>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6"/>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0"/>
        <w:gridCol w:w="390"/>
        <w:gridCol w:w="36"/>
        <w:gridCol w:w="36"/>
        <w:gridCol w:w="36"/>
        <w:gridCol w:w="36"/>
        <w:gridCol w:w="111"/>
        <w:gridCol w:w="490"/>
        <w:gridCol w:w="791"/>
      </w:tblGrid>
      <w:tr w:rsidR="00000000">
        <w:trPr>
          <w:divId w:val="463355419"/>
        </w:trPr>
        <w:tc>
          <w:tcPr>
            <w:tcW w:w="50" w:type="pct"/>
            <w:vAlign w:val="center"/>
            <w:hideMark/>
          </w:tcPr>
          <w:p w:rsidR="00000000" w:rsidRDefault="00E0782F">
            <w:pPr>
              <w:jc w:val="both"/>
              <w:rPr>
                <w:rFonts w:eastAsia="Times New Roman"/>
              </w:rPr>
            </w:pPr>
          </w:p>
        </w:tc>
        <w:tc>
          <w:tcPr>
            <w:tcW w:w="6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0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5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6335541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E0782F">
            <w:pPr>
              <w:rPr>
                <w:rFonts w:eastAsia="Times New Roman"/>
                <w:sz w:val="20"/>
                <w:szCs w:val="20"/>
              </w:rPr>
            </w:pPr>
          </w:p>
        </w:tc>
      </w:tr>
      <w:tr w:rsidR="00000000">
        <w:trPr>
          <w:divId w:val="46335541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Year Ended December 31, 2019</w:t>
            </w:r>
          </w:p>
        </w:tc>
        <w:tc>
          <w:tcPr>
            <w:tcW w:w="0" w:type="auto"/>
            <w:vAlign w:val="center"/>
            <w:hideMark/>
          </w:tcPr>
          <w:p w:rsidR="00000000" w:rsidRDefault="00E0782F">
            <w:pPr>
              <w:rPr>
                <w:rFonts w:eastAsia="Times New Roman"/>
                <w:sz w:val="20"/>
                <w:szCs w:val="20"/>
              </w:rPr>
            </w:pPr>
          </w:p>
        </w:tc>
      </w:tr>
      <w:tr w:rsidR="00000000">
        <w:trPr>
          <w:divId w:val="463355419"/>
          <w:trHeight w:val="30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r>
              <w:rPr>
                <w:rFonts w:eastAsia="Times New Roman"/>
                <w:b/>
                <w:bCs/>
                <w:color w:val="000000"/>
                <w:sz w:val="12"/>
                <w:szCs w:val="12"/>
              </w:rPr>
              <w:t>Net Unrealized Gains (Losses) Included in Net Income Related to Assets and Liabilities Still Held as of December 31, 201</w:t>
            </w:r>
            <w:r>
              <w:rPr>
                <w:rFonts w:eastAsia="Times New Roman"/>
                <w:b/>
                <w:bCs/>
                <w:color w:val="000000"/>
                <w:sz w:val="12"/>
                <w:szCs w:val="12"/>
              </w:rPr>
              <w:t>9</w:t>
            </w:r>
            <w:r>
              <w:rPr>
                <w:rFonts w:eastAsia="Times New Roman"/>
                <w:b/>
                <w:bCs/>
                <w:color w:val="000000"/>
                <w:sz w:val="8"/>
                <w:szCs w:val="8"/>
              </w:rPr>
              <w:t>(1</w:t>
            </w:r>
            <w:r>
              <w:rPr>
                <w:rFonts w:eastAsia="Times New Roman"/>
                <w:b/>
                <w:bCs/>
                <w:color w:val="000000"/>
                <w:sz w:val="8"/>
                <w:szCs w:val="8"/>
              </w:rPr>
              <w:t>)</w:t>
            </w:r>
          </w:p>
          <w:p w:rsidR="00000000" w:rsidRDefault="00E0782F">
            <w:pPr>
              <w:jc w:val="center"/>
              <w:rPr>
                <w:rFonts w:eastAsia="Times New Roman"/>
              </w:rPr>
            </w:pPr>
          </w:p>
        </w:tc>
      </w:tr>
      <w:tr w:rsidR="00000000">
        <w:trPr>
          <w:divId w:val="463355419"/>
          <w:trHeight w:val="46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Balance, January 1, 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Included</w:t>
            </w:r>
          </w:p>
          <w:p w:rsidR="00000000" w:rsidRDefault="00E0782F">
            <w:pPr>
              <w:jc w:val="center"/>
              <w:rPr>
                <w:rFonts w:eastAsia="Times New Roman"/>
              </w:rPr>
            </w:pPr>
            <w:r>
              <w:rPr>
                <w:rFonts w:eastAsia="Times New Roman"/>
                <w:b/>
                <w:bCs/>
                <w:color w:val="000000"/>
                <w:sz w:val="12"/>
                <w:szCs w:val="12"/>
              </w:rPr>
              <w:t>in Net</w:t>
            </w:r>
          </w:p>
          <w:p w:rsidR="00000000" w:rsidRDefault="00E0782F">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Balance, December 31, 2019</w:t>
            </w:r>
          </w:p>
        </w:tc>
        <w:tc>
          <w:tcPr>
            <w:tcW w:w="0" w:type="auto"/>
            <w:tcMar>
              <w:top w:w="0" w:type="dxa"/>
              <w:left w:w="20" w:type="dxa"/>
              <w:bottom w:w="0" w:type="dxa"/>
              <w:right w:w="20" w:type="dxa"/>
            </w:tcMar>
            <w:vAlign w:val="center"/>
            <w:hideMark/>
          </w:tcPr>
          <w:p w:rsidR="00000000" w:rsidRDefault="00E0782F">
            <w:pPr>
              <w:jc w:val="center"/>
              <w:rPr>
                <w:rFonts w:eastAsia="Times New Roman"/>
              </w:rPr>
            </w:pPr>
          </w:p>
        </w:tc>
      </w:tr>
      <w:tr w:rsidR="00000000">
        <w:trPr>
          <w:divId w:val="46335541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851258413"/>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46335541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429 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$34 </w:t>
            </w:r>
          </w:p>
        </w:tc>
      </w:tr>
      <w:tr w:rsidR="00E0782F">
        <w:trPr>
          <w:divId w:val="463355419"/>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0 </w:t>
            </w:r>
          </w:p>
        </w:tc>
      </w:tr>
      <w:tr w:rsidR="00000000">
        <w:trPr>
          <w:divId w:val="463355419"/>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463355419"/>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2"/>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E0782F">
        <w:trPr>
          <w:divId w:val="46335541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securities available for sale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34 </w:t>
            </w:r>
          </w:p>
        </w:tc>
      </w:tr>
      <w:tr w:rsidR="00000000">
        <w:trPr>
          <w:divId w:val="463355419"/>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463355419"/>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(110)</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(19)</w:t>
            </w:r>
          </w:p>
        </w:tc>
      </w:tr>
      <w:tr w:rsidR="00E0782F">
        <w:trPr>
          <w:divId w:val="463355419"/>
        </w:trPr>
        <w:tc>
          <w:tcPr>
            <w:tcW w:w="0" w:type="auto"/>
            <w:gridSpan w:val="3"/>
            <w:shd w:val="clear" w:color="auto" w:fill="CCEEFF"/>
            <w:tcMar>
              <w:top w:w="30" w:type="dxa"/>
              <w:left w:w="20" w:type="dxa"/>
              <w:bottom w:w="30" w:type="dxa"/>
              <w:right w:w="20" w:type="dxa"/>
            </w:tcMar>
            <w:vAlign w:val="center"/>
            <w:hideMark/>
          </w:tcPr>
          <w:p w:rsidR="00000000" w:rsidRDefault="00E0782F">
            <w:pPr>
              <w:divId w:val="1141121846"/>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w:t>
            </w: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1 </w:t>
            </w:r>
          </w:p>
        </w:tc>
      </w:tr>
    </w:tbl>
    <w:p w:rsidR="00000000" w:rsidRDefault="00E0782F">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064908903"/>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06490890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06490890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2" style="width:0;height:1.5pt" o:hralign="center" o:hrstd="t" o:hr="t" fillcolor="#a0a0a0" stroked="f"/>
        </w:pict>
      </w:r>
    </w:p>
    <w:p w:rsidR="00000000" w:rsidRDefault="00E0782F">
      <w:pPr>
        <w:jc w:val="both"/>
        <w:divId w:val="154397553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543975533"/>
        <w:rPr>
          <w:rFonts w:eastAsia="Times New Roman"/>
        </w:rPr>
      </w:pPr>
    </w:p>
    <w:p w:rsidR="00000000" w:rsidRDefault="00E0782F">
      <w:pPr>
        <w:jc w:val="center"/>
        <w:divId w:val="1543975533"/>
        <w:rPr>
          <w:rFonts w:eastAsia="Times New Roman"/>
        </w:rPr>
      </w:pPr>
      <w:r>
        <w:rPr>
          <w:rFonts w:eastAsia="Times New Roman"/>
          <w:b/>
          <w:bCs/>
          <w:color w:val="000000"/>
          <w:sz w:val="20"/>
          <w:szCs w:val="20"/>
        </w:rPr>
        <w:t>CAPITAL ONE FINANCIAL CORPORATION</w:t>
      </w:r>
    </w:p>
    <w:p w:rsidR="00000000" w:rsidRDefault="00E0782F">
      <w:pPr>
        <w:jc w:val="center"/>
        <w:divId w:val="154397553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87"/>
        <w:gridCol w:w="1210"/>
        <w:gridCol w:w="40"/>
        <w:gridCol w:w="36"/>
        <w:gridCol w:w="36"/>
        <w:gridCol w:w="36"/>
        <w:gridCol w:w="111"/>
        <w:gridCol w:w="489"/>
        <w:gridCol w:w="36"/>
        <w:gridCol w:w="36"/>
        <w:gridCol w:w="36"/>
        <w:gridCol w:w="36"/>
        <w:gridCol w:w="111"/>
        <w:gridCol w:w="444"/>
        <w:gridCol w:w="37"/>
        <w:gridCol w:w="37"/>
        <w:gridCol w:w="47"/>
        <w:gridCol w:w="36"/>
        <w:gridCol w:w="110"/>
        <w:gridCol w:w="443"/>
        <w:gridCol w:w="36"/>
        <w:gridCol w:w="36"/>
        <w:gridCol w:w="36"/>
        <w:gridCol w:w="36"/>
        <w:gridCol w:w="111"/>
        <w:gridCol w:w="462"/>
        <w:gridCol w:w="36"/>
        <w:gridCol w:w="36"/>
        <w:gridCol w:w="36"/>
        <w:gridCol w:w="36"/>
        <w:gridCol w:w="111"/>
        <w:gridCol w:w="234"/>
        <w:gridCol w:w="36"/>
        <w:gridCol w:w="36"/>
        <w:gridCol w:w="36"/>
        <w:gridCol w:w="36"/>
        <w:gridCol w:w="111"/>
        <w:gridCol w:w="430"/>
        <w:gridCol w:w="36"/>
        <w:gridCol w:w="36"/>
        <w:gridCol w:w="36"/>
        <w:gridCol w:w="36"/>
        <w:gridCol w:w="111"/>
        <w:gridCol w:w="534"/>
        <w:gridCol w:w="36"/>
        <w:gridCol w:w="36"/>
        <w:gridCol w:w="36"/>
        <w:gridCol w:w="36"/>
        <w:gridCol w:w="111"/>
        <w:gridCol w:w="447"/>
        <w:gridCol w:w="36"/>
        <w:gridCol w:w="36"/>
        <w:gridCol w:w="36"/>
        <w:gridCol w:w="36"/>
        <w:gridCol w:w="110"/>
        <w:gridCol w:w="390"/>
        <w:gridCol w:w="36"/>
        <w:gridCol w:w="36"/>
        <w:gridCol w:w="36"/>
        <w:gridCol w:w="36"/>
        <w:gridCol w:w="111"/>
        <w:gridCol w:w="491"/>
        <w:gridCol w:w="791"/>
      </w:tblGrid>
      <w:tr w:rsidR="00000000">
        <w:trPr>
          <w:divId w:val="1643382738"/>
        </w:trPr>
        <w:tc>
          <w:tcPr>
            <w:tcW w:w="50" w:type="pct"/>
            <w:vAlign w:val="center"/>
            <w:hideMark/>
          </w:tcPr>
          <w:p w:rsidR="00000000" w:rsidRDefault="00E0782F">
            <w:pPr>
              <w:jc w:val="center"/>
              <w:rPr>
                <w:rFonts w:eastAsia="Times New Roman"/>
              </w:rPr>
            </w:pPr>
          </w:p>
        </w:tc>
        <w:tc>
          <w:tcPr>
            <w:tcW w:w="69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7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5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9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6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4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6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43382738"/>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Fair Value Measurements Using Significant Unobservable Inputs (Level 3)</w:t>
            </w:r>
          </w:p>
        </w:tc>
        <w:tc>
          <w:tcPr>
            <w:tcW w:w="0" w:type="auto"/>
            <w:vAlign w:val="center"/>
            <w:hideMark/>
          </w:tcPr>
          <w:p w:rsidR="00000000" w:rsidRDefault="00E0782F">
            <w:pPr>
              <w:rPr>
                <w:rFonts w:eastAsia="Times New Roman"/>
                <w:sz w:val="20"/>
                <w:szCs w:val="20"/>
              </w:rPr>
            </w:pPr>
          </w:p>
        </w:tc>
      </w:tr>
      <w:tr w:rsidR="00000000">
        <w:trPr>
          <w:divId w:val="1643382738"/>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56"/>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4"/>
                <w:szCs w:val="14"/>
              </w:rPr>
              <w:t>Year Ended December 31, 2018</w:t>
            </w:r>
          </w:p>
        </w:tc>
        <w:tc>
          <w:tcPr>
            <w:tcW w:w="0" w:type="auto"/>
            <w:vAlign w:val="center"/>
            <w:hideMark/>
          </w:tcPr>
          <w:p w:rsidR="00000000" w:rsidRDefault="00E0782F">
            <w:pPr>
              <w:rPr>
                <w:rFonts w:eastAsia="Times New Roman"/>
                <w:sz w:val="20"/>
                <w:szCs w:val="20"/>
              </w:rPr>
            </w:pPr>
          </w:p>
        </w:tc>
      </w:tr>
      <w:tr w:rsidR="00000000">
        <w:trPr>
          <w:divId w:val="1643382738"/>
          <w:trHeight w:val="30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Total Gains (Losses)</w:t>
            </w:r>
            <w:r>
              <w:rPr>
                <w:rFonts w:eastAsia="Times New Roman"/>
                <w:b/>
                <w:bCs/>
                <w:color w:val="000000"/>
                <w:sz w:val="12"/>
                <w:szCs w:val="12"/>
              </w:rPr>
              <w:br/>
              <w:t>(Realized/Unrealized)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r>
              <w:rPr>
                <w:rFonts w:eastAsia="Times New Roman"/>
                <w:b/>
                <w:bCs/>
                <w:color w:val="000000"/>
                <w:sz w:val="12"/>
                <w:szCs w:val="12"/>
              </w:rPr>
              <w:t>Net Unrealized Gains (Losses) Included in Net Income Related to Assets and Liabilities Still Held as of December 31, 201</w:t>
            </w:r>
            <w:r>
              <w:rPr>
                <w:rFonts w:eastAsia="Times New Roman"/>
                <w:b/>
                <w:bCs/>
                <w:color w:val="000000"/>
                <w:sz w:val="12"/>
                <w:szCs w:val="12"/>
              </w:rPr>
              <w:t>8</w:t>
            </w:r>
            <w:r>
              <w:rPr>
                <w:rFonts w:eastAsia="Times New Roman"/>
                <w:b/>
                <w:bCs/>
                <w:color w:val="000000"/>
                <w:sz w:val="8"/>
                <w:szCs w:val="8"/>
              </w:rPr>
              <w:t>(1</w:t>
            </w:r>
            <w:r>
              <w:rPr>
                <w:rFonts w:eastAsia="Times New Roman"/>
                <w:b/>
                <w:bCs/>
                <w:color w:val="000000"/>
                <w:sz w:val="8"/>
                <w:szCs w:val="8"/>
              </w:rPr>
              <w:t>)</w:t>
            </w:r>
          </w:p>
          <w:p w:rsidR="00000000" w:rsidRDefault="00E0782F">
            <w:pPr>
              <w:jc w:val="center"/>
              <w:rPr>
                <w:rFonts w:eastAsia="Times New Roman"/>
              </w:rPr>
            </w:pPr>
          </w:p>
        </w:tc>
      </w:tr>
      <w:tr w:rsidR="00000000">
        <w:trPr>
          <w:divId w:val="1643382738"/>
          <w:trHeight w:val="46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2"/>
                <w:szCs w:val="12"/>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Balance, January 1, 2018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Included</w:t>
            </w:r>
          </w:p>
          <w:p w:rsidR="00000000" w:rsidRDefault="00E0782F">
            <w:pPr>
              <w:jc w:val="center"/>
              <w:rPr>
                <w:rFonts w:eastAsia="Times New Roman"/>
              </w:rPr>
            </w:pPr>
            <w:r>
              <w:rPr>
                <w:rFonts w:eastAsia="Times New Roman"/>
                <w:b/>
                <w:bCs/>
                <w:color w:val="000000"/>
                <w:sz w:val="12"/>
                <w:szCs w:val="12"/>
              </w:rPr>
              <w:t>in Net</w:t>
            </w:r>
          </w:p>
          <w:p w:rsidR="00000000" w:rsidRDefault="00E0782F">
            <w:pPr>
              <w:jc w:val="center"/>
              <w:rPr>
                <w:rFonts w:eastAsia="Times New Roman"/>
              </w:rPr>
            </w:pPr>
            <w:r>
              <w:rPr>
                <w:rFonts w:eastAsia="Times New Roman"/>
                <w:b/>
                <w:bCs/>
                <w:color w:val="000000"/>
                <w:sz w:val="12"/>
                <w:szCs w:val="12"/>
              </w:rPr>
              <w:t>Incom</w:t>
            </w:r>
            <w:r>
              <w:rPr>
                <w:rFonts w:eastAsia="Times New Roman"/>
                <w:b/>
                <w:bCs/>
                <w:color w:val="000000"/>
                <w:sz w:val="12"/>
                <w:szCs w:val="12"/>
              </w:rPr>
              <w:t>e</w:t>
            </w:r>
            <w:r>
              <w:rPr>
                <w:rFonts w:eastAsia="Times New Roman"/>
                <w:b/>
                <w:bCs/>
                <w:color w:val="000000"/>
                <w:sz w:val="8"/>
                <w:szCs w:val="8"/>
              </w:rPr>
              <w:t>(1</w:t>
            </w:r>
            <w:r>
              <w:rPr>
                <w:rFonts w:eastAsia="Times New Roman"/>
                <w:b/>
                <w:bCs/>
                <w:color w:val="000000"/>
                <w:sz w:val="8"/>
                <w:szCs w:val="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Included in OCI</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Purchases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Sales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Issuances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Settlements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Into</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Transfers</w:t>
            </w:r>
            <w:r>
              <w:rPr>
                <w:rFonts w:eastAsia="Times New Roman"/>
                <w:b/>
                <w:bCs/>
                <w:color w:val="000000"/>
                <w:sz w:val="12"/>
                <w:szCs w:val="12"/>
              </w:rPr>
              <w:br/>
              <w:t>Out of</w:t>
            </w:r>
            <w:r>
              <w:rPr>
                <w:rFonts w:eastAsia="Times New Roman"/>
                <w:b/>
                <w:bCs/>
                <w:color w:val="000000"/>
                <w:sz w:val="12"/>
                <w:szCs w:val="12"/>
              </w:rPr>
              <w:b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2"/>
                <w:szCs w:val="12"/>
              </w:rPr>
              <w:t>Balance, December 31, 2018</w:t>
            </w:r>
          </w:p>
        </w:tc>
        <w:tc>
          <w:tcPr>
            <w:tcW w:w="0" w:type="auto"/>
            <w:tcMar>
              <w:top w:w="0" w:type="dxa"/>
              <w:left w:w="20" w:type="dxa"/>
              <w:bottom w:w="0" w:type="dxa"/>
              <w:right w:w="20" w:type="dxa"/>
            </w:tcMar>
            <w:vAlign w:val="center"/>
            <w:hideMark/>
          </w:tcPr>
          <w:p w:rsidR="00000000" w:rsidRDefault="00E0782F">
            <w:pPr>
              <w:jc w:val="center"/>
              <w:rPr>
                <w:rFonts w:eastAsia="Times New Roman"/>
              </w:rPr>
            </w:pPr>
          </w:p>
        </w:tc>
      </w:tr>
      <w:tr w:rsidR="00000000">
        <w:trPr>
          <w:divId w:val="16433827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divId w:val="392049093"/>
              <w:rPr>
                <w:rFonts w:eastAsia="Times New Roman"/>
              </w:rPr>
            </w:pPr>
            <w:r>
              <w:rPr>
                <w:rFonts w:eastAsia="Times New Roman"/>
                <w:color w:val="000000"/>
                <w:sz w:val="18"/>
                <w:szCs w:val="18"/>
              </w:rPr>
              <w:t>Securities available for sale</w:t>
            </w:r>
            <w:r>
              <w:rPr>
                <w:rFonts w:eastAsia="Times New Roman"/>
                <w:color w:val="000000"/>
                <w:sz w:val="18"/>
                <w:szCs w:val="18"/>
              </w:rPr>
              <w: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643382738"/>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614 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(334)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433 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$28 </w:t>
            </w:r>
          </w:p>
        </w:tc>
      </w:tr>
      <w:tr w:rsidR="00E0782F">
        <w:trPr>
          <w:divId w:val="1643382738"/>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0 </w:t>
            </w:r>
          </w:p>
        </w:tc>
      </w:tr>
      <w:tr w:rsidR="00E0782F">
        <w:trPr>
          <w:divId w:val="1643382738"/>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securities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0 </w:t>
            </w:r>
          </w:p>
        </w:tc>
      </w:tr>
      <w:tr w:rsidR="00E0782F">
        <w:trPr>
          <w:divId w:val="164338273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28 </w:t>
            </w:r>
          </w:p>
        </w:tc>
      </w:tr>
      <w:tr w:rsidR="00000000">
        <w:trPr>
          <w:divId w:val="164338273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E0782F">
        <w:trPr>
          <w:divId w:val="1643382738"/>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Consumer MSRs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(97)</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0 </w:t>
            </w:r>
          </w:p>
        </w:tc>
      </w:tr>
      <w:tr w:rsidR="00E0782F">
        <w:trPr>
          <w:divId w:val="1643382738"/>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Retained interests in securitizations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(14)</w:t>
            </w:r>
          </w:p>
        </w:tc>
      </w:tr>
      <w:tr w:rsidR="00E0782F">
        <w:trPr>
          <w:divId w:val="1643382738"/>
        </w:trPr>
        <w:tc>
          <w:tcPr>
            <w:tcW w:w="0" w:type="auto"/>
            <w:gridSpan w:val="3"/>
            <w:shd w:val="clear" w:color="auto" w:fill="CCEEFF"/>
            <w:tcMar>
              <w:top w:w="30" w:type="dxa"/>
              <w:left w:w="20" w:type="dxa"/>
              <w:bottom w:w="30" w:type="dxa"/>
              <w:right w:w="20" w:type="dxa"/>
            </w:tcMar>
            <w:vAlign w:val="center"/>
            <w:hideMark/>
          </w:tcPr>
          <w:p w:rsidR="00000000" w:rsidRDefault="00E0782F">
            <w:pPr>
              <w:divId w:val="1764108577"/>
              <w:rPr>
                <w:rFonts w:eastAsia="Times New Roman"/>
              </w:rPr>
            </w:pPr>
            <w:r>
              <w:rPr>
                <w:rFonts w:eastAsia="Times New Roman"/>
                <w:color w:val="000000"/>
                <w:sz w:val="18"/>
                <w:szCs w:val="18"/>
              </w:rPr>
              <w:t>Net derivative assets (liabilities</w:t>
            </w:r>
            <w:r>
              <w:rPr>
                <w:rFonts w:eastAsia="Times New Roman"/>
                <w:color w:val="000000"/>
                <w:sz w:val="18"/>
                <w:szCs w:val="18"/>
              </w:rPr>
              <w:t>)</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r>
              <w:rPr>
                <w:rFonts w:eastAsia="Times New Roman"/>
                <w:color w:val="000000"/>
                <w:sz w:val="18"/>
                <w:szCs w:val="18"/>
              </w:rPr>
              <w:t>(20)</w:t>
            </w:r>
          </w:p>
        </w:tc>
      </w:tr>
    </w:tbl>
    <w:p w:rsidR="00000000" w:rsidRDefault="00E0782F">
      <w:pPr>
        <w:divId w:val="487021161"/>
        <w:rPr>
          <w:rFonts w:eastAsia="Times New Roman"/>
        </w:rPr>
      </w:pPr>
      <w:r>
        <w:rPr>
          <w:rFonts w:eastAsia="Times New Roman"/>
          <w:color w:val="000000"/>
          <w:sz w:val="20"/>
          <w:szCs w:val="20"/>
        </w:rPr>
        <w:t>__________</w:t>
      </w:r>
    </w:p>
    <w:p w:rsidR="00000000" w:rsidRDefault="00E0782F">
      <w:pPr>
        <w:ind w:hanging="360"/>
        <w:jc w:val="both"/>
        <w:divId w:val="582833038"/>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Realized gains (losses) on securities available for sale are included in net secur</w:t>
      </w:r>
      <w:r>
        <w:rPr>
          <w:rFonts w:eastAsia="Times New Roman"/>
          <w:color w:val="000000"/>
          <w:sz w:val="16"/>
          <w:szCs w:val="16"/>
        </w:rPr>
        <w:t>ities gains (losses), and retained interests in securitizations are reported as a component of non-interest income in our consolidated statements of income. Gains (losses) on derivatives are included as a component of net interest income or non-interest in</w:t>
      </w:r>
      <w:r>
        <w:rPr>
          <w:rFonts w:eastAsia="Times New Roman"/>
          <w:color w:val="000000"/>
          <w:sz w:val="16"/>
          <w:szCs w:val="16"/>
        </w:rPr>
        <w:t>come in our consolidated statements of income.</w:t>
      </w:r>
    </w:p>
    <w:p w:rsidR="00000000" w:rsidRDefault="00E0782F">
      <w:pPr>
        <w:ind w:hanging="360"/>
        <w:jc w:val="both"/>
        <w:divId w:val="51342251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Net unrealized losses included in other comprehensive income related to Level 3 securities available for sale still held as of December 31, 2020 were $21 million. Net unrealized losses included in other com</w:t>
      </w:r>
      <w:r>
        <w:rPr>
          <w:rFonts w:eastAsia="Times New Roman"/>
          <w:color w:val="000000"/>
          <w:sz w:val="16"/>
          <w:szCs w:val="16"/>
        </w:rPr>
        <w:t>prehensive income related to Level 3 securities available for sale still held as of December 31, 2019 were $4 million. Net unrealized losses included in other comprehensive income related to Level 3 securities available for sale still held as of December 3</w:t>
      </w:r>
      <w:r>
        <w:rPr>
          <w:rFonts w:eastAsia="Times New Roman"/>
          <w:color w:val="000000"/>
          <w:sz w:val="16"/>
          <w:szCs w:val="16"/>
        </w:rPr>
        <w:t>1, 2018 were $17 million.</w:t>
      </w:r>
    </w:p>
    <w:p w:rsidR="00000000" w:rsidRDefault="00E0782F">
      <w:pPr>
        <w:ind w:hanging="360"/>
        <w:jc w:val="both"/>
        <w:divId w:val="1333603496"/>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Includes derivative assets and liabilities of $141 million and $110 million, respectively, as of December 31, 2020, $77 million and $51 million, respectively, as of December 31, 2019 and $38 million and $48 million, respectivel</w:t>
      </w:r>
      <w:r>
        <w:rPr>
          <w:rFonts w:eastAsia="Times New Roman"/>
          <w:color w:val="000000"/>
          <w:sz w:val="16"/>
          <w:szCs w:val="16"/>
        </w:rPr>
        <w:t>y, as of December 31, 2018.</w:t>
      </w:r>
    </w:p>
    <w:p w:rsidR="00000000" w:rsidRDefault="00E0782F">
      <w:pPr>
        <w:ind w:hanging="360"/>
        <w:jc w:val="both"/>
        <w:divId w:val="1270773394"/>
        <w:rPr>
          <w:rFonts w:eastAsia="Times New Roman"/>
        </w:rPr>
      </w:pPr>
      <w:r>
        <w:rPr>
          <w:rFonts w:eastAsia="Times New Roman"/>
          <w:color w:val="000000"/>
          <w:sz w:val="10"/>
          <w:szCs w:val="10"/>
        </w:rPr>
        <w:t>(4</w:t>
      </w:r>
      <w:r>
        <w:rPr>
          <w:rFonts w:eastAsia="Times New Roman"/>
          <w:color w:val="000000"/>
          <w:sz w:val="10"/>
          <w:szCs w:val="10"/>
        </w:rPr>
        <w:t>)</w:t>
      </w:r>
      <w:r>
        <w:rPr>
          <w:rFonts w:eastAsia="Times New Roman"/>
          <w:color w:val="000000"/>
          <w:sz w:val="16"/>
          <w:szCs w:val="16"/>
        </w:rPr>
        <w:t>The fair value of RMBS as of January 1, 2020 includes a cumulative adjustment of $4 million from the adoption of the CECL standard.</w:t>
      </w:r>
    </w:p>
    <w:p w:rsidR="00000000" w:rsidRDefault="00E0782F">
      <w:pPr>
        <w:jc w:val="both"/>
        <w:divId w:val="1729573691"/>
        <w:rPr>
          <w:rFonts w:eastAsia="Times New Roman"/>
        </w:rPr>
      </w:pPr>
      <w:r>
        <w:rPr>
          <w:rFonts w:eastAsia="Times New Roman"/>
          <w:b/>
          <w:bCs/>
          <w:color w:val="000000"/>
          <w:sz w:val="20"/>
          <w:szCs w:val="20"/>
        </w:rPr>
        <w:t>Significant Level 3 Fair Value Asset and Liability Inputs</w:t>
      </w:r>
    </w:p>
    <w:p w:rsidR="00000000" w:rsidRDefault="00E0782F">
      <w:pPr>
        <w:jc w:val="both"/>
        <w:divId w:val="1783383306"/>
        <w:rPr>
          <w:rFonts w:eastAsia="Times New Roman"/>
        </w:rPr>
      </w:pPr>
      <w:r>
        <w:rPr>
          <w:rFonts w:eastAsia="Times New Roman"/>
          <w:color w:val="000000"/>
          <w:sz w:val="20"/>
          <w:szCs w:val="20"/>
        </w:rPr>
        <w:t>Generally, uncertainties in fair va</w:t>
      </w:r>
      <w:r>
        <w:rPr>
          <w:rFonts w:eastAsia="Times New Roman"/>
          <w:color w:val="000000"/>
          <w:sz w:val="20"/>
          <w:szCs w:val="20"/>
        </w:rPr>
        <w:t>lue measurements of financial instruments, such as changes in unobservable inputs, may have a significant impact on fair value. Certain of these unobservable inputs will, in isolation, have a directionally consistent impact on the fair value of the instrum</w:t>
      </w:r>
      <w:r>
        <w:rPr>
          <w:rFonts w:eastAsia="Times New Roman"/>
          <w:color w:val="000000"/>
          <w:sz w:val="20"/>
          <w:szCs w:val="20"/>
        </w:rPr>
        <w:t>ent for a given change in that input. Alternatively, the fair value of the instrument may move in an opposite direction for a given change in another input. In general, an increase in the discount rate, default rates, loss severity and credit spreads, in i</w:t>
      </w:r>
      <w:r>
        <w:rPr>
          <w:rFonts w:eastAsia="Times New Roman"/>
          <w:color w:val="000000"/>
          <w:sz w:val="20"/>
          <w:szCs w:val="20"/>
        </w:rPr>
        <w:t xml:space="preserve">solation, would result in a decrease in the fair value measurement. In addition, an increase in default rates would generally be accompanied by a decrease in recovery rates, slower prepayment rates and an increase in liquidity spreads. </w:t>
      </w:r>
    </w:p>
    <w:p w:rsidR="00000000" w:rsidRDefault="00E0782F">
      <w:pPr>
        <w:jc w:val="both"/>
        <w:divId w:val="785122978"/>
        <w:rPr>
          <w:rFonts w:eastAsia="Times New Roman"/>
        </w:rPr>
      </w:pPr>
      <w:r>
        <w:rPr>
          <w:rFonts w:eastAsia="Times New Roman"/>
          <w:b/>
          <w:bCs/>
          <w:color w:val="000000"/>
          <w:sz w:val="20"/>
          <w:szCs w:val="20"/>
        </w:rPr>
        <w:t>Techniques and Inpu</w:t>
      </w:r>
      <w:r>
        <w:rPr>
          <w:rFonts w:eastAsia="Times New Roman"/>
          <w:b/>
          <w:bCs/>
          <w:color w:val="000000"/>
          <w:sz w:val="20"/>
          <w:szCs w:val="20"/>
        </w:rPr>
        <w:t>ts for Level 3 Fair Value Measurements</w:t>
      </w:r>
    </w:p>
    <w:p w:rsidR="00000000" w:rsidRDefault="00E0782F">
      <w:pPr>
        <w:jc w:val="both"/>
        <w:divId w:val="282002862"/>
        <w:rPr>
          <w:rFonts w:eastAsia="Times New Roman"/>
        </w:rPr>
      </w:pPr>
      <w:r>
        <w:rPr>
          <w:rFonts w:eastAsia="Times New Roman"/>
          <w:color w:val="000000"/>
          <w:sz w:val="20"/>
          <w:szCs w:val="20"/>
        </w:rPr>
        <w:t xml:space="preserve">The following table presents the significant unobservable inputs used to determine the fair values of our Level 3 financial instruments on a recurring basis. We utilize multiple vendor pricing services to obtain fair </w:t>
      </w:r>
      <w:r>
        <w:rPr>
          <w:rFonts w:eastAsia="Times New Roman"/>
          <w:color w:val="000000"/>
          <w:sz w:val="20"/>
          <w:szCs w:val="20"/>
        </w:rPr>
        <w:t>value for our securities. Several of our vendor pricing services are only able to provide unobservable input information for a limited number of securities due to software licensing restrictions. Other vendor pricing services are able to provide unobservab</w:t>
      </w:r>
      <w:r>
        <w:rPr>
          <w:rFonts w:eastAsia="Times New Roman"/>
          <w:color w:val="000000"/>
          <w:sz w:val="20"/>
          <w:szCs w:val="20"/>
        </w:rPr>
        <w:t>le input information for all securities for which they provide a valuation. As a result, the unobservable input information for the securities available for sale presented below represents a composite summary of all information we are able to obtain. The u</w:t>
      </w:r>
      <w:r>
        <w:rPr>
          <w:rFonts w:eastAsia="Times New Roman"/>
          <w:color w:val="000000"/>
          <w:sz w:val="20"/>
          <w:szCs w:val="20"/>
        </w:rPr>
        <w:t>nobservable input information for all other Level 3 financial instruments is based on the assumptions used in our internal valuation models.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0588599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0588599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0588599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3" style="width:0;height:1.5pt" o:hralign="center" o:hrstd="t" o:hr="t" fillcolor="#a0a0a0" stroked="f"/>
        </w:pict>
      </w:r>
    </w:p>
    <w:p w:rsidR="00000000" w:rsidRDefault="00E0782F">
      <w:pPr>
        <w:jc w:val="both"/>
        <w:divId w:val="155970761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559707612"/>
        <w:rPr>
          <w:rFonts w:eastAsia="Times New Roman"/>
        </w:rPr>
      </w:pPr>
    </w:p>
    <w:p w:rsidR="00000000" w:rsidRDefault="00E0782F">
      <w:pPr>
        <w:jc w:val="center"/>
        <w:divId w:val="1559707612"/>
        <w:rPr>
          <w:rFonts w:eastAsia="Times New Roman"/>
        </w:rPr>
      </w:pPr>
      <w:r>
        <w:rPr>
          <w:rFonts w:eastAsia="Times New Roman"/>
          <w:b/>
          <w:bCs/>
          <w:color w:val="000000"/>
          <w:sz w:val="20"/>
          <w:szCs w:val="20"/>
        </w:rPr>
        <w:t>CAPITAL ONE FINANCIAL CORPORATION</w:t>
      </w:r>
    </w:p>
    <w:p w:rsidR="00000000" w:rsidRDefault="00E0782F">
      <w:pPr>
        <w:jc w:val="center"/>
        <w:divId w:val="1559707612"/>
        <w:rPr>
          <w:rFonts w:eastAsia="Times New Roman"/>
        </w:rPr>
      </w:pPr>
      <w:r>
        <w:rPr>
          <w:rFonts w:eastAsia="Times New Roman"/>
          <w:b/>
          <w:bCs/>
          <w:color w:val="000000"/>
          <w:sz w:val="20"/>
          <w:szCs w:val="20"/>
        </w:rPr>
        <w:t>NOTES TO CONSOLIDATED FINANCIAL STATEMENTS</w:t>
      </w:r>
    </w:p>
    <w:p w:rsidR="00000000" w:rsidRDefault="00E0782F">
      <w:pPr>
        <w:divId w:val="32390989"/>
        <w:rPr>
          <w:rFonts w:eastAsia="Times New Roman"/>
        </w:rPr>
      </w:pPr>
      <w:r>
        <w:rPr>
          <w:rFonts w:eastAsia="Times New Roman"/>
          <w:b/>
          <w:bCs/>
          <w:color w:val="000000"/>
          <w:sz w:val="18"/>
          <w:szCs w:val="18"/>
        </w:rPr>
        <w:t>Table 16.3: Quantitative Information about Level 3 Fair Value Measurements</w:t>
      </w:r>
    </w:p>
    <w:tbl>
      <w:tblPr>
        <w:tblW w:w="4992" w:type="pct"/>
        <w:tblCellMar>
          <w:top w:w="15" w:type="dxa"/>
          <w:left w:w="15" w:type="dxa"/>
          <w:bottom w:w="15" w:type="dxa"/>
          <w:right w:w="15" w:type="dxa"/>
        </w:tblCellMar>
        <w:tblLook w:val="04A0" w:firstRow="1" w:lastRow="0" w:firstColumn="1" w:lastColumn="0" w:noHBand="0" w:noVBand="1"/>
      </w:tblPr>
      <w:tblGrid>
        <w:gridCol w:w="53"/>
        <w:gridCol w:w="1742"/>
        <w:gridCol w:w="38"/>
        <w:gridCol w:w="36"/>
        <w:gridCol w:w="36"/>
        <w:gridCol w:w="36"/>
        <w:gridCol w:w="111"/>
        <w:gridCol w:w="713"/>
        <w:gridCol w:w="37"/>
        <w:gridCol w:w="36"/>
        <w:gridCol w:w="36"/>
        <w:gridCol w:w="36"/>
        <w:gridCol w:w="70"/>
        <w:gridCol w:w="1215"/>
        <w:gridCol w:w="36"/>
        <w:gridCol w:w="36"/>
        <w:gridCol w:w="36"/>
        <w:gridCol w:w="36"/>
        <w:gridCol w:w="92"/>
        <w:gridCol w:w="1984"/>
        <w:gridCol w:w="36"/>
        <w:gridCol w:w="36"/>
        <w:gridCol w:w="36"/>
        <w:gridCol w:w="36"/>
        <w:gridCol w:w="37"/>
        <w:gridCol w:w="799"/>
        <w:gridCol w:w="36"/>
        <w:gridCol w:w="36"/>
        <w:gridCol w:w="36"/>
        <w:gridCol w:w="36"/>
        <w:gridCol w:w="85"/>
        <w:gridCol w:w="633"/>
        <w:gridCol w:w="36"/>
      </w:tblGrid>
      <w:tr w:rsidR="00000000">
        <w:trPr>
          <w:divId w:val="123616955"/>
        </w:trPr>
        <w:tc>
          <w:tcPr>
            <w:tcW w:w="50" w:type="pct"/>
            <w:vAlign w:val="center"/>
            <w:hideMark/>
          </w:tcPr>
          <w:p w:rsidR="00000000" w:rsidRDefault="00E0782F">
            <w:pPr>
              <w:rPr>
                <w:rFonts w:eastAsia="Times New Roman"/>
              </w:rPr>
            </w:pPr>
          </w:p>
        </w:tc>
        <w:tc>
          <w:tcPr>
            <w:tcW w:w="110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8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07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3616955"/>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Quantitative Information about Level 3 Fair Value Measurements</w:t>
            </w:r>
          </w:p>
        </w:tc>
      </w:tr>
      <w:tr w:rsidR="00000000">
        <w:trPr>
          <w:divId w:val="123616955"/>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t>Techniques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w:t>
            </w:r>
          </w:p>
          <w:p w:rsidR="00000000" w:rsidRDefault="00E0782F">
            <w:pPr>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rPr>
          <w:divId w:val="1236169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3616955"/>
        </w:trPr>
        <w:tc>
          <w:tcPr>
            <w:tcW w:w="0" w:type="auto"/>
            <w:gridSpan w:val="3"/>
            <w:shd w:val="clear" w:color="auto" w:fill="FFFFFF"/>
            <w:tcMar>
              <w:top w:w="30" w:type="dxa"/>
              <w:left w:w="155" w:type="dxa"/>
              <w:bottom w:w="30" w:type="dxa"/>
              <w:right w:w="20" w:type="dxa"/>
            </w:tcMa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hideMark/>
          </w:tcPr>
          <w:p w:rsidR="00000000" w:rsidRDefault="00E0782F">
            <w:pPr>
              <w:jc w:val="right"/>
              <w:rPr>
                <w:rFonts w:eastAsia="Times New Roman"/>
              </w:rPr>
            </w:pPr>
            <w:r>
              <w:rPr>
                <w:rFonts w:eastAsia="Times New Roman"/>
                <w:b/>
                <w:bCs/>
                <w:color w:val="000000"/>
                <w:sz w:val="18"/>
                <w:szCs w:val="18"/>
              </w:rPr>
              <w:t>328</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w:t>
            </w:r>
            <w:r>
              <w:rPr>
                <w:rFonts w:eastAsia="Times New Roman"/>
                <w:color w:val="000000"/>
                <w:sz w:val="18"/>
                <w:szCs w:val="18"/>
              </w:rPr>
              <w:t>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Yield</w:t>
            </w:r>
            <w:r>
              <w:rPr>
                <w:rFonts w:eastAsia="Times New Roman"/>
                <w:color w:val="000000"/>
                <w:sz w:val="18"/>
                <w:szCs w:val="18"/>
              </w:rPr>
              <w:br/>
              <w:t>Voluntary 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divId w:val="244581505"/>
              <w:rPr>
                <w:rFonts w:eastAsia="Times New Roman"/>
              </w:rPr>
            </w:pPr>
            <w:r>
              <w:rPr>
                <w:rFonts w:eastAsia="Times New Roman"/>
                <w:b/>
                <w:bCs/>
                <w:color w:val="000000"/>
                <w:sz w:val="18"/>
                <w:szCs w:val="18"/>
              </w:rPr>
              <w:t>2-12%</w:t>
            </w:r>
          </w:p>
          <w:p w:rsidR="00000000" w:rsidRDefault="00E0782F">
            <w:pPr>
              <w:divId w:val="1458721632"/>
              <w:rPr>
                <w:rFonts w:eastAsia="Times New Roman"/>
              </w:rPr>
            </w:pPr>
            <w:r>
              <w:rPr>
                <w:rFonts w:eastAsia="Times New Roman"/>
                <w:b/>
                <w:bCs/>
                <w:color w:val="000000"/>
                <w:sz w:val="18"/>
                <w:szCs w:val="18"/>
              </w:rPr>
              <w:t>8-15%</w:t>
            </w:r>
          </w:p>
          <w:p w:rsidR="00000000" w:rsidRDefault="00E0782F">
            <w:pPr>
              <w:divId w:val="760612382"/>
              <w:rPr>
                <w:rFonts w:eastAsia="Times New Roman"/>
              </w:rPr>
            </w:pPr>
            <w:r>
              <w:rPr>
                <w:rFonts w:eastAsia="Times New Roman"/>
                <w:b/>
                <w:bCs/>
                <w:color w:val="000000"/>
                <w:sz w:val="18"/>
                <w:szCs w:val="18"/>
              </w:rPr>
              <w:t>0-11%</w:t>
            </w:r>
          </w:p>
          <w:p w:rsidR="00000000" w:rsidRDefault="00E0782F">
            <w:pPr>
              <w:divId w:val="1167330603"/>
              <w:rPr>
                <w:rFonts w:eastAsia="Times New Roman"/>
              </w:rPr>
            </w:pPr>
            <w:r>
              <w:rPr>
                <w:rFonts w:eastAsia="Times New Roman"/>
                <w:b/>
                <w:bCs/>
                <w:color w:val="000000"/>
                <w:sz w:val="18"/>
                <w:szCs w:val="18"/>
              </w:rPr>
              <w:t>30-100%</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divId w:val="674457935"/>
              <w:rPr>
                <w:rFonts w:eastAsia="Times New Roman"/>
              </w:rPr>
            </w:pPr>
            <w:r>
              <w:rPr>
                <w:rFonts w:eastAsia="Times New Roman"/>
                <w:b/>
                <w:bCs/>
                <w:color w:val="000000"/>
                <w:sz w:val="18"/>
                <w:szCs w:val="18"/>
              </w:rPr>
              <w:t>3%</w:t>
            </w:r>
          </w:p>
          <w:p w:rsidR="00000000" w:rsidRDefault="00E0782F">
            <w:pPr>
              <w:divId w:val="851381026"/>
              <w:rPr>
                <w:rFonts w:eastAsia="Times New Roman"/>
              </w:rPr>
            </w:pPr>
            <w:r>
              <w:rPr>
                <w:rFonts w:eastAsia="Times New Roman"/>
                <w:b/>
                <w:bCs/>
                <w:color w:val="000000"/>
                <w:sz w:val="18"/>
                <w:szCs w:val="18"/>
              </w:rPr>
              <w:t>10%</w:t>
            </w:r>
          </w:p>
          <w:p w:rsidR="00000000" w:rsidRDefault="00E0782F">
            <w:pPr>
              <w:divId w:val="468203897"/>
              <w:rPr>
                <w:rFonts w:eastAsia="Times New Roman"/>
              </w:rPr>
            </w:pPr>
            <w:r>
              <w:rPr>
                <w:rFonts w:eastAsia="Times New Roman"/>
                <w:b/>
                <w:bCs/>
                <w:color w:val="000000"/>
                <w:sz w:val="18"/>
                <w:szCs w:val="18"/>
              </w:rPr>
              <w:t>2%</w:t>
            </w:r>
          </w:p>
          <w:p w:rsidR="00000000" w:rsidRDefault="00E0782F">
            <w:pPr>
              <w:divId w:val="1667316781"/>
              <w:rPr>
                <w:rFonts w:eastAsia="Times New Roman"/>
              </w:rPr>
            </w:pPr>
            <w:r>
              <w:rPr>
                <w:rFonts w:eastAsia="Times New Roman"/>
                <w:b/>
                <w:bCs/>
                <w:color w:val="000000"/>
                <w:sz w:val="18"/>
                <w:szCs w:val="18"/>
              </w:rPr>
              <w:t>73%</w:t>
            </w:r>
          </w:p>
        </w:tc>
      </w:tr>
      <w:tr w:rsidR="00000000">
        <w:trPr>
          <w:divId w:val="123616955"/>
        </w:trPr>
        <w:tc>
          <w:tcPr>
            <w:tcW w:w="0" w:type="auto"/>
            <w:gridSpan w:val="3"/>
            <w:shd w:val="clear" w:color="auto" w:fill="CCEEFF"/>
            <w:tcMar>
              <w:top w:w="30" w:type="dxa"/>
              <w:left w:w="155" w:type="dxa"/>
              <w:bottom w:w="30" w:type="dxa"/>
              <w:right w:w="20" w:type="dxa"/>
            </w:tcMar>
            <w:hideMark/>
          </w:tcPr>
          <w:p w:rsidR="00000000" w:rsidRDefault="00E0782F">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0782F">
            <w:pPr>
              <w:jc w:val="right"/>
              <w:rPr>
                <w:rFonts w:eastAsia="Times New Roman"/>
              </w:rPr>
            </w:pPr>
            <w:r>
              <w:rPr>
                <w:rFonts w:eastAsia="Times New Roman"/>
                <w:b/>
                <w:bCs/>
                <w:color w:val="000000"/>
                <w:sz w:val="18"/>
                <w:szCs w:val="18"/>
              </w:rPr>
              <w:t>111</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divId w:val="779107656"/>
              <w:rPr>
                <w:rFonts w:eastAsia="Times New Roman"/>
              </w:rPr>
            </w:pPr>
            <w:r>
              <w:rPr>
                <w:rFonts w:eastAsia="Times New Roman"/>
                <w:b/>
                <w:bCs/>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divId w:val="277370890"/>
              <w:rPr>
                <w:rFonts w:eastAsia="Times New Roman"/>
              </w:rPr>
            </w:pPr>
            <w:r>
              <w:rPr>
                <w:rFonts w:eastAsia="Times New Roman"/>
                <w:b/>
                <w:bCs/>
                <w:color w:val="000000"/>
                <w:sz w:val="18"/>
                <w:szCs w:val="18"/>
              </w:rPr>
              <w:t>2%</w:t>
            </w:r>
          </w:p>
        </w:tc>
      </w:tr>
      <w:tr w:rsidR="00000000">
        <w:trPr>
          <w:divId w:val="123616955"/>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3616955"/>
        </w:trPr>
        <w:tc>
          <w:tcPr>
            <w:tcW w:w="0" w:type="auto"/>
            <w:gridSpan w:val="3"/>
            <w:shd w:val="clear" w:color="auto" w:fill="CCEEFF"/>
            <w:tcMar>
              <w:top w:w="30" w:type="dxa"/>
              <w:left w:w="20" w:type="dxa"/>
              <w:bottom w:w="30" w:type="dxa"/>
              <w:right w:w="20" w:type="dxa"/>
            </w:tcMar>
            <w:hideMark/>
          </w:tcPr>
          <w:p w:rsidR="00000000" w:rsidRDefault="00E0782F">
            <w:pPr>
              <w:divId w:val="232740649"/>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0782F">
            <w:pPr>
              <w:jc w:val="right"/>
              <w:rPr>
                <w:rFonts w:eastAsia="Times New Roman"/>
              </w:rPr>
            </w:pPr>
            <w:r>
              <w:rPr>
                <w:rFonts w:eastAsia="Times New Roman"/>
                <w:b/>
                <w:bCs/>
                <w:color w:val="000000"/>
                <w:sz w:val="18"/>
                <w:szCs w:val="18"/>
              </w:rPr>
              <w:t>55</w:t>
            </w:r>
            <w:r>
              <w:rPr>
                <w:rFonts w:eastAsia="Times New Roman"/>
                <w:color w:val="000000"/>
                <w:sz w:val="18"/>
                <w:szCs w:val="18"/>
              </w:rPr>
              <w:t> </w:t>
            </w:r>
          </w:p>
        </w:tc>
        <w:tc>
          <w:tcPr>
            <w:tcW w:w="0" w:type="auto"/>
            <w:shd w:val="clear" w:color="auto" w:fill="CCEE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divId w:val="1818494152"/>
              <w:rPr>
                <w:rFonts w:eastAsia="Times New Roman"/>
              </w:rPr>
            </w:pPr>
            <w:r>
              <w:rPr>
                <w:rFonts w:eastAsia="Times New Roman"/>
                <w:b/>
                <w:bCs/>
                <w:color w:val="000000"/>
                <w:sz w:val="18"/>
                <w:szCs w:val="18"/>
              </w:rPr>
              <w:t>37-52</w:t>
            </w:r>
          </w:p>
          <w:p w:rsidR="00000000" w:rsidRDefault="00E0782F">
            <w:pPr>
              <w:divId w:val="1855336496"/>
              <w:rPr>
                <w:rFonts w:eastAsia="Times New Roman"/>
              </w:rPr>
            </w:pPr>
            <w:r>
              <w:rPr>
                <w:rFonts w:eastAsia="Times New Roman"/>
                <w:b/>
                <w:bCs/>
                <w:color w:val="000000"/>
                <w:sz w:val="18"/>
                <w:szCs w:val="18"/>
              </w:rPr>
              <w:t>3-13%</w:t>
            </w:r>
          </w:p>
          <w:p w:rsidR="00000000" w:rsidRDefault="00E0782F">
            <w:pPr>
              <w:divId w:val="911891016"/>
              <w:rPr>
                <w:rFonts w:eastAsia="Times New Roman"/>
              </w:rPr>
            </w:pPr>
            <w:r>
              <w:rPr>
                <w:rFonts w:eastAsia="Times New Roman"/>
                <w:b/>
                <w:bCs/>
                <w:color w:val="000000"/>
                <w:sz w:val="18"/>
                <w:szCs w:val="18"/>
              </w:rPr>
              <w:t>2-12%</w:t>
            </w:r>
          </w:p>
          <w:p w:rsidR="00000000" w:rsidRDefault="00E0782F">
            <w:pPr>
              <w:divId w:val="394354105"/>
              <w:rPr>
                <w:rFonts w:eastAsia="Times New Roman"/>
              </w:rPr>
            </w:pPr>
            <w:r>
              <w:rPr>
                <w:rFonts w:eastAsia="Times New Roman"/>
                <w:b/>
                <w:bCs/>
                <w:color w:val="000000"/>
                <w:sz w:val="18"/>
                <w:szCs w:val="18"/>
              </w:rPr>
              <w:t>3-3%</w:t>
            </w:r>
          </w:p>
          <w:p w:rsidR="00000000" w:rsidRDefault="00E0782F">
            <w:pPr>
              <w:divId w:val="388505237"/>
              <w:rPr>
                <w:rFonts w:eastAsia="Times New Roman"/>
              </w:rPr>
            </w:pPr>
            <w:r>
              <w:rPr>
                <w:rFonts w:eastAsia="Times New Roman"/>
                <w:b/>
                <w:bCs/>
                <w:color w:val="000000"/>
                <w:sz w:val="18"/>
                <w:szCs w:val="18"/>
              </w:rPr>
              <w:t>55-70%</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N/A</w:t>
            </w:r>
          </w:p>
        </w:tc>
      </w:tr>
      <w:tr w:rsidR="00000000">
        <w:trPr>
          <w:divId w:val="123616955"/>
        </w:trPr>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0782F">
            <w:pPr>
              <w:jc w:val="right"/>
              <w:rPr>
                <w:rFonts w:eastAsia="Times New Roman"/>
              </w:rPr>
            </w:pPr>
            <w:r>
              <w:rPr>
                <w:rFonts w:eastAsia="Times New Roman"/>
                <w:b/>
                <w:bCs/>
                <w:color w:val="000000"/>
                <w:sz w:val="18"/>
                <w:szCs w:val="18"/>
              </w:rPr>
              <w:t>31</w:t>
            </w:r>
            <w:r>
              <w:rPr>
                <w:rFonts w:eastAsia="Times New Roman"/>
                <w:color w:val="000000"/>
                <w:sz w:val="18"/>
                <w:szCs w:val="18"/>
              </w:rPr>
              <w:t> </w:t>
            </w:r>
          </w:p>
        </w:tc>
        <w:tc>
          <w:tcPr>
            <w:tcW w:w="0" w:type="auto"/>
            <w:shd w:val="clear" w:color="auto" w:fill="FFFF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18"/>
                <w:szCs w:val="18"/>
              </w:rPr>
              <w:t>1%</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b/>
                <w:bCs/>
                <w:color w:val="000000"/>
                <w:sz w:val="18"/>
                <w:szCs w:val="18"/>
              </w:rPr>
              <w:t>1%</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1837"/>
        <w:gridCol w:w="144"/>
        <w:gridCol w:w="144"/>
        <w:gridCol w:w="144"/>
        <w:gridCol w:w="144"/>
        <w:gridCol w:w="144"/>
        <w:gridCol w:w="830"/>
        <w:gridCol w:w="144"/>
        <w:gridCol w:w="144"/>
        <w:gridCol w:w="144"/>
        <w:gridCol w:w="144"/>
        <w:gridCol w:w="144"/>
        <w:gridCol w:w="1376"/>
        <w:gridCol w:w="144"/>
        <w:gridCol w:w="144"/>
        <w:gridCol w:w="144"/>
        <w:gridCol w:w="144"/>
        <w:gridCol w:w="144"/>
        <w:gridCol w:w="1789"/>
        <w:gridCol w:w="144"/>
        <w:gridCol w:w="144"/>
        <w:gridCol w:w="144"/>
        <w:gridCol w:w="144"/>
        <w:gridCol w:w="144"/>
        <w:gridCol w:w="976"/>
        <w:gridCol w:w="144"/>
        <w:gridCol w:w="144"/>
        <w:gridCol w:w="144"/>
        <w:gridCol w:w="144"/>
        <w:gridCol w:w="144"/>
        <w:gridCol w:w="625"/>
        <w:gridCol w:w="144"/>
      </w:tblGrid>
      <w:tr w:rsidR="00000000">
        <w:tc>
          <w:tcPr>
            <w:tcW w:w="50" w:type="pct"/>
            <w:vAlign w:val="center"/>
            <w:hideMark/>
          </w:tcPr>
          <w:p w:rsidR="00000000" w:rsidRDefault="00E0782F">
            <w:pPr>
              <w:rPr>
                <w:rFonts w:eastAsia="Times New Roman"/>
              </w:rPr>
            </w:pPr>
          </w:p>
        </w:tc>
        <w:tc>
          <w:tcPr>
            <w:tcW w:w="110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0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83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07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8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7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Quantitative Information about Level 3 Fair Value Measurements</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 xml:space="preserve">Fair Value at </w:t>
            </w:r>
            <w:r>
              <w:rPr>
                <w:rFonts w:eastAsia="Times New Roman"/>
                <w:b/>
                <w:bCs/>
                <w:color w:val="000000"/>
                <w:sz w:val="16"/>
                <w:szCs w:val="16"/>
              </w:rPr>
              <w:br/>
              <w:t xml:space="preserve">December 31, </w:t>
            </w:r>
            <w:r>
              <w:rPr>
                <w:rFonts w:eastAsia="Times New Roman"/>
                <w:b/>
                <w:bCs/>
                <w:color w:val="000000"/>
                <w:sz w:val="16"/>
                <w:szCs w:val="16"/>
              </w:rPr>
              <w:b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Valuation</w:t>
            </w:r>
            <w:r>
              <w:rPr>
                <w:rFonts w:eastAsia="Times New Roman"/>
                <w:b/>
                <w:bCs/>
                <w:color w:val="000000"/>
                <w:sz w:val="16"/>
                <w:szCs w:val="16"/>
              </w:rPr>
              <w:br/>
            </w:r>
            <w:r>
              <w:rPr>
                <w:rFonts w:eastAsia="Times New Roman"/>
                <w:b/>
                <w:bCs/>
                <w:color w:val="000000"/>
                <w:sz w:val="16"/>
                <w:szCs w:val="16"/>
              </w:rPr>
              <w:t>Techniques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Significant</w:t>
            </w:r>
            <w:r>
              <w:rPr>
                <w:rFonts w:eastAsia="Times New Roman"/>
                <w:b/>
                <w:bCs/>
                <w:color w:val="000000"/>
                <w:sz w:val="16"/>
                <w:szCs w:val="16"/>
              </w:rPr>
              <w:br/>
              <w:t>Unobservable</w:t>
            </w:r>
            <w:r>
              <w:rPr>
                <w:rFonts w:eastAsia="Times New Roman"/>
                <w:b/>
                <w:bCs/>
                <w:color w:val="000000"/>
                <w:sz w:val="16"/>
                <w:szCs w:val="16"/>
              </w:rPr>
              <w:br/>
              <w:t>Inputs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Range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Weighted</w:t>
            </w:r>
          </w:p>
          <w:p w:rsidR="00000000" w:rsidRDefault="00E0782F">
            <w:pPr>
              <w:jc w:val="center"/>
              <w:rPr>
                <w:rFonts w:eastAsia="Times New Roman"/>
              </w:rPr>
            </w:pPr>
            <w:r>
              <w:rPr>
                <w:rFonts w:eastAsia="Times New Roman"/>
                <w:b/>
                <w:bCs/>
                <w:color w:val="000000"/>
                <w:sz w:val="16"/>
                <w:szCs w:val="16"/>
              </w:rPr>
              <w:t>Averag</w:t>
            </w:r>
            <w:r>
              <w:rPr>
                <w:rFonts w:eastAsia="Times New Roman"/>
                <w:b/>
                <w:bCs/>
                <w:color w:val="000000"/>
                <w:sz w:val="16"/>
                <w:szCs w:val="16"/>
              </w:rPr>
              <w:t>e</w:t>
            </w:r>
            <w:r>
              <w:rPr>
                <w:rFonts w:eastAsia="Times New Roman"/>
                <w:b/>
                <w:bCs/>
                <w:color w:val="000000"/>
                <w:sz w:val="10"/>
                <w:szCs w:val="10"/>
              </w:rPr>
              <w:t>(1</w:t>
            </w:r>
            <w:r>
              <w:rPr>
                <w:rFonts w:eastAsia="Times New Roman"/>
                <w:b/>
                <w:bCs/>
                <w:color w:val="000000"/>
                <w:sz w:val="10"/>
                <w:szCs w:val="10"/>
              </w:rPr>
              <w:t>)</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155" w:type="dxa"/>
              <w:bottom w:w="30" w:type="dxa"/>
              <w:right w:w="20" w:type="dxa"/>
            </w:tcMar>
            <w:hideMark/>
          </w:tcPr>
          <w:p w:rsidR="00000000" w:rsidRDefault="00E0782F">
            <w:pPr>
              <w:rPr>
                <w:rFonts w:eastAsia="Times New Roman"/>
              </w:rPr>
            </w:pPr>
            <w:r>
              <w:rPr>
                <w:rFonts w:eastAsia="Times New Roman"/>
                <w:color w:val="000000"/>
                <w:sz w:val="18"/>
                <w:szCs w:val="18"/>
              </w:rPr>
              <w:t>RMBS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hideMark/>
          </w:tcPr>
          <w:p w:rsidR="00000000" w:rsidRDefault="00E0782F">
            <w:pPr>
              <w:jc w:val="right"/>
              <w:rPr>
                <w:rFonts w:eastAsia="Times New Roman"/>
              </w:rPr>
            </w:pPr>
            <w:r>
              <w:rPr>
                <w:rFonts w:eastAsia="Times New Roman"/>
                <w:color w:val="000000"/>
                <w:sz w:val="18"/>
                <w:szCs w:val="18"/>
              </w:rPr>
              <w:t>429 </w:t>
            </w:r>
          </w:p>
        </w:tc>
        <w:tc>
          <w:tcPr>
            <w:tcW w:w="0" w:type="auto"/>
            <w:shd w:val="clear" w:color="auto" w:fill="FFFF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cash flows (vendor pricing)</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Yield</w:t>
            </w:r>
            <w:r>
              <w:rPr>
                <w:rFonts w:eastAsia="Times New Roman"/>
                <w:color w:val="000000"/>
                <w:sz w:val="18"/>
                <w:szCs w:val="18"/>
              </w:rPr>
              <w:br/>
              <w:t>Voluntary </w:t>
            </w:r>
            <w:r>
              <w:rPr>
                <w:rFonts w:eastAsia="Times New Roman"/>
                <w:color w:val="000000"/>
                <w:sz w:val="18"/>
                <w:szCs w:val="18"/>
              </w:rPr>
              <w:t>prepayment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divId w:val="736632280"/>
              <w:rPr>
                <w:rFonts w:eastAsia="Times New Roman"/>
              </w:rPr>
            </w:pPr>
            <w:r>
              <w:rPr>
                <w:rFonts w:eastAsia="Times New Roman"/>
                <w:color w:val="000000"/>
                <w:sz w:val="18"/>
                <w:szCs w:val="18"/>
              </w:rPr>
              <w:t>2-18%</w:t>
            </w:r>
          </w:p>
          <w:p w:rsidR="00000000" w:rsidRDefault="00E0782F">
            <w:pPr>
              <w:divId w:val="1829980740"/>
              <w:rPr>
                <w:rFonts w:eastAsia="Times New Roman"/>
              </w:rPr>
            </w:pPr>
            <w:r>
              <w:rPr>
                <w:rFonts w:eastAsia="Times New Roman"/>
                <w:color w:val="000000"/>
                <w:sz w:val="18"/>
                <w:szCs w:val="18"/>
              </w:rPr>
              <w:t>0-18%</w:t>
            </w:r>
          </w:p>
          <w:p w:rsidR="00000000" w:rsidRDefault="00E0782F">
            <w:pPr>
              <w:divId w:val="972640035"/>
              <w:rPr>
                <w:rFonts w:eastAsia="Times New Roman"/>
              </w:rPr>
            </w:pPr>
            <w:r>
              <w:rPr>
                <w:rFonts w:eastAsia="Times New Roman"/>
                <w:color w:val="000000"/>
                <w:sz w:val="18"/>
                <w:szCs w:val="18"/>
              </w:rPr>
              <w:t>1-6%</w:t>
            </w:r>
          </w:p>
          <w:p w:rsidR="00000000" w:rsidRDefault="00E0782F">
            <w:pPr>
              <w:divId w:val="279605882"/>
              <w:rPr>
                <w:rFonts w:eastAsia="Times New Roman"/>
              </w:rPr>
            </w:pPr>
            <w:r>
              <w:rPr>
                <w:rFonts w:eastAsia="Times New Roman"/>
                <w:color w:val="000000"/>
                <w:sz w:val="18"/>
                <w:szCs w:val="18"/>
              </w:rPr>
              <w:t>30-95%</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divId w:val="1751461032"/>
              <w:rPr>
                <w:rFonts w:eastAsia="Times New Roman"/>
              </w:rPr>
            </w:pPr>
            <w:r>
              <w:rPr>
                <w:rFonts w:eastAsia="Times New Roman"/>
                <w:color w:val="000000"/>
                <w:sz w:val="18"/>
                <w:szCs w:val="18"/>
              </w:rPr>
              <w:t>5%</w:t>
            </w:r>
          </w:p>
          <w:p w:rsidR="00000000" w:rsidRDefault="00E0782F">
            <w:pPr>
              <w:divId w:val="773326345"/>
              <w:rPr>
                <w:rFonts w:eastAsia="Times New Roman"/>
              </w:rPr>
            </w:pPr>
            <w:r>
              <w:rPr>
                <w:rFonts w:eastAsia="Times New Roman"/>
                <w:color w:val="000000"/>
                <w:sz w:val="18"/>
                <w:szCs w:val="18"/>
              </w:rPr>
              <w:t>10%</w:t>
            </w:r>
          </w:p>
          <w:p w:rsidR="00000000" w:rsidRDefault="00E0782F">
            <w:pPr>
              <w:divId w:val="2140100388"/>
              <w:rPr>
                <w:rFonts w:eastAsia="Times New Roman"/>
              </w:rPr>
            </w:pPr>
            <w:r>
              <w:rPr>
                <w:rFonts w:eastAsia="Times New Roman"/>
                <w:color w:val="000000"/>
                <w:sz w:val="18"/>
                <w:szCs w:val="18"/>
              </w:rPr>
              <w:t>2%</w:t>
            </w:r>
          </w:p>
          <w:p w:rsidR="00000000" w:rsidRDefault="00E0782F">
            <w:pPr>
              <w:divId w:val="570501940"/>
              <w:rPr>
                <w:rFonts w:eastAsia="Times New Roman"/>
              </w:rPr>
            </w:pPr>
            <w:r>
              <w:rPr>
                <w:rFonts w:eastAsia="Times New Roman"/>
                <w:color w:val="000000"/>
                <w:sz w:val="18"/>
                <w:szCs w:val="18"/>
              </w:rPr>
              <w:t>67%</w:t>
            </w:r>
          </w:p>
        </w:tc>
      </w:tr>
      <w:tr w:rsidR="00000000">
        <w:tc>
          <w:tcPr>
            <w:tcW w:w="0" w:type="auto"/>
            <w:gridSpan w:val="3"/>
            <w:shd w:val="clear" w:color="auto" w:fill="CCEEFF"/>
            <w:tcMar>
              <w:top w:w="30" w:type="dxa"/>
              <w:left w:w="155" w:type="dxa"/>
              <w:bottom w:w="30" w:type="dxa"/>
              <w:right w:w="20" w:type="dxa"/>
            </w:tcMar>
            <w:hideMark/>
          </w:tcPr>
          <w:p w:rsidR="00000000" w:rsidRDefault="00E0782F">
            <w:pPr>
              <w:rPr>
                <w:rFonts w:eastAsia="Times New Roman"/>
              </w:rPr>
            </w:pPr>
            <w:r>
              <w:rPr>
                <w:rFonts w:eastAsia="Times New Roman"/>
                <w:color w:val="000000"/>
                <w:sz w:val="18"/>
                <w:szCs w:val="18"/>
              </w:rPr>
              <w:t>CMBS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0782F">
            <w:pPr>
              <w:jc w:val="right"/>
              <w:rPr>
                <w:rFonts w:eastAsia="Times New Roman"/>
              </w:rPr>
            </w:pPr>
            <w:r>
              <w:rPr>
                <w:rFonts w:eastAsia="Times New Roman"/>
                <w:color w:val="000000"/>
                <w:sz w:val="18"/>
                <w:szCs w:val="18"/>
              </w:rPr>
              <w:t>13 </w:t>
            </w:r>
          </w:p>
        </w:tc>
        <w:tc>
          <w:tcPr>
            <w:tcW w:w="0" w:type="auto"/>
            <w:shd w:val="clear" w:color="auto" w:fill="CCEE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cash flows (vendor pricing)</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Yield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divId w:val="2005552083"/>
              <w:rPr>
                <w:rFonts w:eastAsia="Times New Roman"/>
              </w:rPr>
            </w:pPr>
            <w:r>
              <w:rPr>
                <w:rFonts w:eastAsia="Times New Roman"/>
                <w:color w:val="000000"/>
                <w:sz w:val="18"/>
                <w:szCs w:val="18"/>
              </w:rPr>
              <w:t>2-3%</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w:t>
            </w:r>
          </w:p>
        </w:tc>
      </w:tr>
      <w:tr w:rsidR="00000000">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E0782F">
            <w:pPr>
              <w:divId w:val="218369268"/>
              <w:rPr>
                <w:rFonts w:eastAsia="Times New Roman"/>
              </w:rPr>
            </w:pPr>
            <w:r>
              <w:rPr>
                <w:rFonts w:eastAsia="Times New Roman"/>
                <w:color w:val="000000"/>
                <w:sz w:val="18"/>
                <w:szCs w:val="18"/>
              </w:rPr>
              <w:t>Retained interests in securitization</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E0782F">
            <w:pPr>
              <w:jc w:val="right"/>
              <w:rPr>
                <w:rFonts w:eastAsia="Times New Roman"/>
              </w:rPr>
            </w:pPr>
            <w:r>
              <w:rPr>
                <w:rFonts w:eastAsia="Times New Roman"/>
                <w:color w:val="000000"/>
                <w:sz w:val="18"/>
                <w:szCs w:val="18"/>
              </w:rPr>
              <w:t>66 </w:t>
            </w:r>
          </w:p>
        </w:tc>
        <w:tc>
          <w:tcPr>
            <w:tcW w:w="0" w:type="auto"/>
            <w:shd w:val="clear" w:color="auto" w:fill="CCEE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cash flows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Life of receivables (months)</w:t>
            </w:r>
            <w:r>
              <w:rPr>
                <w:rFonts w:eastAsia="Times New Roman"/>
                <w:color w:val="000000"/>
                <w:sz w:val="18"/>
                <w:szCs w:val="18"/>
              </w:rPr>
              <w:br/>
              <w:t>Voluntary prepayment rate</w:t>
            </w:r>
            <w:r>
              <w:rPr>
                <w:rFonts w:eastAsia="Times New Roman"/>
                <w:color w:val="000000"/>
                <w:sz w:val="18"/>
                <w:szCs w:val="18"/>
              </w:rPr>
              <w:br/>
              <w:t>Discount rate</w:t>
            </w:r>
            <w:r>
              <w:rPr>
                <w:rFonts w:eastAsia="Times New Roman"/>
                <w:color w:val="000000"/>
                <w:sz w:val="18"/>
                <w:szCs w:val="18"/>
              </w:rPr>
              <w:br/>
              <w:t>Default rate</w:t>
            </w:r>
            <w:r>
              <w:rPr>
                <w:rFonts w:eastAsia="Times New Roman"/>
                <w:color w:val="000000"/>
                <w:sz w:val="18"/>
                <w:szCs w:val="18"/>
              </w:rPr>
              <w:br/>
              <w:t>Loss severity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E0782F">
            <w:pPr>
              <w:divId w:val="143394306"/>
              <w:rPr>
                <w:rFonts w:eastAsia="Times New Roman"/>
              </w:rPr>
            </w:pPr>
            <w:r>
              <w:rPr>
                <w:rFonts w:eastAsia="Times New Roman"/>
                <w:color w:val="000000"/>
                <w:sz w:val="18"/>
                <w:szCs w:val="18"/>
              </w:rPr>
              <w:t>35-51</w:t>
            </w:r>
          </w:p>
          <w:p w:rsidR="00000000" w:rsidRDefault="00E0782F">
            <w:pPr>
              <w:divId w:val="368921584"/>
              <w:rPr>
                <w:rFonts w:eastAsia="Times New Roman"/>
              </w:rPr>
            </w:pPr>
            <w:r>
              <w:rPr>
                <w:rFonts w:eastAsia="Times New Roman"/>
                <w:color w:val="000000"/>
                <w:sz w:val="18"/>
                <w:szCs w:val="18"/>
              </w:rPr>
              <w:t>4-14%</w:t>
            </w:r>
          </w:p>
          <w:p w:rsidR="00000000" w:rsidRDefault="00E0782F">
            <w:pPr>
              <w:divId w:val="1491945393"/>
              <w:rPr>
                <w:rFonts w:eastAsia="Times New Roman"/>
              </w:rPr>
            </w:pPr>
            <w:r>
              <w:rPr>
                <w:rFonts w:eastAsia="Times New Roman"/>
                <w:color w:val="000000"/>
                <w:sz w:val="18"/>
                <w:szCs w:val="18"/>
              </w:rPr>
              <w:t>3-10%</w:t>
            </w:r>
          </w:p>
          <w:p w:rsidR="00000000" w:rsidRDefault="00E0782F">
            <w:pPr>
              <w:divId w:val="1766345403"/>
              <w:rPr>
                <w:rFonts w:eastAsia="Times New Roman"/>
              </w:rPr>
            </w:pPr>
            <w:r>
              <w:rPr>
                <w:rFonts w:eastAsia="Times New Roman"/>
                <w:color w:val="000000"/>
                <w:sz w:val="18"/>
                <w:szCs w:val="18"/>
              </w:rPr>
              <w:t>2-3%</w:t>
            </w:r>
          </w:p>
          <w:p w:rsidR="00000000" w:rsidRDefault="00E0782F">
            <w:pPr>
              <w:divId w:val="270284394"/>
              <w:rPr>
                <w:rFonts w:eastAsia="Times New Roman"/>
              </w:rPr>
            </w:pPr>
            <w:r>
              <w:rPr>
                <w:rFonts w:eastAsia="Times New Roman"/>
                <w:color w:val="000000"/>
                <w:sz w:val="18"/>
                <w:szCs w:val="18"/>
              </w:rPr>
              <w:t>74-88%</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N/A</w:t>
            </w:r>
          </w:p>
        </w:tc>
      </w:tr>
      <w:tr w:rsidR="00000000">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Net derivative assets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E0782F">
            <w:pPr>
              <w:jc w:val="right"/>
              <w:rPr>
                <w:rFonts w:eastAsia="Times New Roman"/>
              </w:rPr>
            </w:pPr>
            <w:r>
              <w:rPr>
                <w:rFonts w:eastAsia="Times New Roman"/>
                <w:color w:val="000000"/>
                <w:sz w:val="18"/>
                <w:szCs w:val="18"/>
              </w:rPr>
              <w:t>26 </w:t>
            </w:r>
          </w:p>
        </w:tc>
        <w:tc>
          <w:tcPr>
            <w:tcW w:w="0" w:type="auto"/>
            <w:shd w:val="clear" w:color="auto" w:fill="FFFFFF"/>
            <w:tcMar>
              <w:top w:w="30" w:type="dxa"/>
              <w:left w:w="0" w:type="dxa"/>
              <w:bottom w:w="30" w:type="dxa"/>
              <w:right w:w="20" w:type="dxa"/>
            </w:tcMa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Discounted cash flows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Swap rates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2%</w:t>
            </w:r>
          </w:p>
        </w:tc>
      </w:tr>
    </w:tbl>
    <w:p w:rsidR="00000000" w:rsidRDefault="00E0782F">
      <w:pPr>
        <w:divId w:val="136339069"/>
        <w:rPr>
          <w:rFonts w:eastAsia="Times New Roman"/>
        </w:rPr>
      </w:pPr>
      <w:r>
        <w:rPr>
          <w:rFonts w:eastAsia="Times New Roman"/>
          <w:color w:val="000000"/>
          <w:sz w:val="20"/>
          <w:szCs w:val="20"/>
        </w:rPr>
        <w:t>__________</w:t>
      </w:r>
    </w:p>
    <w:p w:rsidR="00000000" w:rsidRDefault="00E0782F">
      <w:pPr>
        <w:ind w:hanging="360"/>
        <w:jc w:val="both"/>
        <w:divId w:val="187135726"/>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Weighted averages are calculated by using the product of the input multiplied by the relative fair value of the instruments.</w:t>
      </w:r>
    </w:p>
    <w:p w:rsidR="00000000" w:rsidRDefault="00E0782F">
      <w:pPr>
        <w:ind w:hanging="360"/>
        <w:jc w:val="both"/>
        <w:divId w:val="95455766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 xml:space="preserve">Due to the nature of the various mortgage securitization structures in which we have retained </w:t>
      </w:r>
      <w:r>
        <w:rPr>
          <w:rFonts w:eastAsia="Times New Roman"/>
          <w:color w:val="000000"/>
          <w:sz w:val="16"/>
          <w:szCs w:val="16"/>
        </w:rPr>
        <w:t>interests, it is not meaningful to present a consolidated weighted average for the significant unobservable inputs.</w:t>
      </w:r>
    </w:p>
    <w:p w:rsidR="00000000" w:rsidRDefault="00E0782F">
      <w:pPr>
        <w:divId w:val="495190770"/>
        <w:rPr>
          <w:rFonts w:eastAsia="Times New Roman"/>
        </w:rPr>
      </w:pPr>
      <w:r>
        <w:rPr>
          <w:rFonts w:eastAsia="Times New Roman"/>
          <w:b/>
          <w:bCs/>
          <w:color w:val="000000"/>
          <w:sz w:val="20"/>
          <w:szCs w:val="20"/>
        </w:rPr>
        <w:t>Assets and Liabilities Measured at Fair Value on a Nonrecurring Basis</w:t>
      </w:r>
    </w:p>
    <w:p w:rsidR="00000000" w:rsidRDefault="00E0782F">
      <w:pPr>
        <w:jc w:val="both"/>
        <w:divId w:val="182715318"/>
        <w:rPr>
          <w:rFonts w:eastAsia="Times New Roman"/>
        </w:rPr>
      </w:pPr>
      <w:r>
        <w:rPr>
          <w:rFonts w:eastAsia="Times New Roman"/>
          <w:color w:val="000000"/>
          <w:sz w:val="20"/>
          <w:szCs w:val="20"/>
        </w:rPr>
        <w:t>We are required to mea</w:t>
      </w:r>
      <w:r>
        <w:rPr>
          <w:rFonts w:eastAsia="Times New Roman"/>
          <w:color w:val="000000"/>
          <w:sz w:val="20"/>
          <w:szCs w:val="20"/>
        </w:rPr>
        <w:t>sure and recognize certain assets at fair value on a nonrecurring basis on the consolidated balance sheets. These assets are not measured at fair value on an ongoing basis but are subject to fair value adjustments in certain circumstances (for example, fro</w:t>
      </w:r>
      <w:r>
        <w:rPr>
          <w:rFonts w:eastAsia="Times New Roman"/>
          <w:color w:val="000000"/>
          <w:sz w:val="20"/>
          <w:szCs w:val="20"/>
        </w:rPr>
        <w:t>m the application of lower of cost or fair value accounting or when we evaluate for impairment). The following describes the valuation techniques used in estimating the fair value of our financial assets and liabilities recorded at fair value on a nonrecur</w:t>
      </w:r>
      <w:r>
        <w:rPr>
          <w:rFonts w:eastAsia="Times New Roman"/>
          <w:color w:val="000000"/>
          <w:sz w:val="20"/>
          <w:szCs w:val="20"/>
        </w:rPr>
        <w:t>ring basis.</w:t>
      </w:r>
    </w:p>
    <w:p w:rsidR="00000000" w:rsidRDefault="00E0782F">
      <w:pPr>
        <w:divId w:val="2014019350"/>
        <w:rPr>
          <w:rFonts w:eastAsia="Times New Roman"/>
        </w:rPr>
      </w:pPr>
      <w:r>
        <w:rPr>
          <w:rFonts w:eastAsia="Times New Roman"/>
          <w:b/>
          <w:bCs/>
          <w:i/>
          <w:iCs/>
          <w:color w:val="000000"/>
          <w:sz w:val="20"/>
          <w:szCs w:val="20"/>
        </w:rPr>
        <w:t>Net Loans Held for Investment</w:t>
      </w:r>
    </w:p>
    <w:p w:rsidR="00000000" w:rsidRDefault="00E0782F">
      <w:pPr>
        <w:jc w:val="both"/>
        <w:divId w:val="183903555"/>
        <w:rPr>
          <w:rFonts w:eastAsia="Times New Roman"/>
        </w:rPr>
      </w:pPr>
      <w:r>
        <w:rPr>
          <w:rFonts w:eastAsia="Times New Roman"/>
          <w:color w:val="000000"/>
          <w:sz w:val="20"/>
          <w:szCs w:val="20"/>
        </w:rPr>
        <w:t>For loans held for investment that are recorded at fair value on our consolidated balance sheets and measured on a nonrecurring basis, the fair value is determined using appraisal values that are obtained from inde</w:t>
      </w:r>
      <w:r>
        <w:rPr>
          <w:rFonts w:eastAsia="Times New Roman"/>
          <w:color w:val="000000"/>
          <w:sz w:val="20"/>
          <w:szCs w:val="20"/>
        </w:rPr>
        <w:t xml:space="preserve">pendent appraisers, broker pricing opinions or other available market information, adjusted for the estimated cost to sell. Due to the use of significant unobservable inputs, these loans are classified as Level 3 under the fair value hierarchy. Fair value </w:t>
      </w:r>
      <w:r>
        <w:rPr>
          <w:rFonts w:eastAsia="Times New Roman"/>
          <w:color w:val="000000"/>
          <w:sz w:val="20"/>
          <w:szCs w:val="20"/>
        </w:rPr>
        <w:t>adjustments for individually impaired collateralized loans held for investment are recorded in provision for credit losses in the consolidated statements of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26137416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26137416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26137416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4" style="width:0;height:1.5pt" o:hralign="center" o:hrstd="t" o:hr="t" fillcolor="#a0a0a0" stroked="f"/>
        </w:pict>
      </w:r>
    </w:p>
    <w:p w:rsidR="00000000" w:rsidRDefault="00E0782F">
      <w:pPr>
        <w:jc w:val="both"/>
        <w:divId w:val="114623903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146239032"/>
        <w:rPr>
          <w:rFonts w:eastAsia="Times New Roman"/>
        </w:rPr>
      </w:pPr>
    </w:p>
    <w:p w:rsidR="00000000" w:rsidRDefault="00E0782F">
      <w:pPr>
        <w:jc w:val="center"/>
        <w:divId w:val="1146239032"/>
        <w:rPr>
          <w:rFonts w:eastAsia="Times New Roman"/>
        </w:rPr>
      </w:pPr>
      <w:r>
        <w:rPr>
          <w:rFonts w:eastAsia="Times New Roman"/>
          <w:b/>
          <w:bCs/>
          <w:color w:val="000000"/>
          <w:sz w:val="20"/>
          <w:szCs w:val="20"/>
        </w:rPr>
        <w:t>CAPITAL ONE FINANCIAL CORPORATION</w:t>
      </w:r>
    </w:p>
    <w:p w:rsidR="00000000" w:rsidRDefault="00E0782F">
      <w:pPr>
        <w:jc w:val="center"/>
        <w:divId w:val="1146239032"/>
        <w:rPr>
          <w:rFonts w:eastAsia="Times New Roman"/>
        </w:rPr>
      </w:pPr>
      <w:r>
        <w:rPr>
          <w:rFonts w:eastAsia="Times New Roman"/>
          <w:b/>
          <w:bCs/>
          <w:color w:val="000000"/>
          <w:sz w:val="20"/>
          <w:szCs w:val="20"/>
        </w:rPr>
        <w:t>NOTES TO CONSOLIDATED FINANCIAL STATEMENTS</w:t>
      </w:r>
    </w:p>
    <w:p w:rsidR="00000000" w:rsidRDefault="00E0782F">
      <w:pPr>
        <w:divId w:val="1110930784"/>
        <w:rPr>
          <w:rFonts w:eastAsia="Times New Roman"/>
        </w:rPr>
      </w:pPr>
      <w:r>
        <w:rPr>
          <w:rFonts w:eastAsia="Times New Roman"/>
          <w:b/>
          <w:bCs/>
          <w:i/>
          <w:iCs/>
          <w:color w:val="000000"/>
          <w:sz w:val="20"/>
          <w:szCs w:val="20"/>
        </w:rPr>
        <w:t>Loans Held for Sale</w:t>
      </w:r>
    </w:p>
    <w:p w:rsidR="00000000" w:rsidRDefault="00E0782F">
      <w:pPr>
        <w:jc w:val="both"/>
        <w:divId w:val="168175994"/>
        <w:rPr>
          <w:rFonts w:eastAsia="Times New Roman"/>
        </w:rPr>
      </w:pPr>
      <w:r>
        <w:rPr>
          <w:rFonts w:eastAsia="Times New Roman"/>
          <w:color w:val="000000"/>
          <w:sz w:val="20"/>
          <w:szCs w:val="20"/>
        </w:rPr>
        <w:t>Loans held for sale for which we have not ele</w:t>
      </w:r>
      <w:r>
        <w:rPr>
          <w:rFonts w:eastAsia="Times New Roman"/>
          <w:color w:val="000000"/>
          <w:sz w:val="20"/>
          <w:szCs w:val="20"/>
        </w:rPr>
        <w:t xml:space="preserve">cted the fair value option are carried at the lower of aggregate cost, net of deferred fees and deferred origination costs, or fair value. These loans held for sale are valued based on market observable inputs and are therefore classified as Level 2. Fair </w:t>
      </w:r>
      <w:r>
        <w:rPr>
          <w:rFonts w:eastAsia="Times New Roman"/>
          <w:color w:val="000000"/>
          <w:sz w:val="20"/>
          <w:szCs w:val="20"/>
        </w:rPr>
        <w:t>value adjustments to these loans are recorded in other non-interest income in our consolidated statements of income.</w:t>
      </w:r>
    </w:p>
    <w:p w:rsidR="00000000" w:rsidRDefault="00E0782F">
      <w:pPr>
        <w:divId w:val="831070382"/>
        <w:rPr>
          <w:rFonts w:eastAsia="Times New Roman"/>
        </w:rPr>
      </w:pPr>
      <w:r>
        <w:rPr>
          <w:rFonts w:eastAsia="Times New Roman"/>
          <w:b/>
          <w:bCs/>
          <w:i/>
          <w:iCs/>
          <w:color w:val="000000"/>
          <w:sz w:val="20"/>
          <w:szCs w:val="20"/>
        </w:rPr>
        <w:t>Other Assets</w:t>
      </w:r>
    </w:p>
    <w:p w:rsidR="00000000" w:rsidRDefault="00E0782F">
      <w:pPr>
        <w:jc w:val="both"/>
        <w:divId w:val="1125268545"/>
        <w:rPr>
          <w:rFonts w:eastAsia="Times New Roman"/>
        </w:rPr>
      </w:pPr>
      <w:r>
        <w:rPr>
          <w:rFonts w:eastAsia="Times New Roman"/>
          <w:color w:val="000000"/>
          <w:sz w:val="20"/>
          <w:szCs w:val="20"/>
        </w:rPr>
        <w:t>Other assets subject to nonrecurring fair value measurements include equity investments accounted for under the measurement al</w:t>
      </w:r>
      <w:r>
        <w:rPr>
          <w:rFonts w:eastAsia="Times New Roman"/>
          <w:color w:val="000000"/>
          <w:sz w:val="20"/>
          <w:szCs w:val="20"/>
        </w:rPr>
        <w:t>ternative, other repossessed assets and long-lived assets held for sale. These assets held for sale are carried at the lower of the carrying amount or fair value less costs to sell. The fair value is determined based on the appraisal value, listing price o</w:t>
      </w:r>
      <w:r>
        <w:rPr>
          <w:rFonts w:eastAsia="Times New Roman"/>
          <w:color w:val="000000"/>
          <w:sz w:val="20"/>
          <w:szCs w:val="20"/>
        </w:rPr>
        <w:t>f the property or collateral provided by independent appraisers, and is adjusted for the estimated costs to sell. Due to the use of significant unobservable inputs, these assets are classified as Level 3 under the fair value hierarchy. Fair value adjustmen</w:t>
      </w:r>
      <w:r>
        <w:rPr>
          <w:rFonts w:eastAsia="Times New Roman"/>
          <w:color w:val="000000"/>
          <w:sz w:val="20"/>
          <w:szCs w:val="20"/>
        </w:rPr>
        <w:t>ts for these assets are recorded in other non-interest expense in the consolidated statements of income.</w:t>
      </w:r>
    </w:p>
    <w:p w:rsidR="00000000" w:rsidRDefault="00E0782F">
      <w:pPr>
        <w:jc w:val="both"/>
        <w:divId w:val="872380682"/>
        <w:rPr>
          <w:rFonts w:eastAsia="Times New Roman"/>
        </w:rPr>
      </w:pPr>
      <w:r>
        <w:rPr>
          <w:rFonts w:eastAsia="Times New Roman"/>
          <w:color w:val="000000"/>
          <w:sz w:val="20"/>
          <w:szCs w:val="20"/>
        </w:rPr>
        <w:t>The following table presents the carrying value of the assets measured at fair value on a nonrecurring basis and still held as of December 31, 2020 and</w:t>
      </w:r>
      <w:r>
        <w:rPr>
          <w:rFonts w:eastAsia="Times New Roman"/>
          <w:color w:val="000000"/>
          <w:sz w:val="20"/>
          <w:szCs w:val="20"/>
        </w:rPr>
        <w:t xml:space="preserve"> 2019, and for which a nonrecurring fair value measurement was recorded during the year then ended.</w:t>
      </w:r>
    </w:p>
    <w:p w:rsidR="00000000" w:rsidRDefault="00E0782F">
      <w:pPr>
        <w:divId w:val="424493853"/>
        <w:rPr>
          <w:rFonts w:eastAsia="Times New Roman"/>
        </w:rPr>
      </w:pPr>
      <w:r>
        <w:rPr>
          <w:rFonts w:eastAsia="Times New Roman"/>
          <w:b/>
          <w:bCs/>
          <w:color w:val="000000"/>
          <w:sz w:val="18"/>
          <w:szCs w:val="18"/>
        </w:rPr>
        <w:t>Table 16.4: Nonrecurring Fair Value Measurements</w:t>
      </w:r>
    </w:p>
    <w:tbl>
      <w:tblPr>
        <w:tblW w:w="4985" w:type="pct"/>
        <w:tblCellMar>
          <w:top w:w="15" w:type="dxa"/>
          <w:left w:w="15" w:type="dxa"/>
          <w:bottom w:w="15" w:type="dxa"/>
          <w:right w:w="15" w:type="dxa"/>
        </w:tblCellMar>
        <w:tblLook w:val="04A0" w:firstRow="1" w:lastRow="0" w:firstColumn="1" w:lastColumn="0" w:noHBand="0" w:noVBand="1"/>
      </w:tblPr>
      <w:tblGrid>
        <w:gridCol w:w="38"/>
        <w:gridCol w:w="5871"/>
        <w:gridCol w:w="37"/>
        <w:gridCol w:w="36"/>
        <w:gridCol w:w="36"/>
        <w:gridCol w:w="36"/>
        <w:gridCol w:w="111"/>
        <w:gridCol w:w="622"/>
        <w:gridCol w:w="37"/>
        <w:gridCol w:w="37"/>
        <w:gridCol w:w="48"/>
        <w:gridCol w:w="36"/>
        <w:gridCol w:w="110"/>
        <w:gridCol w:w="621"/>
        <w:gridCol w:w="36"/>
        <w:gridCol w:w="36"/>
        <w:gridCol w:w="36"/>
        <w:gridCol w:w="36"/>
        <w:gridCol w:w="110"/>
        <w:gridCol w:w="315"/>
        <w:gridCol w:w="36"/>
      </w:tblGrid>
      <w:tr w:rsidR="00000000">
        <w:trPr>
          <w:divId w:val="157503455"/>
        </w:trPr>
        <w:tc>
          <w:tcPr>
            <w:tcW w:w="50" w:type="pct"/>
            <w:vAlign w:val="center"/>
            <w:hideMark/>
          </w:tcPr>
          <w:p w:rsidR="00000000" w:rsidRDefault="00E0782F">
            <w:pPr>
              <w:rPr>
                <w:rFonts w:eastAsia="Times New Roman"/>
              </w:rPr>
            </w:pPr>
          </w:p>
        </w:tc>
        <w:tc>
          <w:tcPr>
            <w:tcW w:w="366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7503455"/>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157503455"/>
          <w:trHeight w:val="36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divId w:val="157503455"/>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r>
      <w:tr w:rsidR="00000000">
        <w:trPr>
          <w:divId w:val="15750345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503455"/>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57503455"/>
        </w:trPr>
        <w:tc>
          <w:tcPr>
            <w:tcW w:w="0" w:type="auto"/>
            <w:gridSpan w:val="3"/>
            <w:shd w:val="clear" w:color="auto" w:fill="FFFFFF"/>
            <w:tcMar>
              <w:top w:w="30" w:type="dxa"/>
              <w:left w:w="20" w:type="dxa"/>
              <w:bottom w:w="30" w:type="dxa"/>
              <w:right w:w="20" w:type="dxa"/>
            </w:tcMar>
            <w:vAlign w:val="center"/>
            <w:hideMark/>
          </w:tcPr>
          <w:p w:rsidR="00000000" w:rsidRDefault="00E0782F">
            <w:pPr>
              <w:divId w:val="1366103011"/>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57503455"/>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076"/>
        <w:gridCol w:w="144"/>
        <w:gridCol w:w="144"/>
        <w:gridCol w:w="144"/>
        <w:gridCol w:w="144"/>
        <w:gridCol w:w="144"/>
        <w:gridCol w:w="551"/>
        <w:gridCol w:w="144"/>
        <w:gridCol w:w="144"/>
        <w:gridCol w:w="144"/>
        <w:gridCol w:w="144"/>
        <w:gridCol w:w="144"/>
        <w:gridCol w:w="551"/>
        <w:gridCol w:w="144"/>
        <w:gridCol w:w="144"/>
        <w:gridCol w:w="144"/>
        <w:gridCol w:w="144"/>
        <w:gridCol w:w="144"/>
        <w:gridCol w:w="551"/>
        <w:gridCol w:w="144"/>
      </w:tblGrid>
      <w:tr w:rsidR="00000000">
        <w:tc>
          <w:tcPr>
            <w:tcW w:w="50" w:type="pct"/>
            <w:vAlign w:val="center"/>
            <w:hideMark/>
          </w:tcPr>
          <w:p w:rsidR="00000000" w:rsidRDefault="00E0782F">
            <w:pPr>
              <w:rPr>
                <w:rFonts w:eastAsia="Times New Roman"/>
              </w:rPr>
            </w:pPr>
          </w:p>
        </w:tc>
        <w:tc>
          <w:tcPr>
            <w:tcW w:w="366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trHeight w:val="36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Estimated Fair Value Hierarchy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w:t>
            </w:r>
          </w:p>
        </w:tc>
      </w:tr>
      <w:tr w:rsidR="00000000">
        <w:trPr>
          <w:trHeight w:val="24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E0782F">
            <w:pPr>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1106341025"/>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divId w:val="1675766835"/>
        <w:rPr>
          <w:rFonts w:eastAsia="Times New Roman"/>
        </w:rPr>
      </w:pPr>
      <w:r>
        <w:rPr>
          <w:rFonts w:eastAsia="Times New Roman"/>
          <w:color w:val="000000"/>
          <w:sz w:val="20"/>
          <w:szCs w:val="20"/>
        </w:rPr>
        <w:t>__________</w:t>
      </w:r>
    </w:p>
    <w:p w:rsidR="00000000" w:rsidRDefault="00E0782F">
      <w:pPr>
        <w:ind w:hanging="360"/>
        <w:jc w:val="both"/>
        <w:divId w:val="771047961"/>
        <w:rPr>
          <w:rFonts w:eastAsia="Times New Roman"/>
        </w:rPr>
      </w:pPr>
      <w:r>
        <w:rPr>
          <w:rFonts w:eastAsia="Times New Roman"/>
          <w:color w:val="000000"/>
          <w:sz w:val="10"/>
          <w:szCs w:val="10"/>
          <w:shd w:val="clear" w:color="auto" w:fill="FFFFFF"/>
        </w:rPr>
        <w:t>(1</w:t>
      </w:r>
      <w:r>
        <w:rPr>
          <w:rFonts w:eastAsia="Times New Roman"/>
          <w:color w:val="000000"/>
          <w:sz w:val="10"/>
          <w:szCs w:val="10"/>
          <w:shd w:val="clear" w:color="auto" w:fill="FFFFFF"/>
        </w:rPr>
        <w:t>)</w:t>
      </w:r>
      <w:r>
        <w:rPr>
          <w:rFonts w:eastAsia="Times New Roman"/>
          <w:color w:val="000000"/>
          <w:sz w:val="16"/>
          <w:szCs w:val="16"/>
          <w:shd w:val="clear" w:color="auto" w:fill="FFFFFF"/>
        </w:rPr>
        <w:t>As of December 31, 2020, other assets included equity investments accounted for under the measurement al</w:t>
      </w:r>
      <w:r>
        <w:rPr>
          <w:rFonts w:eastAsia="Times New Roman"/>
          <w:color w:val="000000"/>
          <w:sz w:val="16"/>
          <w:szCs w:val="16"/>
        </w:rPr>
        <w:t>ternative of $25 million, repossessed assets of $42 million and long-lived assets held for sale of $108 million. As of December 31, 2019, other assets i</w:t>
      </w:r>
      <w:r>
        <w:rPr>
          <w:rFonts w:eastAsia="Times New Roman"/>
          <w:color w:val="000000"/>
          <w:sz w:val="16"/>
          <w:szCs w:val="16"/>
        </w:rPr>
        <w:t>ncluded equity investments accounted for under the measurement alternative of $5 million, repossessed assets of $61 million and long-lived assets held for sale of $37 million.</w:t>
      </w:r>
    </w:p>
    <w:p w:rsidR="00000000" w:rsidRDefault="00E0782F">
      <w:pPr>
        <w:jc w:val="both"/>
        <w:divId w:val="1168130745"/>
        <w:rPr>
          <w:rFonts w:eastAsia="Times New Roman"/>
        </w:rPr>
      </w:pPr>
      <w:r>
        <w:rPr>
          <w:rFonts w:eastAsia="Times New Roman"/>
          <w:color w:val="000000"/>
          <w:sz w:val="20"/>
          <w:szCs w:val="20"/>
        </w:rPr>
        <w:t>In the above table, loans held for investment are generally valued based in part</w:t>
      </w:r>
      <w:r>
        <w:rPr>
          <w:rFonts w:eastAsia="Times New Roman"/>
          <w:color w:val="000000"/>
          <w:sz w:val="20"/>
          <w:szCs w:val="20"/>
        </w:rPr>
        <w:t xml:space="preserve"> on the estimated fair value of the underlying collateral and the non-recoverable rate, which is considered to be a significant unobservable input. The non-recoverable rate ranged from 0% to 89%, with a weighted average of 14%, and from 0% to 50%, with a w</w:t>
      </w:r>
      <w:r>
        <w:rPr>
          <w:rFonts w:eastAsia="Times New Roman"/>
          <w:color w:val="000000"/>
          <w:sz w:val="20"/>
          <w:szCs w:val="20"/>
        </w:rPr>
        <w:t>eighted average of 6%, as of December 31, 2020 and 2019, respectively. The weighted average non-recoverable rate is calculated based on the estimated market value of the underlying collateral. The significant unobservable inputs and related quantitative in</w:t>
      </w:r>
      <w:r>
        <w:rPr>
          <w:rFonts w:eastAsia="Times New Roman"/>
          <w:color w:val="000000"/>
          <w:sz w:val="20"/>
          <w:szCs w:val="20"/>
        </w:rPr>
        <w:t>formation related to fair value of the other assets are not meaningful to disclose as they vary significantly across properties and collateral.</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7015825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77015825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77015825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199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5" style="width:0;height:1.5pt" o:hralign="center" o:hrstd="t" o:hr="t" fillcolor="#a0a0a0" stroked="f"/>
        </w:pict>
      </w:r>
    </w:p>
    <w:p w:rsidR="00000000" w:rsidRDefault="00E0782F">
      <w:pPr>
        <w:jc w:val="both"/>
        <w:divId w:val="115895732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158957325"/>
        <w:rPr>
          <w:rFonts w:eastAsia="Times New Roman"/>
        </w:rPr>
      </w:pPr>
    </w:p>
    <w:p w:rsidR="00000000" w:rsidRDefault="00E0782F">
      <w:pPr>
        <w:jc w:val="center"/>
        <w:divId w:val="1158957325"/>
        <w:rPr>
          <w:rFonts w:eastAsia="Times New Roman"/>
        </w:rPr>
      </w:pPr>
      <w:r>
        <w:rPr>
          <w:rFonts w:eastAsia="Times New Roman"/>
          <w:b/>
          <w:bCs/>
          <w:color w:val="000000"/>
          <w:sz w:val="20"/>
          <w:szCs w:val="20"/>
        </w:rPr>
        <w:t>CAPITAL ONE FINANCIAL CORPORATION</w:t>
      </w:r>
    </w:p>
    <w:p w:rsidR="00000000" w:rsidRDefault="00E0782F">
      <w:pPr>
        <w:jc w:val="center"/>
        <w:divId w:val="1158957325"/>
        <w:rPr>
          <w:rFonts w:eastAsia="Times New Roman"/>
        </w:rPr>
      </w:pPr>
      <w:r>
        <w:rPr>
          <w:rFonts w:eastAsia="Times New Roman"/>
          <w:b/>
          <w:bCs/>
          <w:color w:val="000000"/>
          <w:sz w:val="20"/>
          <w:szCs w:val="20"/>
        </w:rPr>
        <w:t>NOTES TO CONSOLIDATED FINANCIAL STATEMENTS</w:t>
      </w:r>
    </w:p>
    <w:p w:rsidR="00000000" w:rsidRDefault="00E0782F">
      <w:pPr>
        <w:jc w:val="both"/>
        <w:divId w:val="657223193"/>
        <w:rPr>
          <w:rFonts w:eastAsia="Times New Roman"/>
        </w:rPr>
      </w:pPr>
      <w:r>
        <w:rPr>
          <w:rFonts w:eastAsia="Times New Roman"/>
          <w:color w:val="000000"/>
          <w:sz w:val="20"/>
          <w:szCs w:val="20"/>
        </w:rPr>
        <w:t>The following table presents total nonrecurring fair value measurements for the period, included in earnings, attributable to the change in fair value relating to assets that are still held at December 31, 2020 and 2019.</w:t>
      </w:r>
    </w:p>
    <w:p w:rsidR="00000000" w:rsidRDefault="00E0782F">
      <w:pPr>
        <w:divId w:val="1580945295"/>
        <w:rPr>
          <w:rFonts w:eastAsia="Times New Roman"/>
        </w:rPr>
      </w:pPr>
      <w:r>
        <w:rPr>
          <w:rFonts w:eastAsia="Times New Roman"/>
          <w:b/>
          <w:bCs/>
          <w:color w:val="000000"/>
          <w:sz w:val="18"/>
          <w:szCs w:val="18"/>
        </w:rPr>
        <w:t>Table 16.5: Nonrecurring Fair Value</w:t>
      </w:r>
      <w:r>
        <w:rPr>
          <w:rFonts w:eastAsia="Times New Roman"/>
          <w:b/>
          <w:bCs/>
          <w:color w:val="000000"/>
          <w:sz w:val="18"/>
          <w:szCs w:val="18"/>
        </w:rPr>
        <w:t xml:space="preserve"> Measurements Included in Earnings</w:t>
      </w:r>
    </w:p>
    <w:tbl>
      <w:tblPr>
        <w:tblW w:w="5000" w:type="pct"/>
        <w:tblCellMar>
          <w:top w:w="15" w:type="dxa"/>
          <w:left w:w="15" w:type="dxa"/>
          <w:bottom w:w="15" w:type="dxa"/>
          <w:right w:w="15" w:type="dxa"/>
        </w:tblCellMar>
        <w:tblLook w:val="04A0" w:firstRow="1" w:lastRow="0" w:firstColumn="1" w:lastColumn="0" w:noHBand="0" w:noVBand="1"/>
      </w:tblPr>
      <w:tblGrid>
        <w:gridCol w:w="42"/>
        <w:gridCol w:w="5843"/>
        <w:gridCol w:w="37"/>
        <w:gridCol w:w="36"/>
        <w:gridCol w:w="36"/>
        <w:gridCol w:w="36"/>
        <w:gridCol w:w="110"/>
        <w:gridCol w:w="938"/>
        <w:gridCol w:w="36"/>
        <w:gridCol w:w="36"/>
        <w:gridCol w:w="36"/>
        <w:gridCol w:w="36"/>
        <w:gridCol w:w="110"/>
        <w:gridCol w:w="938"/>
        <w:gridCol w:w="36"/>
      </w:tblGrid>
      <w:tr w:rsidR="00000000">
        <w:trPr>
          <w:divId w:val="794182884"/>
        </w:trPr>
        <w:tc>
          <w:tcPr>
            <w:tcW w:w="50" w:type="pct"/>
            <w:vAlign w:val="center"/>
            <w:hideMark/>
          </w:tcPr>
          <w:p w:rsidR="00000000" w:rsidRDefault="00E0782F">
            <w:pPr>
              <w:rPr>
                <w:rFonts w:eastAsia="Times New Roman"/>
              </w:rPr>
            </w:pPr>
          </w:p>
        </w:tc>
        <w:tc>
          <w:tcPr>
            <w:tcW w:w="354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61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9418288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Total Gains (Losses)</w:t>
            </w:r>
          </w:p>
        </w:tc>
      </w:tr>
      <w:tr w:rsidR="00000000">
        <w:trPr>
          <w:divId w:val="794182884"/>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79418288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r>
      <w:tr w:rsidR="00000000">
        <w:trPr>
          <w:divId w:val="79418288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(268)</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4182884"/>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94182884"/>
        </w:trPr>
        <w:tc>
          <w:tcPr>
            <w:tcW w:w="0" w:type="auto"/>
            <w:gridSpan w:val="3"/>
            <w:shd w:val="clear" w:color="auto" w:fill="FFFFFF"/>
            <w:tcMar>
              <w:top w:w="30" w:type="dxa"/>
              <w:left w:w="20" w:type="dxa"/>
              <w:bottom w:w="30" w:type="dxa"/>
              <w:right w:w="20" w:type="dxa"/>
            </w:tcMar>
            <w:vAlign w:val="center"/>
            <w:hideMark/>
          </w:tcPr>
          <w:p w:rsidR="00000000" w:rsidRDefault="00E0782F">
            <w:pPr>
              <w:divId w:val="1259480227"/>
              <w:rPr>
                <w:rFonts w:eastAsia="Times New Roman"/>
              </w:rPr>
            </w:pPr>
            <w:r>
              <w:rPr>
                <w:rFonts w:eastAsia="Times New Roman"/>
                <w:color w:val="000000"/>
                <w:sz w:val="18"/>
                <w:szCs w:val="18"/>
              </w:rPr>
              <w:t>Other asset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(85)</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9418288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960257723"/>
        <w:rPr>
          <w:rFonts w:eastAsia="Times New Roman"/>
        </w:rPr>
      </w:pPr>
      <w:r>
        <w:rPr>
          <w:rFonts w:eastAsia="Times New Roman"/>
          <w:color w:val="000000"/>
          <w:sz w:val="20"/>
          <w:szCs w:val="20"/>
        </w:rPr>
        <w:t>__________</w:t>
      </w:r>
    </w:p>
    <w:p w:rsidR="00000000" w:rsidRDefault="00E0782F">
      <w:pPr>
        <w:ind w:hanging="360"/>
        <w:jc w:val="both"/>
        <w:divId w:val="79471282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Other assets include fair value adjustments related to repossessed assets, long-lived assets held for sale and equity investments accounted for under the </w:t>
      </w:r>
      <w:r>
        <w:rPr>
          <w:rFonts w:eastAsia="Times New Roman"/>
          <w:color w:val="000000"/>
          <w:sz w:val="16"/>
          <w:szCs w:val="16"/>
          <w:shd w:val="clear" w:color="auto" w:fill="FFFFFF"/>
        </w:rPr>
        <w:t>measurement alternative.</w:t>
      </w:r>
    </w:p>
    <w:p w:rsidR="00000000" w:rsidRDefault="00E0782F">
      <w:pPr>
        <w:divId w:val="1122309625"/>
        <w:rPr>
          <w:rFonts w:eastAsia="Times New Roman"/>
        </w:rPr>
      </w:pPr>
      <w:r>
        <w:rPr>
          <w:rFonts w:eastAsia="Times New Roman"/>
          <w:b/>
          <w:bCs/>
          <w:color w:val="000000"/>
          <w:sz w:val="20"/>
          <w:szCs w:val="20"/>
        </w:rPr>
        <w:t>Fair Value of Financial Instruments</w:t>
      </w:r>
    </w:p>
    <w:p w:rsidR="00000000" w:rsidRDefault="00E0782F">
      <w:pPr>
        <w:jc w:val="both"/>
        <w:divId w:val="1906643536"/>
        <w:rPr>
          <w:rFonts w:eastAsia="Times New Roman"/>
        </w:rPr>
      </w:pPr>
      <w:r>
        <w:rPr>
          <w:rFonts w:eastAsia="Times New Roman"/>
          <w:color w:val="000000"/>
          <w:sz w:val="20"/>
          <w:szCs w:val="20"/>
        </w:rPr>
        <w:t>The following table presents the carrying value and estimated fair value, including the level within the fair value hierarchy, of our financial instruments that are not measured at fair value on a recurring basis on our consolidated balance sheets as of De</w:t>
      </w:r>
      <w:r>
        <w:rPr>
          <w:rFonts w:eastAsia="Times New Roman"/>
          <w:color w:val="000000"/>
          <w:sz w:val="20"/>
          <w:szCs w:val="20"/>
        </w:rPr>
        <w:t>cember 31, 2020 and 2019.</w:t>
      </w:r>
    </w:p>
    <w:p w:rsidR="00000000" w:rsidRDefault="00E0782F">
      <w:pPr>
        <w:divId w:val="320473132"/>
        <w:rPr>
          <w:rFonts w:eastAsia="Times New Roman"/>
        </w:rPr>
      </w:pPr>
      <w:r>
        <w:rPr>
          <w:rFonts w:eastAsia="Times New Roman"/>
          <w:b/>
          <w:bCs/>
          <w:color w:val="000000"/>
          <w:sz w:val="18"/>
          <w:szCs w:val="18"/>
        </w:rPr>
        <w:t>Table 16.6: Fair Value of Financial Instruments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234"/>
        <w:gridCol w:w="39"/>
        <w:gridCol w:w="36"/>
        <w:gridCol w:w="36"/>
        <w:gridCol w:w="36"/>
        <w:gridCol w:w="110"/>
        <w:gridCol w:w="540"/>
        <w:gridCol w:w="36"/>
        <w:gridCol w:w="36"/>
        <w:gridCol w:w="36"/>
        <w:gridCol w:w="36"/>
        <w:gridCol w:w="111"/>
        <w:gridCol w:w="633"/>
        <w:gridCol w:w="36"/>
        <w:gridCol w:w="36"/>
        <w:gridCol w:w="36"/>
        <w:gridCol w:w="36"/>
        <w:gridCol w:w="110"/>
        <w:gridCol w:w="450"/>
        <w:gridCol w:w="36"/>
        <w:gridCol w:w="36"/>
        <w:gridCol w:w="36"/>
        <w:gridCol w:w="36"/>
        <w:gridCol w:w="110"/>
        <w:gridCol w:w="540"/>
        <w:gridCol w:w="36"/>
        <w:gridCol w:w="36"/>
        <w:gridCol w:w="36"/>
        <w:gridCol w:w="36"/>
        <w:gridCol w:w="112"/>
        <w:gridCol w:w="557"/>
        <w:gridCol w:w="36"/>
      </w:tblGrid>
      <w:tr w:rsidR="00000000">
        <w:trPr>
          <w:divId w:val="776215552"/>
        </w:trPr>
        <w:tc>
          <w:tcPr>
            <w:tcW w:w="50" w:type="pct"/>
            <w:vAlign w:val="center"/>
            <w:hideMark/>
          </w:tcPr>
          <w:p w:rsidR="00000000" w:rsidRDefault="00E0782F">
            <w:pPr>
              <w:rPr>
                <w:rFonts w:eastAsia="Times New Roman"/>
              </w:rPr>
            </w:pPr>
          </w:p>
        </w:tc>
        <w:tc>
          <w:tcPr>
            <w:tcW w:w="291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4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776215552"/>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r>
      <w:tr w:rsidR="00000000">
        <w:trPr>
          <w:divId w:val="776215552"/>
          <w:trHeight w:val="36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Estimated Fair Value Hierarchy</w:t>
            </w:r>
          </w:p>
        </w:tc>
      </w:tr>
      <w:tr w:rsidR="00000000">
        <w:trPr>
          <w:divId w:val="776215552"/>
          <w:trHeight w:val="24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3</w:t>
            </w:r>
          </w:p>
        </w:tc>
      </w:tr>
      <w:tr w:rsidR="00000000">
        <w:trPr>
          <w:divId w:val="77621555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762155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40,509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40,509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4,708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35,801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762155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236,060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244,701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244,701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2,114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CCEEFF"/>
            <w:tcMar>
              <w:top w:w="30" w:type="dxa"/>
              <w:left w:w="20" w:type="dxa"/>
              <w:bottom w:w="30" w:type="dxa"/>
              <w:right w:w="20" w:type="dxa"/>
            </w:tcMar>
            <w:vAlign w:val="center"/>
            <w:hideMark/>
          </w:tcPr>
          <w:p w:rsidR="00000000" w:rsidRDefault="00E0782F">
            <w:pPr>
              <w:divId w:val="2049335966"/>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7762155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32,746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33,111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12,414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12,584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27,382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28,282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28,282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668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776215552"/>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776215552"/>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payable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6" style="width:0;height:1.5pt" o:hralign="center" o:hrstd="t" o:hr="t" fillcolor="#a0a0a0" stroked="f"/>
        </w:pict>
      </w:r>
    </w:p>
    <w:p w:rsidR="00000000" w:rsidRDefault="00E0782F">
      <w:pPr>
        <w:jc w:val="both"/>
        <w:divId w:val="131055380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310553808"/>
        <w:rPr>
          <w:rFonts w:eastAsia="Times New Roman"/>
        </w:rPr>
      </w:pPr>
    </w:p>
    <w:p w:rsidR="00000000" w:rsidRDefault="00E0782F">
      <w:pPr>
        <w:jc w:val="center"/>
        <w:divId w:val="1310553808"/>
        <w:rPr>
          <w:rFonts w:eastAsia="Times New Roman"/>
        </w:rPr>
      </w:pPr>
      <w:r>
        <w:rPr>
          <w:rFonts w:eastAsia="Times New Roman"/>
          <w:b/>
          <w:bCs/>
          <w:color w:val="000000"/>
          <w:sz w:val="20"/>
          <w:szCs w:val="20"/>
        </w:rPr>
        <w:t>CAPITAL ONE FINANCIAL CORPORATION</w:t>
      </w:r>
    </w:p>
    <w:p w:rsidR="00000000" w:rsidRDefault="00E0782F">
      <w:pPr>
        <w:jc w:val="center"/>
        <w:divId w:val="1310553808"/>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326"/>
        <w:gridCol w:w="39"/>
        <w:gridCol w:w="36"/>
        <w:gridCol w:w="36"/>
        <w:gridCol w:w="36"/>
        <w:gridCol w:w="110"/>
        <w:gridCol w:w="540"/>
        <w:gridCol w:w="36"/>
        <w:gridCol w:w="36"/>
        <w:gridCol w:w="36"/>
        <w:gridCol w:w="36"/>
        <w:gridCol w:w="111"/>
        <w:gridCol w:w="631"/>
        <w:gridCol w:w="36"/>
        <w:gridCol w:w="36"/>
        <w:gridCol w:w="36"/>
        <w:gridCol w:w="36"/>
        <w:gridCol w:w="110"/>
        <w:gridCol w:w="450"/>
        <w:gridCol w:w="36"/>
        <w:gridCol w:w="36"/>
        <w:gridCol w:w="36"/>
        <w:gridCol w:w="36"/>
        <w:gridCol w:w="110"/>
        <w:gridCol w:w="450"/>
        <w:gridCol w:w="36"/>
        <w:gridCol w:w="36"/>
        <w:gridCol w:w="36"/>
        <w:gridCol w:w="36"/>
        <w:gridCol w:w="112"/>
        <w:gridCol w:w="557"/>
        <w:gridCol w:w="36"/>
      </w:tblGrid>
      <w:tr w:rsidR="00000000">
        <w:trPr>
          <w:divId w:val="1109205841"/>
        </w:trPr>
        <w:tc>
          <w:tcPr>
            <w:tcW w:w="50" w:type="pct"/>
            <w:vAlign w:val="center"/>
            <w:hideMark/>
          </w:tcPr>
          <w:p w:rsidR="00000000" w:rsidRDefault="00E0782F">
            <w:pPr>
              <w:jc w:val="center"/>
              <w:rPr>
                <w:rFonts w:eastAsia="Times New Roman"/>
              </w:rPr>
            </w:pPr>
          </w:p>
        </w:tc>
        <w:tc>
          <w:tcPr>
            <w:tcW w:w="29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39"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0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09205841"/>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4"/>
                <w:szCs w:val="14"/>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109205841"/>
          <w:trHeight w:val="360"/>
        </w:trPr>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Estimated</w:t>
            </w:r>
            <w:r>
              <w:rPr>
                <w:rFonts w:eastAsia="Times New Roman"/>
                <w:b/>
                <w:bCs/>
                <w:color w:val="000000"/>
                <w:sz w:val="16"/>
                <w:szCs w:val="16"/>
              </w:rPr>
              <w:b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Estimated Fair Value Hierarchy</w:t>
            </w:r>
          </w:p>
        </w:tc>
      </w:tr>
      <w:tr w:rsidR="00000000">
        <w:trPr>
          <w:divId w:val="1109205841"/>
          <w:trHeight w:val="240"/>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vMerge/>
            <w:tcBorders>
              <w:top w:val="single" w:sz="8" w:space="0" w:color="000000"/>
            </w:tcBorders>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Level 3</w:t>
            </w:r>
          </w:p>
        </w:tc>
      </w:tr>
      <w:tr w:rsidR="00000000">
        <w:trPr>
          <w:divId w:val="1109205841"/>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Financial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0920584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4,129 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9,278 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Restricted cash for securitization investors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loans held for investment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258,601 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258,696 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258,696 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receivable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1,758 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CCEEFF"/>
            <w:tcMar>
              <w:top w:w="30" w:type="dxa"/>
              <w:left w:w="20" w:type="dxa"/>
              <w:bottom w:w="30" w:type="dxa"/>
              <w:right w:w="20" w:type="dxa"/>
            </w:tcMar>
            <w:vAlign w:val="center"/>
            <w:hideMark/>
          </w:tcPr>
          <w:p w:rsidR="00000000" w:rsidRDefault="00E0782F">
            <w:pPr>
              <w:divId w:val="1178931461"/>
              <w:rPr>
                <w:rFonts w:eastAsia="Times New Roman"/>
              </w:rPr>
            </w:pPr>
            <w:r>
              <w:rPr>
                <w:rFonts w:eastAsia="Times New Roman"/>
                <w:color w:val="000000"/>
                <w:sz w:val="18"/>
                <w:szCs w:val="18"/>
              </w:rPr>
              <w:t>Other investment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Financial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0920584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 with defined maturities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44,958 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45,225 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45,225 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Securitized debt obligations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17,808 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17,941 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17,941 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30,472 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31,233 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31,233 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Federal funds purchased and securities loaned or sold under agreements to repurchase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CCEEFF"/>
            <w:tcMar>
              <w:top w:w="30" w:type="dxa"/>
              <w:left w:w="20" w:type="dxa"/>
              <w:bottom w:w="30" w:type="dxa"/>
              <w:right w:w="20" w:type="dxa"/>
            </w:tcMar>
            <w:vAlign w:val="center"/>
            <w:hideMark/>
          </w:tcPr>
          <w:p w:rsidR="00000000" w:rsidRDefault="00E0782F">
            <w:pPr>
              <w:divId w:val="2029788867"/>
              <w:rPr>
                <w:rFonts w:eastAsia="Times New Roman"/>
              </w:rPr>
            </w:pPr>
            <w:r>
              <w:rPr>
                <w:rFonts w:eastAsia="Times New Roman"/>
                <w:color w:val="000000"/>
                <w:sz w:val="18"/>
                <w:szCs w:val="18"/>
              </w:rPr>
              <w:t>Other borrowing</w:t>
            </w:r>
            <w:r>
              <w:rPr>
                <w:rFonts w:eastAsia="Times New Roman"/>
                <w:color w:val="000000"/>
                <w:sz w:val="18"/>
                <w:szCs w:val="18"/>
              </w:rPr>
              <w:t>s</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7,000 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7,001 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109205841"/>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payable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693917050"/>
        <w:rPr>
          <w:rFonts w:eastAsia="Times New Roman"/>
        </w:rPr>
      </w:pPr>
      <w:r>
        <w:rPr>
          <w:rFonts w:eastAsia="Times New Roman"/>
          <w:color w:val="000000"/>
          <w:sz w:val="20"/>
          <w:szCs w:val="20"/>
        </w:rPr>
        <w:t>__________</w:t>
      </w:r>
    </w:p>
    <w:p w:rsidR="00000000" w:rsidRDefault="00E0782F">
      <w:pPr>
        <w:ind w:hanging="360"/>
        <w:jc w:val="both"/>
        <w:divId w:val="24746612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Other investments include FHLB and Federal Reserve stock. These investments are included in other assets on our consolidated balance sheets.</w:t>
      </w:r>
    </w:p>
    <w:p w:rsidR="00000000" w:rsidRDefault="00E0782F">
      <w:pPr>
        <w:ind w:hanging="360"/>
        <w:jc w:val="both"/>
        <w:divId w:val="146581029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Other borrowings excludes finance lease liabilities.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751972273"/>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751972273"/>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751972273"/>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7" style="width:0;height:1.5pt" o:hralign="center" o:hrstd="t" o:hr="t" fillcolor="#a0a0a0" stroked="f"/>
        </w:pict>
      </w:r>
    </w:p>
    <w:p w:rsidR="00000000" w:rsidRDefault="00E0782F">
      <w:pPr>
        <w:jc w:val="both"/>
        <w:divId w:val="122961215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229612157"/>
        <w:rPr>
          <w:rFonts w:eastAsia="Times New Roman"/>
        </w:rPr>
      </w:pPr>
    </w:p>
    <w:p w:rsidR="00000000" w:rsidRDefault="00E0782F">
      <w:pPr>
        <w:jc w:val="center"/>
        <w:divId w:val="1229612157"/>
        <w:rPr>
          <w:rFonts w:eastAsia="Times New Roman"/>
        </w:rPr>
      </w:pPr>
      <w:r>
        <w:rPr>
          <w:rFonts w:eastAsia="Times New Roman"/>
          <w:b/>
          <w:bCs/>
          <w:color w:val="000000"/>
          <w:sz w:val="20"/>
          <w:szCs w:val="20"/>
        </w:rPr>
        <w:t>CAPITAL ONE FINANCIAL CORPORATION</w:t>
      </w:r>
    </w:p>
    <w:p w:rsidR="00000000" w:rsidRDefault="00E0782F">
      <w:pPr>
        <w:jc w:val="center"/>
        <w:divId w:val="122961215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184857953"/>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84857953"/>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17—</w:t>
            </w:r>
            <w:r>
              <w:rPr>
                <w:rFonts w:eastAsia="Times New Roman"/>
                <w:b/>
                <w:bCs/>
                <w:color w:val="000000"/>
                <w:sz w:val="20"/>
                <w:szCs w:val="20"/>
              </w:rPr>
              <w:t>BUSINESS SEGMENTS AND REVENUE FROM CONTRACTS WITH CUSTOMERS</w:t>
            </w:r>
          </w:p>
        </w:tc>
      </w:tr>
    </w:tbl>
    <w:p w:rsidR="00000000" w:rsidRDefault="00E0782F">
      <w:pPr>
        <w:jc w:val="both"/>
        <w:divId w:val="1279068307"/>
        <w:rPr>
          <w:rFonts w:eastAsia="Times New Roman"/>
        </w:rPr>
      </w:pPr>
      <w:r>
        <w:rPr>
          <w:rFonts w:eastAsia="Times New Roman"/>
          <w:color w:val="000000"/>
          <w:sz w:val="20"/>
          <w:szCs w:val="20"/>
        </w:rPr>
        <w:t xml:space="preserve">Our principal operations are organized into three </w:t>
      </w:r>
      <w:r>
        <w:rPr>
          <w:rFonts w:eastAsia="Times New Roman"/>
          <w:color w:val="000000"/>
          <w:sz w:val="20"/>
          <w:szCs w:val="20"/>
        </w:rPr>
        <w:t>major business segments, which are defined primarily based on the products and services provided or the types of customers served: Credit Card, Consumer Banking and Commercial Banking. The operations of acquired businesses have been integrated into or mana</w:t>
      </w:r>
      <w:r>
        <w:rPr>
          <w:rFonts w:eastAsia="Times New Roman"/>
          <w:color w:val="000000"/>
          <w:sz w:val="20"/>
          <w:szCs w:val="20"/>
        </w:rPr>
        <w:t>ged as a part of our existing business segments. Certain activities that are not part of a segment, such as management of our corporate investment portfolio, asset/liability management by our centralized Corporate Treasury group and residual tax expense or</w:t>
      </w:r>
      <w:r>
        <w:rPr>
          <w:rFonts w:eastAsia="Times New Roman"/>
          <w:color w:val="000000"/>
          <w:sz w:val="20"/>
          <w:szCs w:val="20"/>
        </w:rPr>
        <w:t xml:space="preserve"> benefit to arrive at the consolidated effective tax rate that is not assessed to our primary business segments, are included in the Other category.</w:t>
      </w:r>
    </w:p>
    <w:p w:rsidR="00000000" w:rsidRDefault="00E0782F">
      <w:pPr>
        <w:ind w:hanging="360"/>
        <w:jc w:val="both"/>
        <w:divId w:val="166481216"/>
        <w:rPr>
          <w:rFonts w:eastAsia="Times New Roman"/>
        </w:rPr>
      </w:pPr>
      <w:r>
        <w:rPr>
          <w:rFonts w:eastAsia="Times New Roman"/>
          <w:color w:val="000000"/>
          <w:sz w:val="20"/>
          <w:szCs w:val="20"/>
        </w:rPr>
        <w:t>•</w:t>
      </w:r>
      <w:r>
        <w:rPr>
          <w:rFonts w:eastAsia="Times New Roman"/>
          <w:i/>
          <w:iCs/>
          <w:color w:val="000000"/>
          <w:sz w:val="20"/>
          <w:szCs w:val="20"/>
        </w:rPr>
        <w:t>Credit Card:</w:t>
      </w:r>
      <w:r>
        <w:rPr>
          <w:rFonts w:eastAsia="Times New Roman"/>
          <w:color w:val="000000"/>
          <w:sz w:val="20"/>
          <w:szCs w:val="20"/>
        </w:rPr>
        <w:t xml:space="preserve"> Consists of our domestic consumer and small business card lending, and international card bus</w:t>
      </w:r>
      <w:r>
        <w:rPr>
          <w:rFonts w:eastAsia="Times New Roman"/>
          <w:color w:val="000000"/>
          <w:sz w:val="20"/>
          <w:szCs w:val="20"/>
        </w:rPr>
        <w:t xml:space="preserve">inesses in Canada and the United Kingdom. </w:t>
      </w:r>
    </w:p>
    <w:p w:rsidR="00000000" w:rsidRDefault="00E0782F">
      <w:pPr>
        <w:ind w:hanging="360"/>
        <w:jc w:val="both"/>
        <w:divId w:val="744109147"/>
        <w:rPr>
          <w:rFonts w:eastAsia="Times New Roman"/>
        </w:rPr>
      </w:pPr>
      <w:r>
        <w:rPr>
          <w:rFonts w:eastAsia="Times New Roman"/>
          <w:color w:val="000000"/>
          <w:sz w:val="20"/>
          <w:szCs w:val="20"/>
        </w:rPr>
        <w:t>•</w:t>
      </w:r>
      <w:r>
        <w:rPr>
          <w:rFonts w:eastAsia="Times New Roman"/>
          <w:i/>
          <w:iCs/>
          <w:color w:val="000000"/>
          <w:sz w:val="20"/>
          <w:szCs w:val="20"/>
        </w:rPr>
        <w:t>Consumer Banking:</w:t>
      </w:r>
      <w:r>
        <w:rPr>
          <w:rFonts w:eastAsia="Times New Roman"/>
          <w:color w:val="000000"/>
          <w:sz w:val="20"/>
          <w:szCs w:val="20"/>
        </w:rPr>
        <w:t xml:space="preserve"> Consists of our deposit gathering and lending activities for consumers and small businesses, and national auto lending. </w:t>
      </w:r>
    </w:p>
    <w:p w:rsidR="00000000" w:rsidRDefault="00E0782F">
      <w:pPr>
        <w:ind w:hanging="360"/>
        <w:jc w:val="both"/>
        <w:divId w:val="558126068"/>
        <w:rPr>
          <w:rFonts w:eastAsia="Times New Roman"/>
        </w:rPr>
      </w:pPr>
      <w:r>
        <w:rPr>
          <w:rFonts w:eastAsia="Times New Roman"/>
          <w:color w:val="000000"/>
          <w:sz w:val="20"/>
          <w:szCs w:val="20"/>
        </w:rPr>
        <w:t>•</w:t>
      </w:r>
      <w:r>
        <w:rPr>
          <w:rFonts w:eastAsia="Times New Roman"/>
          <w:i/>
          <w:iCs/>
          <w:color w:val="000000"/>
          <w:sz w:val="20"/>
          <w:szCs w:val="20"/>
        </w:rPr>
        <w:t>Commercial Banking:</w:t>
      </w:r>
      <w:r>
        <w:rPr>
          <w:rFonts w:eastAsia="Times New Roman"/>
          <w:color w:val="000000"/>
          <w:sz w:val="20"/>
          <w:szCs w:val="20"/>
        </w:rPr>
        <w:t xml:space="preserve"> Consists of our lending, deposit gathering, capital </w:t>
      </w:r>
      <w:r>
        <w:rPr>
          <w:rFonts w:eastAsia="Times New Roman"/>
          <w:color w:val="000000"/>
          <w:sz w:val="20"/>
          <w:szCs w:val="20"/>
        </w:rPr>
        <w:t>markets and treasury management services to commercial real estate and commercial and industrial customers. Our commercial and industrial customers typically include companies with annual revenues between $20 million and $2 billion.</w:t>
      </w:r>
    </w:p>
    <w:p w:rsidR="00000000" w:rsidRDefault="00E0782F">
      <w:pPr>
        <w:ind w:hanging="360"/>
        <w:jc w:val="both"/>
        <w:divId w:val="1257909917"/>
        <w:rPr>
          <w:rFonts w:eastAsia="Times New Roman"/>
        </w:rPr>
      </w:pPr>
      <w:r>
        <w:rPr>
          <w:rFonts w:eastAsia="Times New Roman"/>
          <w:i/>
          <w:iCs/>
          <w:color w:val="000000"/>
          <w:sz w:val="20"/>
          <w:szCs w:val="20"/>
        </w:rPr>
        <w:t>•Other category:</w:t>
      </w:r>
      <w:r>
        <w:rPr>
          <w:rFonts w:eastAsia="Times New Roman"/>
          <w:color w:val="000000"/>
          <w:sz w:val="20"/>
          <w:szCs w:val="20"/>
        </w:rPr>
        <w:t xml:space="preserve"> Includ</w:t>
      </w:r>
      <w:r>
        <w:rPr>
          <w:rFonts w:eastAsia="Times New Roman"/>
          <w:color w:val="000000"/>
          <w:sz w:val="20"/>
          <w:szCs w:val="20"/>
        </w:rPr>
        <w:t>es the residual impact of the allocation of our centralized Corporate Treasury group activities, such as management of our corporate investment portfolio and asset/liability management, to our business segments. Accordingly, net gains and losses on our inv</w:t>
      </w:r>
      <w:r>
        <w:rPr>
          <w:rFonts w:eastAsia="Times New Roman"/>
          <w:color w:val="000000"/>
          <w:sz w:val="20"/>
          <w:szCs w:val="20"/>
        </w:rPr>
        <w:t>estment securities portfolio and certain trading activities are included in the Other category. Other category also includes foreign exchange-rate fluctuations on foreign currency-denominated transactions; unallocated corporate expenses that do not directl</w:t>
      </w:r>
      <w:r>
        <w:rPr>
          <w:rFonts w:eastAsia="Times New Roman"/>
          <w:color w:val="000000"/>
          <w:sz w:val="20"/>
          <w:szCs w:val="20"/>
        </w:rPr>
        <w:t>y support the operations of the business segments or for which the business segments are not considered financially accountable in evaluating their performance, such as certain restructuring charges; certain material items that are non-recurring in nature;</w:t>
      </w:r>
      <w:r>
        <w:rPr>
          <w:rFonts w:eastAsia="Times New Roman"/>
          <w:color w:val="000000"/>
          <w:sz w:val="20"/>
          <w:szCs w:val="20"/>
        </w:rPr>
        <w:t xml:space="preserve"> offsets related to certain line-item reclassifications; and residual tax expense or benefit to arrive at the consolidated effective tax rate that is not assessed to our primary business segments.</w:t>
      </w:r>
    </w:p>
    <w:p w:rsidR="00000000" w:rsidRDefault="00E0782F">
      <w:pPr>
        <w:divId w:val="1114710918"/>
        <w:rPr>
          <w:rFonts w:eastAsia="Times New Roman"/>
        </w:rPr>
      </w:pPr>
      <w:r>
        <w:rPr>
          <w:rFonts w:eastAsia="Times New Roman"/>
          <w:b/>
          <w:bCs/>
          <w:color w:val="000000"/>
          <w:sz w:val="20"/>
          <w:szCs w:val="20"/>
        </w:rPr>
        <w:t>Basis of Presentation</w:t>
      </w:r>
    </w:p>
    <w:p w:rsidR="00000000" w:rsidRDefault="00E0782F">
      <w:pPr>
        <w:jc w:val="both"/>
        <w:divId w:val="1282153372"/>
        <w:rPr>
          <w:rFonts w:eastAsia="Times New Roman"/>
        </w:rPr>
      </w:pPr>
      <w:r>
        <w:rPr>
          <w:rFonts w:eastAsia="Times New Roman"/>
          <w:color w:val="000000"/>
          <w:sz w:val="20"/>
          <w:szCs w:val="20"/>
        </w:rPr>
        <w:t xml:space="preserve">We report the results of each of our </w:t>
      </w:r>
      <w:r>
        <w:rPr>
          <w:rFonts w:eastAsia="Times New Roman"/>
          <w:color w:val="000000"/>
          <w:sz w:val="20"/>
          <w:szCs w:val="20"/>
        </w:rPr>
        <w:t xml:space="preserve">business segments on a continuing operations basis. The results of our individual businesses reflect the manner in which management evaluates performance and makes decisions about funding our operations and allocating resources. </w:t>
      </w:r>
    </w:p>
    <w:p w:rsidR="00000000" w:rsidRDefault="00E0782F">
      <w:pPr>
        <w:divId w:val="1200321006"/>
        <w:rPr>
          <w:rFonts w:eastAsia="Times New Roman"/>
        </w:rPr>
      </w:pPr>
      <w:r>
        <w:rPr>
          <w:rFonts w:eastAsia="Times New Roman"/>
          <w:b/>
          <w:bCs/>
          <w:color w:val="000000"/>
          <w:sz w:val="20"/>
          <w:szCs w:val="20"/>
        </w:rPr>
        <w:t>Business Segment Reporting</w:t>
      </w:r>
      <w:r>
        <w:rPr>
          <w:rFonts w:eastAsia="Times New Roman"/>
          <w:b/>
          <w:bCs/>
          <w:color w:val="000000"/>
          <w:sz w:val="20"/>
          <w:szCs w:val="20"/>
        </w:rPr>
        <w:t xml:space="preserve"> Methodology</w:t>
      </w:r>
    </w:p>
    <w:p w:rsidR="00000000" w:rsidRDefault="00E0782F">
      <w:pPr>
        <w:jc w:val="both"/>
        <w:divId w:val="1356157183"/>
        <w:rPr>
          <w:rFonts w:eastAsia="Times New Roman"/>
        </w:rPr>
      </w:pPr>
      <w:r>
        <w:rPr>
          <w:rFonts w:eastAsia="Times New Roman"/>
          <w:color w:val="000000"/>
          <w:sz w:val="20"/>
          <w:szCs w:val="20"/>
        </w:rPr>
        <w:t>The results of our business segments are intended to present each segment as if it were a stand-alone business. Our internal management and reporting process used to derive our segment results employs various allocation methodologies, includin</w:t>
      </w:r>
      <w:r>
        <w:rPr>
          <w:rFonts w:eastAsia="Times New Roman"/>
          <w:color w:val="000000"/>
          <w:sz w:val="20"/>
          <w:szCs w:val="20"/>
        </w:rPr>
        <w:t>g funds transfer pricing, to assign certain balance sheet assets, deposits and other liabilities and their related revenue and expenses directly or indirectly attributable to each business segment. Our funds transfer pricing process provides a funds credit</w:t>
      </w:r>
      <w:r>
        <w:rPr>
          <w:rFonts w:eastAsia="Times New Roman"/>
          <w:color w:val="000000"/>
          <w:sz w:val="20"/>
          <w:szCs w:val="20"/>
        </w:rPr>
        <w:t xml:space="preserve"> for sources of funds, such as deposits generated by our Consumer Banking and Commercial Banking businesses, and a funds charge for the use of funds by each segment. Due to the integrated nature of our business segments, estimates and judgments have been m</w:t>
      </w:r>
      <w:r>
        <w:rPr>
          <w:rFonts w:eastAsia="Times New Roman"/>
          <w:color w:val="000000"/>
          <w:sz w:val="20"/>
          <w:szCs w:val="20"/>
        </w:rPr>
        <w:t>ade in allocating certain revenue and expense items. Transactions between segments are based on specific criteria or approximate third-party rates. We regularly assess the assumptions, methodologies and reporting classifications used for segment reporting,</w:t>
      </w:r>
      <w:r>
        <w:rPr>
          <w:rFonts w:eastAsia="Times New Roman"/>
          <w:color w:val="000000"/>
          <w:sz w:val="20"/>
          <w:szCs w:val="20"/>
        </w:rPr>
        <w:t xml:space="preserve"> which may result in the implementation of refinements or changes in future periods.</w:t>
      </w:r>
    </w:p>
    <w:p w:rsidR="00000000" w:rsidRDefault="00E0782F">
      <w:pPr>
        <w:jc w:val="both"/>
        <w:divId w:val="1498233094"/>
        <w:rPr>
          <w:rFonts w:eastAsia="Times New Roman"/>
        </w:rPr>
      </w:pPr>
      <w:r>
        <w:rPr>
          <w:rFonts w:eastAsia="Times New Roman"/>
          <w:color w:val="000000"/>
          <w:sz w:val="20"/>
          <w:szCs w:val="20"/>
        </w:rPr>
        <w:t>The following is additional information on the principles and methodologies used in preparing our business segment results.</w:t>
      </w:r>
    </w:p>
    <w:p w:rsidR="00000000" w:rsidRDefault="00E0782F">
      <w:pPr>
        <w:ind w:hanging="360"/>
        <w:jc w:val="both"/>
        <w:divId w:val="662317116"/>
        <w:rPr>
          <w:rFonts w:eastAsia="Times New Roman"/>
        </w:rPr>
      </w:pPr>
      <w:r>
        <w:rPr>
          <w:rFonts w:eastAsia="Times New Roman"/>
          <w:i/>
          <w:iCs/>
          <w:color w:val="000000"/>
          <w:sz w:val="20"/>
          <w:szCs w:val="20"/>
        </w:rPr>
        <w:t>•Net interest income:</w:t>
      </w:r>
      <w:r>
        <w:rPr>
          <w:rFonts w:eastAsia="Times New Roman"/>
          <w:color w:val="000000"/>
          <w:sz w:val="20"/>
          <w:szCs w:val="20"/>
        </w:rPr>
        <w:t xml:space="preserve"> Interest income from loan</w:t>
      </w:r>
      <w:r>
        <w:rPr>
          <w:rFonts w:eastAsia="Times New Roman"/>
          <w:color w:val="000000"/>
          <w:sz w:val="20"/>
          <w:szCs w:val="20"/>
        </w:rPr>
        <w:t>s held for investment and interest expense from deposits and other interest-bearing liabilities are reflected within each applicable business segment. Because funding and asset/liability management are managed centrally by our Corporate Treasury group, net</w:t>
      </w:r>
      <w:r>
        <w:rPr>
          <w:rFonts w:eastAsia="Times New Roman"/>
          <w:color w:val="000000"/>
          <w:sz w:val="20"/>
          <w:szCs w:val="20"/>
        </w:rPr>
        <w:t xml:space="preserve"> interest income for our business segments also includes the results of a funds transfer pricing process that is intended to allocate a cost of funds used or credit for funds provided to all business segment assets and liabilities, respectively, using a ma</w:t>
      </w:r>
      <w:r>
        <w:rPr>
          <w:rFonts w:eastAsia="Times New Roman"/>
          <w:color w:val="000000"/>
          <w:sz w:val="20"/>
          <w:szCs w:val="20"/>
        </w:rPr>
        <w:t>tched funding concept. The taxable-equivalent benefit of tax-exempt products is also allocated to each business unit with a corresponding increase in income tax expense.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151368952"/>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15136895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15136895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8" style="width:0;height:1.5pt" o:hralign="center" o:hrstd="t" o:hr="t" fillcolor="#a0a0a0" stroked="f"/>
        </w:pict>
      </w:r>
    </w:p>
    <w:p w:rsidR="00000000" w:rsidRDefault="00E0782F">
      <w:pPr>
        <w:jc w:val="both"/>
        <w:divId w:val="18895429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88954292"/>
        <w:rPr>
          <w:rFonts w:eastAsia="Times New Roman"/>
        </w:rPr>
      </w:pPr>
    </w:p>
    <w:p w:rsidR="00000000" w:rsidRDefault="00E0782F">
      <w:pPr>
        <w:jc w:val="center"/>
        <w:divId w:val="188954292"/>
        <w:rPr>
          <w:rFonts w:eastAsia="Times New Roman"/>
        </w:rPr>
      </w:pPr>
      <w:r>
        <w:rPr>
          <w:rFonts w:eastAsia="Times New Roman"/>
          <w:b/>
          <w:bCs/>
          <w:color w:val="000000"/>
          <w:sz w:val="20"/>
          <w:szCs w:val="20"/>
        </w:rPr>
        <w:t>CAPITAL ONE FINANCIAL CORPORATION</w:t>
      </w:r>
    </w:p>
    <w:p w:rsidR="00000000" w:rsidRDefault="00E0782F">
      <w:pPr>
        <w:jc w:val="center"/>
        <w:divId w:val="188954292"/>
        <w:rPr>
          <w:rFonts w:eastAsia="Times New Roman"/>
        </w:rPr>
      </w:pPr>
      <w:r>
        <w:rPr>
          <w:rFonts w:eastAsia="Times New Roman"/>
          <w:b/>
          <w:bCs/>
          <w:color w:val="000000"/>
          <w:sz w:val="20"/>
          <w:szCs w:val="20"/>
        </w:rPr>
        <w:t>NOTES TO CONSOLIDATED FINANCIAL STATEMENTS</w:t>
      </w:r>
    </w:p>
    <w:p w:rsidR="00000000" w:rsidRDefault="00E0782F">
      <w:pPr>
        <w:ind w:hanging="360"/>
        <w:jc w:val="both"/>
        <w:divId w:val="906695477"/>
        <w:rPr>
          <w:rFonts w:eastAsia="Times New Roman"/>
        </w:rPr>
      </w:pPr>
      <w:r>
        <w:rPr>
          <w:rFonts w:eastAsia="Times New Roman"/>
          <w:i/>
          <w:iCs/>
          <w:color w:val="000000"/>
          <w:sz w:val="20"/>
          <w:szCs w:val="20"/>
        </w:rPr>
        <w:t>•Non-interest income:</w:t>
      </w:r>
      <w:r>
        <w:rPr>
          <w:rFonts w:eastAsia="Times New Roman"/>
          <w:color w:val="000000"/>
          <w:sz w:val="20"/>
          <w:szCs w:val="20"/>
        </w:rPr>
        <w:t xml:space="preserve"> </w:t>
      </w:r>
      <w:r>
        <w:rPr>
          <w:rFonts w:eastAsia="Times New Roman"/>
          <w:color w:val="000000"/>
          <w:sz w:val="20"/>
          <w:szCs w:val="20"/>
        </w:rPr>
        <w:t>Non-interest fees and other revenue associated with loans or customers managed by each business segment and other direct revenues are accounted for within each business segment.</w:t>
      </w:r>
    </w:p>
    <w:p w:rsidR="00000000" w:rsidRDefault="00E0782F">
      <w:pPr>
        <w:ind w:hanging="360"/>
        <w:jc w:val="both"/>
        <w:divId w:val="1547334652"/>
        <w:rPr>
          <w:rFonts w:eastAsia="Times New Roman"/>
        </w:rPr>
      </w:pPr>
      <w:r>
        <w:rPr>
          <w:rFonts w:eastAsia="Times New Roman"/>
          <w:i/>
          <w:iCs/>
          <w:color w:val="000000"/>
          <w:sz w:val="20"/>
          <w:szCs w:val="20"/>
        </w:rPr>
        <w:t>•Provision for credit losses:</w:t>
      </w:r>
      <w:r>
        <w:rPr>
          <w:rFonts w:eastAsia="Times New Roman"/>
          <w:color w:val="000000"/>
          <w:sz w:val="20"/>
          <w:szCs w:val="20"/>
        </w:rPr>
        <w:t xml:space="preserve"> The provision for credit losses is directly attr</w:t>
      </w:r>
      <w:r>
        <w:rPr>
          <w:rFonts w:eastAsia="Times New Roman"/>
          <w:color w:val="000000"/>
          <w:sz w:val="20"/>
          <w:szCs w:val="20"/>
        </w:rPr>
        <w:t>ibutable to the business segment in accordance with the loans each business segment manages.</w:t>
      </w:r>
    </w:p>
    <w:p w:rsidR="00000000" w:rsidRDefault="00E0782F">
      <w:pPr>
        <w:ind w:hanging="360"/>
        <w:jc w:val="both"/>
        <w:divId w:val="855925271"/>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Non-interest expenses directly managed and incurred by a business segment are accounted for within each business segment. We allocate certai</w:t>
      </w:r>
      <w:r>
        <w:rPr>
          <w:rFonts w:eastAsia="Times New Roman"/>
          <w:color w:val="000000"/>
          <w:sz w:val="20"/>
          <w:szCs w:val="20"/>
        </w:rPr>
        <w:t>n non-interest expenses indirectly incurred by business segments, such as corporate support functions, to each business segment based on various factors, including the actual cost of the services from the service providers, the utilization of the services,</w:t>
      </w:r>
      <w:r>
        <w:rPr>
          <w:rFonts w:eastAsia="Times New Roman"/>
          <w:color w:val="000000"/>
          <w:sz w:val="20"/>
          <w:szCs w:val="20"/>
        </w:rPr>
        <w:t xml:space="preserve"> the number of employees or other relevant factors.</w:t>
      </w:r>
    </w:p>
    <w:p w:rsidR="00000000" w:rsidRDefault="00E0782F">
      <w:pPr>
        <w:ind w:hanging="360"/>
        <w:jc w:val="both"/>
        <w:divId w:val="714694955"/>
        <w:rPr>
          <w:rFonts w:eastAsia="Times New Roman"/>
        </w:rPr>
      </w:pPr>
      <w:r>
        <w:rPr>
          <w:rFonts w:eastAsia="Times New Roman"/>
          <w:i/>
          <w:iCs/>
          <w:color w:val="000000"/>
          <w:sz w:val="20"/>
          <w:szCs w:val="20"/>
        </w:rPr>
        <w:t>•Goodwill and intangible assets:</w:t>
      </w:r>
      <w:r>
        <w:rPr>
          <w:rFonts w:eastAsia="Times New Roman"/>
          <w:color w:val="000000"/>
          <w:sz w:val="20"/>
          <w:szCs w:val="20"/>
        </w:rPr>
        <w:t xml:space="preserve"> Goodwill and intangible assets that are not directly attributable to business segments are assigned to business segments based on the relative fair value of each segment. </w:t>
      </w:r>
      <w:r>
        <w:rPr>
          <w:rFonts w:eastAsia="Times New Roman"/>
          <w:color w:val="000000"/>
          <w:sz w:val="20"/>
          <w:szCs w:val="20"/>
        </w:rPr>
        <w:t>Intangible amortization is included in the results of the applicable segment.</w:t>
      </w:r>
    </w:p>
    <w:p w:rsidR="00000000" w:rsidRDefault="00E0782F">
      <w:pPr>
        <w:ind w:hanging="360"/>
        <w:jc w:val="both"/>
        <w:divId w:val="1612936849"/>
        <w:rPr>
          <w:rFonts w:eastAsia="Times New Roman"/>
        </w:rPr>
      </w:pPr>
      <w:r>
        <w:rPr>
          <w:rFonts w:eastAsia="Times New Roman"/>
          <w:i/>
          <w:iCs/>
          <w:color w:val="000000"/>
          <w:sz w:val="20"/>
          <w:szCs w:val="20"/>
        </w:rPr>
        <w:t>•Income taxes:</w:t>
      </w:r>
      <w:r>
        <w:rPr>
          <w:rFonts w:eastAsia="Times New Roman"/>
          <w:color w:val="000000"/>
          <w:sz w:val="20"/>
          <w:szCs w:val="20"/>
        </w:rPr>
        <w:t xml:space="preserve"> Income taxes are assessed for each business segment based on a standard tax rate with the residual tax expense or benefit to arrive at the consolidated effective t</w:t>
      </w:r>
      <w:r>
        <w:rPr>
          <w:rFonts w:eastAsia="Times New Roman"/>
          <w:color w:val="000000"/>
          <w:sz w:val="20"/>
          <w:szCs w:val="20"/>
        </w:rPr>
        <w:t>ax rate included in the Other category.</w:t>
      </w:r>
    </w:p>
    <w:p w:rsidR="00000000" w:rsidRDefault="00E0782F">
      <w:pPr>
        <w:ind w:hanging="360"/>
        <w:jc w:val="both"/>
        <w:divId w:val="1223836180"/>
        <w:rPr>
          <w:rFonts w:eastAsia="Times New Roman"/>
        </w:rPr>
      </w:pPr>
      <w:r>
        <w:rPr>
          <w:rFonts w:eastAsia="Times New Roman"/>
          <w:i/>
          <w:iCs/>
          <w:color w:val="000000"/>
          <w:sz w:val="20"/>
          <w:szCs w:val="20"/>
        </w:rPr>
        <w:t>•Loans held for investment:</w:t>
      </w:r>
      <w:r>
        <w:rPr>
          <w:rFonts w:eastAsia="Times New Roman"/>
          <w:color w:val="000000"/>
          <w:sz w:val="20"/>
          <w:szCs w:val="20"/>
        </w:rPr>
        <w:t xml:space="preserve"> Loans are reported within each business segment based on product or customer type served by that business segment.</w:t>
      </w:r>
    </w:p>
    <w:p w:rsidR="00000000" w:rsidRDefault="00E0782F">
      <w:pPr>
        <w:ind w:hanging="360"/>
        <w:jc w:val="both"/>
        <w:divId w:val="323049856"/>
        <w:rPr>
          <w:rFonts w:eastAsia="Times New Roman"/>
        </w:rPr>
      </w:pPr>
      <w:r>
        <w:rPr>
          <w:rFonts w:eastAsia="Times New Roman"/>
          <w:color w:val="000000"/>
          <w:sz w:val="20"/>
          <w:szCs w:val="20"/>
        </w:rPr>
        <w:t>•</w:t>
      </w:r>
      <w:r>
        <w:rPr>
          <w:rFonts w:eastAsia="Times New Roman"/>
          <w:i/>
          <w:iCs/>
          <w:color w:val="000000"/>
          <w:sz w:val="20"/>
          <w:szCs w:val="20"/>
        </w:rPr>
        <w:t>Deposits:</w:t>
      </w:r>
      <w:r>
        <w:rPr>
          <w:rFonts w:eastAsia="Times New Roman"/>
          <w:color w:val="000000"/>
          <w:sz w:val="20"/>
          <w:szCs w:val="20"/>
        </w:rPr>
        <w:t xml:space="preserve"> Deposits are reported within each business segment based on pr</w:t>
      </w:r>
      <w:r>
        <w:rPr>
          <w:rFonts w:eastAsia="Times New Roman"/>
          <w:color w:val="000000"/>
          <w:sz w:val="20"/>
          <w:szCs w:val="20"/>
        </w:rPr>
        <w:t>oduct or customer type served by that business segment.</w:t>
      </w:r>
    </w:p>
    <w:p w:rsidR="00000000" w:rsidRDefault="00E0782F">
      <w:pPr>
        <w:divId w:val="542256416"/>
        <w:rPr>
          <w:rFonts w:eastAsia="Times New Roman"/>
        </w:rPr>
      </w:pPr>
      <w:r>
        <w:rPr>
          <w:rFonts w:eastAsia="Times New Roman"/>
          <w:b/>
          <w:bCs/>
          <w:color w:val="000000"/>
          <w:sz w:val="20"/>
          <w:szCs w:val="20"/>
        </w:rPr>
        <w:t>Segment Results and Reconciliation</w:t>
      </w:r>
    </w:p>
    <w:p w:rsidR="00000000" w:rsidRDefault="00E0782F">
      <w:pPr>
        <w:jc w:val="both"/>
        <w:divId w:val="939292442"/>
        <w:rPr>
          <w:rFonts w:eastAsia="Times New Roman"/>
        </w:rPr>
      </w:pPr>
      <w:r>
        <w:rPr>
          <w:rFonts w:eastAsia="Times New Roman"/>
          <w:color w:val="000000"/>
          <w:sz w:val="20"/>
          <w:szCs w:val="20"/>
        </w:rPr>
        <w:t>We may periodically change our business segments or reclassify business segment results based on modifications to our management reporting methodologies or changes i</w:t>
      </w:r>
      <w:r>
        <w:rPr>
          <w:rFonts w:eastAsia="Times New Roman"/>
          <w:color w:val="000000"/>
          <w:sz w:val="20"/>
          <w:szCs w:val="20"/>
        </w:rPr>
        <w:t>n organizational alignment. In the first quarter of 2019, we made a change in how revenue is measured in our Commercial Banking business by revising the allocation of tax benefits on certain tax-advantaged investments. As such, 2018 results have been recas</w:t>
      </w:r>
      <w:r>
        <w:rPr>
          <w:rFonts w:eastAsia="Times New Roman"/>
          <w:color w:val="000000"/>
          <w:sz w:val="20"/>
          <w:szCs w:val="20"/>
        </w:rPr>
        <w:t xml:space="preserve">t to conform with the current period presentation. The result of this measurement change reduced the previously reported total net revenue in our Commercial Banking business by $108 million for the year ended December 31, 2018, with an offsetting increase </w:t>
      </w:r>
      <w:r>
        <w:rPr>
          <w:rFonts w:eastAsia="Times New Roman"/>
          <w:color w:val="000000"/>
          <w:sz w:val="20"/>
          <w:szCs w:val="20"/>
        </w:rPr>
        <w:t xml:space="preserve">in the Other category. This change in measurement of our Commercial Banking revenue did not have any impact to the consolidated financial statements. </w:t>
      </w:r>
    </w:p>
    <w:p w:rsidR="00000000" w:rsidRDefault="00E0782F">
      <w:pPr>
        <w:jc w:val="both"/>
        <w:divId w:val="1252471608"/>
        <w:rPr>
          <w:rFonts w:eastAsia="Times New Roman"/>
        </w:rPr>
      </w:pPr>
      <w:r>
        <w:rPr>
          <w:rFonts w:eastAsia="Times New Roman"/>
          <w:color w:val="000000"/>
          <w:sz w:val="20"/>
          <w:szCs w:val="20"/>
        </w:rPr>
        <w:t>The following table presents our business segment results for the years ended December 31, 2020, 2019 and</w:t>
      </w:r>
      <w:r>
        <w:rPr>
          <w:rFonts w:eastAsia="Times New Roman"/>
          <w:color w:val="000000"/>
          <w:sz w:val="20"/>
          <w:szCs w:val="20"/>
        </w:rPr>
        <w:t xml:space="preserve"> 2018, selected balance sheet data as of December 31, 2020, 2019 and 2018, and a reconciliation of our total business segment results to our reported consolidated income from continuing operations, loans held for investment and deposits.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70027370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70027370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70027370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29" style="width:0;height:1.5pt" o:hralign="center" o:hrstd="t" o:hr="t" fillcolor="#a0a0a0" stroked="f"/>
        </w:pict>
      </w:r>
    </w:p>
    <w:p w:rsidR="00000000" w:rsidRDefault="00E0782F">
      <w:pPr>
        <w:jc w:val="both"/>
        <w:divId w:val="120691720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206917204"/>
        <w:rPr>
          <w:rFonts w:eastAsia="Times New Roman"/>
        </w:rPr>
      </w:pPr>
    </w:p>
    <w:p w:rsidR="00000000" w:rsidRDefault="00E0782F">
      <w:pPr>
        <w:jc w:val="center"/>
        <w:divId w:val="1206917204"/>
        <w:rPr>
          <w:rFonts w:eastAsia="Times New Roman"/>
        </w:rPr>
      </w:pPr>
      <w:r>
        <w:rPr>
          <w:rFonts w:eastAsia="Times New Roman"/>
          <w:b/>
          <w:bCs/>
          <w:color w:val="000000"/>
          <w:sz w:val="20"/>
          <w:szCs w:val="20"/>
        </w:rPr>
        <w:t>CAPITAL ONE FINANCIAL CORPORATION</w:t>
      </w:r>
    </w:p>
    <w:p w:rsidR="00000000" w:rsidRDefault="00E0782F">
      <w:pPr>
        <w:jc w:val="center"/>
        <w:divId w:val="1206917204"/>
        <w:rPr>
          <w:rFonts w:eastAsia="Times New Roman"/>
        </w:rPr>
      </w:pPr>
      <w:r>
        <w:rPr>
          <w:rFonts w:eastAsia="Times New Roman"/>
          <w:b/>
          <w:bCs/>
          <w:color w:val="000000"/>
          <w:sz w:val="20"/>
          <w:szCs w:val="20"/>
        </w:rPr>
        <w:t>NOTES TO CONSOLIDATED FINANCIAL STATEMENTS</w:t>
      </w:r>
    </w:p>
    <w:p w:rsidR="00000000" w:rsidRDefault="00E0782F">
      <w:pPr>
        <w:divId w:val="1374572803"/>
        <w:rPr>
          <w:rFonts w:eastAsia="Times New Roman"/>
        </w:rPr>
      </w:pPr>
      <w:r>
        <w:rPr>
          <w:rFonts w:eastAsia="Times New Roman"/>
          <w:b/>
          <w:bCs/>
          <w:color w:val="000000"/>
          <w:sz w:val="18"/>
          <w:szCs w:val="18"/>
        </w:rPr>
        <w:t>Table 17.1: Segment Results and Reconciliation</w:t>
      </w:r>
    </w:p>
    <w:tbl>
      <w:tblPr>
        <w:tblW w:w="4992" w:type="pct"/>
        <w:tblCellMar>
          <w:top w:w="15" w:type="dxa"/>
          <w:left w:w="15" w:type="dxa"/>
          <w:bottom w:w="15" w:type="dxa"/>
          <w:right w:w="15" w:type="dxa"/>
        </w:tblCellMar>
        <w:tblLook w:val="04A0" w:firstRow="1" w:lastRow="0" w:firstColumn="1" w:lastColumn="0" w:noHBand="0" w:noVBand="1"/>
      </w:tblPr>
      <w:tblGrid>
        <w:gridCol w:w="56"/>
        <w:gridCol w:w="3760"/>
        <w:gridCol w:w="36"/>
        <w:gridCol w:w="36"/>
        <w:gridCol w:w="36"/>
        <w:gridCol w:w="36"/>
        <w:gridCol w:w="36"/>
        <w:gridCol w:w="709"/>
        <w:gridCol w:w="36"/>
        <w:gridCol w:w="36"/>
        <w:gridCol w:w="36"/>
        <w:gridCol w:w="36"/>
        <w:gridCol w:w="38"/>
        <w:gridCol w:w="697"/>
        <w:gridCol w:w="36"/>
        <w:gridCol w:w="36"/>
        <w:gridCol w:w="36"/>
        <w:gridCol w:w="36"/>
        <w:gridCol w:w="38"/>
        <w:gridCol w:w="759"/>
        <w:gridCol w:w="36"/>
        <w:gridCol w:w="36"/>
        <w:gridCol w:w="36"/>
        <w:gridCol w:w="36"/>
        <w:gridCol w:w="38"/>
        <w:gridCol w:w="659"/>
        <w:gridCol w:w="36"/>
        <w:gridCol w:w="36"/>
        <w:gridCol w:w="36"/>
        <w:gridCol w:w="36"/>
        <w:gridCol w:w="38"/>
        <w:gridCol w:w="709"/>
        <w:gridCol w:w="36"/>
      </w:tblGrid>
      <w:tr w:rsidR="00000000">
        <w:trPr>
          <w:divId w:val="1029382017"/>
        </w:trPr>
        <w:tc>
          <w:tcPr>
            <w:tcW w:w="50" w:type="pct"/>
            <w:vAlign w:val="center"/>
            <w:hideMark/>
          </w:tcPr>
          <w:p w:rsidR="00000000" w:rsidRDefault="00E0782F">
            <w:pPr>
              <w:rPr>
                <w:rFonts w:eastAsia="Times New Roman"/>
              </w:rPr>
            </w:pPr>
          </w:p>
        </w:tc>
        <w:tc>
          <w:tcPr>
            <w:tcW w:w="22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029382017"/>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02938201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tc>
          <w:tcPr>
            <w:tcW w:w="50" w:type="pct"/>
            <w:vAlign w:val="center"/>
            <w:hideMark/>
          </w:tcPr>
          <w:p w:rsidR="00000000" w:rsidRDefault="00E0782F">
            <w:pPr>
              <w:rPr>
                <w:rFonts w:eastAsia="Times New Roman"/>
              </w:rPr>
            </w:pPr>
          </w:p>
        </w:tc>
        <w:tc>
          <w:tcPr>
            <w:tcW w:w="22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2020</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 (loss)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13,776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7,238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2,048</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(149)</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22,913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divId w:val="871381684"/>
              <w:rPr>
                <w:rFonts w:eastAsia="Times New Roman"/>
              </w:rPr>
            </w:pPr>
            <w:r>
              <w:rPr>
                <w:rFonts w:eastAsia="Times New Roman"/>
                <w:color w:val="000000"/>
                <w:sz w:val="18"/>
                <w:szCs w:val="18"/>
              </w:rPr>
              <w:t>Total net revenu</w:t>
            </w:r>
            <w:r>
              <w:rPr>
                <w:rFonts w:eastAsia="Times New Roman"/>
                <w:color w:val="000000"/>
                <w:sz w:val="18"/>
                <w:szCs w:val="18"/>
              </w:rPr>
              <w:t>e</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17,599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7,704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2,971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249</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28,523</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7,327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1,181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10,264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4,159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1,706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700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15,056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1,781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1,792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84</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(454)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3,203</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425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486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1,361</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1,367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106,956</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68,888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75,780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251,624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249,815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39,590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16,037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305,442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612984396"/>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39"/>
        <w:gridCol w:w="3518"/>
        <w:gridCol w:w="38"/>
        <w:gridCol w:w="36"/>
        <w:gridCol w:w="36"/>
        <w:gridCol w:w="36"/>
        <w:gridCol w:w="110"/>
        <w:gridCol w:w="630"/>
        <w:gridCol w:w="36"/>
        <w:gridCol w:w="36"/>
        <w:gridCol w:w="36"/>
        <w:gridCol w:w="36"/>
        <w:gridCol w:w="111"/>
        <w:gridCol w:w="668"/>
        <w:gridCol w:w="36"/>
        <w:gridCol w:w="36"/>
        <w:gridCol w:w="36"/>
        <w:gridCol w:w="36"/>
        <w:gridCol w:w="111"/>
        <w:gridCol w:w="793"/>
        <w:gridCol w:w="36"/>
        <w:gridCol w:w="36"/>
        <w:gridCol w:w="36"/>
        <w:gridCol w:w="36"/>
        <w:gridCol w:w="111"/>
        <w:gridCol w:w="499"/>
        <w:gridCol w:w="36"/>
        <w:gridCol w:w="36"/>
        <w:gridCol w:w="36"/>
        <w:gridCol w:w="36"/>
        <w:gridCol w:w="111"/>
        <w:gridCol w:w="834"/>
        <w:gridCol w:w="36"/>
      </w:tblGrid>
      <w:tr w:rsidR="00000000">
        <w:trPr>
          <w:divId w:val="612984396"/>
        </w:trPr>
        <w:tc>
          <w:tcPr>
            <w:tcW w:w="50" w:type="pct"/>
            <w:vAlign w:val="center"/>
            <w:hideMark/>
          </w:tcPr>
          <w:p w:rsidR="00000000" w:rsidRDefault="00E0782F">
            <w:pPr>
              <w:rPr>
                <w:rFonts w:eastAsia="Times New Roman"/>
              </w:rPr>
            </w:pPr>
          </w:p>
        </w:tc>
        <w:tc>
          <w:tcPr>
            <w:tcW w:w="22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1298439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2019</w:t>
            </w:r>
          </w:p>
        </w:tc>
      </w:tr>
      <w:tr w:rsidR="00000000">
        <w:trPr>
          <w:divId w:val="61298439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 Total</w:t>
            </w:r>
          </w:p>
        </w:tc>
      </w:tr>
      <w:tr w:rsidR="00000000">
        <w:trPr>
          <w:divId w:val="61298439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14,461 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6,732 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1,983 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23,340 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3,888 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net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18,349 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28,593 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4,992 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6,236 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9,271 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4,091 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1,699 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422 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15,483 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4,086 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2,346 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(367)</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6,874 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959 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1,341 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3,127 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1,799 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128,236 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63,065 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74,508 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265,809 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61298439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213,099 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32,134 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17,464 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262,697 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781"/>
        <w:gridCol w:w="144"/>
        <w:gridCol w:w="144"/>
        <w:gridCol w:w="144"/>
        <w:gridCol w:w="144"/>
        <w:gridCol w:w="144"/>
        <w:gridCol w:w="733"/>
        <w:gridCol w:w="144"/>
        <w:gridCol w:w="144"/>
        <w:gridCol w:w="144"/>
        <w:gridCol w:w="144"/>
        <w:gridCol w:w="144"/>
        <w:gridCol w:w="721"/>
        <w:gridCol w:w="144"/>
        <w:gridCol w:w="144"/>
        <w:gridCol w:w="144"/>
        <w:gridCol w:w="144"/>
        <w:gridCol w:w="144"/>
        <w:gridCol w:w="782"/>
        <w:gridCol w:w="144"/>
        <w:gridCol w:w="144"/>
        <w:gridCol w:w="144"/>
        <w:gridCol w:w="144"/>
        <w:gridCol w:w="144"/>
        <w:gridCol w:w="684"/>
        <w:gridCol w:w="144"/>
        <w:gridCol w:w="144"/>
        <w:gridCol w:w="144"/>
        <w:gridCol w:w="144"/>
        <w:gridCol w:w="144"/>
        <w:gridCol w:w="733"/>
        <w:gridCol w:w="144"/>
      </w:tblGrid>
      <w:tr w:rsidR="00000000">
        <w:tc>
          <w:tcPr>
            <w:tcW w:w="50" w:type="pct"/>
            <w:vAlign w:val="center"/>
            <w:hideMark/>
          </w:tcPr>
          <w:p w:rsidR="00000000" w:rsidRDefault="00E0782F">
            <w:pPr>
              <w:rPr>
                <w:rFonts w:eastAsia="Times New Roman"/>
              </w:rPr>
            </w:pPr>
          </w:p>
        </w:tc>
        <w:tc>
          <w:tcPr>
            <w:tcW w:w="2280"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1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2018</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(1)(3</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(1)(3</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14,167 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6,549 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2,044 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22,875 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net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17,687 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7,212 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2,788 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28,076 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Provision (benefit) for credit losses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4,984 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(49)</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5,856 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8,542 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4,027 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1,654 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679 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14,902 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(loss) from continuing operations before income taxes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4,161 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2,347 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1,051 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(241)</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7,318 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provision (benefit)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970 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547 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(469)</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1,293 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from continuing operations,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3,191 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806 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held for investment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116,361 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59,205 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70,333 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245,899 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Deposits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198,607 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29,480 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21,677 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249,764 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center"/>
        <w:divId w:val="1931036421"/>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31036421"/>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3103642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3103642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0" style="width:0;height:1.5pt" o:hralign="center" o:hrstd="t" o:hr="t" fillcolor="#a0a0a0" stroked="f"/>
        </w:pict>
      </w:r>
    </w:p>
    <w:p w:rsidR="00000000" w:rsidRDefault="00E0782F">
      <w:pPr>
        <w:jc w:val="both"/>
        <w:divId w:val="13980583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39805833"/>
        <w:rPr>
          <w:rFonts w:eastAsia="Times New Roman"/>
        </w:rPr>
      </w:pPr>
    </w:p>
    <w:p w:rsidR="00000000" w:rsidRDefault="00E0782F">
      <w:pPr>
        <w:jc w:val="center"/>
        <w:divId w:val="139805833"/>
        <w:rPr>
          <w:rFonts w:eastAsia="Times New Roman"/>
        </w:rPr>
      </w:pPr>
      <w:r>
        <w:rPr>
          <w:rFonts w:eastAsia="Times New Roman"/>
          <w:b/>
          <w:bCs/>
          <w:color w:val="000000"/>
          <w:sz w:val="20"/>
          <w:szCs w:val="20"/>
        </w:rPr>
        <w:t>CAPITAL ONE FINANCIAL CORPORATION</w:t>
      </w:r>
    </w:p>
    <w:p w:rsidR="00000000" w:rsidRDefault="00E0782F">
      <w:pPr>
        <w:jc w:val="center"/>
        <w:divId w:val="139805833"/>
        <w:rPr>
          <w:rFonts w:eastAsia="Times New Roman"/>
        </w:rPr>
      </w:pPr>
      <w:r>
        <w:rPr>
          <w:rFonts w:eastAsia="Times New Roman"/>
          <w:b/>
          <w:bCs/>
          <w:color w:val="000000"/>
          <w:sz w:val="20"/>
          <w:szCs w:val="20"/>
        </w:rPr>
        <w:t>NOTES TO CONSOLIDATED FINANCIAL STATEMENTS</w:t>
      </w:r>
    </w:p>
    <w:p w:rsidR="00000000" w:rsidRDefault="00E0782F">
      <w:pPr>
        <w:divId w:val="1616668024"/>
        <w:rPr>
          <w:rFonts w:eastAsia="Times New Roman"/>
        </w:rPr>
      </w:pPr>
      <w:r>
        <w:rPr>
          <w:rFonts w:eastAsia="Times New Roman"/>
          <w:color w:val="000000"/>
          <w:sz w:val="20"/>
          <w:szCs w:val="20"/>
        </w:rPr>
        <w:t>__________</w:t>
      </w:r>
    </w:p>
    <w:p w:rsidR="00000000" w:rsidRDefault="00E0782F">
      <w:pPr>
        <w:ind w:hanging="360"/>
        <w:jc w:val="both"/>
        <w:divId w:val="1200514953"/>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w:t>
      </w:r>
      <w:r>
        <w:rPr>
          <w:rFonts w:eastAsia="Times New Roman"/>
          <w:color w:val="000000"/>
          <w:sz w:val="16"/>
          <w:szCs w:val="16"/>
        </w:rPr>
        <w:t>mpt income, tax credits or other tax benefits. Accordingly, we present our Commercial Banking revenue and yields on a taxable-equivalent basis, calculated using the federal statutory tax rate of (21% for all periods presented) and state taxes where applica</w:t>
      </w:r>
      <w:r>
        <w:rPr>
          <w:rFonts w:eastAsia="Times New Roman"/>
          <w:color w:val="000000"/>
          <w:sz w:val="16"/>
          <w:szCs w:val="16"/>
        </w:rPr>
        <w:t>ble, with offsetting reductions to the Other category.</w:t>
      </w:r>
    </w:p>
    <w:p w:rsidR="00000000" w:rsidRDefault="00E0782F">
      <w:pPr>
        <w:ind w:hanging="360"/>
        <w:jc w:val="both"/>
        <w:divId w:val="36433167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Total net revenue was reduced by $1.1 billion for the year ended December 31, 2020, for finance charges and fees charged off as uncollectible.</w:t>
      </w:r>
    </w:p>
    <w:p w:rsidR="00000000" w:rsidRDefault="00E0782F">
      <w:pPr>
        <w:ind w:hanging="360"/>
        <w:jc w:val="both"/>
        <w:divId w:val="1406075181"/>
        <w:rPr>
          <w:rFonts w:eastAsia="Times New Roman"/>
        </w:rPr>
      </w:pPr>
      <w:r>
        <w:rPr>
          <w:rFonts w:eastAsia="Times New Roman"/>
          <w:color w:val="000000"/>
          <w:sz w:val="10"/>
          <w:szCs w:val="10"/>
        </w:rPr>
        <w:t>(3</w:t>
      </w:r>
      <w:r>
        <w:rPr>
          <w:rFonts w:eastAsia="Times New Roman"/>
          <w:color w:val="000000"/>
          <w:sz w:val="10"/>
          <w:szCs w:val="10"/>
        </w:rPr>
        <w:t>)</w:t>
      </w:r>
      <w:r>
        <w:rPr>
          <w:rFonts w:eastAsia="Times New Roman"/>
          <w:color w:val="000000"/>
          <w:sz w:val="16"/>
          <w:szCs w:val="16"/>
        </w:rPr>
        <w:t>In the first quarter of 2019, we made a change in ho</w:t>
      </w:r>
      <w:r>
        <w:rPr>
          <w:rFonts w:eastAsia="Times New Roman"/>
          <w:color w:val="000000"/>
          <w:sz w:val="16"/>
          <w:szCs w:val="16"/>
        </w:rPr>
        <w:t>w revenue is measured in our Commercial Banking business by revising the allocation of tax benefits on certain tax-advantaged investments. As such, 2018 results have been recast to conform with the current period presentation. The result of this measuremen</w:t>
      </w:r>
      <w:r>
        <w:rPr>
          <w:rFonts w:eastAsia="Times New Roman"/>
          <w:color w:val="000000"/>
          <w:sz w:val="16"/>
          <w:szCs w:val="16"/>
        </w:rPr>
        <w:t>t change reduced the previously reported total net revenue in our Commercial Banking business by $108 million for the year ended December 31, 2018, with an offsetting increase in the Other category.    </w:t>
      </w:r>
    </w:p>
    <w:p w:rsidR="00000000" w:rsidRDefault="00E0782F">
      <w:pPr>
        <w:divId w:val="708994910"/>
        <w:rPr>
          <w:rFonts w:eastAsia="Times New Roman"/>
        </w:rPr>
      </w:pPr>
      <w:r>
        <w:rPr>
          <w:rFonts w:eastAsia="Times New Roman"/>
          <w:b/>
          <w:bCs/>
          <w:color w:val="000000"/>
          <w:sz w:val="20"/>
          <w:szCs w:val="20"/>
        </w:rPr>
        <w:t>Revenue from Contracts with Customers</w:t>
      </w:r>
    </w:p>
    <w:p w:rsidR="00000000" w:rsidRDefault="00E0782F">
      <w:pPr>
        <w:jc w:val="both"/>
        <w:divId w:val="493297742"/>
        <w:rPr>
          <w:rFonts w:eastAsia="Times New Roman"/>
        </w:rPr>
      </w:pPr>
      <w:r>
        <w:rPr>
          <w:rFonts w:eastAsia="Times New Roman"/>
          <w:color w:val="000000"/>
          <w:sz w:val="20"/>
          <w:szCs w:val="20"/>
        </w:rPr>
        <w:t>The majority of our revenue from contracts with customers consists of interchange fees, service charges and other customer-related fees, and other contract revenue. Interchange fees are primarily from our Credit Card business and are recognized upon settle</w:t>
      </w:r>
      <w:r>
        <w:rPr>
          <w:rFonts w:eastAsia="Times New Roman"/>
          <w:color w:val="000000"/>
          <w:sz w:val="20"/>
          <w:szCs w:val="20"/>
        </w:rPr>
        <w:t>ment with the interchange networks, net of rewards earned by customers. Service charges and other customer-related fees within our Consumer Banking business are primarily related to fees earned on consumer deposit accounts for account maintenance and vario</w:t>
      </w:r>
      <w:r>
        <w:rPr>
          <w:rFonts w:eastAsia="Times New Roman"/>
          <w:color w:val="000000"/>
          <w:sz w:val="20"/>
          <w:szCs w:val="20"/>
        </w:rPr>
        <w:t>us transaction-based services such as overdrafts and ATM usage. Service charges and other customer-related fees within our Commercial Banking business are mostly related to fees earned on treasury management and capital markets services. Other contract rev</w:t>
      </w:r>
      <w:r>
        <w:rPr>
          <w:rFonts w:eastAsia="Times New Roman"/>
          <w:color w:val="000000"/>
          <w:sz w:val="20"/>
          <w:szCs w:val="20"/>
        </w:rPr>
        <w:t>enue in our Credit Card business consists primarily of revenue from our partnership arrangements. Other contract revenue in our Consumer Banking business consists primarily of revenue earned on certain marketing and promotional events from our auto dealers</w:t>
      </w:r>
      <w:r>
        <w:rPr>
          <w:rFonts w:eastAsia="Times New Roman"/>
          <w:color w:val="000000"/>
          <w:sz w:val="20"/>
          <w:szCs w:val="20"/>
        </w:rPr>
        <w:t>. Revenue from contracts with customers is included in non-interest income in our consolidated statements of income.</w:t>
      </w:r>
    </w:p>
    <w:p w:rsidR="00000000" w:rsidRDefault="00E0782F">
      <w:pPr>
        <w:jc w:val="both"/>
        <w:divId w:val="1956980493"/>
        <w:rPr>
          <w:rFonts w:eastAsia="Times New Roman"/>
        </w:rPr>
      </w:pPr>
      <w:r>
        <w:rPr>
          <w:rFonts w:eastAsia="Times New Roman"/>
          <w:color w:val="000000"/>
          <w:sz w:val="20"/>
          <w:szCs w:val="20"/>
        </w:rPr>
        <w:t xml:space="preserve">The following table presents revenue from contracts with customers and a reconciliation to non-interest income by business segment for the </w:t>
      </w:r>
      <w:r>
        <w:rPr>
          <w:rFonts w:eastAsia="Times New Roman"/>
          <w:color w:val="000000"/>
          <w:sz w:val="20"/>
          <w:szCs w:val="20"/>
        </w:rPr>
        <w:t>years ended December 31, 2020, 2019 and 2018.</w:t>
      </w:r>
    </w:p>
    <w:p w:rsidR="00000000" w:rsidRDefault="00E0782F">
      <w:pPr>
        <w:divId w:val="747658814"/>
        <w:rPr>
          <w:rFonts w:eastAsia="Times New Roman"/>
        </w:rPr>
      </w:pPr>
      <w:r>
        <w:rPr>
          <w:rFonts w:eastAsia="Times New Roman"/>
          <w:b/>
          <w:bCs/>
          <w:color w:val="000000"/>
          <w:sz w:val="18"/>
          <w:szCs w:val="18"/>
        </w:rPr>
        <w:t>Table 17.2: Revenue from Contracts with Customers and Reconciliation to Segment Results</w:t>
      </w:r>
    </w:p>
    <w:tbl>
      <w:tblPr>
        <w:tblW w:w="5000" w:type="pct"/>
        <w:tblCellMar>
          <w:top w:w="15" w:type="dxa"/>
          <w:left w:w="15" w:type="dxa"/>
          <w:bottom w:w="15" w:type="dxa"/>
          <w:right w:w="15" w:type="dxa"/>
        </w:tblCellMar>
        <w:tblLook w:val="04A0" w:firstRow="1" w:lastRow="0" w:firstColumn="1" w:lastColumn="0" w:noHBand="0" w:noVBand="1"/>
      </w:tblPr>
      <w:tblGrid>
        <w:gridCol w:w="56"/>
        <w:gridCol w:w="3772"/>
        <w:gridCol w:w="36"/>
        <w:gridCol w:w="36"/>
        <w:gridCol w:w="36"/>
        <w:gridCol w:w="36"/>
        <w:gridCol w:w="36"/>
        <w:gridCol w:w="697"/>
        <w:gridCol w:w="36"/>
        <w:gridCol w:w="36"/>
        <w:gridCol w:w="36"/>
        <w:gridCol w:w="36"/>
        <w:gridCol w:w="38"/>
        <w:gridCol w:w="697"/>
        <w:gridCol w:w="36"/>
        <w:gridCol w:w="36"/>
        <w:gridCol w:w="36"/>
        <w:gridCol w:w="36"/>
        <w:gridCol w:w="38"/>
        <w:gridCol w:w="697"/>
        <w:gridCol w:w="36"/>
        <w:gridCol w:w="36"/>
        <w:gridCol w:w="36"/>
        <w:gridCol w:w="36"/>
        <w:gridCol w:w="38"/>
        <w:gridCol w:w="697"/>
        <w:gridCol w:w="36"/>
        <w:gridCol w:w="36"/>
        <w:gridCol w:w="36"/>
        <w:gridCol w:w="36"/>
        <w:gridCol w:w="38"/>
        <w:gridCol w:w="746"/>
        <w:gridCol w:w="36"/>
      </w:tblGrid>
      <w:tr w:rsidR="00000000">
        <w:trPr>
          <w:divId w:val="1363897243"/>
        </w:trPr>
        <w:tc>
          <w:tcPr>
            <w:tcW w:w="50" w:type="pct"/>
            <w:vAlign w:val="center"/>
            <w:hideMark/>
          </w:tcPr>
          <w:p w:rsidR="00000000" w:rsidRDefault="00E0782F">
            <w:pPr>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363897243"/>
          <w:trHeight w:val="60"/>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c>
          <w:tcPr>
            <w:tcW w:w="0" w:type="auto"/>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363897243"/>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794"/>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20"/>
        <w:gridCol w:w="144"/>
        <w:gridCol w:w="144"/>
        <w:gridCol w:w="144"/>
        <w:gridCol w:w="144"/>
        <w:gridCol w:w="144"/>
        <w:gridCol w:w="770"/>
        <w:gridCol w:w="144"/>
      </w:tblGrid>
      <w:tr w:rsidR="00000000">
        <w:tc>
          <w:tcPr>
            <w:tcW w:w="50" w:type="pct"/>
            <w:vAlign w:val="center"/>
            <w:hideMark/>
          </w:tcPr>
          <w:p w:rsidR="00000000" w:rsidRDefault="00E0782F">
            <w:pPr>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2020</w:t>
            </w:r>
          </w:p>
        </w:tc>
      </w:tr>
      <w:tr w:rsidR="00000000">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 Total</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divId w:val="884831142"/>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2,747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209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3,017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315</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3,062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436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242</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3,737</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761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681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401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466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5,610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10"/>
        <w:gridCol w:w="524"/>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910121238"/>
        </w:trPr>
        <w:tc>
          <w:tcPr>
            <w:tcW w:w="50" w:type="pct"/>
            <w:vAlign w:val="center"/>
            <w:hideMark/>
          </w:tcPr>
          <w:p w:rsidR="00000000" w:rsidRDefault="00E0782F">
            <w:pPr>
              <w:jc w:val="both"/>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10121238"/>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2019</w:t>
            </w:r>
          </w:p>
        </w:tc>
      </w:tr>
      <w:tr w:rsidR="00000000">
        <w:trPr>
          <w:divId w:val="910121238"/>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 Total</w:t>
            </w:r>
          </w:p>
        </w:tc>
      </w:tr>
      <w:tr w:rsidR="00000000">
        <w:trPr>
          <w:divId w:val="91012123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910121238"/>
        </w:trPr>
        <w:tc>
          <w:tcPr>
            <w:tcW w:w="0" w:type="auto"/>
            <w:gridSpan w:val="3"/>
            <w:shd w:val="clear" w:color="auto" w:fill="FFFFFF"/>
            <w:tcMar>
              <w:top w:w="30" w:type="dxa"/>
              <w:left w:w="20" w:type="dxa"/>
              <w:bottom w:w="30" w:type="dxa"/>
              <w:right w:w="20" w:type="dxa"/>
            </w:tcMar>
            <w:vAlign w:val="center"/>
            <w:hideMark/>
          </w:tcPr>
          <w:p w:rsidR="00000000" w:rsidRDefault="00E0782F">
            <w:pPr>
              <w:divId w:val="1284580299"/>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2,925 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205 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10121238"/>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417 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10121238"/>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1012123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3,045 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3,820 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10121238"/>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843 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653 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(102)</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1,433 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910121238"/>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3,888 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04640726"/>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104640726"/>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104640726"/>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1" style="width:0;height:1.5pt" o:hralign="center" o:hrstd="t" o:hr="t" fillcolor="#a0a0a0" stroked="f"/>
        </w:pict>
      </w:r>
    </w:p>
    <w:p w:rsidR="00000000" w:rsidRDefault="00E0782F">
      <w:pPr>
        <w:jc w:val="both"/>
        <w:divId w:val="12631399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26313996"/>
        <w:rPr>
          <w:rFonts w:eastAsia="Times New Roman"/>
        </w:rPr>
      </w:pPr>
    </w:p>
    <w:p w:rsidR="00000000" w:rsidRDefault="00E0782F">
      <w:pPr>
        <w:jc w:val="center"/>
        <w:divId w:val="126313996"/>
        <w:rPr>
          <w:rFonts w:eastAsia="Times New Roman"/>
        </w:rPr>
      </w:pPr>
      <w:r>
        <w:rPr>
          <w:rFonts w:eastAsia="Times New Roman"/>
          <w:b/>
          <w:bCs/>
          <w:color w:val="000000"/>
          <w:sz w:val="20"/>
          <w:szCs w:val="20"/>
        </w:rPr>
        <w:t>CAPITAL ONE FINANCIAL CORPORATION</w:t>
      </w:r>
    </w:p>
    <w:p w:rsidR="00000000" w:rsidRDefault="00E0782F">
      <w:pPr>
        <w:jc w:val="center"/>
        <w:divId w:val="126313996"/>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3638"/>
        <w:gridCol w:w="37"/>
        <w:gridCol w:w="36"/>
        <w:gridCol w:w="36"/>
        <w:gridCol w:w="36"/>
        <w:gridCol w:w="110"/>
        <w:gridCol w:w="525"/>
        <w:gridCol w:w="36"/>
        <w:gridCol w:w="36"/>
        <w:gridCol w:w="36"/>
        <w:gridCol w:w="36"/>
        <w:gridCol w:w="111"/>
        <w:gridCol w:w="668"/>
        <w:gridCol w:w="36"/>
        <w:gridCol w:w="36"/>
        <w:gridCol w:w="36"/>
        <w:gridCol w:w="36"/>
        <w:gridCol w:w="111"/>
        <w:gridCol w:w="785"/>
        <w:gridCol w:w="36"/>
        <w:gridCol w:w="36"/>
        <w:gridCol w:w="36"/>
        <w:gridCol w:w="36"/>
        <w:gridCol w:w="111"/>
        <w:gridCol w:w="503"/>
        <w:gridCol w:w="36"/>
        <w:gridCol w:w="36"/>
        <w:gridCol w:w="36"/>
        <w:gridCol w:w="36"/>
        <w:gridCol w:w="111"/>
        <w:gridCol w:w="838"/>
        <w:gridCol w:w="36"/>
      </w:tblGrid>
      <w:tr w:rsidR="00000000">
        <w:trPr>
          <w:divId w:val="440882346"/>
        </w:trPr>
        <w:tc>
          <w:tcPr>
            <w:tcW w:w="50" w:type="pct"/>
            <w:vAlign w:val="center"/>
            <w:hideMark/>
          </w:tcPr>
          <w:p w:rsidR="00000000" w:rsidRDefault="00E0782F">
            <w:pPr>
              <w:jc w:val="center"/>
              <w:rPr>
                <w:rFonts w:eastAsia="Times New Roman"/>
              </w:rPr>
            </w:pPr>
          </w:p>
        </w:tc>
        <w:tc>
          <w:tcPr>
            <w:tcW w:w="228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3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440882346"/>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 2018</w:t>
            </w:r>
          </w:p>
        </w:tc>
      </w:tr>
      <w:tr w:rsidR="00000000">
        <w:trPr>
          <w:divId w:val="44088234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Credit Card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Consumer Banking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Commercial Bankin</w:t>
            </w:r>
            <w:r>
              <w:rPr>
                <w:rFonts w:eastAsia="Times New Roman"/>
                <w:b/>
                <w:bCs/>
                <w:color w:val="000000"/>
                <w:sz w:val="16"/>
                <w:szCs w:val="16"/>
              </w:rPr>
              <w:t>g</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Othe</w:t>
            </w:r>
            <w:r>
              <w:rPr>
                <w:rFonts w:eastAsia="Times New Roman"/>
                <w:b/>
                <w:bCs/>
                <w:color w:val="000000"/>
                <w:sz w:val="16"/>
                <w:szCs w:val="16"/>
              </w:rPr>
              <w:t>r</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Consolidated Total</w:t>
            </w:r>
          </w:p>
        </w:tc>
      </w:tr>
      <w:tr w:rsidR="00000000">
        <w:trPr>
          <w:divId w:val="44088234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Contract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440882346"/>
        </w:trPr>
        <w:tc>
          <w:tcPr>
            <w:tcW w:w="0" w:type="auto"/>
            <w:gridSpan w:val="3"/>
            <w:shd w:val="clear" w:color="auto" w:fill="FFFFFF"/>
            <w:tcMar>
              <w:top w:w="30" w:type="dxa"/>
              <w:left w:w="20" w:type="dxa"/>
              <w:bottom w:w="30" w:type="dxa"/>
              <w:right w:w="20" w:type="dxa"/>
            </w:tcMar>
            <w:vAlign w:val="center"/>
            <w:hideMark/>
          </w:tcPr>
          <w:p w:rsidR="00000000" w:rsidRDefault="00E0782F">
            <w:pPr>
              <w:divId w:val="190462656"/>
              <w:rPr>
                <w:rFonts w:eastAsia="Times New Roman"/>
              </w:rPr>
            </w:pPr>
            <w:r>
              <w:rPr>
                <w:rFonts w:eastAsia="Times New Roman"/>
                <w:color w:val="000000"/>
                <w:sz w:val="18"/>
                <w:szCs w:val="18"/>
              </w:rPr>
              <w:t>Interchange fees, ne</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185 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2,823 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408823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Service charges and other customer-related fees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489 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408823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408823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contract revenue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2,617 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3,431 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4088234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Revenue from other sources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903 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586 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1,770 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44088234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non-interest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5,201 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548883990"/>
        <w:rPr>
          <w:rFonts w:eastAsia="Times New Roman"/>
        </w:rPr>
      </w:pPr>
      <w:r>
        <w:rPr>
          <w:rFonts w:eastAsia="Times New Roman"/>
          <w:color w:val="000000"/>
          <w:sz w:val="20"/>
          <w:szCs w:val="20"/>
        </w:rPr>
        <w:t>__________</w:t>
      </w:r>
    </w:p>
    <w:p w:rsidR="00000000" w:rsidRDefault="00E0782F">
      <w:pPr>
        <w:ind w:hanging="360"/>
        <w:jc w:val="both"/>
        <w:divId w:val="83992435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w:t>
      </w:r>
      <w:r>
        <w:rPr>
          <w:rFonts w:eastAsia="Times New Roman"/>
          <w:color w:val="000000"/>
          <w:sz w:val="16"/>
          <w:szCs w:val="16"/>
        </w:rPr>
        <w:t>te of (21% for all periods presented) and state taxes where applicable, with offsetting reductions to the Other category.</w:t>
      </w:r>
    </w:p>
    <w:p w:rsidR="00000000" w:rsidRDefault="00E0782F">
      <w:pPr>
        <w:ind w:hanging="360"/>
        <w:jc w:val="both"/>
        <w:divId w:val="254024048"/>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Interchange fees are presented net of customer reward expenses of $4.9 billion for the years ended December 31, 2020 and 2019 and $</w:t>
      </w:r>
      <w:r>
        <w:rPr>
          <w:rFonts w:eastAsia="Times New Roman"/>
          <w:color w:val="000000"/>
          <w:sz w:val="16"/>
          <w:szCs w:val="16"/>
        </w:rPr>
        <w:t>4.4 billion for the year ended December 31, 2018.</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545365714"/>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54536571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54536571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2" style="width:0;height:1.5pt" o:hralign="center" o:hrstd="t" o:hr="t" fillcolor="#a0a0a0" stroked="f"/>
        </w:pict>
      </w:r>
    </w:p>
    <w:p w:rsidR="00000000" w:rsidRDefault="00E0782F">
      <w:pPr>
        <w:jc w:val="both"/>
        <w:divId w:val="127999137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279991377"/>
        <w:rPr>
          <w:rFonts w:eastAsia="Times New Roman"/>
        </w:rPr>
      </w:pPr>
    </w:p>
    <w:p w:rsidR="00000000" w:rsidRDefault="00E0782F">
      <w:pPr>
        <w:jc w:val="center"/>
        <w:divId w:val="1279991377"/>
        <w:rPr>
          <w:rFonts w:eastAsia="Times New Roman"/>
        </w:rPr>
      </w:pPr>
      <w:r>
        <w:rPr>
          <w:rFonts w:eastAsia="Times New Roman"/>
          <w:b/>
          <w:bCs/>
          <w:color w:val="000000"/>
          <w:sz w:val="20"/>
          <w:szCs w:val="20"/>
        </w:rPr>
        <w:t>CAPITAL ONE FINANCIAL CORPORATION</w:t>
      </w:r>
    </w:p>
    <w:p w:rsidR="00000000" w:rsidRDefault="00E0782F">
      <w:pPr>
        <w:jc w:val="center"/>
        <w:divId w:val="1279991377"/>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50357688"/>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950357688"/>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18—COMMITMENTS, CONTINGENCIES, GUARANTEES AND OTHERS</w:t>
            </w:r>
          </w:p>
        </w:tc>
      </w:tr>
    </w:tbl>
    <w:p w:rsidR="00000000" w:rsidRDefault="00E0782F">
      <w:pPr>
        <w:divId w:val="288976967"/>
        <w:rPr>
          <w:rFonts w:eastAsia="Times New Roman"/>
        </w:rPr>
      </w:pPr>
      <w:r>
        <w:rPr>
          <w:rFonts w:eastAsia="Times New Roman"/>
          <w:b/>
          <w:bCs/>
          <w:color w:val="000000"/>
          <w:sz w:val="20"/>
          <w:szCs w:val="20"/>
        </w:rPr>
        <w:t>Commitments to Lend</w:t>
      </w:r>
    </w:p>
    <w:p w:rsidR="00000000" w:rsidRDefault="00E0782F">
      <w:pPr>
        <w:jc w:val="both"/>
        <w:divId w:val="235823517"/>
        <w:rPr>
          <w:rFonts w:eastAsia="Times New Roman"/>
        </w:rPr>
      </w:pPr>
      <w:r>
        <w:rPr>
          <w:rFonts w:eastAsia="Times New Roman"/>
          <w:color w:val="000000"/>
          <w:sz w:val="20"/>
          <w:szCs w:val="20"/>
        </w:rPr>
        <w:t>Our unfunded lending commitments primarily consist of credit card lines, loan commitments to customers of both our Commercial Banking and Consumer Banking businesses, as well as standby and commercial letters of credit. These commitmen</w:t>
      </w:r>
      <w:r>
        <w:rPr>
          <w:rFonts w:eastAsia="Times New Roman"/>
          <w:color w:val="000000"/>
          <w:sz w:val="20"/>
          <w:szCs w:val="20"/>
        </w:rPr>
        <w:t>ts, other than credit card lines, are legally binding conditional agreements that have fixed expirations or termination dates and specified interest rates and purposes. The contractual amount of these commitments represents the maximum possible credit risk</w:t>
      </w:r>
      <w:r>
        <w:rPr>
          <w:rFonts w:eastAsia="Times New Roman"/>
          <w:color w:val="000000"/>
          <w:sz w:val="20"/>
          <w:szCs w:val="20"/>
        </w:rPr>
        <w:t xml:space="preserve"> to us should the counterparty draw upon the commitment. We generally manage the potential risk of unfunded lending commitments by limiting the total amount of arrangements, monitoring the size and maturity structure of these portfolios and applying the sa</w:t>
      </w:r>
      <w:r>
        <w:rPr>
          <w:rFonts w:eastAsia="Times New Roman"/>
          <w:color w:val="000000"/>
          <w:sz w:val="20"/>
          <w:szCs w:val="20"/>
        </w:rPr>
        <w:t>me credit standards for all of our credit activities.</w:t>
      </w:r>
    </w:p>
    <w:p w:rsidR="00000000" w:rsidRDefault="00E0782F">
      <w:pPr>
        <w:jc w:val="both"/>
        <w:divId w:val="1742603187"/>
        <w:rPr>
          <w:rFonts w:eastAsia="Times New Roman"/>
        </w:rPr>
      </w:pPr>
      <w:r>
        <w:rPr>
          <w:rFonts w:eastAsia="Times New Roman"/>
          <w:color w:val="000000"/>
          <w:sz w:val="20"/>
          <w:szCs w:val="20"/>
        </w:rPr>
        <w:t>For unused credit card lines, we have not experienced and do not anticipate that all of our customers will access their entire available line at any given point in time. Commitments to extend credit oth</w:t>
      </w:r>
      <w:r>
        <w:rPr>
          <w:rFonts w:eastAsia="Times New Roman"/>
          <w:color w:val="000000"/>
          <w:sz w:val="20"/>
          <w:szCs w:val="20"/>
        </w:rPr>
        <w:t>er than credit card lines generally require customers to maintain certain credit standards. Collateral requirements and loan-to-value (“LTV”) ratios are the same as those for funded transactions and are established based on management’s credit assessment o</w:t>
      </w:r>
      <w:r>
        <w:rPr>
          <w:rFonts w:eastAsia="Times New Roman"/>
          <w:color w:val="000000"/>
          <w:sz w:val="20"/>
          <w:szCs w:val="20"/>
        </w:rPr>
        <w:t>f the customer. These commitments may expire without being drawn upon; therefore, the total commitment amount does not necessarily represent future funding requirements.</w:t>
      </w:r>
    </w:p>
    <w:p w:rsidR="00000000" w:rsidRDefault="00E0782F">
      <w:pPr>
        <w:jc w:val="both"/>
        <w:divId w:val="1676573454"/>
        <w:rPr>
          <w:rFonts w:eastAsia="Times New Roman"/>
        </w:rPr>
      </w:pPr>
      <w:r>
        <w:rPr>
          <w:rFonts w:eastAsia="Times New Roman"/>
          <w:color w:val="000000"/>
          <w:sz w:val="20"/>
          <w:szCs w:val="20"/>
        </w:rPr>
        <w:t>We also issue letters of credit, such as financial standby, performance standby and co</w:t>
      </w:r>
      <w:r>
        <w:rPr>
          <w:rFonts w:eastAsia="Times New Roman"/>
          <w:color w:val="000000"/>
          <w:sz w:val="20"/>
          <w:szCs w:val="20"/>
        </w:rPr>
        <w:t>mmercial letters of credit, to meet the financing needs of our customers. Standby letters of credit are conditional commitments issued by us to guarantee the performance of a customer to a third party in a borrowing arrangement. Commercial letters of credi</w:t>
      </w:r>
      <w:r>
        <w:rPr>
          <w:rFonts w:eastAsia="Times New Roman"/>
          <w:color w:val="000000"/>
          <w:sz w:val="20"/>
          <w:szCs w:val="20"/>
        </w:rPr>
        <w:t>t are short-term commitments issued primarily to facilitate trade finance activities for customers and are generally collateralized by the goods being shipped to the customer. These collateral requirements are similar to those for funded transactions and a</w:t>
      </w:r>
      <w:r>
        <w:rPr>
          <w:rFonts w:eastAsia="Times New Roman"/>
          <w:color w:val="000000"/>
          <w:sz w:val="20"/>
          <w:szCs w:val="20"/>
        </w:rPr>
        <w:t>re established based on management’s credit assessment of the customer. Management conducts regular reviews of all outstanding letters of credit and the results of these reviews are considered in assessing the adequacy of reserves for unfunded lending comm</w:t>
      </w:r>
      <w:r>
        <w:rPr>
          <w:rFonts w:eastAsia="Times New Roman"/>
          <w:color w:val="000000"/>
          <w:sz w:val="20"/>
          <w:szCs w:val="20"/>
        </w:rPr>
        <w:t>itments.</w:t>
      </w:r>
    </w:p>
    <w:p w:rsidR="00000000" w:rsidRDefault="00E0782F">
      <w:pPr>
        <w:jc w:val="both"/>
        <w:divId w:val="1965774385"/>
        <w:rPr>
          <w:rFonts w:eastAsia="Times New Roman"/>
        </w:rPr>
      </w:pPr>
      <w:r>
        <w:rPr>
          <w:rFonts w:eastAsia="Times New Roman"/>
          <w:color w:val="000000"/>
          <w:sz w:val="20"/>
          <w:szCs w:val="20"/>
        </w:rPr>
        <w:t>The following table presents the contractual amount and carrying value of our unfunded lending commitments as of December 31, 2020 and 2019. The carrying value represents our reserve and deferred revenue on legally binding commitments.</w:t>
      </w:r>
    </w:p>
    <w:p w:rsidR="00000000" w:rsidRDefault="00E0782F">
      <w:pPr>
        <w:divId w:val="678889253"/>
        <w:rPr>
          <w:rFonts w:eastAsia="Times New Roman"/>
        </w:rPr>
      </w:pPr>
      <w:r>
        <w:rPr>
          <w:rFonts w:eastAsia="Times New Roman"/>
          <w:b/>
          <w:bCs/>
          <w:color w:val="000000"/>
          <w:sz w:val="18"/>
          <w:szCs w:val="18"/>
        </w:rPr>
        <w:t>Table 18.1:</w:t>
      </w:r>
      <w:r>
        <w:rPr>
          <w:rFonts w:eastAsia="Times New Roman"/>
          <w:b/>
          <w:bCs/>
          <w:color w:val="000000"/>
          <w:sz w:val="18"/>
          <w:szCs w:val="18"/>
        </w:rPr>
        <w:t xml:space="preserve"> Unfunded Lending Commitments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282"/>
        <w:gridCol w:w="37"/>
        <w:gridCol w:w="36"/>
        <w:gridCol w:w="36"/>
        <w:gridCol w:w="36"/>
        <w:gridCol w:w="110"/>
        <w:gridCol w:w="732"/>
        <w:gridCol w:w="36"/>
        <w:gridCol w:w="36"/>
        <w:gridCol w:w="36"/>
        <w:gridCol w:w="36"/>
        <w:gridCol w:w="110"/>
        <w:gridCol w:w="732"/>
        <w:gridCol w:w="36"/>
        <w:gridCol w:w="36"/>
        <w:gridCol w:w="36"/>
        <w:gridCol w:w="36"/>
        <w:gridCol w:w="111"/>
        <w:gridCol w:w="733"/>
        <w:gridCol w:w="36"/>
        <w:gridCol w:w="36"/>
        <w:gridCol w:w="36"/>
        <w:gridCol w:w="36"/>
        <w:gridCol w:w="111"/>
        <w:gridCol w:w="734"/>
        <w:gridCol w:w="36"/>
      </w:tblGrid>
      <w:tr w:rsidR="00000000">
        <w:trPr>
          <w:divId w:val="1784500909"/>
        </w:trPr>
        <w:tc>
          <w:tcPr>
            <w:tcW w:w="50" w:type="pct"/>
            <w:vAlign w:val="center"/>
            <w:hideMark/>
          </w:tcPr>
          <w:p w:rsidR="00000000" w:rsidRDefault="00E0782F">
            <w:pPr>
              <w:rPr>
                <w:rFonts w:eastAsia="Times New Roman"/>
              </w:rPr>
            </w:pPr>
          </w:p>
        </w:tc>
        <w:tc>
          <w:tcPr>
            <w:tcW w:w="260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784500909"/>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Contractual Amount</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6"/>
                <w:szCs w:val="16"/>
              </w:rPr>
              <w:t>Carrying Value</w:t>
            </w:r>
          </w:p>
        </w:tc>
      </w:tr>
      <w:tr w:rsidR="00000000">
        <w:trPr>
          <w:divId w:val="1784500909"/>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1784500909"/>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Credit card lines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349,594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363,446 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b/>
                <w:bCs/>
                <w:color w:val="000000"/>
                <w:sz w:val="18"/>
                <w:szCs w:val="18"/>
              </w:rPr>
              <w:t>N/A</w:t>
            </w: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jc w:val="right"/>
              <w:rPr>
                <w:rFonts w:eastAsia="Times New Roman"/>
              </w:rPr>
            </w:pPr>
            <w:r>
              <w:rPr>
                <w:rFonts w:eastAsia="Times New Roman"/>
                <w:color w:val="000000"/>
                <w:sz w:val="18"/>
                <w:szCs w:val="18"/>
              </w:rPr>
              <w:t>N/A</w:t>
            </w:r>
          </w:p>
        </w:tc>
      </w:tr>
      <w:tr w:rsidR="00000000">
        <w:trPr>
          <w:divId w:val="1784500909"/>
        </w:trPr>
        <w:tc>
          <w:tcPr>
            <w:tcW w:w="0" w:type="auto"/>
            <w:gridSpan w:val="3"/>
            <w:shd w:val="clear" w:color="auto" w:fill="FFFFFF"/>
            <w:tcMar>
              <w:top w:w="30" w:type="dxa"/>
              <w:left w:w="20" w:type="dxa"/>
              <w:bottom w:w="30" w:type="dxa"/>
              <w:right w:w="20" w:type="dxa"/>
            </w:tcMar>
            <w:vAlign w:val="center"/>
            <w:hideMark/>
          </w:tcPr>
          <w:p w:rsidR="00000000" w:rsidRDefault="00E0782F">
            <w:pPr>
              <w:divId w:val="609044762"/>
              <w:rPr>
                <w:rFonts w:eastAsia="Times New Roman"/>
              </w:rPr>
            </w:pPr>
            <w:r>
              <w:rPr>
                <w:rFonts w:eastAsia="Times New Roman"/>
                <w:color w:val="000000"/>
                <w:sz w:val="18"/>
                <w:szCs w:val="18"/>
              </w:rPr>
              <w:t>Other loan commitment</w:t>
            </w:r>
            <w:r>
              <w:rPr>
                <w:rFonts w:eastAsia="Times New Roman"/>
                <w:color w:val="000000"/>
                <w:sz w:val="18"/>
                <w:szCs w:val="18"/>
              </w:rPr>
              <w:t>s</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35,836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36,454 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84500909"/>
        </w:trPr>
        <w:tc>
          <w:tcPr>
            <w:tcW w:w="0" w:type="auto"/>
            <w:gridSpan w:val="3"/>
            <w:shd w:val="clear" w:color="auto" w:fill="CCEEFF"/>
            <w:tcMar>
              <w:top w:w="30" w:type="dxa"/>
              <w:left w:w="20" w:type="dxa"/>
              <w:bottom w:w="30" w:type="dxa"/>
              <w:right w:w="20" w:type="dxa"/>
            </w:tcMar>
            <w:vAlign w:val="center"/>
            <w:hideMark/>
          </w:tcPr>
          <w:p w:rsidR="00000000" w:rsidRDefault="00E0782F">
            <w:pPr>
              <w:divId w:val="301808320"/>
              <w:rPr>
                <w:rFonts w:eastAsia="Times New Roman"/>
              </w:rPr>
            </w:pPr>
            <w:r>
              <w:rPr>
                <w:rFonts w:eastAsia="Times New Roman"/>
                <w:color w:val="000000"/>
                <w:sz w:val="18"/>
                <w:szCs w:val="18"/>
              </w:rPr>
              <w:t>Standby letters of credit and commercial letters of credi</w:t>
            </w:r>
            <w:r>
              <w:rPr>
                <w:rFonts w:eastAsia="Times New Roman"/>
                <w:color w:val="000000"/>
                <w:sz w:val="18"/>
                <w:szCs w:val="18"/>
              </w:rPr>
              <w:t>t</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1,302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1,574 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784500909"/>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Total unfunded lending commitments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386,732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401,474 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176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198619638"/>
        <w:rPr>
          <w:rFonts w:eastAsia="Times New Roman"/>
        </w:rPr>
      </w:pPr>
      <w:r>
        <w:rPr>
          <w:rFonts w:eastAsia="Times New Roman"/>
          <w:color w:val="000000"/>
          <w:sz w:val="20"/>
          <w:szCs w:val="20"/>
        </w:rPr>
        <w:t>__________</w:t>
      </w:r>
    </w:p>
    <w:p w:rsidR="00000000" w:rsidRDefault="00E0782F">
      <w:pPr>
        <w:ind w:hanging="360"/>
        <w:jc w:val="both"/>
        <w:divId w:val="647788459"/>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Includes $1.8 billion and $1.6 </w:t>
      </w:r>
      <w:r>
        <w:rPr>
          <w:rFonts w:eastAsia="Times New Roman"/>
          <w:color w:val="000000"/>
          <w:sz w:val="16"/>
          <w:szCs w:val="16"/>
        </w:rPr>
        <w:t>billion of advised lines of credit as of December 31, 2020 and 2019, respectively.</w:t>
      </w:r>
    </w:p>
    <w:p w:rsidR="00000000" w:rsidRDefault="00E0782F">
      <w:pPr>
        <w:ind w:hanging="360"/>
        <w:jc w:val="both"/>
        <w:divId w:val="2112357891"/>
        <w:rPr>
          <w:rFonts w:eastAsia="Times New Roman"/>
        </w:rPr>
      </w:pPr>
      <w:r>
        <w:rPr>
          <w:rFonts w:eastAsia="Times New Roman"/>
          <w:color w:val="000000"/>
          <w:sz w:val="10"/>
          <w:szCs w:val="10"/>
        </w:rPr>
        <w:t>(2</w:t>
      </w:r>
      <w:r>
        <w:rPr>
          <w:rFonts w:eastAsia="Times New Roman"/>
          <w:color w:val="000000"/>
          <w:sz w:val="10"/>
          <w:szCs w:val="10"/>
        </w:rPr>
        <w:t>)</w:t>
      </w:r>
      <w:r>
        <w:rPr>
          <w:rFonts w:eastAsia="Times New Roman"/>
          <w:color w:val="000000"/>
          <w:sz w:val="16"/>
          <w:szCs w:val="16"/>
        </w:rPr>
        <w:t>These financial guarantees have expiration dates ranging from 2021 to 2023 as of December 31, 2020.</w:t>
      </w:r>
    </w:p>
    <w:p w:rsidR="00000000" w:rsidRDefault="00E0782F">
      <w:pPr>
        <w:divId w:val="682515837"/>
        <w:rPr>
          <w:rFonts w:eastAsia="Times New Roman"/>
        </w:rPr>
      </w:pPr>
      <w:r>
        <w:rPr>
          <w:rFonts w:eastAsia="Times New Roman"/>
          <w:b/>
          <w:bCs/>
          <w:color w:val="000000"/>
          <w:sz w:val="20"/>
          <w:szCs w:val="20"/>
        </w:rPr>
        <w:t>Loss Sharing Agreements</w:t>
      </w:r>
    </w:p>
    <w:p w:rsidR="00000000" w:rsidRDefault="00E0782F">
      <w:pPr>
        <w:jc w:val="both"/>
        <w:divId w:val="692998398"/>
        <w:rPr>
          <w:rFonts w:eastAsia="Times New Roman"/>
        </w:rPr>
      </w:pPr>
      <w:r>
        <w:rPr>
          <w:rFonts w:eastAsia="Times New Roman"/>
          <w:color w:val="000000"/>
          <w:sz w:val="20"/>
          <w:szCs w:val="20"/>
        </w:rPr>
        <w:t>Within our Commercial Banking business, we ori</w:t>
      </w:r>
      <w:r>
        <w:rPr>
          <w:rFonts w:eastAsia="Times New Roman"/>
          <w:color w:val="000000"/>
          <w:sz w:val="20"/>
          <w:szCs w:val="20"/>
        </w:rPr>
        <w:t>ginate multifamily commercial real estate loans with the intent to sell them to the GSEs. We enter into loss sharing agreements with the GSEs upon the sale of the loans. Beginning January 1, 2020, we elected the fair value option on new loss sharing agreem</w:t>
      </w:r>
      <w:r>
        <w:rPr>
          <w:rFonts w:eastAsia="Times New Roman"/>
          <w:color w:val="000000"/>
          <w:sz w:val="20"/>
          <w:szCs w:val="20"/>
        </w:rPr>
        <w:t xml:space="preserve">ents. Unrealized gains and losses are recorded in other non-interest income in our consolidated statements of income. For those loss sharing agreements entered into as of and prior to December 31, 2019, we amortize the liability recorded at inception into </w:t>
      </w:r>
      <w:r>
        <w:rPr>
          <w:rFonts w:eastAsia="Times New Roman"/>
          <w:color w:val="000000"/>
          <w:sz w:val="20"/>
          <w:szCs w:val="20"/>
        </w:rPr>
        <w:t xml:space="preserve">non-interest income as we are released from risk of payment under the loss sharing agreement and record our estimate of expected credit losses each period in provision for credit losses in our consolidated statements of income. The liability recognized on </w:t>
      </w:r>
      <w:r>
        <w:rPr>
          <w:rFonts w:eastAsia="Times New Roman"/>
          <w:color w:val="000000"/>
          <w:sz w:val="20"/>
          <w:szCs w:val="20"/>
        </w:rPr>
        <w:t>our consolidated balance sheets for these loss sharing agreements was $97 million and $75 million as of December 31, 2020 and 2019, respectively.</w:t>
      </w:r>
    </w:p>
    <w:p w:rsidR="00000000" w:rsidRDefault="00E0782F">
      <w:pPr>
        <w:jc w:val="both"/>
        <w:divId w:val="923029029"/>
        <w:rPr>
          <w:rFonts w:eastAsia="Times New Roman"/>
        </w:rPr>
      </w:pPr>
      <w:r>
        <w:rPr>
          <w:rFonts w:eastAsia="Times New Roman"/>
          <w:color w:val="000000"/>
          <w:sz w:val="20"/>
          <w:szCs w:val="20"/>
        </w:rPr>
        <w:t>See “Note 4—Allowance for Credit Losses and Reserve for Unfunded Lending Commitments” for more information rel</w:t>
      </w:r>
      <w:r>
        <w:rPr>
          <w:rFonts w:eastAsia="Times New Roman"/>
          <w:color w:val="000000"/>
          <w:sz w:val="20"/>
          <w:szCs w:val="20"/>
        </w:rPr>
        <w:t>ated to our credit card partnership loss sharing arrangements.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2130927202"/>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2130927202"/>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2130927202"/>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3" style="width:0;height:1.5pt" o:hralign="center" o:hrstd="t" o:hr="t" fillcolor="#a0a0a0" stroked="f"/>
        </w:pict>
      </w:r>
    </w:p>
    <w:p w:rsidR="00000000" w:rsidRDefault="00E0782F">
      <w:pPr>
        <w:jc w:val="both"/>
        <w:divId w:val="2073766412"/>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73766412"/>
        <w:rPr>
          <w:rFonts w:eastAsia="Times New Roman"/>
        </w:rPr>
      </w:pPr>
    </w:p>
    <w:p w:rsidR="00000000" w:rsidRDefault="00E0782F">
      <w:pPr>
        <w:jc w:val="center"/>
        <w:divId w:val="2073766412"/>
        <w:rPr>
          <w:rFonts w:eastAsia="Times New Roman"/>
        </w:rPr>
      </w:pPr>
      <w:r>
        <w:rPr>
          <w:rFonts w:eastAsia="Times New Roman"/>
          <w:b/>
          <w:bCs/>
          <w:color w:val="000000"/>
          <w:sz w:val="20"/>
          <w:szCs w:val="20"/>
        </w:rPr>
        <w:t>CAPITAL ONE FINANCIAL CORPORATION</w:t>
      </w:r>
    </w:p>
    <w:p w:rsidR="00000000" w:rsidRDefault="00E0782F">
      <w:pPr>
        <w:jc w:val="center"/>
        <w:divId w:val="2073766412"/>
        <w:rPr>
          <w:rFonts w:eastAsia="Times New Roman"/>
        </w:rPr>
      </w:pPr>
      <w:r>
        <w:rPr>
          <w:rFonts w:eastAsia="Times New Roman"/>
          <w:b/>
          <w:bCs/>
          <w:color w:val="000000"/>
          <w:sz w:val="20"/>
          <w:szCs w:val="20"/>
        </w:rPr>
        <w:t>NOTES TO CONSOLIDATED FINANCIAL STATEMENTS</w:t>
      </w:r>
    </w:p>
    <w:p w:rsidR="00000000" w:rsidRDefault="00E0782F">
      <w:pPr>
        <w:jc w:val="both"/>
        <w:divId w:val="473068150"/>
        <w:rPr>
          <w:rFonts w:eastAsia="Times New Roman"/>
        </w:rPr>
      </w:pPr>
      <w:r>
        <w:rPr>
          <w:rFonts w:eastAsia="Times New Roman"/>
          <w:b/>
          <w:bCs/>
          <w:color w:val="000000"/>
          <w:sz w:val="20"/>
          <w:szCs w:val="20"/>
        </w:rPr>
        <w:t>U.K. Payment Protection Insurance</w:t>
      </w:r>
    </w:p>
    <w:p w:rsidR="00000000" w:rsidRDefault="00E0782F">
      <w:pPr>
        <w:jc w:val="both"/>
        <w:divId w:val="947783623"/>
        <w:rPr>
          <w:rFonts w:eastAsia="Times New Roman"/>
        </w:rPr>
      </w:pPr>
      <w:r>
        <w:rPr>
          <w:rFonts w:eastAsia="Times New Roman"/>
          <w:color w:val="000000"/>
          <w:sz w:val="20"/>
          <w:szCs w:val="20"/>
        </w:rPr>
        <w:t>In the U.K., we previously sold payment protection insurance (“PPI”). In response to an elevated level of customer complaints across the industry, heightened media coverage and pressure from consumer advocacy groups, the U.K. Financial Conduct Authority (“</w:t>
      </w:r>
      <w:r>
        <w:rPr>
          <w:rFonts w:eastAsia="Times New Roman"/>
          <w:color w:val="000000"/>
          <w:sz w:val="20"/>
          <w:szCs w:val="20"/>
        </w:rPr>
        <w:t>FCA”), formerly the Financial Services Authority, investigated and raised concerns about the way the industry has handled complaints related to the sale of these insurance policies. For the past several years, the U.K.’s Financial Ombudsman Service (“FOS”)</w:t>
      </w:r>
      <w:r>
        <w:rPr>
          <w:rFonts w:eastAsia="Times New Roman"/>
          <w:color w:val="000000"/>
          <w:sz w:val="20"/>
          <w:szCs w:val="20"/>
        </w:rPr>
        <w:t xml:space="preserve"> has been adjudicating customer complaints relating to PPI, escalated to it by consumers who disagree with the rejection of their complaint by firms, leading to customer remediation payments by us and others within the industry. In August 2017, the FCA iss</w:t>
      </w:r>
      <w:r>
        <w:rPr>
          <w:rFonts w:eastAsia="Times New Roman"/>
          <w:color w:val="000000"/>
          <w:sz w:val="20"/>
          <w:szCs w:val="20"/>
        </w:rPr>
        <w:t>ued final rules and guidance on the PPI complaints. This set the deadline for complaints as August 29, 2019. It also provided clarity on how to handle PPI complaints under s.140A of the Consumer Credit Act, including guidance on how redress for such compla</w:t>
      </w:r>
      <w:r>
        <w:rPr>
          <w:rFonts w:eastAsia="Times New Roman"/>
          <w:color w:val="000000"/>
          <w:sz w:val="20"/>
          <w:szCs w:val="20"/>
        </w:rPr>
        <w:t xml:space="preserve">ints should be calculated. </w:t>
      </w:r>
    </w:p>
    <w:p w:rsidR="00000000" w:rsidRDefault="00E0782F">
      <w:pPr>
        <w:jc w:val="both"/>
        <w:divId w:val="1652294204"/>
        <w:rPr>
          <w:rFonts w:eastAsia="Times New Roman"/>
        </w:rPr>
      </w:pPr>
      <w:r>
        <w:rPr>
          <w:rFonts w:eastAsia="Times New Roman"/>
          <w:color w:val="000000"/>
          <w:sz w:val="20"/>
          <w:szCs w:val="20"/>
        </w:rPr>
        <w:t>COEP has now materially completed the handling of PPI complaints that were received prior to the deadline set by the FCA. Escalations to the FOS (by customers or their representatives) may still take place until the first quarte</w:t>
      </w:r>
      <w:r>
        <w:rPr>
          <w:rFonts w:eastAsia="Times New Roman"/>
          <w:color w:val="000000"/>
          <w:sz w:val="20"/>
          <w:szCs w:val="20"/>
        </w:rPr>
        <w:t xml:space="preserve">r of 2021. Throughout this time, the FCA will continue to supervise firms that handle PPI complaints and the supporting processes, people and systems. </w:t>
      </w:r>
    </w:p>
    <w:p w:rsidR="00000000" w:rsidRDefault="00E0782F">
      <w:pPr>
        <w:jc w:val="both"/>
        <w:divId w:val="831339616"/>
        <w:rPr>
          <w:rFonts w:eastAsia="Times New Roman"/>
        </w:rPr>
      </w:pPr>
      <w:r>
        <w:rPr>
          <w:rFonts w:eastAsia="Times New Roman"/>
          <w:color w:val="000000"/>
          <w:sz w:val="20"/>
          <w:szCs w:val="20"/>
        </w:rPr>
        <w:t>Our U.K. PPI reserve declined to an immaterial amount as of December 31, 2020 from $188 million as of De</w:t>
      </w:r>
      <w:r>
        <w:rPr>
          <w:rFonts w:eastAsia="Times New Roman"/>
          <w:color w:val="000000"/>
          <w:sz w:val="20"/>
          <w:szCs w:val="20"/>
        </w:rPr>
        <w:t xml:space="preserve">cember 31, 2019. </w:t>
      </w:r>
    </w:p>
    <w:p w:rsidR="00000000" w:rsidRDefault="00E0782F">
      <w:pPr>
        <w:divId w:val="1126236738"/>
        <w:rPr>
          <w:rFonts w:eastAsia="Times New Roman"/>
        </w:rPr>
      </w:pPr>
      <w:r>
        <w:rPr>
          <w:rFonts w:eastAsia="Times New Roman"/>
          <w:b/>
          <w:bCs/>
          <w:color w:val="000000"/>
          <w:sz w:val="20"/>
          <w:szCs w:val="20"/>
        </w:rPr>
        <w:t>Litigation</w:t>
      </w:r>
    </w:p>
    <w:p w:rsidR="00000000" w:rsidRDefault="00E0782F">
      <w:pPr>
        <w:jc w:val="both"/>
        <w:divId w:val="947195224"/>
        <w:rPr>
          <w:rFonts w:eastAsia="Times New Roman"/>
        </w:rPr>
      </w:pPr>
      <w:r>
        <w:rPr>
          <w:rFonts w:eastAsia="Times New Roman"/>
          <w:color w:val="000000"/>
          <w:sz w:val="20"/>
          <w:szCs w:val="20"/>
        </w:rPr>
        <w:t>In accordance with the current accounting standards for loss contingencies, we establish reserves for litigation-related matters that arise from the ordinary course of our business activities when it is probable that a loss ass</w:t>
      </w:r>
      <w:r>
        <w:rPr>
          <w:rFonts w:eastAsia="Times New Roman"/>
          <w:color w:val="000000"/>
          <w:sz w:val="20"/>
          <w:szCs w:val="20"/>
        </w:rPr>
        <w:t>ociated with a claim or proceeding has been incurred and the amount of the loss can be reasonably estimated. None of the amounts we currently have recorded individually or in the aggregate are considered to be material to our financial condition. Litigatio</w:t>
      </w:r>
      <w:r>
        <w:rPr>
          <w:rFonts w:eastAsia="Times New Roman"/>
          <w:color w:val="000000"/>
          <w:sz w:val="20"/>
          <w:szCs w:val="20"/>
        </w:rPr>
        <w:t>n claims and proceedings of all types are subject to many uncertain factors that generally cannot be predicted with assurance. Below we provide a description of potentially material legal proceedings and claims.</w:t>
      </w:r>
    </w:p>
    <w:p w:rsidR="00000000" w:rsidRDefault="00E0782F">
      <w:pPr>
        <w:jc w:val="both"/>
        <w:divId w:val="104691849"/>
        <w:rPr>
          <w:rFonts w:eastAsia="Times New Roman"/>
        </w:rPr>
      </w:pPr>
      <w:r>
        <w:rPr>
          <w:rFonts w:eastAsia="Times New Roman"/>
          <w:color w:val="000000"/>
          <w:sz w:val="20"/>
          <w:szCs w:val="20"/>
        </w:rPr>
        <w:t xml:space="preserve">For some of the matters disclosed below, we </w:t>
      </w:r>
      <w:r>
        <w:rPr>
          <w:rFonts w:eastAsia="Times New Roman"/>
          <w:color w:val="000000"/>
          <w:sz w:val="20"/>
          <w:szCs w:val="20"/>
        </w:rPr>
        <w:t>are able to estimate reasonably possible losses above existing reserves, and for other disclosed matters, such an estimate is not possible at this time. For those matters below where an estimate is possible, management currently estimates the reasonably po</w:t>
      </w:r>
      <w:r>
        <w:rPr>
          <w:rFonts w:eastAsia="Times New Roman"/>
          <w:color w:val="000000"/>
          <w:sz w:val="20"/>
          <w:szCs w:val="20"/>
        </w:rPr>
        <w:t>ssible future losses beyond our reserves as of December 31, 2020 are approximately $200 million. Our reserve and reasonably possible loss estimates involve considerable judgment and reflect that there is still significant uncertainty regarding numerous fac</w:t>
      </w:r>
      <w:r>
        <w:rPr>
          <w:rFonts w:eastAsia="Times New Roman"/>
          <w:color w:val="000000"/>
          <w:sz w:val="20"/>
          <w:szCs w:val="20"/>
        </w:rPr>
        <w:t>tors that may impact the ultimate loss levels. Notwithstanding, our attempt to estimate a reasonably possible range of loss beyond our current accrual levels for some litigation matters based on current information, it is possible that actual future losses</w:t>
      </w:r>
      <w:r>
        <w:rPr>
          <w:rFonts w:eastAsia="Times New Roman"/>
          <w:color w:val="000000"/>
          <w:sz w:val="20"/>
          <w:szCs w:val="20"/>
        </w:rPr>
        <w:t xml:space="preserve"> will exceed both the current accrual level and the range of reasonably possible losses disclosed here. Given the inherent uncertainties involved in these matters, especially those involving governmental agencies, and the very large or indeterminate damage</w:t>
      </w:r>
      <w:r>
        <w:rPr>
          <w:rFonts w:eastAsia="Times New Roman"/>
          <w:color w:val="000000"/>
          <w:sz w:val="20"/>
          <w:szCs w:val="20"/>
        </w:rPr>
        <w:t xml:space="preserve">s sought in some of these matters, there is significant uncertainty as to the ultimate liability we may incur from these litigation matters and an adverse outcome in one or more of these matters could be material to our results of operations or cash flows </w:t>
      </w:r>
      <w:r>
        <w:rPr>
          <w:rFonts w:eastAsia="Times New Roman"/>
          <w:color w:val="000000"/>
          <w:sz w:val="20"/>
          <w:szCs w:val="20"/>
        </w:rPr>
        <w:t>for any particular reporting period.</w:t>
      </w:r>
    </w:p>
    <w:p w:rsidR="00000000" w:rsidRDefault="00E0782F">
      <w:pPr>
        <w:divId w:val="1220437337"/>
        <w:rPr>
          <w:rFonts w:eastAsia="Times New Roman"/>
        </w:rPr>
      </w:pPr>
      <w:r>
        <w:rPr>
          <w:rFonts w:eastAsia="Times New Roman"/>
          <w:b/>
          <w:bCs/>
          <w:i/>
          <w:iCs/>
          <w:color w:val="000000"/>
          <w:sz w:val="20"/>
          <w:szCs w:val="20"/>
        </w:rPr>
        <w:t>Interchange</w:t>
      </w:r>
    </w:p>
    <w:p w:rsidR="00000000" w:rsidRDefault="00E0782F">
      <w:pPr>
        <w:jc w:val="both"/>
        <w:divId w:val="1016734698"/>
        <w:rPr>
          <w:rFonts w:eastAsia="Times New Roman"/>
        </w:rPr>
      </w:pPr>
      <w:r>
        <w:rPr>
          <w:rFonts w:eastAsia="Times New Roman"/>
          <w:color w:val="000000"/>
          <w:sz w:val="20"/>
          <w:szCs w:val="20"/>
        </w:rPr>
        <w:t>In 2005, a putative class of retail merchants filed antitrust lawsuits against MasterCard and Visa and several issuing banks, including Capital One, seeking both injunctive relief and monetary damages for an</w:t>
      </w:r>
      <w:r>
        <w:rPr>
          <w:rFonts w:eastAsia="Times New Roman"/>
          <w:color w:val="000000"/>
          <w:sz w:val="20"/>
          <w:szCs w:val="20"/>
        </w:rPr>
        <w:t xml:space="preserve"> alleged conspiracy by defendants to fix the level of interchange fees. Other merchants have asserted similar claims in separate lawsuits, and while these separate cases did not name any issuing banks, Visa, MasterCard and issuers, including Capital One, h</w:t>
      </w:r>
      <w:r>
        <w:rPr>
          <w:rFonts w:eastAsia="Times New Roman"/>
          <w:color w:val="000000"/>
          <w:sz w:val="20"/>
          <w:szCs w:val="20"/>
        </w:rPr>
        <w:t>ave entered settlement and judgment sharing agreements allocating the liabilities of any judgment or settlement arising from all interchange-related cases.</w:t>
      </w:r>
    </w:p>
    <w:p w:rsidR="00000000" w:rsidRDefault="00E0782F">
      <w:pPr>
        <w:jc w:val="both"/>
        <w:divId w:val="1672442695"/>
        <w:rPr>
          <w:rFonts w:eastAsia="Times New Roman"/>
        </w:rPr>
      </w:pPr>
      <w:r>
        <w:rPr>
          <w:rFonts w:eastAsia="Times New Roman"/>
          <w:color w:val="000000"/>
          <w:sz w:val="20"/>
          <w:szCs w:val="20"/>
        </w:rPr>
        <w:t>The lawsuits were consolidated before the U.S. District Court for the Eastern District of New York f</w:t>
      </w:r>
      <w:r>
        <w:rPr>
          <w:rFonts w:eastAsia="Times New Roman"/>
          <w:color w:val="000000"/>
          <w:sz w:val="20"/>
          <w:szCs w:val="20"/>
        </w:rPr>
        <w:t xml:space="preserve">or certain purposes and were settled in 2012. The class settlement, however, was invalidated by the United States Court of Appeals for the Second Circuit in June 2016, and the suit was bifurcated into separate class actions seeking injunctive and monetary </w:t>
      </w:r>
      <w:r>
        <w:rPr>
          <w:rFonts w:eastAsia="Times New Roman"/>
          <w:color w:val="000000"/>
          <w:sz w:val="20"/>
          <w:szCs w:val="20"/>
        </w:rPr>
        <w:t>relief, respectively. In addition, numerous merchant groups opted out of the 2012 settlement and have pursued their own claims. The claims by the injunctive relief class have not been resolved, but the settlement of $5.5 billion for the monetary damages cl</w:t>
      </w:r>
      <w:r>
        <w:rPr>
          <w:rFonts w:eastAsia="Times New Roman"/>
          <w:color w:val="000000"/>
          <w:sz w:val="20"/>
          <w:szCs w:val="20"/>
        </w:rPr>
        <w:t>ass received final approval from the trial court, and has been appealed to the U.S. Court of Appeals for the Second Circuit. Visa and MasterCard have also settled a number of the opt-out cases, which required non-material payments from issuing banks, inclu</w:t>
      </w:r>
      <w:r>
        <w:rPr>
          <w:rFonts w:eastAsia="Times New Roman"/>
          <w:color w:val="000000"/>
          <w:sz w:val="20"/>
          <w:szCs w:val="20"/>
        </w:rPr>
        <w:t xml:space="preserve">ding Capital One. Visa created a litigation escrow account following its initial public offering of stock in 2008 that funds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848956787"/>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848956787"/>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848956787"/>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4" style="width:0;height:1.5pt" o:hralign="center" o:hrstd="t" o:hr="t" fillcolor="#a0a0a0" stroked="f"/>
        </w:pict>
      </w:r>
    </w:p>
    <w:p w:rsidR="00000000" w:rsidRDefault="00E0782F">
      <w:pPr>
        <w:jc w:val="both"/>
        <w:divId w:val="192783840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927838400"/>
        <w:rPr>
          <w:rFonts w:eastAsia="Times New Roman"/>
        </w:rPr>
      </w:pPr>
    </w:p>
    <w:p w:rsidR="00000000" w:rsidRDefault="00E0782F">
      <w:pPr>
        <w:jc w:val="center"/>
        <w:divId w:val="1927838400"/>
        <w:rPr>
          <w:rFonts w:eastAsia="Times New Roman"/>
        </w:rPr>
      </w:pPr>
      <w:r>
        <w:rPr>
          <w:rFonts w:eastAsia="Times New Roman"/>
          <w:b/>
          <w:bCs/>
          <w:color w:val="000000"/>
          <w:sz w:val="20"/>
          <w:szCs w:val="20"/>
        </w:rPr>
        <w:t>CAPITAL ONE FINANCIAL CORPORATION</w:t>
      </w:r>
    </w:p>
    <w:p w:rsidR="00000000" w:rsidRDefault="00E0782F">
      <w:pPr>
        <w:jc w:val="center"/>
        <w:divId w:val="1927838400"/>
        <w:rPr>
          <w:rFonts w:eastAsia="Times New Roman"/>
        </w:rPr>
      </w:pPr>
      <w:r>
        <w:rPr>
          <w:rFonts w:eastAsia="Times New Roman"/>
          <w:b/>
          <w:bCs/>
          <w:color w:val="000000"/>
          <w:sz w:val="20"/>
          <w:szCs w:val="20"/>
        </w:rPr>
        <w:t>NOTES TO CONSOLIDATED FINANCIAL STATEMENTS</w:t>
      </w:r>
    </w:p>
    <w:p w:rsidR="00000000" w:rsidRDefault="00E0782F">
      <w:pPr>
        <w:jc w:val="both"/>
        <w:divId w:val="1328243205"/>
        <w:rPr>
          <w:rFonts w:eastAsia="Times New Roman"/>
        </w:rPr>
      </w:pPr>
      <w:r>
        <w:rPr>
          <w:rFonts w:eastAsia="Times New Roman"/>
          <w:color w:val="000000"/>
          <w:sz w:val="20"/>
          <w:szCs w:val="20"/>
        </w:rPr>
        <w:t xml:space="preserve">settlements for its member banks, and any settlements related to </w:t>
      </w:r>
      <w:r>
        <w:rPr>
          <w:rFonts w:eastAsia="Times New Roman"/>
          <w:color w:val="000000"/>
          <w:sz w:val="20"/>
          <w:szCs w:val="20"/>
        </w:rPr>
        <w:t>MasterCard-allocated losses have either already been paid or are reflected in our reserves.</w:t>
      </w:r>
    </w:p>
    <w:p w:rsidR="00000000" w:rsidRDefault="00E0782F">
      <w:pPr>
        <w:divId w:val="1889760934"/>
        <w:rPr>
          <w:rFonts w:eastAsia="Times New Roman"/>
        </w:rPr>
      </w:pPr>
      <w:r>
        <w:rPr>
          <w:rFonts w:eastAsia="Times New Roman"/>
          <w:b/>
          <w:bCs/>
          <w:i/>
          <w:iCs/>
          <w:color w:val="000000"/>
          <w:sz w:val="20"/>
          <w:szCs w:val="20"/>
        </w:rPr>
        <w:t>Anti-Money Laundering</w:t>
      </w:r>
    </w:p>
    <w:p w:rsidR="00000000" w:rsidRDefault="00E0782F">
      <w:pPr>
        <w:jc w:val="both"/>
        <w:divId w:val="1617564486"/>
        <w:rPr>
          <w:rFonts w:eastAsia="Times New Roman"/>
        </w:rPr>
      </w:pPr>
      <w:r>
        <w:rPr>
          <w:rFonts w:eastAsia="Times New Roman"/>
          <w:color w:val="000000"/>
          <w:sz w:val="20"/>
          <w:szCs w:val="20"/>
        </w:rPr>
        <w:t xml:space="preserve">In October 2018, we paid a civil monetary penalty of $100 million to resolve the monetary component of a July 2015 OCC consent order relating </w:t>
      </w:r>
      <w:r>
        <w:rPr>
          <w:rFonts w:eastAsia="Times New Roman"/>
          <w:color w:val="000000"/>
          <w:sz w:val="20"/>
          <w:szCs w:val="20"/>
        </w:rPr>
        <w:t>to our anti-money laundering (“AML”) program. The OCC lifted the AML consent order in November 2019.</w:t>
      </w:r>
    </w:p>
    <w:p w:rsidR="00000000" w:rsidRDefault="00E0782F">
      <w:pPr>
        <w:jc w:val="both"/>
        <w:divId w:val="38211307"/>
        <w:rPr>
          <w:rFonts w:eastAsia="Times New Roman"/>
        </w:rPr>
      </w:pPr>
      <w:r>
        <w:rPr>
          <w:rFonts w:eastAsia="Times New Roman"/>
          <w:color w:val="000000"/>
          <w:sz w:val="20"/>
          <w:szCs w:val="20"/>
        </w:rPr>
        <w:t>In June 2019, the Department of Justice and the New York District Attorney’s Office closed their investigations into certain former check cashing clients o</w:t>
      </w:r>
      <w:r>
        <w:rPr>
          <w:rFonts w:eastAsia="Times New Roman"/>
          <w:color w:val="000000"/>
          <w:sz w:val="20"/>
          <w:szCs w:val="20"/>
        </w:rPr>
        <w:t>f the Commercial Banking business and our AML program. In January 2021, the Financial Crimes Enforcement Network (“FinCEN”) of the U.S. Department of Treasury assessed a civil monetary penalty of $390 million to conclude its investigation into AML complian</w:t>
      </w:r>
      <w:r>
        <w:rPr>
          <w:rFonts w:eastAsia="Times New Roman"/>
          <w:color w:val="000000"/>
          <w:sz w:val="20"/>
          <w:szCs w:val="20"/>
        </w:rPr>
        <w:t>ce regarding certain former check cashing clients. We paid $290 million from existing reserves to satisfy the assessment, after receiving a credit for the related $100 million civil monetary penalty we paid to the OCC in October 2018. The resolution with F</w:t>
      </w:r>
      <w:r>
        <w:rPr>
          <w:rFonts w:eastAsia="Times New Roman"/>
          <w:color w:val="000000"/>
          <w:sz w:val="20"/>
          <w:szCs w:val="20"/>
        </w:rPr>
        <w:t xml:space="preserve">inCEN concludes the last government inquiry relating to the former check cashing line of business we exited in 2014. </w:t>
      </w:r>
    </w:p>
    <w:p w:rsidR="00000000" w:rsidRDefault="00E0782F">
      <w:pPr>
        <w:divId w:val="1547259310"/>
        <w:rPr>
          <w:rFonts w:eastAsia="Times New Roman"/>
        </w:rPr>
      </w:pPr>
      <w:r>
        <w:rPr>
          <w:rFonts w:eastAsia="Times New Roman"/>
          <w:b/>
          <w:bCs/>
          <w:i/>
          <w:iCs/>
          <w:color w:val="000000"/>
          <w:sz w:val="20"/>
          <w:szCs w:val="20"/>
        </w:rPr>
        <w:t>Cybersecurity Incident</w:t>
      </w:r>
    </w:p>
    <w:p w:rsidR="00000000" w:rsidRDefault="00E0782F">
      <w:pPr>
        <w:jc w:val="both"/>
        <w:divId w:val="604113363"/>
        <w:rPr>
          <w:rFonts w:eastAsia="Times New Roman"/>
        </w:rPr>
      </w:pPr>
      <w:r>
        <w:rPr>
          <w:rFonts w:eastAsia="Times New Roman"/>
          <w:color w:val="000000"/>
          <w:sz w:val="20"/>
          <w:szCs w:val="20"/>
        </w:rPr>
        <w:t xml:space="preserve">As a result of the Cybersecurity Incident announced on July 29, 2019, we are subject to numerous legal proceedings </w:t>
      </w:r>
      <w:r>
        <w:rPr>
          <w:rFonts w:eastAsia="Times New Roman"/>
          <w:color w:val="000000"/>
          <w:sz w:val="20"/>
          <w:szCs w:val="20"/>
        </w:rPr>
        <w:t xml:space="preserve">and other inquiries and could be the subject of additional proceedings and inquiries in the future. </w:t>
      </w:r>
    </w:p>
    <w:p w:rsidR="00000000" w:rsidRDefault="00E0782F">
      <w:pPr>
        <w:jc w:val="both"/>
        <w:divId w:val="1633366018"/>
        <w:rPr>
          <w:rFonts w:eastAsia="Times New Roman"/>
        </w:rPr>
      </w:pPr>
      <w:r>
        <w:rPr>
          <w:rFonts w:eastAsia="Times New Roman"/>
          <w:i/>
          <w:iCs/>
          <w:color w:val="000000"/>
          <w:sz w:val="20"/>
          <w:szCs w:val="20"/>
        </w:rPr>
        <w:t>Consumer class actions</w:t>
      </w:r>
      <w:r>
        <w:rPr>
          <w:rFonts w:eastAsia="Times New Roman"/>
          <w:color w:val="000000"/>
          <w:sz w:val="20"/>
          <w:szCs w:val="20"/>
        </w:rPr>
        <w:t xml:space="preserve">. We were named as a defendant in approximately 73 putative consumer class action cases (61 </w:t>
      </w:r>
      <w:r>
        <w:rPr>
          <w:rFonts w:eastAsia="Times New Roman"/>
          <w:color w:val="000000"/>
          <w:sz w:val="20"/>
          <w:szCs w:val="20"/>
        </w:rPr>
        <w:t>in U.S. federal courts and 12 in Canadian courts) alleging harm from the Cybersecurity Incident and seeking various remedies, including monetary and injunctive relief. The lawsuits allege breach of contract, negligence, violations of various privacy laws a</w:t>
      </w:r>
      <w:r>
        <w:rPr>
          <w:rFonts w:eastAsia="Times New Roman"/>
          <w:color w:val="000000"/>
          <w:sz w:val="20"/>
          <w:szCs w:val="20"/>
        </w:rPr>
        <w:t>nd a variety of other legal causes of action. The U.S. consumer class actions have been consolidated for pretrial proceedings before a multi-district litigation (“MDL”) panel in the U.S. District Court for the Eastern District of Virginia, Alexandria Divis</w:t>
      </w:r>
      <w:r>
        <w:rPr>
          <w:rFonts w:eastAsia="Times New Roman"/>
          <w:color w:val="000000"/>
          <w:sz w:val="20"/>
          <w:szCs w:val="20"/>
        </w:rPr>
        <w:t xml:space="preserve">ion, where the remaining 29 consumer class actions are currently pending. In the third quarter of 2020, the MDL court denied in part and granted in part Capital One’s motion to dismiss and permitted pretrial discovery to continue. </w:t>
      </w:r>
    </w:p>
    <w:p w:rsidR="00000000" w:rsidRDefault="00E0782F">
      <w:pPr>
        <w:jc w:val="both"/>
        <w:divId w:val="1399090836"/>
        <w:rPr>
          <w:rFonts w:eastAsia="Times New Roman"/>
        </w:rPr>
      </w:pPr>
      <w:r>
        <w:rPr>
          <w:rFonts w:eastAsia="Times New Roman"/>
          <w:i/>
          <w:iCs/>
          <w:color w:val="000000"/>
          <w:sz w:val="20"/>
          <w:szCs w:val="20"/>
        </w:rPr>
        <w:t>Securities class action</w:t>
      </w:r>
      <w:r>
        <w:rPr>
          <w:rFonts w:eastAsia="Times New Roman"/>
          <w:color w:val="000000"/>
          <w:sz w:val="20"/>
          <w:szCs w:val="20"/>
        </w:rPr>
        <w:t>.</w:t>
      </w:r>
      <w:r>
        <w:rPr>
          <w:rFonts w:eastAsia="Times New Roman"/>
          <w:color w:val="000000"/>
          <w:sz w:val="20"/>
          <w:szCs w:val="20"/>
        </w:rPr>
        <w:t xml:space="preserve"> The Company and certain officers have also been named as defendants in a putative class action pending in the MDL alleging violations of certain federal securities laws in connection with statements and alleged omissions in securities filings relating to </w:t>
      </w:r>
      <w:r>
        <w:rPr>
          <w:rFonts w:eastAsia="Times New Roman"/>
          <w:color w:val="000000"/>
          <w:sz w:val="20"/>
          <w:szCs w:val="20"/>
        </w:rPr>
        <w:t>our information security standards and practices. The complaint seeks certification of a class of all persons who purchased or otherwise acquired Capital One securities from July 23, 2015 to July 29, 2019, as well as unspecified monetary damages, costs and</w:t>
      </w:r>
      <w:r>
        <w:rPr>
          <w:rFonts w:eastAsia="Times New Roman"/>
          <w:color w:val="000000"/>
          <w:sz w:val="20"/>
          <w:szCs w:val="20"/>
        </w:rPr>
        <w:t xml:space="preserve"> other relief.</w:t>
      </w:r>
    </w:p>
    <w:p w:rsidR="00000000" w:rsidRDefault="00E0782F">
      <w:pPr>
        <w:jc w:val="both"/>
        <w:divId w:val="1528174833"/>
        <w:rPr>
          <w:rFonts w:eastAsia="Times New Roman"/>
        </w:rPr>
      </w:pPr>
      <w:r>
        <w:rPr>
          <w:rFonts w:eastAsia="Times New Roman"/>
          <w:i/>
          <w:iCs/>
          <w:color w:val="000000"/>
          <w:sz w:val="20"/>
          <w:szCs w:val="20"/>
        </w:rPr>
        <w:t>Governmental inquiries</w:t>
      </w:r>
      <w:r>
        <w:rPr>
          <w:rFonts w:eastAsia="Times New Roman"/>
          <w:color w:val="000000"/>
          <w:sz w:val="20"/>
          <w:szCs w:val="20"/>
        </w:rPr>
        <w:t>. We have received inquiries and requests for information relating to the Cybersecurity Incident from Congress, federal regulators, relevant Canadian regulators, the Department of Justice, and the offices of approximate</w:t>
      </w:r>
      <w:r>
        <w:rPr>
          <w:rFonts w:eastAsia="Times New Roman"/>
          <w:color w:val="000000"/>
          <w:sz w:val="20"/>
          <w:szCs w:val="20"/>
        </w:rPr>
        <w:t xml:space="preserve">ly fourteen state Attorneys General. We are cooperating with these offices and responding to their inquiries. </w:t>
      </w:r>
    </w:p>
    <w:p w:rsidR="00000000" w:rsidRDefault="00E0782F">
      <w:pPr>
        <w:jc w:val="both"/>
        <w:divId w:val="1737820474"/>
        <w:rPr>
          <w:rFonts w:eastAsia="Times New Roman"/>
        </w:rPr>
      </w:pPr>
      <w:r>
        <w:rPr>
          <w:rFonts w:eastAsia="Times New Roman"/>
          <w:color w:val="000000"/>
          <w:sz w:val="20"/>
          <w:szCs w:val="20"/>
        </w:rPr>
        <w:t>In August 2020, we entered into consent orders with the Federal Reserve and the OCC resulting from regulatory reviews of the Cybersecurity Incide</w:t>
      </w:r>
      <w:r>
        <w:rPr>
          <w:rFonts w:eastAsia="Times New Roman"/>
          <w:color w:val="000000"/>
          <w:sz w:val="20"/>
          <w:szCs w:val="20"/>
        </w:rPr>
        <w:t xml:space="preserve">nt and relating to ongoing enhancements of our cybersecurity and operational risk management processes. We paid an $80 million penalty to the U.S. Treasury as part of the OCC agreement. The Federal Reserve agreement did not contain a monetary penalty. </w:t>
      </w:r>
    </w:p>
    <w:p w:rsidR="00000000" w:rsidRDefault="00E0782F">
      <w:pPr>
        <w:divId w:val="90586829"/>
        <w:rPr>
          <w:rFonts w:eastAsia="Times New Roman"/>
        </w:rPr>
      </w:pPr>
      <w:r>
        <w:rPr>
          <w:rFonts w:eastAsia="Times New Roman"/>
          <w:b/>
          <w:bCs/>
          <w:i/>
          <w:iCs/>
          <w:color w:val="000000"/>
          <w:sz w:val="20"/>
          <w:szCs w:val="20"/>
        </w:rPr>
        <w:t>Tax</w:t>
      </w:r>
      <w:r>
        <w:rPr>
          <w:rFonts w:eastAsia="Times New Roman"/>
          <w:b/>
          <w:bCs/>
          <w:i/>
          <w:iCs/>
          <w:color w:val="000000"/>
          <w:sz w:val="20"/>
          <w:szCs w:val="20"/>
        </w:rPr>
        <w:t>i Medallion Finance Investigations</w:t>
      </w:r>
    </w:p>
    <w:p w:rsidR="00000000" w:rsidRDefault="00E0782F">
      <w:pPr>
        <w:jc w:val="both"/>
        <w:divId w:val="1188911235"/>
        <w:rPr>
          <w:rFonts w:eastAsia="Times New Roman"/>
        </w:rPr>
      </w:pPr>
      <w:r>
        <w:rPr>
          <w:rFonts w:eastAsia="Times New Roman"/>
          <w:color w:val="000000"/>
          <w:sz w:val="20"/>
          <w:szCs w:val="20"/>
        </w:rPr>
        <w:t>Beginning in 2019, we have received subpoenas from the New York Attorney General’s office and from the U.S. Attorney’s Office for the Southern District of New York, Civil and Criminal Divisions, relating to investigations</w:t>
      </w:r>
      <w:r>
        <w:rPr>
          <w:rFonts w:eastAsia="Times New Roman"/>
          <w:color w:val="000000"/>
          <w:sz w:val="20"/>
          <w:szCs w:val="20"/>
        </w:rPr>
        <w:t xml:space="preserve"> of the taxi medallion finance industry we exited beginning in 2015. The subpoenas seek, among other things, information regarding our lending counterparties and practices. We are cooperating with these investigations.</w:t>
      </w:r>
    </w:p>
    <w:p w:rsidR="00000000" w:rsidRDefault="00E0782F">
      <w:pPr>
        <w:divId w:val="789859408"/>
        <w:rPr>
          <w:rFonts w:eastAsia="Times New Roman"/>
        </w:rPr>
      </w:pPr>
      <w:r>
        <w:rPr>
          <w:rFonts w:eastAsia="Times New Roman"/>
          <w:b/>
          <w:bCs/>
          <w:i/>
          <w:iCs/>
          <w:color w:val="000000"/>
          <w:sz w:val="20"/>
          <w:szCs w:val="20"/>
        </w:rPr>
        <w:t>U.K. PPI Litigation</w:t>
      </w:r>
    </w:p>
    <w:p w:rsidR="00000000" w:rsidRDefault="00E0782F">
      <w:pPr>
        <w:jc w:val="both"/>
        <w:divId w:val="977684905"/>
        <w:rPr>
          <w:rFonts w:eastAsia="Times New Roman"/>
        </w:rPr>
      </w:pPr>
      <w:r>
        <w:rPr>
          <w:rFonts w:eastAsia="Times New Roman"/>
          <w:color w:val="000000"/>
          <w:sz w:val="20"/>
          <w:szCs w:val="20"/>
        </w:rPr>
        <w:t>Some of the claim</w:t>
      </w:r>
      <w:r>
        <w:rPr>
          <w:rFonts w:eastAsia="Times New Roman"/>
          <w:color w:val="000000"/>
          <w:sz w:val="20"/>
          <w:szCs w:val="20"/>
        </w:rPr>
        <w:t>ants in the U.K. PPI regulatory claims process have initiated legal proceedings. The significant increase in PPI regulatory claim volumes shortly before the August 29, 2019 claims submission deadline increases the potential exposure for PPI-related litigat</w:t>
      </w:r>
      <w:r>
        <w:rPr>
          <w:rFonts w:eastAsia="Times New Roman"/>
          <w:color w:val="000000"/>
          <w:sz w:val="20"/>
          <w:szCs w:val="20"/>
        </w:rPr>
        <w:t xml:space="preserve">ion, which is not subject to the August 29, 2019 deadline.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04886874"/>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0488687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0488687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209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5" style="width:0;height:1.5pt" o:hralign="center" o:hrstd="t" o:hr="t" fillcolor="#a0a0a0" stroked="f"/>
        </w:pict>
      </w:r>
    </w:p>
    <w:p w:rsidR="00000000" w:rsidRDefault="00E0782F">
      <w:pPr>
        <w:jc w:val="both"/>
        <w:divId w:val="37358198"/>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7358198"/>
        <w:rPr>
          <w:rFonts w:eastAsia="Times New Roman"/>
        </w:rPr>
      </w:pPr>
    </w:p>
    <w:p w:rsidR="00000000" w:rsidRDefault="00E0782F">
      <w:pPr>
        <w:jc w:val="center"/>
        <w:divId w:val="37358198"/>
        <w:rPr>
          <w:rFonts w:eastAsia="Times New Roman"/>
        </w:rPr>
      </w:pPr>
      <w:r>
        <w:rPr>
          <w:rFonts w:eastAsia="Times New Roman"/>
          <w:b/>
          <w:bCs/>
          <w:color w:val="000000"/>
          <w:sz w:val="20"/>
          <w:szCs w:val="20"/>
        </w:rPr>
        <w:t>CAPITAL ONE FINANCIAL CORPORATION</w:t>
      </w:r>
    </w:p>
    <w:p w:rsidR="00000000" w:rsidRDefault="00E0782F">
      <w:pPr>
        <w:jc w:val="center"/>
        <w:divId w:val="37358198"/>
        <w:rPr>
          <w:rFonts w:eastAsia="Times New Roman"/>
        </w:rPr>
      </w:pPr>
      <w:r>
        <w:rPr>
          <w:rFonts w:eastAsia="Times New Roman"/>
          <w:b/>
          <w:bCs/>
          <w:color w:val="000000"/>
          <w:sz w:val="20"/>
          <w:szCs w:val="20"/>
        </w:rPr>
        <w:t>NOTES TO CONSOLIDATED FINANCIAL STATEMENTS</w:t>
      </w:r>
    </w:p>
    <w:p w:rsidR="00000000" w:rsidRDefault="00E0782F">
      <w:pPr>
        <w:jc w:val="both"/>
        <w:divId w:val="1287471296"/>
        <w:rPr>
          <w:rFonts w:eastAsia="Times New Roman"/>
        </w:rPr>
      </w:pPr>
      <w:r>
        <w:rPr>
          <w:rFonts w:eastAsia="Times New Roman"/>
          <w:b/>
          <w:bCs/>
          <w:i/>
          <w:iCs/>
          <w:color w:val="000000"/>
          <w:sz w:val="20"/>
          <w:szCs w:val="20"/>
        </w:rPr>
        <w:t>Other Pending and Threatened Litigation</w:t>
      </w:r>
    </w:p>
    <w:p w:rsidR="00000000" w:rsidRDefault="00E0782F">
      <w:pPr>
        <w:jc w:val="both"/>
        <w:divId w:val="386880488"/>
        <w:rPr>
          <w:rFonts w:eastAsia="Times New Roman"/>
        </w:rPr>
      </w:pPr>
      <w:r>
        <w:rPr>
          <w:rFonts w:eastAsia="Times New Roman"/>
          <w:color w:val="000000"/>
          <w:sz w:val="20"/>
          <w:szCs w:val="20"/>
        </w:rPr>
        <w:t>In addition, we are commo</w:t>
      </w:r>
      <w:r>
        <w:rPr>
          <w:rFonts w:eastAsia="Times New Roman"/>
          <w:color w:val="000000"/>
          <w:sz w:val="20"/>
          <w:szCs w:val="20"/>
        </w:rPr>
        <w:t>nly subject to various pending and threatened legal actions relating to the conduct of our normal business activities. In the opinion of management, the ultimate aggregate liability, if any, arising out of all such other pending or threatened legal actions</w:t>
      </w:r>
      <w:r>
        <w:rPr>
          <w:rFonts w:eastAsia="Times New Roman"/>
          <w:color w:val="000000"/>
          <w:sz w:val="20"/>
          <w:szCs w:val="20"/>
        </w:rPr>
        <w:t xml:space="preserve"> is not expected to be material to our consolidated financial position or our results of operations.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547643990"/>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547643990"/>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547643990"/>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6" style="width:0;height:1.5pt" o:hralign="center" o:hrstd="t" o:hr="t" fillcolor="#a0a0a0" stroked="f"/>
        </w:pict>
      </w:r>
    </w:p>
    <w:p w:rsidR="00000000" w:rsidRDefault="00E0782F">
      <w:pPr>
        <w:jc w:val="both"/>
        <w:divId w:val="2115588416"/>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115588416"/>
        <w:rPr>
          <w:rFonts w:eastAsia="Times New Roman"/>
        </w:rPr>
      </w:pPr>
    </w:p>
    <w:p w:rsidR="00000000" w:rsidRDefault="00E0782F">
      <w:pPr>
        <w:jc w:val="center"/>
        <w:divId w:val="2115588416"/>
        <w:rPr>
          <w:rFonts w:eastAsia="Times New Roman"/>
        </w:rPr>
      </w:pPr>
      <w:r>
        <w:rPr>
          <w:rFonts w:eastAsia="Times New Roman"/>
          <w:b/>
          <w:bCs/>
          <w:color w:val="000000"/>
          <w:sz w:val="20"/>
          <w:szCs w:val="20"/>
        </w:rPr>
        <w:t>CAPITAL ONE FINANCIAL CORPORATION</w:t>
      </w:r>
    </w:p>
    <w:p w:rsidR="00000000" w:rsidRDefault="00E0782F">
      <w:pPr>
        <w:jc w:val="center"/>
        <w:divId w:val="2115588416"/>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2457808"/>
          <w:jc w:val="center"/>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457808"/>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19—</w:t>
            </w:r>
            <w:r>
              <w:rPr>
                <w:rFonts w:eastAsia="Times New Roman"/>
                <w:b/>
                <w:bCs/>
                <w:color w:val="000000"/>
                <w:sz w:val="20"/>
                <w:szCs w:val="20"/>
              </w:rPr>
              <w:t>CAPITAL ONE FINANCIAL CORPORATION (PARENT COMPANY ONLY)</w:t>
            </w:r>
          </w:p>
        </w:tc>
      </w:tr>
    </w:tbl>
    <w:p w:rsidR="00000000" w:rsidRDefault="00E0782F">
      <w:pPr>
        <w:divId w:val="1449349810"/>
        <w:rPr>
          <w:rFonts w:eastAsia="Times New Roman"/>
        </w:rPr>
      </w:pPr>
      <w:r>
        <w:rPr>
          <w:rFonts w:eastAsia="Times New Roman"/>
          <w:b/>
          <w:bCs/>
          <w:color w:val="000000"/>
          <w:sz w:val="20"/>
          <w:szCs w:val="20"/>
        </w:rPr>
        <w:t>Financial Information</w:t>
      </w:r>
    </w:p>
    <w:p w:rsidR="00000000" w:rsidRDefault="00E0782F">
      <w:pPr>
        <w:jc w:val="both"/>
        <w:divId w:val="311444417"/>
        <w:rPr>
          <w:rFonts w:eastAsia="Times New Roman"/>
        </w:rPr>
      </w:pPr>
      <w:r>
        <w:rPr>
          <w:rFonts w:eastAsia="Times New Roman"/>
          <w:color w:val="000000"/>
          <w:sz w:val="20"/>
          <w:szCs w:val="20"/>
        </w:rPr>
        <w:t>The following parent company only financial statements are prepared in accordance with Regulation S-X of the U.S. Securities and Exchange Commission (“SEC”).</w:t>
      </w:r>
    </w:p>
    <w:p w:rsidR="00000000" w:rsidRDefault="00E0782F">
      <w:pPr>
        <w:divId w:val="1566525173"/>
        <w:rPr>
          <w:rFonts w:eastAsia="Times New Roman"/>
        </w:rPr>
      </w:pPr>
      <w:r>
        <w:rPr>
          <w:rFonts w:eastAsia="Times New Roman"/>
          <w:b/>
          <w:bCs/>
          <w:color w:val="000000"/>
          <w:sz w:val="18"/>
          <w:szCs w:val="18"/>
        </w:rPr>
        <w:t>Table 19.1: Pare</w:t>
      </w:r>
      <w:r>
        <w:rPr>
          <w:rFonts w:eastAsia="Times New Roman"/>
          <w:b/>
          <w:bCs/>
          <w:color w:val="000000"/>
          <w:sz w:val="18"/>
          <w:szCs w:val="18"/>
        </w:rPr>
        <w:t>nt Company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1"/>
        <w:gridCol w:w="6113"/>
        <w:gridCol w:w="40"/>
        <w:gridCol w:w="36"/>
        <w:gridCol w:w="36"/>
        <w:gridCol w:w="36"/>
        <w:gridCol w:w="110"/>
        <w:gridCol w:w="450"/>
        <w:gridCol w:w="36"/>
        <w:gridCol w:w="36"/>
        <w:gridCol w:w="36"/>
        <w:gridCol w:w="36"/>
        <w:gridCol w:w="110"/>
        <w:gridCol w:w="450"/>
        <w:gridCol w:w="36"/>
        <w:gridCol w:w="36"/>
        <w:gridCol w:w="36"/>
        <w:gridCol w:w="36"/>
        <w:gridCol w:w="110"/>
        <w:gridCol w:w="450"/>
        <w:gridCol w:w="36"/>
      </w:tblGrid>
      <w:tr w:rsidR="00000000">
        <w:trPr>
          <w:divId w:val="1405565724"/>
        </w:trPr>
        <w:tc>
          <w:tcPr>
            <w:tcW w:w="50" w:type="pct"/>
            <w:vAlign w:val="center"/>
            <w:hideMark/>
          </w:tcPr>
          <w:p w:rsidR="00000000" w:rsidRDefault="00E0782F">
            <w:pPr>
              <w:rPr>
                <w:rFonts w:eastAsia="Times New Roman"/>
              </w:rPr>
            </w:pPr>
          </w:p>
        </w:tc>
        <w:tc>
          <w:tcPr>
            <w:tcW w:w="371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40556572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1405565724"/>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1405565724"/>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186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442 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313 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510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798 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720 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Dividends from subsidiaries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3,003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3,276 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2,750 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income (loss)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(127)</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(21)</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Non-interest expense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33</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before income taxes and equity in undistributed earnings of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2,519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2,839 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(93)</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(128)</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Equity in undistributed earnings of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102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2,569 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3,554 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2,714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5,546 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6,015 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2,346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1,531 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(136)</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1405565724"/>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5,060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7,077 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bl>
    <w:p w:rsidR="00000000" w:rsidRDefault="00E0782F">
      <w:pPr>
        <w:divId w:val="1164200903"/>
        <w:rPr>
          <w:rFonts w:eastAsia="Times New Roman"/>
        </w:rPr>
      </w:pPr>
      <w:r>
        <w:rPr>
          <w:rFonts w:eastAsia="Times New Roman"/>
          <w:b/>
          <w:bCs/>
          <w:color w:val="000000"/>
          <w:sz w:val="18"/>
          <w:szCs w:val="18"/>
        </w:rPr>
        <w:t>Table 19.2: Parent Company Balance Sheets</w:t>
      </w:r>
    </w:p>
    <w:tbl>
      <w:tblPr>
        <w:tblW w:w="5000" w:type="pct"/>
        <w:tblCellMar>
          <w:top w:w="15" w:type="dxa"/>
          <w:left w:w="15" w:type="dxa"/>
          <w:bottom w:w="15" w:type="dxa"/>
          <w:right w:w="15" w:type="dxa"/>
        </w:tblCellMar>
        <w:tblLook w:val="04A0" w:firstRow="1" w:lastRow="0" w:firstColumn="1" w:lastColumn="0" w:noHBand="0" w:noVBand="1"/>
      </w:tblPr>
      <w:tblGrid>
        <w:gridCol w:w="41"/>
        <w:gridCol w:w="6317"/>
        <w:gridCol w:w="39"/>
        <w:gridCol w:w="36"/>
        <w:gridCol w:w="36"/>
        <w:gridCol w:w="36"/>
        <w:gridCol w:w="111"/>
        <w:gridCol w:w="694"/>
        <w:gridCol w:w="36"/>
        <w:gridCol w:w="36"/>
        <w:gridCol w:w="36"/>
        <w:gridCol w:w="36"/>
        <w:gridCol w:w="111"/>
        <w:gridCol w:w="705"/>
        <w:gridCol w:w="36"/>
      </w:tblGrid>
      <w:tr w:rsidR="00000000">
        <w:trPr>
          <w:divId w:val="887303076"/>
        </w:trPr>
        <w:tc>
          <w:tcPr>
            <w:tcW w:w="50" w:type="pct"/>
            <w:vAlign w:val="center"/>
            <w:hideMark/>
          </w:tcPr>
          <w:p w:rsidR="00000000" w:rsidRDefault="00E0782F">
            <w:pPr>
              <w:rPr>
                <w:rFonts w:eastAsia="Times New Roman"/>
              </w:rPr>
            </w:pPr>
          </w:p>
        </w:tc>
        <w:tc>
          <w:tcPr>
            <w:tcW w:w="38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64"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887303076"/>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December 31, 2019</w:t>
            </w:r>
          </w:p>
        </w:tc>
      </w:tr>
      <w:tr w:rsidR="00000000">
        <w:trPr>
          <w:divId w:val="88730307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873030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12,976</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13,050 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Investments in subsidiaries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62,066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61,626 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Loans to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5,924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3,905 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622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738 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assets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1,473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1,017 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83,061</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80,336 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Height w:val="240"/>
        </w:trPr>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873030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8873030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22,037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22,080 </w:t>
            </w:r>
          </w:p>
        </w:tc>
        <w:tc>
          <w:tcPr>
            <w:tcW w:w="0" w:type="auto"/>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8873030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Accrued expenses and other liabilities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245 </w:t>
            </w:r>
          </w:p>
        </w:tc>
        <w:tc>
          <w:tcPr>
            <w:tcW w:w="0" w:type="auto"/>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22,857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22,325 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stockholders’ equity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60,204</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58,011 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E0782F">
            <w:pPr>
              <w:jc w:val="right"/>
              <w:rPr>
                <w:rFonts w:eastAsia="Times New Roman"/>
              </w:rPr>
            </w:pPr>
          </w:p>
        </w:tc>
      </w:tr>
      <w:tr w:rsidR="00000000">
        <w:trPr>
          <w:divId w:val="887303076"/>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Total 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b/>
                <w:bCs/>
                <w:color w:val="000000"/>
                <w:sz w:val="18"/>
                <w:szCs w:val="18"/>
              </w:rPr>
              <w:t>83,061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E0782F">
            <w:pPr>
              <w:jc w:val="right"/>
              <w:rPr>
                <w:rFonts w:eastAsia="Times New Roman"/>
              </w:rPr>
            </w:pPr>
            <w:r>
              <w:rPr>
                <w:rFonts w:eastAsia="Times New Roman"/>
                <w:color w:val="000000"/>
                <w:sz w:val="18"/>
                <w:szCs w:val="18"/>
              </w:rPr>
              <w:t>80,336 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E0782F">
            <w:pPr>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7" style="width:0;height:1.5pt" o:hralign="center" o:hrstd="t" o:hr="t" fillcolor="#a0a0a0" stroked="f"/>
        </w:pict>
      </w:r>
    </w:p>
    <w:p w:rsidR="00000000" w:rsidRDefault="00E0782F">
      <w:pPr>
        <w:jc w:val="both"/>
        <w:divId w:val="1263607213"/>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1263607213"/>
        <w:rPr>
          <w:rFonts w:eastAsia="Times New Roman"/>
        </w:rPr>
      </w:pPr>
    </w:p>
    <w:p w:rsidR="00000000" w:rsidRDefault="00E0782F">
      <w:pPr>
        <w:jc w:val="center"/>
        <w:divId w:val="1263607213"/>
        <w:rPr>
          <w:rFonts w:eastAsia="Times New Roman"/>
        </w:rPr>
      </w:pPr>
      <w:r>
        <w:rPr>
          <w:rFonts w:eastAsia="Times New Roman"/>
          <w:b/>
          <w:bCs/>
          <w:color w:val="000000"/>
          <w:sz w:val="20"/>
          <w:szCs w:val="20"/>
        </w:rPr>
        <w:t>CAPITAL ONE FINANCIAL CORPORATION</w:t>
      </w:r>
    </w:p>
    <w:p w:rsidR="00000000" w:rsidRDefault="00E0782F">
      <w:pPr>
        <w:jc w:val="center"/>
        <w:divId w:val="1263607213"/>
        <w:rPr>
          <w:rFonts w:eastAsia="Times New Roman"/>
        </w:rPr>
      </w:pPr>
      <w:r>
        <w:rPr>
          <w:rFonts w:eastAsia="Times New Roman"/>
          <w:b/>
          <w:bCs/>
          <w:color w:val="000000"/>
          <w:sz w:val="20"/>
          <w:szCs w:val="20"/>
        </w:rPr>
        <w:t>NOTES TO CONSOLIDATED FINANCIAL STATEMENTS</w:t>
      </w:r>
    </w:p>
    <w:p w:rsidR="00000000" w:rsidRDefault="00E0782F">
      <w:pPr>
        <w:divId w:val="1979917183"/>
        <w:rPr>
          <w:rFonts w:eastAsia="Times New Roman"/>
        </w:rPr>
      </w:pPr>
      <w:r>
        <w:rPr>
          <w:rFonts w:eastAsia="Times New Roman"/>
          <w:b/>
          <w:bCs/>
          <w:color w:val="000000"/>
          <w:sz w:val="18"/>
          <w:szCs w:val="18"/>
        </w:rPr>
        <w:t>Table 19.3: Parent Company Statements of Cash Flows</w:t>
      </w:r>
    </w:p>
    <w:tbl>
      <w:tblPr>
        <w:tblW w:w="4992" w:type="pct"/>
        <w:tblCellMar>
          <w:top w:w="15" w:type="dxa"/>
          <w:left w:w="15" w:type="dxa"/>
          <w:bottom w:w="15" w:type="dxa"/>
          <w:right w:w="15" w:type="dxa"/>
        </w:tblCellMar>
        <w:tblLook w:val="04A0" w:firstRow="1" w:lastRow="0" w:firstColumn="1" w:lastColumn="0" w:noHBand="0" w:noVBand="1"/>
      </w:tblPr>
      <w:tblGrid>
        <w:gridCol w:w="40"/>
        <w:gridCol w:w="5832"/>
        <w:gridCol w:w="39"/>
        <w:gridCol w:w="36"/>
        <w:gridCol w:w="36"/>
        <w:gridCol w:w="36"/>
        <w:gridCol w:w="110"/>
        <w:gridCol w:w="540"/>
        <w:gridCol w:w="36"/>
        <w:gridCol w:w="36"/>
        <w:gridCol w:w="36"/>
        <w:gridCol w:w="36"/>
        <w:gridCol w:w="110"/>
        <w:gridCol w:w="540"/>
        <w:gridCol w:w="36"/>
        <w:gridCol w:w="36"/>
        <w:gridCol w:w="36"/>
        <w:gridCol w:w="36"/>
        <w:gridCol w:w="110"/>
        <w:gridCol w:w="540"/>
        <w:gridCol w:w="36"/>
      </w:tblGrid>
      <w:tr w:rsidR="00000000">
        <w:trPr>
          <w:divId w:val="180319977"/>
        </w:trPr>
        <w:tc>
          <w:tcPr>
            <w:tcW w:w="50" w:type="pct"/>
            <w:vAlign w:val="center"/>
            <w:hideMark/>
          </w:tcPr>
          <w:p w:rsidR="00000000" w:rsidRDefault="00E0782F">
            <w:pPr>
              <w:rPr>
                <w:rFonts w:eastAsia="Times New Roman"/>
              </w:rPr>
            </w:pPr>
          </w:p>
        </w:tc>
        <w:tc>
          <w:tcPr>
            <w:tcW w:w="369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32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8031997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15"/>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Year Ended December 31,</w:t>
            </w:r>
          </w:p>
        </w:tc>
      </w:tr>
      <w:tr w:rsidR="00000000">
        <w:trPr>
          <w:divId w:val="180319977"/>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i/>
                <w:iCs/>
                <w:color w:val="000000"/>
                <w:sz w:val="16"/>
                <w:szCs w:val="16"/>
              </w:rPr>
              <w:t>(Dollars in millions)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jc w:val="center"/>
              <w:rPr>
                <w:rFonts w:eastAsia="Times New Roman"/>
              </w:rPr>
            </w:pPr>
            <w:r>
              <w:rPr>
                <w:rFonts w:eastAsia="Times New Roman"/>
                <w:b/>
                <w:bCs/>
                <w:color w:val="000000"/>
                <w:sz w:val="16"/>
                <w:szCs w:val="16"/>
              </w:rPr>
              <w:t>2018</w:t>
            </w:r>
          </w:p>
        </w:tc>
      </w:tr>
      <w:tr w:rsidR="00000000">
        <w:trPr>
          <w:divId w:val="180319977"/>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2,714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5,546 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6,015 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Adjustments to reconcile net income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Equity in undistributed earnings of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(102)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(2,569)</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(3,554)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Other operating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(35)</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Net cash from operating activities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3,829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3,193 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Investing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Changes in investments in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(217)</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704 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(577)</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Proceeds from paydowns and maturities of securities available for sale</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111 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Changes in loans to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(2,019)</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(1,302)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(2,055)</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Net cash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(2,119)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(487)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(2,492)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Financing activities: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Borrowings: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Changes in borrowings from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Issuance of senior and subordinated notes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1,991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2,646 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5,227 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Maturities and paydowns of senior and subordinated notes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(2,900)</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(750)</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Common stock:</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proceeds from issuances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241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199 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Dividends paid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(460)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(753)</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(773)</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Preferred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Net proceeds from issuances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1,330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1,462 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Dividends paid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(280)</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(282)</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(265)</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Redemptions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(1,375)</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Purchases of treasury stock</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(393)</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(1,481)</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(2,284)</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Proceeds from share-based payment activities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38 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Net cash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(1,784)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Changes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2,764 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2,090 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and cash equivalents, beginning of the period</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13,050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10,286 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8,196 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Cash and cash equivalents, end of the period</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12,976</w:t>
            </w: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13,050 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10,286 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FFFFFF"/>
            <w:tcMar>
              <w:top w:w="30" w:type="dxa"/>
              <w:left w:w="20" w:type="dxa"/>
              <w:bottom w:w="30" w:type="dxa"/>
              <w:right w:w="20" w:type="dxa"/>
            </w:tcMar>
            <w:vAlign w:val="center"/>
            <w:hideMark/>
          </w:tcPr>
          <w:p w:rsidR="00000000" w:rsidRDefault="00E0782F">
            <w:pPr>
              <w:rPr>
                <w:rFonts w:eastAsia="Times New Roman"/>
              </w:rPr>
            </w:pPr>
            <w:r>
              <w:rPr>
                <w:rFonts w:eastAsia="Times New Roman"/>
                <w:b/>
                <w:bCs/>
                <w:color w:val="000000"/>
                <w:sz w:val="18"/>
                <w:szCs w:val="18"/>
              </w:rPr>
              <w:t>Supplemental information:</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CCEEFF"/>
            <w:tcMar>
              <w:top w:w="30" w:type="dxa"/>
              <w:left w:w="20" w:type="dxa"/>
              <w:bottom w:w="30" w:type="dxa"/>
              <w:right w:w="20" w:type="dxa"/>
            </w:tcMar>
            <w:vAlign w:val="center"/>
            <w:hideMark/>
          </w:tcPr>
          <w:p w:rsidR="00000000" w:rsidRDefault="00E0782F">
            <w:pPr>
              <w:rPr>
                <w:rFonts w:eastAsia="Times New Roman"/>
              </w:rPr>
            </w:pPr>
            <w:r>
              <w:rPr>
                <w:rFonts w:eastAsia="Times New Roman"/>
                <w:color w:val="000000"/>
                <w:sz w:val="18"/>
                <w:szCs w:val="18"/>
              </w:rPr>
              <w:t>N</w:t>
            </w:r>
            <w:r>
              <w:rPr>
                <w:rFonts w:eastAsia="Times New Roman"/>
                <w:color w:val="000000"/>
                <w:sz w:val="18"/>
                <w:szCs w:val="18"/>
              </w:rPr>
              <w:t>on-cash impact from the dissolution of wholly-owned subsidiary</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80319977"/>
        </w:trPr>
        <w:tc>
          <w:tcPr>
            <w:tcW w:w="0" w:type="auto"/>
            <w:gridSpan w:val="3"/>
            <w:shd w:val="clear" w:color="auto" w:fill="FFFF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Decrease in investment in subsidiaries</w:t>
            </w:r>
          </w:p>
        </w:tc>
        <w:tc>
          <w:tcPr>
            <w:tcW w:w="0" w:type="auto"/>
            <w:gridSpan w:val="3"/>
            <w:shd w:val="clear" w:color="auto" w:fill="FFFFFF"/>
            <w:tcMar>
              <w:top w:w="0" w:type="dxa"/>
              <w:left w:w="20" w:type="dxa"/>
              <w:bottom w:w="0" w:type="dxa"/>
              <w:right w:w="20" w:type="dxa"/>
            </w:tcMar>
            <w:vAlign w:val="center"/>
            <w:hideMark/>
          </w:tcPr>
          <w:p w:rsidR="00000000" w:rsidRDefault="00E0782F">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1,508 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E0782F">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FFFF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shd w:val="clear" w:color="auto" w:fill="CCEEFF"/>
            <w:tcMar>
              <w:top w:w="30" w:type="dxa"/>
              <w:left w:w="245" w:type="dxa"/>
              <w:bottom w:w="30" w:type="dxa"/>
              <w:right w:w="20" w:type="dxa"/>
            </w:tcMar>
            <w:vAlign w:val="center"/>
            <w:hideMark/>
          </w:tcPr>
          <w:p w:rsidR="00000000" w:rsidRDefault="00E0782F">
            <w:pPr>
              <w:rPr>
                <w:rFonts w:eastAsia="Times New Roman"/>
              </w:rPr>
            </w:pPr>
            <w:r>
              <w:rPr>
                <w:rFonts w:eastAsia="Times New Roman"/>
                <w:color w:val="000000"/>
                <w:sz w:val="18"/>
                <w:szCs w:val="18"/>
              </w:rPr>
              <w:t>Decrease in borrowings from subsidiaries</w:t>
            </w:r>
          </w:p>
        </w:tc>
        <w:tc>
          <w:tcPr>
            <w:tcW w:w="0" w:type="auto"/>
            <w:gridSpan w:val="3"/>
            <w:shd w:val="clear" w:color="auto" w:fill="CCEEFF"/>
            <w:tcMar>
              <w:top w:w="0" w:type="dxa"/>
              <w:left w:w="20" w:type="dxa"/>
              <w:bottom w:w="0" w:type="dxa"/>
              <w:right w:w="20" w:type="dxa"/>
            </w:tcMar>
            <w:vAlign w:val="center"/>
            <w:hideMark/>
          </w:tcPr>
          <w:p w:rsidR="00000000" w:rsidRDefault="00E0782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b/>
                <w:bCs/>
                <w:color w:val="000000"/>
                <w:sz w:val="18"/>
                <w:szCs w:val="18"/>
              </w:rPr>
              <w:t>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1,671 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E0782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E0782F">
            <w:pPr>
              <w:jc w:val="right"/>
              <w:rPr>
                <w:rFonts w:eastAsia="Times New Roman"/>
              </w:rPr>
            </w:pPr>
            <w:r>
              <w:rPr>
                <w:rFonts w:eastAsia="Times New Roman"/>
                <w:color w:val="000000"/>
                <w:sz w:val="18"/>
                <w:szCs w:val="18"/>
              </w:rPr>
              <w:t>0 </w:t>
            </w:r>
          </w:p>
        </w:tc>
        <w:tc>
          <w:tcPr>
            <w:tcW w:w="0" w:type="auto"/>
            <w:shd w:val="clear" w:color="auto" w:fill="CCEEFF"/>
            <w:tcMar>
              <w:top w:w="30" w:type="dxa"/>
              <w:left w:w="0" w:type="dxa"/>
              <w:bottom w:w="30" w:type="dxa"/>
              <w:right w:w="20" w:type="dxa"/>
            </w:tcMar>
            <w:vAlign w:val="bottom"/>
            <w:hideMark/>
          </w:tcPr>
          <w:p w:rsidR="00000000" w:rsidRDefault="00E0782F">
            <w:pPr>
              <w:jc w:val="right"/>
              <w:rPr>
                <w:rFonts w:eastAsia="Times New Roman"/>
              </w:rPr>
            </w:pPr>
          </w:p>
        </w:tc>
      </w:tr>
      <w:tr w:rsidR="00000000">
        <w:trPr>
          <w:divId w:val="180319977"/>
        </w:trPr>
        <w:tc>
          <w:tcPr>
            <w:tcW w:w="0" w:type="auto"/>
            <w:gridSpan w:val="3"/>
            <w:vAlign w:val="center"/>
            <w:hideMark/>
          </w:tcPr>
          <w:p w:rsidR="00000000" w:rsidRDefault="00E0782F">
            <w:pPr>
              <w:jc w:val="right"/>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803199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803199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803199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803199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803199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divId w:val="180319977"/>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ind w:hanging="360"/>
        <w:jc w:val="both"/>
        <w:divId w:val="176903546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903249569"/>
          <w:jc w:val="center"/>
        </w:trPr>
        <w:tc>
          <w:tcPr>
            <w:tcW w:w="50" w:type="pct"/>
            <w:vAlign w:val="center"/>
            <w:hideMark/>
          </w:tcPr>
          <w:p w:rsidR="00000000" w:rsidRDefault="00E0782F">
            <w:pPr>
              <w:ind w:hanging="360"/>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90324956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90324956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8" style="width:0;height:1.5pt" o:hralign="center" o:hrstd="t" o:hr="t" fillcolor="#a0a0a0" stroked="f"/>
        </w:pict>
      </w:r>
    </w:p>
    <w:p w:rsidR="00000000" w:rsidRDefault="00E0782F">
      <w:pPr>
        <w:jc w:val="both"/>
        <w:divId w:val="90591681"/>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90591681"/>
        <w:rPr>
          <w:rFonts w:eastAsia="Times New Roman"/>
        </w:rPr>
      </w:pPr>
    </w:p>
    <w:p w:rsidR="00000000" w:rsidRDefault="00E0782F">
      <w:pPr>
        <w:jc w:val="center"/>
        <w:divId w:val="90591681"/>
        <w:rPr>
          <w:rFonts w:eastAsia="Times New Roman"/>
        </w:rPr>
      </w:pPr>
      <w:r>
        <w:rPr>
          <w:rFonts w:eastAsia="Times New Roman"/>
          <w:b/>
          <w:bCs/>
          <w:color w:val="000000"/>
          <w:sz w:val="20"/>
          <w:szCs w:val="20"/>
        </w:rPr>
        <w:t>CAPITAL ONE FINANCIAL CORPORATION</w:t>
      </w:r>
    </w:p>
    <w:p w:rsidR="00000000" w:rsidRDefault="00E0782F">
      <w:pPr>
        <w:jc w:val="center"/>
        <w:divId w:val="90591681"/>
        <w:rPr>
          <w:rFonts w:eastAsia="Times New Roman"/>
        </w:rPr>
      </w:pPr>
      <w:r>
        <w:rPr>
          <w:rFonts w:eastAsia="Times New Roman"/>
          <w:b/>
          <w:bCs/>
          <w:color w:val="000000"/>
          <w:sz w:val="20"/>
          <w:szCs w:val="20"/>
        </w:rPr>
        <w:t>NOTES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349870372"/>
          <w:jc w:val="center"/>
        </w:trPr>
        <w:tc>
          <w:tcPr>
            <w:tcW w:w="50" w:type="pct"/>
            <w:vAlign w:val="center"/>
            <w:hideMark/>
          </w:tcPr>
          <w:p w:rsidR="00000000" w:rsidRDefault="00E0782F">
            <w:pPr>
              <w:jc w:val="center"/>
              <w:rPr>
                <w:rFonts w:eastAsia="Times New Roman"/>
              </w:rPr>
            </w:pPr>
          </w:p>
        </w:tc>
        <w:tc>
          <w:tcPr>
            <w:tcW w:w="494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349870372"/>
          <w:jc w:val="center"/>
        </w:trPr>
        <w:tc>
          <w:tcPr>
            <w:tcW w:w="0" w:type="auto"/>
            <w:gridSpan w:val="3"/>
            <w:tcBorders>
              <w:top w:val="single" w:sz="18" w:space="0" w:color="000000"/>
              <w:bottom w:val="single" w:sz="1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NOTE 20—RELATED PARTY TRANSACTIONS</w:t>
            </w:r>
          </w:p>
        </w:tc>
      </w:tr>
    </w:tbl>
    <w:p w:rsidR="00000000" w:rsidRDefault="00E0782F">
      <w:pPr>
        <w:jc w:val="both"/>
        <w:divId w:val="293490507"/>
        <w:rPr>
          <w:rFonts w:eastAsia="Times New Roman"/>
        </w:rPr>
      </w:pPr>
      <w:r>
        <w:rPr>
          <w:rFonts w:eastAsia="Times New Roman"/>
          <w:color w:val="000000"/>
          <w:sz w:val="20"/>
          <w:szCs w:val="20"/>
        </w:rPr>
        <w:t xml:space="preserve">In the ordinary course of business, we may have loans issued to our executive officers, directors and principal stockholders. Pursuant to our policy, such loans are issued on the same terms as those prevailing at the time for comparable loans to unrelated </w:t>
      </w:r>
      <w:r>
        <w:rPr>
          <w:rFonts w:eastAsia="Times New Roman"/>
          <w:color w:val="000000"/>
          <w:sz w:val="20"/>
          <w:szCs w:val="20"/>
        </w:rPr>
        <w:t>persons and do not involve more than the normal risk of collectability.</w:t>
      </w:r>
    </w:p>
    <w:p w:rsidR="00000000" w:rsidRDefault="00E0782F">
      <w:pPr>
        <w:jc w:val="both"/>
        <w:divId w:val="147553370"/>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07650185"/>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07650185"/>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07650185"/>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213</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39" style="width:0;height:1.5pt" o:hralign="center" o:hrstd="t" o:hr="t" fillcolor="#a0a0a0" stroked="f"/>
        </w:pict>
      </w:r>
    </w:p>
    <w:p w:rsidR="00000000" w:rsidRDefault="00E0782F">
      <w:pPr>
        <w:jc w:val="both"/>
        <w:divId w:val="87072273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divId w:val="1435050192"/>
        <w:rPr>
          <w:rFonts w:eastAsia="Times New Roman"/>
        </w:rPr>
      </w:pPr>
      <w:r>
        <w:rPr>
          <w:rFonts w:eastAsia="Times New Roman"/>
          <w:b/>
          <w:bCs/>
          <w:color w:val="000000"/>
          <w:sz w:val="20"/>
          <w:szCs w:val="20"/>
        </w:rPr>
        <w:t>Item </w:t>
      </w:r>
      <w:r>
        <w:rPr>
          <w:rFonts w:eastAsia="Times New Roman"/>
          <w:b/>
          <w:bCs/>
          <w:color w:val="000000"/>
          <w:sz w:val="20"/>
          <w:szCs w:val="20"/>
        </w:rPr>
        <w:t xml:space="preserve">9. Changes in and Disagreements with Accountants on Accounting and Financial Disclosure </w:t>
      </w:r>
    </w:p>
    <w:p w:rsidR="00000000" w:rsidRDefault="00E0782F">
      <w:pPr>
        <w:divId w:val="1710180911"/>
        <w:rPr>
          <w:rFonts w:eastAsia="Times New Roman"/>
        </w:rPr>
      </w:pPr>
      <w:r>
        <w:rPr>
          <w:rFonts w:eastAsia="Times New Roman"/>
          <w:color w:val="000000"/>
          <w:sz w:val="20"/>
          <w:szCs w:val="20"/>
        </w:rPr>
        <w:t>None.</w:t>
      </w:r>
    </w:p>
    <w:p w:rsidR="00000000" w:rsidRDefault="00E0782F">
      <w:pPr>
        <w:divId w:val="70394890"/>
        <w:rPr>
          <w:rFonts w:eastAsia="Times New Roman"/>
        </w:rPr>
      </w:pPr>
      <w:r>
        <w:rPr>
          <w:rFonts w:eastAsia="Times New Roman"/>
          <w:b/>
          <w:bCs/>
          <w:color w:val="000000"/>
          <w:sz w:val="20"/>
          <w:szCs w:val="20"/>
        </w:rPr>
        <w:t>Item 9A. Controls and Procedures</w:t>
      </w:r>
    </w:p>
    <w:p w:rsidR="00000000" w:rsidRDefault="00E0782F">
      <w:pPr>
        <w:divId w:val="581986709"/>
        <w:rPr>
          <w:rFonts w:eastAsia="Times New Roman"/>
        </w:rPr>
      </w:pPr>
      <w:r>
        <w:rPr>
          <w:rFonts w:eastAsia="Times New Roman"/>
          <w:b/>
          <w:bCs/>
          <w:color w:val="000000"/>
          <w:sz w:val="20"/>
          <w:szCs w:val="20"/>
        </w:rPr>
        <w:t>Overview</w:t>
      </w:r>
    </w:p>
    <w:p w:rsidR="00000000" w:rsidRDefault="00E0782F">
      <w:pPr>
        <w:jc w:val="both"/>
        <w:divId w:val="800539359"/>
        <w:rPr>
          <w:rFonts w:eastAsia="Times New Roman"/>
        </w:rPr>
      </w:pPr>
      <w:r>
        <w:rPr>
          <w:rFonts w:eastAsia="Times New Roman"/>
          <w:color w:val="000000"/>
          <w:sz w:val="20"/>
          <w:szCs w:val="20"/>
        </w:rPr>
        <w:t>We are required under applicable laws and regulations to maintain controls and procedures, which include disclosure con</w:t>
      </w:r>
      <w:r>
        <w:rPr>
          <w:rFonts w:eastAsia="Times New Roman"/>
          <w:color w:val="000000"/>
          <w:sz w:val="20"/>
          <w:szCs w:val="20"/>
        </w:rPr>
        <w:t>trols and procedures as well as internal control over financial reporting, as further described below. </w:t>
      </w:r>
    </w:p>
    <w:p w:rsidR="00000000" w:rsidRDefault="00E0782F">
      <w:pPr>
        <w:divId w:val="327288635"/>
        <w:rPr>
          <w:rFonts w:eastAsia="Times New Roman"/>
        </w:rPr>
      </w:pPr>
      <w:r>
        <w:rPr>
          <w:rFonts w:eastAsia="Times New Roman"/>
          <w:b/>
          <w:bCs/>
          <w:color w:val="000000"/>
          <w:sz w:val="20"/>
          <w:szCs w:val="20"/>
        </w:rPr>
        <w:t>(a) Disclosure Controls and Procedures</w:t>
      </w:r>
    </w:p>
    <w:p w:rsidR="00000000" w:rsidRDefault="00E0782F">
      <w:pPr>
        <w:jc w:val="both"/>
        <w:divId w:val="1564944507"/>
        <w:rPr>
          <w:rFonts w:eastAsia="Times New Roman"/>
        </w:rPr>
      </w:pPr>
      <w:r>
        <w:rPr>
          <w:rFonts w:eastAsia="Times New Roman"/>
          <w:color w:val="000000"/>
          <w:sz w:val="20"/>
          <w:szCs w:val="20"/>
        </w:rPr>
        <w:t>Disclosure controls and procedures refer to controls and other procedures designed to provide reasonable assuranc</w:t>
      </w:r>
      <w:r>
        <w:rPr>
          <w:rFonts w:eastAsia="Times New Roman"/>
          <w:color w:val="000000"/>
          <w:sz w:val="20"/>
          <w:szCs w:val="20"/>
        </w:rPr>
        <w:t>e that information required to be disclosed in our financial reports is recorded, processed, summarized and reported within the time periods specified by the SEC rules and forms and that such information is accumulated and communicated to management, inclu</w:t>
      </w:r>
      <w:r>
        <w:rPr>
          <w:rFonts w:eastAsia="Times New Roman"/>
          <w:color w:val="000000"/>
          <w:sz w:val="20"/>
          <w:szCs w:val="20"/>
        </w:rPr>
        <w:t>ding our Chief Executive Officer and Chief Financial Officer, as appropriate, to allow timely decisions regarding our required disclosure. In designing and evaluating our disclosure controls and procedures, we recognize that any controls and procedures, no</w:t>
      </w:r>
      <w:r>
        <w:rPr>
          <w:rFonts w:eastAsia="Times New Roman"/>
          <w:color w:val="000000"/>
          <w:sz w:val="20"/>
          <w:szCs w:val="20"/>
        </w:rPr>
        <w:t xml:space="preserve"> matter how well designed and operated, can provide only reasonable assurance of achieving the desired control objectives, and we must apply judgment in evaluating and implementing possible controls and procedures. </w:t>
      </w:r>
    </w:p>
    <w:p w:rsidR="00000000" w:rsidRDefault="00E0782F">
      <w:pPr>
        <w:divId w:val="121120751"/>
        <w:rPr>
          <w:rFonts w:eastAsia="Times New Roman"/>
        </w:rPr>
      </w:pPr>
      <w:r>
        <w:rPr>
          <w:rFonts w:eastAsia="Times New Roman"/>
          <w:b/>
          <w:bCs/>
          <w:i/>
          <w:iCs/>
          <w:color w:val="000000"/>
          <w:sz w:val="20"/>
          <w:szCs w:val="20"/>
        </w:rPr>
        <w:t>Evaluation of Disclosure Controls and Pr</w:t>
      </w:r>
      <w:r>
        <w:rPr>
          <w:rFonts w:eastAsia="Times New Roman"/>
          <w:b/>
          <w:bCs/>
          <w:i/>
          <w:iCs/>
          <w:color w:val="000000"/>
          <w:sz w:val="20"/>
          <w:szCs w:val="20"/>
        </w:rPr>
        <w:t>ocedures</w:t>
      </w:r>
    </w:p>
    <w:p w:rsidR="00000000" w:rsidRDefault="00E0782F">
      <w:pPr>
        <w:jc w:val="both"/>
        <w:divId w:val="488863017"/>
        <w:rPr>
          <w:rFonts w:eastAsia="Times New Roman"/>
        </w:rPr>
      </w:pPr>
      <w:r>
        <w:rPr>
          <w:rFonts w:eastAsia="Times New Roman"/>
          <w:color w:val="000000"/>
          <w:sz w:val="20"/>
          <w:szCs w:val="20"/>
        </w:rPr>
        <w:t>As required by Rule 13a-15 of the Securities Exchange Act of 1934 (“Exchange Act”), our management, including the Chief Executive Officer and Chief Financial Officer, conducted an evaluation of the effectiveness of our disclosure controls and proc</w:t>
      </w:r>
      <w:r>
        <w:rPr>
          <w:rFonts w:eastAsia="Times New Roman"/>
          <w:color w:val="000000"/>
          <w:sz w:val="20"/>
          <w:szCs w:val="20"/>
        </w:rPr>
        <w:t>edures (as that term is defined in Rules 13a-15(e) and 15d-15(e) of the Exchange Act) as of December 31, 2020, the end of the period covered by this Report on Form 10-K. Based upon that evaluation, the Chief Executive Officer and Chief Financial Officer co</w:t>
      </w:r>
      <w:r>
        <w:rPr>
          <w:rFonts w:eastAsia="Times New Roman"/>
          <w:color w:val="000000"/>
          <w:sz w:val="20"/>
          <w:szCs w:val="20"/>
        </w:rPr>
        <w:t>ncluded that our disclosure controls and procedures were effective as of December 31, 2020, at a reasonable level of assurance, in recording, processing, summarizing and reporting information required to be disclosed within the time periods specified by th</w:t>
      </w:r>
      <w:r>
        <w:rPr>
          <w:rFonts w:eastAsia="Times New Roman"/>
          <w:color w:val="000000"/>
          <w:sz w:val="20"/>
          <w:szCs w:val="20"/>
        </w:rPr>
        <w:t>e SEC rules and forms.</w:t>
      </w:r>
    </w:p>
    <w:p w:rsidR="00000000" w:rsidRDefault="00E0782F">
      <w:pPr>
        <w:jc w:val="both"/>
        <w:divId w:val="1259948987"/>
        <w:rPr>
          <w:rFonts w:eastAsia="Times New Roman"/>
        </w:rPr>
      </w:pPr>
      <w:r>
        <w:rPr>
          <w:rFonts w:eastAsia="Times New Roman"/>
          <w:b/>
          <w:bCs/>
          <w:color w:val="000000"/>
          <w:sz w:val="20"/>
          <w:szCs w:val="20"/>
        </w:rPr>
        <w:t>(b) Changes in Internal Control Over Financial Reporting</w:t>
      </w:r>
    </w:p>
    <w:p w:rsidR="00000000" w:rsidRDefault="00E0782F">
      <w:pPr>
        <w:jc w:val="both"/>
        <w:divId w:val="1915894743"/>
        <w:rPr>
          <w:rFonts w:eastAsia="Times New Roman"/>
        </w:rPr>
      </w:pPr>
      <w:r>
        <w:rPr>
          <w:rFonts w:eastAsia="Times New Roman"/>
          <w:color w:val="000000"/>
          <w:sz w:val="20"/>
          <w:szCs w:val="20"/>
        </w:rPr>
        <w:t>We regularly review our disclosure controls and procedures and make changes intended to ensure the quality of our financial reporting. There have been no changes in internal co</w:t>
      </w:r>
      <w:r>
        <w:rPr>
          <w:rFonts w:eastAsia="Times New Roman"/>
          <w:color w:val="000000"/>
          <w:sz w:val="20"/>
          <w:szCs w:val="20"/>
        </w:rPr>
        <w:t>ntrol over financial reporting that occurred during the fourth quarter of 2020 which have materially affected, or are reasonably likely to materially affect, the Company’s internal control over financial reporting.</w:t>
      </w:r>
    </w:p>
    <w:p w:rsidR="00000000" w:rsidRDefault="00E0782F">
      <w:pPr>
        <w:jc w:val="both"/>
        <w:divId w:val="852568864"/>
        <w:rPr>
          <w:rFonts w:eastAsia="Times New Roman"/>
        </w:rPr>
      </w:pPr>
      <w:r>
        <w:rPr>
          <w:rFonts w:eastAsia="Times New Roman"/>
          <w:b/>
          <w:bCs/>
          <w:color w:val="000000"/>
          <w:sz w:val="20"/>
          <w:szCs w:val="20"/>
        </w:rPr>
        <w:t>(c) Management’s Report on Internal Contr</w:t>
      </w:r>
      <w:r>
        <w:rPr>
          <w:rFonts w:eastAsia="Times New Roman"/>
          <w:b/>
          <w:bCs/>
          <w:color w:val="000000"/>
          <w:sz w:val="20"/>
          <w:szCs w:val="20"/>
        </w:rPr>
        <w:t>ol Over Financial Reporting</w:t>
      </w:r>
    </w:p>
    <w:p w:rsidR="00000000" w:rsidRDefault="00E0782F">
      <w:pPr>
        <w:jc w:val="both"/>
        <w:divId w:val="1882280855"/>
        <w:rPr>
          <w:rFonts w:eastAsia="Times New Roman"/>
        </w:rPr>
      </w:pPr>
      <w:r>
        <w:rPr>
          <w:rFonts w:eastAsia="Times New Roman"/>
          <w:color w:val="000000"/>
          <w:sz w:val="20"/>
          <w:szCs w:val="20"/>
        </w:rPr>
        <w:t>Management’s Report on Internal Control Over Financial Reporting is included in “Part II—Item 8. Financial Statements and Supplementary Data” and is incorporated herein by reference. The Report of Independent Registered Public A</w:t>
      </w:r>
      <w:r>
        <w:rPr>
          <w:rFonts w:eastAsia="Times New Roman"/>
          <w:color w:val="000000"/>
          <w:sz w:val="20"/>
          <w:szCs w:val="20"/>
        </w:rPr>
        <w:t>ccounting Firm on Internal Control Over Financial Reporting also is included in “Part II—Item 8. Financial Statements and Supplementary Data” and incorporated herein by reference.</w:t>
      </w:r>
    </w:p>
    <w:p w:rsidR="00000000" w:rsidRDefault="00E0782F">
      <w:pPr>
        <w:divId w:val="1591281210"/>
        <w:rPr>
          <w:rFonts w:eastAsia="Times New Roman"/>
        </w:rPr>
      </w:pPr>
      <w:r>
        <w:rPr>
          <w:rFonts w:eastAsia="Times New Roman"/>
          <w:b/>
          <w:bCs/>
          <w:color w:val="000000"/>
          <w:sz w:val="20"/>
          <w:szCs w:val="20"/>
        </w:rPr>
        <w:t>Item 9B.</w:t>
      </w:r>
      <w:r>
        <w:rPr>
          <w:rFonts w:eastAsia="Times New Roman"/>
          <w:color w:val="000000"/>
          <w:sz w:val="20"/>
          <w:szCs w:val="20"/>
        </w:rPr>
        <w:t xml:space="preserve"> </w:t>
      </w:r>
      <w:r>
        <w:rPr>
          <w:rFonts w:eastAsia="Times New Roman"/>
          <w:b/>
          <w:bCs/>
          <w:color w:val="000000"/>
          <w:sz w:val="20"/>
          <w:szCs w:val="20"/>
        </w:rPr>
        <w:t xml:space="preserve">Other Information </w:t>
      </w:r>
    </w:p>
    <w:p w:rsidR="00000000" w:rsidRDefault="00E0782F">
      <w:pPr>
        <w:jc w:val="both"/>
        <w:divId w:val="2066220498"/>
        <w:rPr>
          <w:rFonts w:eastAsia="Times New Roman"/>
        </w:rPr>
      </w:pPr>
      <w:r>
        <w:rPr>
          <w:rFonts w:eastAsia="Times New Roman"/>
          <w:color w:val="000000"/>
          <w:sz w:val="20"/>
          <w:szCs w:val="20"/>
        </w:rPr>
        <w:t>None.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59352921"/>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59352921"/>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59352921"/>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214</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0" style="width:0;height:1.5pt" o:hralign="center" o:hrstd="t" o:hr="t" fillcolor="#a0a0a0" stroked="f"/>
        </w:pict>
      </w:r>
    </w:p>
    <w:p w:rsidR="00000000" w:rsidRDefault="00E0782F">
      <w:pPr>
        <w:jc w:val="both"/>
        <w:divId w:val="1227230694"/>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05743918"/>
        <w:rPr>
          <w:rFonts w:eastAsia="Times New Roman"/>
        </w:rPr>
      </w:pPr>
      <w:r>
        <w:rPr>
          <w:rFonts w:eastAsia="Times New Roman"/>
          <w:b/>
          <w:bCs/>
          <w:color w:val="000000"/>
          <w:sz w:val="20"/>
          <w:szCs w:val="20"/>
        </w:rPr>
        <w:t xml:space="preserve">PART III </w:t>
      </w:r>
    </w:p>
    <w:p w:rsidR="00000000" w:rsidRDefault="00E0782F">
      <w:pPr>
        <w:divId w:val="875627214"/>
        <w:rPr>
          <w:rFonts w:eastAsia="Times New Roman"/>
        </w:rPr>
      </w:pPr>
      <w:r>
        <w:rPr>
          <w:rFonts w:eastAsia="Times New Roman"/>
          <w:b/>
          <w:bCs/>
          <w:color w:val="000000"/>
          <w:sz w:val="20"/>
          <w:szCs w:val="20"/>
        </w:rPr>
        <w:t xml:space="preserve">Item 10. Directors, Executive Officers and Corporate Governance </w:t>
      </w:r>
    </w:p>
    <w:p w:rsidR="00000000" w:rsidRDefault="00E0782F">
      <w:pPr>
        <w:jc w:val="both"/>
        <w:divId w:val="632833109"/>
        <w:rPr>
          <w:rFonts w:eastAsia="Times New Roman"/>
        </w:rPr>
      </w:pPr>
      <w:r>
        <w:rPr>
          <w:rFonts w:eastAsia="Times New Roman"/>
          <w:color w:val="000000"/>
          <w:sz w:val="20"/>
          <w:szCs w:val="20"/>
        </w:rPr>
        <w:t>The information required by Item 10 will be included in our Proxy Sta</w:t>
      </w:r>
      <w:r>
        <w:rPr>
          <w:rFonts w:eastAsia="Times New Roman"/>
          <w:color w:val="000000"/>
          <w:sz w:val="20"/>
          <w:szCs w:val="20"/>
        </w:rPr>
        <w:t>tement for the 2021 Annual Stockholder Meeting (“Proxy Statement”) under the heading “Corporate Governance at Capital One,” and is incorporated herein by reference. The Proxy Statement will be filed with the Securities and Exchange Commission pursuant to R</w:t>
      </w:r>
      <w:r>
        <w:rPr>
          <w:rFonts w:eastAsia="Times New Roman"/>
          <w:color w:val="000000"/>
          <w:sz w:val="20"/>
          <w:szCs w:val="20"/>
        </w:rPr>
        <w:t>egulation 14A within 120 days of the end of our 2020 fiscal year.</w:t>
      </w:r>
    </w:p>
    <w:p w:rsidR="00000000" w:rsidRDefault="00E0782F">
      <w:pPr>
        <w:divId w:val="112329745"/>
        <w:rPr>
          <w:rFonts w:eastAsia="Times New Roman"/>
        </w:rPr>
      </w:pPr>
      <w:r>
        <w:rPr>
          <w:rFonts w:eastAsia="Times New Roman"/>
          <w:b/>
          <w:bCs/>
          <w:color w:val="000000"/>
          <w:sz w:val="20"/>
          <w:szCs w:val="20"/>
        </w:rPr>
        <w:t xml:space="preserve">Item 11. Executive Compensation </w:t>
      </w:r>
    </w:p>
    <w:p w:rsidR="00000000" w:rsidRDefault="00E0782F">
      <w:pPr>
        <w:jc w:val="both"/>
        <w:divId w:val="409083108"/>
        <w:rPr>
          <w:rFonts w:eastAsia="Times New Roman"/>
        </w:rPr>
      </w:pPr>
      <w:r>
        <w:rPr>
          <w:rFonts w:eastAsia="Times New Roman"/>
          <w:color w:val="000000"/>
          <w:sz w:val="20"/>
          <w:szCs w:val="20"/>
        </w:rPr>
        <w:t xml:space="preserve">The information required by Item 11 will be included in the Proxy Statement under the headings “Director Compensation,” “Compensation Discussion and Analysis,” “Named Executive Officer Compensation” and “Compensation Committee Report,” and is incorporated </w:t>
      </w:r>
      <w:r>
        <w:rPr>
          <w:rFonts w:eastAsia="Times New Roman"/>
          <w:color w:val="000000"/>
          <w:sz w:val="20"/>
          <w:szCs w:val="20"/>
        </w:rPr>
        <w:t>herein by reference.</w:t>
      </w:r>
    </w:p>
    <w:p w:rsidR="00000000" w:rsidRDefault="00E0782F">
      <w:pPr>
        <w:divId w:val="1802382189"/>
        <w:rPr>
          <w:rFonts w:eastAsia="Times New Roman"/>
        </w:rPr>
      </w:pPr>
      <w:r>
        <w:rPr>
          <w:rFonts w:eastAsia="Times New Roman"/>
          <w:b/>
          <w:bCs/>
          <w:color w:val="000000"/>
          <w:sz w:val="20"/>
          <w:szCs w:val="20"/>
        </w:rPr>
        <w:t xml:space="preserve">Item 12. Security Ownership of Certain Beneficial Owners and Management and Related Stockholder Matters </w:t>
      </w:r>
    </w:p>
    <w:p w:rsidR="00000000" w:rsidRDefault="00E0782F">
      <w:pPr>
        <w:jc w:val="both"/>
        <w:divId w:val="2057965307"/>
        <w:rPr>
          <w:rFonts w:eastAsia="Times New Roman"/>
        </w:rPr>
      </w:pPr>
      <w:r>
        <w:rPr>
          <w:rFonts w:eastAsia="Times New Roman"/>
          <w:color w:val="000000"/>
          <w:sz w:val="20"/>
          <w:szCs w:val="20"/>
        </w:rPr>
        <w:t>The information required by Item 12 will be included in the Proxy Statement under the headings “Security Ownership” and “Equity Co</w:t>
      </w:r>
      <w:r>
        <w:rPr>
          <w:rFonts w:eastAsia="Times New Roman"/>
          <w:color w:val="000000"/>
          <w:sz w:val="20"/>
          <w:szCs w:val="20"/>
        </w:rPr>
        <w:t>mpensation Plans,” and is incorporated herein by reference.</w:t>
      </w:r>
    </w:p>
    <w:p w:rsidR="00000000" w:rsidRDefault="00E0782F">
      <w:pPr>
        <w:divId w:val="1378357421"/>
        <w:rPr>
          <w:rFonts w:eastAsia="Times New Roman"/>
        </w:rPr>
      </w:pPr>
      <w:r>
        <w:rPr>
          <w:rFonts w:eastAsia="Times New Roman"/>
          <w:b/>
          <w:bCs/>
          <w:color w:val="000000"/>
          <w:sz w:val="20"/>
          <w:szCs w:val="20"/>
        </w:rPr>
        <w:t xml:space="preserve">Item 13. Certain Relationships and Related Transactions, and Director Independence </w:t>
      </w:r>
    </w:p>
    <w:p w:rsidR="00000000" w:rsidRDefault="00E0782F">
      <w:pPr>
        <w:jc w:val="both"/>
        <w:divId w:val="1271814938"/>
        <w:rPr>
          <w:rFonts w:eastAsia="Times New Roman"/>
        </w:rPr>
      </w:pPr>
      <w:r>
        <w:rPr>
          <w:rFonts w:eastAsia="Times New Roman"/>
          <w:color w:val="000000"/>
          <w:sz w:val="20"/>
          <w:szCs w:val="20"/>
        </w:rPr>
        <w:t>The information required by Item 13 will be included in the Proxy Statement under the headings “Related Person T</w:t>
      </w:r>
      <w:r>
        <w:rPr>
          <w:rFonts w:eastAsia="Times New Roman"/>
          <w:color w:val="000000"/>
          <w:sz w:val="20"/>
          <w:szCs w:val="20"/>
        </w:rPr>
        <w:t>ransactions” and “Director Independence,” and is incorporated herein by reference.</w:t>
      </w:r>
    </w:p>
    <w:p w:rsidR="00000000" w:rsidRDefault="00E0782F">
      <w:pPr>
        <w:divId w:val="584924783"/>
        <w:rPr>
          <w:rFonts w:eastAsia="Times New Roman"/>
        </w:rPr>
      </w:pPr>
      <w:r>
        <w:rPr>
          <w:rFonts w:eastAsia="Times New Roman"/>
          <w:b/>
          <w:bCs/>
          <w:color w:val="000000"/>
          <w:sz w:val="20"/>
          <w:szCs w:val="20"/>
        </w:rPr>
        <w:t xml:space="preserve">Item 14. Principal Accountant Fees and Services </w:t>
      </w:r>
    </w:p>
    <w:p w:rsidR="00000000" w:rsidRDefault="00E0782F">
      <w:pPr>
        <w:jc w:val="both"/>
        <w:divId w:val="930242546"/>
        <w:rPr>
          <w:rFonts w:eastAsia="Times New Roman"/>
        </w:rPr>
      </w:pPr>
      <w:r>
        <w:rPr>
          <w:rFonts w:eastAsia="Times New Roman"/>
          <w:color w:val="000000"/>
          <w:sz w:val="20"/>
          <w:szCs w:val="20"/>
        </w:rPr>
        <w:t xml:space="preserve">The information required by Item 14 will be included in the Proxy Statement under the heading “Ratification of Selection of </w:t>
      </w:r>
      <w:r>
        <w:rPr>
          <w:rFonts w:eastAsia="Times New Roman"/>
          <w:color w:val="000000"/>
          <w:sz w:val="20"/>
          <w:szCs w:val="20"/>
        </w:rPr>
        <w:t>Independent Registered Public Accounting Firm,” and is incorporated herein by reference.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358773058"/>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358773058"/>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358773058"/>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215</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1" style="width:0;height:1.5pt" o:hralign="center" o:hrstd="t" o:hr="t" fillcolor="#a0a0a0" stroked="f"/>
        </w:pict>
      </w:r>
    </w:p>
    <w:p w:rsidR="00000000" w:rsidRDefault="00E0782F">
      <w:pPr>
        <w:jc w:val="both"/>
        <w:divId w:val="471749465"/>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337738752"/>
        <w:rPr>
          <w:rFonts w:eastAsia="Times New Roman"/>
        </w:rPr>
      </w:pPr>
      <w:r>
        <w:rPr>
          <w:rFonts w:eastAsia="Times New Roman"/>
          <w:b/>
          <w:bCs/>
          <w:color w:val="000000"/>
          <w:sz w:val="20"/>
          <w:szCs w:val="20"/>
        </w:rPr>
        <w:t xml:space="preserve">PART IV </w:t>
      </w:r>
    </w:p>
    <w:p w:rsidR="00000000" w:rsidRDefault="00E0782F">
      <w:pPr>
        <w:divId w:val="1266838614"/>
        <w:rPr>
          <w:rFonts w:eastAsia="Times New Roman"/>
        </w:rPr>
      </w:pPr>
      <w:r>
        <w:rPr>
          <w:rFonts w:eastAsia="Times New Roman"/>
          <w:b/>
          <w:bCs/>
          <w:color w:val="000000"/>
          <w:sz w:val="20"/>
          <w:szCs w:val="20"/>
        </w:rPr>
        <w:t xml:space="preserve">Item 15. Exhibits, Financial Statement Schedules </w:t>
      </w:r>
    </w:p>
    <w:p w:rsidR="00000000" w:rsidRDefault="00E0782F">
      <w:pPr>
        <w:jc w:val="both"/>
        <w:divId w:val="1049719684"/>
        <w:rPr>
          <w:rFonts w:eastAsia="Times New Roman"/>
        </w:rPr>
      </w:pPr>
      <w:r>
        <w:rPr>
          <w:rFonts w:eastAsia="Times New Roman"/>
          <w:b/>
          <w:bCs/>
          <w:color w:val="000000"/>
          <w:sz w:val="20"/>
          <w:szCs w:val="20"/>
        </w:rPr>
        <w:t xml:space="preserve">(a) Financial Statement Schedules </w:t>
      </w:r>
    </w:p>
    <w:p w:rsidR="00000000" w:rsidRDefault="00E0782F">
      <w:pPr>
        <w:jc w:val="both"/>
        <w:divId w:val="1141457023"/>
        <w:rPr>
          <w:rFonts w:eastAsia="Times New Roman"/>
        </w:rPr>
      </w:pPr>
      <w:r>
        <w:rPr>
          <w:rFonts w:eastAsia="Times New Roman"/>
          <w:color w:val="000000"/>
          <w:sz w:val="20"/>
          <w:szCs w:val="20"/>
        </w:rPr>
        <w:t xml:space="preserve">The following documents are filed as part of this </w:t>
      </w:r>
      <w:r>
        <w:rPr>
          <w:rFonts w:eastAsia="Times New Roman"/>
          <w:color w:val="000000"/>
          <w:sz w:val="20"/>
          <w:szCs w:val="20"/>
        </w:rPr>
        <w:t xml:space="preserve">Annual Report in Part II, Item 8 and are incorporated herein by reference. </w:t>
      </w:r>
    </w:p>
    <w:p w:rsidR="00000000" w:rsidRDefault="00E0782F">
      <w:pPr>
        <w:jc w:val="both"/>
        <w:divId w:val="1418209833"/>
        <w:rPr>
          <w:rFonts w:eastAsia="Times New Roman"/>
        </w:rPr>
      </w:pPr>
      <w:r>
        <w:rPr>
          <w:rFonts w:eastAsia="Times New Roman"/>
          <w:color w:val="000000"/>
          <w:sz w:val="20"/>
          <w:szCs w:val="20"/>
        </w:rPr>
        <w:t>(1) Management’s Report on Internal Control Over Financial Reporting</w:t>
      </w:r>
    </w:p>
    <w:p w:rsidR="00000000" w:rsidRDefault="00E0782F">
      <w:pPr>
        <w:jc w:val="both"/>
        <w:divId w:val="223175387"/>
        <w:rPr>
          <w:rFonts w:eastAsia="Times New Roman"/>
        </w:rPr>
      </w:pPr>
      <w:r>
        <w:rPr>
          <w:rFonts w:eastAsia="Times New Roman"/>
          <w:color w:val="000000"/>
          <w:sz w:val="20"/>
          <w:szCs w:val="20"/>
        </w:rPr>
        <w:t>Report of Independent Registered Public Accounting Firm on Internal Control Over Financial Reporting</w:t>
      </w:r>
    </w:p>
    <w:p w:rsidR="00000000" w:rsidRDefault="00E0782F">
      <w:pPr>
        <w:jc w:val="both"/>
        <w:divId w:val="305280961"/>
        <w:rPr>
          <w:rFonts w:eastAsia="Times New Roman"/>
        </w:rPr>
      </w:pPr>
      <w:r>
        <w:rPr>
          <w:rFonts w:eastAsia="Times New Roman"/>
          <w:color w:val="000000"/>
          <w:sz w:val="20"/>
          <w:szCs w:val="20"/>
        </w:rPr>
        <w:t>Report of Independent Registered Public Accounting Firm on the Consolidated Financial Statements</w:t>
      </w:r>
    </w:p>
    <w:p w:rsidR="00000000" w:rsidRDefault="00E0782F">
      <w:pPr>
        <w:jc w:val="both"/>
        <w:divId w:val="1869488274"/>
        <w:rPr>
          <w:rFonts w:eastAsia="Times New Roman"/>
        </w:rPr>
      </w:pPr>
      <w:r>
        <w:rPr>
          <w:rFonts w:eastAsia="Times New Roman"/>
          <w:color w:val="000000"/>
          <w:sz w:val="20"/>
          <w:szCs w:val="20"/>
        </w:rPr>
        <w:t xml:space="preserve">Consolidated Financial Statements: </w:t>
      </w:r>
    </w:p>
    <w:p w:rsidR="00000000" w:rsidRDefault="00E0782F">
      <w:pPr>
        <w:jc w:val="both"/>
        <w:divId w:val="411243324"/>
        <w:rPr>
          <w:rFonts w:eastAsia="Times New Roman"/>
        </w:rPr>
      </w:pPr>
      <w:r>
        <w:rPr>
          <w:rFonts w:eastAsia="Times New Roman"/>
          <w:color w:val="000000"/>
          <w:sz w:val="20"/>
          <w:szCs w:val="20"/>
        </w:rPr>
        <w:t>Consolidated Statements of Income for the years ended December 31, 2020, 2019 and 2018</w:t>
      </w:r>
    </w:p>
    <w:p w:rsidR="00000000" w:rsidRDefault="00E0782F">
      <w:pPr>
        <w:jc w:val="both"/>
        <w:divId w:val="1982804297"/>
        <w:rPr>
          <w:rFonts w:eastAsia="Times New Roman"/>
        </w:rPr>
      </w:pPr>
      <w:r>
        <w:rPr>
          <w:rFonts w:eastAsia="Times New Roman"/>
          <w:color w:val="000000"/>
          <w:sz w:val="20"/>
          <w:szCs w:val="20"/>
        </w:rPr>
        <w:t>Consolidated Statements of Comprehensive Income for the years ended December 31, 2020, 2019 and 2018</w:t>
      </w:r>
    </w:p>
    <w:p w:rsidR="00000000" w:rsidRDefault="00E0782F">
      <w:pPr>
        <w:jc w:val="both"/>
        <w:divId w:val="1449547272"/>
        <w:rPr>
          <w:rFonts w:eastAsia="Times New Roman"/>
        </w:rPr>
      </w:pPr>
      <w:r>
        <w:rPr>
          <w:rFonts w:eastAsia="Times New Roman"/>
          <w:color w:val="000000"/>
          <w:sz w:val="20"/>
          <w:szCs w:val="20"/>
        </w:rPr>
        <w:t xml:space="preserve">Consolidated Balance Sheets as of December 31, 2020 and 2019 </w:t>
      </w:r>
    </w:p>
    <w:p w:rsidR="00000000" w:rsidRDefault="00E0782F">
      <w:pPr>
        <w:jc w:val="both"/>
        <w:divId w:val="155613296"/>
        <w:rPr>
          <w:rFonts w:eastAsia="Times New Roman"/>
        </w:rPr>
      </w:pPr>
      <w:r>
        <w:rPr>
          <w:rFonts w:eastAsia="Times New Roman"/>
          <w:color w:val="000000"/>
          <w:sz w:val="20"/>
          <w:szCs w:val="20"/>
        </w:rPr>
        <w:t>Consolidated Statements of Changes in Stockholders’ Equity for the years ended December 31, 2</w:t>
      </w:r>
      <w:r>
        <w:rPr>
          <w:rFonts w:eastAsia="Times New Roman"/>
          <w:color w:val="000000"/>
          <w:sz w:val="20"/>
          <w:szCs w:val="20"/>
        </w:rPr>
        <w:t xml:space="preserve">020, 2019 and 2018 </w:t>
      </w:r>
    </w:p>
    <w:p w:rsidR="00000000" w:rsidRDefault="00E0782F">
      <w:pPr>
        <w:jc w:val="both"/>
        <w:divId w:val="513375009"/>
        <w:rPr>
          <w:rFonts w:eastAsia="Times New Roman"/>
        </w:rPr>
      </w:pPr>
      <w:r>
        <w:rPr>
          <w:rFonts w:eastAsia="Times New Roman"/>
          <w:color w:val="000000"/>
          <w:sz w:val="20"/>
          <w:szCs w:val="20"/>
        </w:rPr>
        <w:t>Consolidated Statements of Cash Flows for the years ended December 31, 2020, 2019 and 2018</w:t>
      </w:r>
    </w:p>
    <w:p w:rsidR="00000000" w:rsidRDefault="00E0782F">
      <w:pPr>
        <w:jc w:val="both"/>
        <w:divId w:val="1501963383"/>
        <w:rPr>
          <w:rFonts w:eastAsia="Times New Roman"/>
        </w:rPr>
      </w:pPr>
      <w:r>
        <w:rPr>
          <w:rFonts w:eastAsia="Times New Roman"/>
          <w:color w:val="000000"/>
          <w:sz w:val="20"/>
          <w:szCs w:val="20"/>
        </w:rPr>
        <w:t xml:space="preserve">Notes to Consolidated Financial Statements </w:t>
      </w:r>
    </w:p>
    <w:p w:rsidR="00000000" w:rsidRDefault="00E0782F">
      <w:pPr>
        <w:jc w:val="both"/>
        <w:divId w:val="70583630"/>
        <w:rPr>
          <w:rFonts w:eastAsia="Times New Roman"/>
        </w:rPr>
      </w:pPr>
      <w:r>
        <w:rPr>
          <w:rFonts w:eastAsia="Times New Roman"/>
          <w:color w:val="000000"/>
          <w:sz w:val="20"/>
          <w:szCs w:val="20"/>
        </w:rPr>
        <w:t>(2) Schedules</w:t>
      </w:r>
    </w:p>
    <w:p w:rsidR="00000000" w:rsidRDefault="00E0782F">
      <w:pPr>
        <w:jc w:val="both"/>
        <w:divId w:val="30156871"/>
        <w:rPr>
          <w:rFonts w:eastAsia="Times New Roman"/>
        </w:rPr>
      </w:pPr>
      <w:r>
        <w:rPr>
          <w:rFonts w:eastAsia="Times New Roman"/>
          <w:color w:val="000000"/>
          <w:sz w:val="20"/>
          <w:szCs w:val="20"/>
        </w:rPr>
        <w:t>None.</w:t>
      </w:r>
    </w:p>
    <w:p w:rsidR="00000000" w:rsidRDefault="00E0782F">
      <w:pPr>
        <w:jc w:val="both"/>
        <w:divId w:val="1177577786"/>
        <w:rPr>
          <w:rFonts w:eastAsia="Times New Roman"/>
        </w:rPr>
      </w:pPr>
      <w:r>
        <w:rPr>
          <w:rFonts w:eastAsia="Times New Roman"/>
          <w:b/>
          <w:bCs/>
          <w:color w:val="000000"/>
          <w:sz w:val="20"/>
          <w:szCs w:val="20"/>
        </w:rPr>
        <w:t xml:space="preserve">(b) Exhibits </w:t>
      </w:r>
    </w:p>
    <w:p w:rsidR="00000000" w:rsidRDefault="00E0782F">
      <w:pPr>
        <w:jc w:val="both"/>
        <w:divId w:val="2021464452"/>
        <w:rPr>
          <w:rFonts w:eastAsia="Times New Roman"/>
        </w:rPr>
      </w:pPr>
      <w:r>
        <w:rPr>
          <w:rFonts w:eastAsia="Times New Roman"/>
          <w:color w:val="000000"/>
          <w:sz w:val="20"/>
          <w:szCs w:val="20"/>
        </w:rPr>
        <w:t>An index to exhibits has been filed as part of this Report and is i</w:t>
      </w:r>
      <w:r>
        <w:rPr>
          <w:rFonts w:eastAsia="Times New Roman"/>
          <w:color w:val="000000"/>
          <w:sz w:val="20"/>
          <w:szCs w:val="20"/>
        </w:rPr>
        <w:t>ncorporated herein by reference.</w:t>
      </w:r>
    </w:p>
    <w:p w:rsidR="00000000" w:rsidRDefault="00E0782F">
      <w:pPr>
        <w:divId w:val="1980190398"/>
        <w:rPr>
          <w:rFonts w:eastAsia="Times New Roman"/>
        </w:rPr>
      </w:pPr>
      <w:r>
        <w:rPr>
          <w:rFonts w:eastAsia="Times New Roman"/>
          <w:b/>
          <w:bCs/>
          <w:color w:val="000000"/>
          <w:sz w:val="20"/>
          <w:szCs w:val="20"/>
        </w:rPr>
        <w:t xml:space="preserve">Item 16. Form 10-K Summary </w:t>
      </w:r>
    </w:p>
    <w:p w:rsidR="00000000" w:rsidRDefault="00E0782F">
      <w:pPr>
        <w:jc w:val="both"/>
        <w:divId w:val="1570798913"/>
        <w:rPr>
          <w:rFonts w:eastAsia="Times New Roman"/>
        </w:rPr>
      </w:pPr>
      <w:r>
        <w:rPr>
          <w:rFonts w:eastAsia="Times New Roman"/>
          <w:color w:val="000000"/>
          <w:sz w:val="20"/>
          <w:szCs w:val="20"/>
        </w:rPr>
        <w:t>Not applicable.</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1468469529"/>
          <w:jc w:val="center"/>
        </w:trPr>
        <w:tc>
          <w:tcPr>
            <w:tcW w:w="50" w:type="pct"/>
            <w:vAlign w:val="center"/>
            <w:hideMark/>
          </w:tcPr>
          <w:p w:rsidR="00000000" w:rsidRDefault="00E0782F">
            <w:pPr>
              <w:jc w:val="both"/>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1468469529"/>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1468469529"/>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216</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2" style="width:0;height:1.5pt" o:hralign="center" o:hrstd="t" o:hr="t" fillcolor="#a0a0a0" stroked="f"/>
        </w:pict>
      </w:r>
    </w:p>
    <w:p w:rsidR="00000000" w:rsidRDefault="00E0782F">
      <w:pPr>
        <w:jc w:val="both"/>
        <w:divId w:val="1981031230"/>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rPr>
          <w:rFonts w:eastAsia="Times New Roman"/>
        </w:rPr>
      </w:pPr>
      <w:r>
        <w:rPr>
          <w:rFonts w:eastAsia="Times New Roman"/>
          <w:b/>
          <w:bCs/>
          <w:color w:val="000000"/>
          <w:sz w:val="20"/>
          <w:szCs w:val="20"/>
        </w:rPr>
        <w:t>CAPITAL ONE FINANCIAL CORPORATION</w:t>
      </w:r>
    </w:p>
    <w:p w:rsidR="00000000" w:rsidRDefault="00E0782F">
      <w:pPr>
        <w:jc w:val="center"/>
        <w:rPr>
          <w:rFonts w:eastAsia="Times New Roman"/>
        </w:rPr>
      </w:pPr>
    </w:p>
    <w:p w:rsidR="00000000" w:rsidRDefault="00E0782F">
      <w:pPr>
        <w:jc w:val="center"/>
        <w:rPr>
          <w:rFonts w:eastAsia="Times New Roman"/>
        </w:rPr>
      </w:pPr>
      <w:r>
        <w:rPr>
          <w:rFonts w:eastAsia="Times New Roman"/>
          <w:b/>
          <w:bCs/>
          <w:color w:val="000000"/>
          <w:sz w:val="20"/>
          <w:szCs w:val="20"/>
        </w:rPr>
        <w:t>ANNUAL REPORT ON FORM 10-K</w:t>
      </w:r>
    </w:p>
    <w:p w:rsidR="00000000" w:rsidRDefault="00E0782F">
      <w:pPr>
        <w:jc w:val="center"/>
        <w:rPr>
          <w:rFonts w:eastAsia="Times New Roman"/>
        </w:rPr>
      </w:pPr>
      <w:r>
        <w:rPr>
          <w:rFonts w:eastAsia="Times New Roman"/>
          <w:b/>
          <w:bCs/>
          <w:color w:val="000000"/>
          <w:sz w:val="20"/>
          <w:szCs w:val="20"/>
        </w:rPr>
        <w:t>DATED DECEMBER 31, 2020</w:t>
      </w:r>
    </w:p>
    <w:p w:rsidR="00000000" w:rsidRDefault="00E0782F">
      <w:pPr>
        <w:jc w:val="center"/>
        <w:rPr>
          <w:rFonts w:eastAsia="Times New Roman"/>
        </w:rPr>
      </w:pPr>
      <w:r>
        <w:rPr>
          <w:rFonts w:eastAsia="Times New Roman"/>
          <w:b/>
          <w:bCs/>
          <w:color w:val="000000"/>
          <w:sz w:val="20"/>
          <w:szCs w:val="20"/>
        </w:rPr>
        <w:t>Commission File No. 001-13300</w:t>
      </w:r>
    </w:p>
    <w:p w:rsidR="00000000" w:rsidRDefault="00E0782F">
      <w:pPr>
        <w:jc w:val="both"/>
        <w:divId w:val="1284842110"/>
        <w:rPr>
          <w:rFonts w:eastAsia="Times New Roman"/>
        </w:rPr>
      </w:pPr>
      <w:r>
        <w:rPr>
          <w:rFonts w:eastAsia="Times New Roman"/>
          <w:color w:val="000000"/>
          <w:sz w:val="20"/>
          <w:szCs w:val="20"/>
        </w:rPr>
        <w:t xml:space="preserve">The following exhibits are </w:t>
      </w:r>
      <w:r>
        <w:rPr>
          <w:rFonts w:eastAsia="Times New Roman"/>
          <w:color w:val="000000"/>
          <w:sz w:val="20"/>
          <w:szCs w:val="20"/>
        </w:rPr>
        <w:t xml:space="preserve">incorporated by reference or filed herewith. References to (i) the “2002 Form 10-K” are to the Company’s Annual Report on Form 10-K for the year ended December 31, 2002, filed on March 17, 2003; (ii) the “2003 Form 10-K” are to the Company’s Annual Report </w:t>
      </w:r>
      <w:r>
        <w:rPr>
          <w:rFonts w:eastAsia="Times New Roman"/>
          <w:color w:val="000000"/>
          <w:sz w:val="20"/>
          <w:szCs w:val="20"/>
        </w:rPr>
        <w:t xml:space="preserve">on Form 10-K for the year ended December 31, 2003, filed on March 5, 2004; (iii) the “2010 Form 10-K” are to the Company’s Annual Report on Form 10-K for the year ended December 31, 2010, filed on March 1, 2011, as amended on March 7, 2011; (iv) the “2011 </w:t>
      </w:r>
      <w:r>
        <w:rPr>
          <w:rFonts w:eastAsia="Times New Roman"/>
          <w:color w:val="000000"/>
          <w:sz w:val="20"/>
          <w:szCs w:val="20"/>
        </w:rPr>
        <w:t>Form 10-K” are to the Company’s Annual Report on Form 10-K for the year ended December 31, 2011, filed on February 28, 2012; (v) the “2012 Form 10-K” are to the Company’s Annual Report on Form 10-K for the year ended December 31, 2012, filed on February 28</w:t>
      </w:r>
      <w:r>
        <w:rPr>
          <w:rFonts w:eastAsia="Times New Roman"/>
          <w:color w:val="000000"/>
          <w:sz w:val="20"/>
          <w:szCs w:val="20"/>
        </w:rPr>
        <w:t>, 2013; (vi) the “2013 Form 10-K” are to the Company’s Annual Report on Form 10-K for the year ended December 31, 2013, filed on February 27, 2014; (vii) the “2014 Form 10-K” are to the Company’s Annual Report on Form 10-K for the year ended December 31, 2</w:t>
      </w:r>
      <w:r>
        <w:rPr>
          <w:rFonts w:eastAsia="Times New Roman"/>
          <w:color w:val="000000"/>
          <w:sz w:val="20"/>
          <w:szCs w:val="20"/>
        </w:rPr>
        <w:t>014, filed on February 24, 2015; (viii) the “2015 Form 10-K” are to the Company’s Annual Report on Form 10-K for the year ended December 31, 2015, filed on February 25, 2016; (ix) the “2016 Form 10-K” are to the Company’s Annual Report on Form 10-K for the</w:t>
      </w:r>
      <w:r>
        <w:rPr>
          <w:rFonts w:eastAsia="Times New Roman"/>
          <w:color w:val="000000"/>
          <w:sz w:val="20"/>
          <w:szCs w:val="20"/>
        </w:rPr>
        <w:t xml:space="preserve"> year ended December 31, 2016, filed on February 23, 2017; (x) the “2017 Form 10-K” are to the Company’s Annual Report on Form 10-K for the year ended December 31, 2017, filed on February 21, 2018; (xi) the “2018 Form 10-K” are to the Company’s Annual Repo</w:t>
      </w:r>
      <w:r>
        <w:rPr>
          <w:rFonts w:eastAsia="Times New Roman"/>
          <w:color w:val="000000"/>
          <w:sz w:val="20"/>
          <w:szCs w:val="20"/>
        </w:rPr>
        <w:t>rt on Form 10-K for the year ended December 31, 2018, filed on February 20, 2019; and (xii) the “2019 Form 10-K” are to the Company’s Annual Report on Form 10-K for the year ended December 31, 2019, filed on February 20,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819"/>
        <w:gridCol w:w="36"/>
        <w:gridCol w:w="36"/>
        <w:gridCol w:w="36"/>
        <w:gridCol w:w="36"/>
        <w:gridCol w:w="40"/>
        <w:gridCol w:w="7172"/>
        <w:gridCol w:w="38"/>
      </w:tblGrid>
      <w:tr w:rsidR="00000000">
        <w:trPr>
          <w:divId w:val="171266601"/>
          <w:jc w:val="center"/>
        </w:trPr>
        <w:tc>
          <w:tcPr>
            <w:tcW w:w="50" w:type="pct"/>
            <w:vAlign w:val="center"/>
            <w:hideMark/>
          </w:tcPr>
          <w:p w:rsidR="00000000" w:rsidRDefault="00E0782F">
            <w:pPr>
              <w:jc w:val="both"/>
              <w:rPr>
                <w:rFonts w:eastAsia="Times New Roman"/>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1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71266601"/>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8"/>
                <w:szCs w:val="18"/>
              </w:rPr>
              <w:t>Exhibit No.</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b/>
                <w:bCs/>
                <w:color w:val="000000"/>
                <w:sz w:val="18"/>
                <w:szCs w:val="18"/>
              </w:rPr>
              <w:t>Description</w:t>
            </w:r>
          </w:p>
        </w:tc>
      </w:tr>
      <w:tr w:rsidR="00000000">
        <w:trPr>
          <w:divId w:val="171266601"/>
          <w:jc w:val="center"/>
        </w:trPr>
        <w:tc>
          <w:tcPr>
            <w:tcW w:w="0" w:type="auto"/>
            <w:gridSpan w:val="3"/>
            <w:tcBorders>
              <w:top w:val="single" w:sz="8" w:space="0" w:color="000000"/>
            </w:tcBorders>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E0782F">
            <w:pPr>
              <w:jc w:val="both"/>
              <w:rPr>
                <w:rFonts w:eastAsia="Times New Roman"/>
              </w:rPr>
            </w:pPr>
            <w:hyperlink r:id="rId5" w:history="1">
              <w:r>
                <w:rPr>
                  <w:rStyle w:val="a3"/>
                  <w:rFonts w:eastAsia="Times New Roman"/>
                  <w:sz w:val="18"/>
                  <w:szCs w:val="18"/>
                </w:rPr>
                <w:t xml:space="preserve">Restated Certificate of Incorporation of Capital One Financial Corporation (as restated May 1, </w:t>
              </w:r>
            </w:hyperlink>
            <w:hyperlink r:id="rId6" w:history="1">
              <w:r>
                <w:rPr>
                  <w:rStyle w:val="a3"/>
                  <w:rFonts w:eastAsia="Times New Roman"/>
                  <w:sz w:val="18"/>
                  <w:szCs w:val="18"/>
                </w:rPr>
                <w:t>2020) (incorporated by reference to Exhibit 3.2 of t</w:t>
              </w:r>
              <w:r>
                <w:rPr>
                  <w:rStyle w:val="a3"/>
                  <w:rFonts w:eastAsia="Times New Roman"/>
                  <w:sz w:val="18"/>
                  <w:szCs w:val="18"/>
                </w:rPr>
                <w:t>he Current Report on Form 8-K, filed on May 4, 2020).</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7" w:history="1">
              <w:r>
                <w:rPr>
                  <w:rStyle w:val="a3"/>
                  <w:rFonts w:eastAsia="Times New Roman"/>
                  <w:sz w:val="18"/>
                  <w:szCs w:val="18"/>
                </w:rPr>
                <w:t>Amended and Restated Bylaws of Capital One Financial Corporation, dated May 1, 20</w:t>
              </w:r>
              <w:r>
                <w:rPr>
                  <w:rStyle w:val="a3"/>
                  <w:rFonts w:eastAsia="Times New Roman"/>
                  <w:sz w:val="18"/>
                  <w:szCs w:val="18"/>
                </w:rPr>
                <w:t>20 (incorporated by reference to Exhibit 3.3 of the Current Report on Form 8-K, filed on May 4, 2020).</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8" w:history="1">
              <w:r>
                <w:rPr>
                  <w:rStyle w:val="a3"/>
                  <w:rFonts w:eastAsia="Times New Roman"/>
                  <w:sz w:val="18"/>
                  <w:szCs w:val="18"/>
                </w:rPr>
                <w:t>Certificate of Designations of Fixed-to-Floating Rate Non-Cumulative Perpetual Preferred Stock, Series E, dated May 12, 2015 (incorporated by reference to Ex</w:t>
              </w:r>
              <w:r>
                <w:rPr>
                  <w:rStyle w:val="a3"/>
                  <w:rFonts w:eastAsia="Times New Roman"/>
                  <w:sz w:val="18"/>
                  <w:szCs w:val="18"/>
                </w:rPr>
                <w:t>hibit 3.1 of the Current Report on Form 8-K, filed on May 14, 2015).</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3.3.2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9" w:history="1">
              <w:r>
                <w:rPr>
                  <w:rStyle w:val="a3"/>
                  <w:rFonts w:eastAsia="Times New Roman"/>
                  <w:sz w:val="18"/>
                  <w:szCs w:val="18"/>
                </w:rPr>
                <w:t>Certificate of Designations of Fixed Rate Non-Cumulative Perpetual Preferr</w:t>
              </w:r>
              <w:r>
                <w:rPr>
                  <w:rStyle w:val="a3"/>
                  <w:rFonts w:eastAsia="Times New Roman"/>
                  <w:sz w:val="18"/>
                  <w:szCs w:val="18"/>
                </w:rPr>
                <w:t>ed Stock, Series G, dated July 28, 2016 (incorporated by reference to Exhibit 3.1 of the Current Report on Form 8-K, filed on July 29, 2016).</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3.3.3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0" w:history="1">
              <w:r>
                <w:rPr>
                  <w:rStyle w:val="a3"/>
                  <w:rFonts w:eastAsia="Times New Roman"/>
                  <w:sz w:val="18"/>
                  <w:szCs w:val="18"/>
                </w:rPr>
                <w:t>C</w:t>
              </w:r>
              <w:r>
                <w:rPr>
                  <w:rStyle w:val="a3"/>
                  <w:rFonts w:eastAsia="Times New Roman"/>
                  <w:sz w:val="18"/>
                  <w:szCs w:val="18"/>
                </w:rPr>
                <w:t>ertificate of Designations of Fixed Rate Non-Cumulative Perpetual Preferred Stock, Series H, dated November 28, 2016 (incorporated by reference to Exhibit 3.1 of the Current Report on Form 8-K, filed on November 29, 2016).</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3.3.4</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1" w:history="1">
              <w:r>
                <w:rPr>
                  <w:rStyle w:val="a3"/>
                  <w:rFonts w:eastAsia="Times New Roman"/>
                  <w:sz w:val="18"/>
                  <w:szCs w:val="18"/>
                </w:rPr>
                <w:t xml:space="preserve">Certificate of Designations of Fixed Rate Non-Cumulative Perpetual Preferred Stock, Series I, dated September 10, 2019 (incorporated by reference to Exhibit </w:t>
              </w:r>
              <w:r>
                <w:rPr>
                  <w:rStyle w:val="a3"/>
                  <w:rFonts w:eastAsia="Times New Roman"/>
                  <w:sz w:val="18"/>
                  <w:szCs w:val="18"/>
                </w:rPr>
                <w:t>3.1 of the Current Report on Form 8-K, filed on September 11, 2019).</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3.3.5</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2" w:history="1">
              <w:r>
                <w:rPr>
                  <w:rStyle w:val="a3"/>
                  <w:rFonts w:eastAsia="Times New Roman"/>
                  <w:sz w:val="18"/>
                  <w:szCs w:val="18"/>
                </w:rPr>
                <w:t>Certificate of Designations of Fixed Rate Non-Cumulative Perpetual Preferred Stock, Series J, dated January 30, 2020 (incorporated by reference to Exhibit 3.1 of the Current Report on Form 8-K, filed on January 31, 2020).</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3.3.6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3" w:history="1">
              <w:r>
                <w:rPr>
                  <w:rStyle w:val="a3"/>
                  <w:rFonts w:eastAsia="Times New Roman"/>
                  <w:sz w:val="18"/>
                  <w:szCs w:val="18"/>
                </w:rPr>
                <w:t>Certificate of Designations of Fixed Rate Non-Cumulative Perpetual Preferred Stock, Series K, dated September 16, 2020 (incorporated by reference to Exhibit 3</w:t>
              </w:r>
              <w:r>
                <w:rPr>
                  <w:rStyle w:val="a3"/>
                  <w:rFonts w:eastAsia="Times New Roman"/>
                  <w:sz w:val="18"/>
                  <w:szCs w:val="18"/>
                </w:rPr>
                <w:t>.1 of the Current Report on Form 8-K, filed on September 17, 2020).</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4.1.1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4" w:history="1">
              <w:r>
                <w:rPr>
                  <w:rStyle w:val="a3"/>
                  <w:rFonts w:eastAsia="Times New Roman"/>
                  <w:sz w:val="18"/>
                  <w:szCs w:val="18"/>
                </w:rPr>
                <w:t>Specimen certificate representing the common stock of Capital One Financial Corpor</w:t>
              </w:r>
              <w:r>
                <w:rPr>
                  <w:rStyle w:val="a3"/>
                  <w:rFonts w:eastAsia="Times New Roman"/>
                  <w:sz w:val="18"/>
                  <w:szCs w:val="18"/>
                </w:rPr>
                <w:t>ation (incorporated by reference to Exhibit 4.1 of the 2003 Form 10-K).</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4.1.2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5" w:history="1">
              <w:r>
                <w:rPr>
                  <w:rStyle w:val="a3"/>
                  <w:rFonts w:eastAsia="Times New Roman"/>
                  <w:sz w:val="18"/>
                  <w:szCs w:val="18"/>
                </w:rPr>
                <w:t>Warrant Agreement, dated December 3, 2009, between Capital One Financial Corpo</w:t>
              </w:r>
              <w:r>
                <w:rPr>
                  <w:rStyle w:val="a3"/>
                  <w:rFonts w:eastAsia="Times New Roman"/>
                  <w:sz w:val="18"/>
                  <w:szCs w:val="18"/>
                </w:rPr>
                <w:t>ration and Computershare Trust Company, N.A. (incorporated by reference to the Exhibit 4.1 of the Form 8-A, filed on December 4, 2009).</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4.1.3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6" w:history="1">
              <w:r>
                <w:rPr>
                  <w:rStyle w:val="a3"/>
                  <w:rFonts w:eastAsia="Times New Roman"/>
                  <w:sz w:val="18"/>
                  <w:szCs w:val="18"/>
                </w:rPr>
                <w:t>Deposit Agreement, dated August 20, 2012 (incorporated by reference to Exhibit 4.1 of the Current Report on Form 8-K, filed on August 20, 2012).</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4.2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color w:val="000000"/>
                <w:sz w:val="18"/>
                <w:szCs w:val="18"/>
              </w:rPr>
              <w:t>Pursuant to Item 601(b)(4)(iii)(A) of Regulation S-K, copies of instruments defining the rights of holders of long-term debt are not filed. The Company agrees to furnish a copy thereof to the SEC upon request.</w:t>
            </w:r>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4.3*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7" w:history="1">
              <w:r>
                <w:rPr>
                  <w:rStyle w:val="a3"/>
                  <w:rFonts w:eastAsia="Times New Roman"/>
                  <w:sz w:val="18"/>
                  <w:szCs w:val="18"/>
                </w:rPr>
                <w:t>Description of Securities Registered Under Section 12 of the Exchange Act.</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E0782F">
            <w:pPr>
              <w:jc w:val="both"/>
              <w:rPr>
                <w:rFonts w:eastAsia="Times New Roman"/>
              </w:rPr>
            </w:pPr>
            <w:hyperlink r:id="rId18" w:history="1">
              <w:r>
                <w:rPr>
                  <w:rStyle w:val="a3"/>
                  <w:rFonts w:eastAsia="Times New Roman"/>
                  <w:sz w:val="18"/>
                  <w:szCs w:val="18"/>
                </w:rPr>
                <w:t xml:space="preserve">Second Amended and </w:t>
              </w:r>
              <w:r>
                <w:rPr>
                  <w:rStyle w:val="a3"/>
                  <w:rFonts w:eastAsia="Times New Roman"/>
                  <w:sz w:val="18"/>
                  <w:szCs w:val="18"/>
                </w:rPr>
                <w:t>Restated 2004 Stock Incentive Plan (incorporated by reference to the Proxy Statement on Definitive Schedule 14A, filed on March 13, 2009).</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hideMark/>
          </w:tcPr>
          <w:p w:rsidR="00000000" w:rsidRDefault="00E0782F">
            <w:pPr>
              <w:jc w:val="both"/>
              <w:rPr>
                <w:rFonts w:eastAsia="Times New Roman"/>
              </w:rPr>
            </w:pPr>
            <w:hyperlink r:id="rId19" w:history="1">
              <w:r>
                <w:rPr>
                  <w:rStyle w:val="a3"/>
                  <w:rFonts w:eastAsia="Times New Roman"/>
                  <w:sz w:val="18"/>
                  <w:szCs w:val="18"/>
                </w:rPr>
                <w:t>Third Amended and Restated 2004 Stock Incentive Plan (incorporated by reference to the Proxy Statement on Definitive Schedule 14A, filed on March 18, 2014).</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hideMark/>
          </w:tcPr>
          <w:p w:rsidR="00000000" w:rsidRDefault="00E0782F">
            <w:pPr>
              <w:jc w:val="both"/>
              <w:rPr>
                <w:rFonts w:eastAsia="Times New Roman"/>
              </w:rPr>
            </w:pPr>
            <w:hyperlink r:id="rId20" w:history="1">
              <w:r>
                <w:rPr>
                  <w:rStyle w:val="a3"/>
                  <w:rFonts w:eastAsia="Times New Roman"/>
                  <w:sz w:val="18"/>
                  <w:szCs w:val="18"/>
                </w:rPr>
                <w:t>Fourth Amended and Restated 2004 Stock Incentive Plan (incorporated by reference to Exhibit 10.1.4 of the 2017 Form 10-K).</w:t>
              </w:r>
            </w:hyperlink>
          </w:p>
        </w:tc>
      </w:tr>
      <w:tr w:rsidR="00000000">
        <w:trPr>
          <w:divId w:val="171266601"/>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10.1.4+</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hideMark/>
          </w:tcPr>
          <w:p w:rsidR="00000000" w:rsidRDefault="00E0782F">
            <w:pPr>
              <w:jc w:val="both"/>
              <w:rPr>
                <w:rFonts w:eastAsia="Times New Roman"/>
              </w:rPr>
            </w:pPr>
            <w:hyperlink r:id="rId21" w:history="1">
              <w:r>
                <w:rPr>
                  <w:rStyle w:val="a3"/>
                  <w:rFonts w:eastAsia="Times New Roman"/>
                  <w:sz w:val="18"/>
                  <w:szCs w:val="18"/>
                </w:rPr>
                <w:t>Fifth Amended and Restated 2004 Stock Incentive Plan (incorporated by reference to Exhibit 10.1 of the Current Report on Form 8-K, filed on May 3, 2019).</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217</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3" style="width:0;height:1.5pt" o:hralign="center" o:hrstd="t" o:hr="t" fillcolor="#a0a0a0" stroked="f"/>
        </w:pict>
      </w:r>
    </w:p>
    <w:p w:rsidR="00000000" w:rsidRDefault="00E0782F">
      <w:pPr>
        <w:jc w:val="both"/>
        <w:divId w:val="366180038"/>
        <w:rPr>
          <w:rFonts w:eastAsia="Times New Roman"/>
        </w:rPr>
      </w:pPr>
      <w:hyperlink w:anchor="i3af66512804646fcaf1b19a0aea6f320_7"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819"/>
        <w:gridCol w:w="36"/>
        <w:gridCol w:w="36"/>
        <w:gridCol w:w="36"/>
        <w:gridCol w:w="36"/>
        <w:gridCol w:w="38"/>
        <w:gridCol w:w="7176"/>
        <w:gridCol w:w="36"/>
      </w:tblGrid>
      <w:tr w:rsidR="00000000">
        <w:trPr>
          <w:divId w:val="1678192063"/>
          <w:jc w:val="center"/>
        </w:trPr>
        <w:tc>
          <w:tcPr>
            <w:tcW w:w="50" w:type="pct"/>
            <w:vAlign w:val="center"/>
            <w:hideMark/>
          </w:tcPr>
          <w:p w:rsidR="00000000" w:rsidRDefault="00E0782F">
            <w:pPr>
              <w:jc w:val="both"/>
              <w:rPr>
                <w:rFonts w:eastAsia="Times New Roman"/>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1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678192063"/>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8"/>
                <w:szCs w:val="18"/>
              </w:rPr>
              <w:t>Exhibit No.</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b/>
                <w:bCs/>
                <w:color w:val="000000"/>
                <w:sz w:val="18"/>
                <w:szCs w:val="18"/>
              </w:rPr>
              <w:t>Description</w:t>
            </w:r>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2" w:history="1">
              <w:r>
                <w:rPr>
                  <w:rStyle w:val="a3"/>
                  <w:rFonts w:eastAsia="Times New Roman"/>
                  <w:sz w:val="18"/>
                  <w:szCs w:val="18"/>
                </w:rPr>
                <w:t xml:space="preserve">Form of Nonstatutory Stock Option Award Agreement granted to our executive officers, including the Chief Executive Officer, under the Second Amended and Restated </w:t>
              </w:r>
              <w:r>
                <w:rPr>
                  <w:rStyle w:val="a3"/>
                  <w:rFonts w:eastAsia="Times New Roman"/>
                  <w:sz w:val="18"/>
                  <w:szCs w:val="18"/>
                </w:rPr>
                <w:t>2004 Stock Incentive Plan on January 26, 2011 (incorporated by reference to Exhibit 10.18 of the 2010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3" w:history="1">
              <w:r>
                <w:rPr>
                  <w:rStyle w:val="a3"/>
                  <w:rFonts w:eastAsia="Times New Roman"/>
                  <w:sz w:val="18"/>
                  <w:szCs w:val="18"/>
                </w:rPr>
                <w:t xml:space="preserve">Form of Nonstatutory Stock Option Award Agreements granted to our executive officers, including the Chief Executive Officer, under the Second Amended and </w:t>
              </w:r>
              <w:r>
                <w:rPr>
                  <w:rStyle w:val="a3"/>
                  <w:rFonts w:eastAsia="Times New Roman"/>
                  <w:sz w:val="18"/>
                  <w:szCs w:val="18"/>
                </w:rPr>
                <w:t>Restated 2004 Stock Incentive Plan on January 31, 2012 (incorporated by reference to Exhibit 10.2.10 of the 2011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4" w:history="1">
              <w:r>
                <w:rPr>
                  <w:rStyle w:val="a3"/>
                  <w:rFonts w:eastAsia="Times New Roman"/>
                  <w:sz w:val="18"/>
                  <w:szCs w:val="18"/>
                </w:rPr>
                <w:t>Form of Perfo</w:t>
              </w:r>
              <w:r>
                <w:rPr>
                  <w:rStyle w:val="a3"/>
                  <w:rFonts w:eastAsia="Times New Roman"/>
                  <w:sz w:val="18"/>
                  <w:szCs w:val="18"/>
                </w:rPr>
                <w:t>rmance Unit Award Agreements granted to our executive officers, including the Chief Executive Officer, under the Second Amended and Restated 2004 Stock Incentive Plan on January 31, 2012 (incorporated by reference to Exhibit 10.2.11 of the 2011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10.2.4+</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5" w:history="1">
              <w:r>
                <w:rPr>
                  <w:rStyle w:val="a3"/>
                  <w:rFonts w:eastAsia="Times New Roman"/>
                  <w:sz w:val="18"/>
                  <w:szCs w:val="18"/>
                </w:rPr>
                <w:t>Form of Nonstatutory Stock Option Award Agreements granted to our executive officers, including the Chief Executive Officer, under the Second Amended and Restated 2004 Stock Incentive Plan on January 31, 2013 (incorporated by reference to Exhibit 10.2.14 o</w:t>
              </w:r>
              <w:r>
                <w:rPr>
                  <w:rStyle w:val="a3"/>
                  <w:rFonts w:eastAsia="Times New Roman"/>
                  <w:sz w:val="18"/>
                  <w:szCs w:val="18"/>
                </w:rPr>
                <w:t>f the 2012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10.2.5+</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6" w:history="1">
              <w:r>
                <w:rPr>
                  <w:rStyle w:val="a3"/>
                  <w:rFonts w:eastAsia="Times New Roman"/>
                  <w:sz w:val="18"/>
                  <w:szCs w:val="18"/>
                </w:rPr>
                <w:t>Form of Performance Unit Award Agreements granted to our executive officers, including the Chief Executive Officer,</w:t>
              </w:r>
              <w:r>
                <w:rPr>
                  <w:rStyle w:val="a3"/>
                  <w:rFonts w:eastAsia="Times New Roman"/>
                  <w:sz w:val="18"/>
                  <w:szCs w:val="18"/>
                </w:rPr>
                <w:t xml:space="preserve"> under the Second Amended and Restated 2004 Stock Incentive Plan on January 31, 2013 (incorporated by reference to Exhibit 10.2.15 of the 2012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7" w:history="1">
              <w:r>
                <w:rPr>
                  <w:rStyle w:val="a3"/>
                  <w:rFonts w:eastAsia="Times New Roman"/>
                  <w:sz w:val="18"/>
                  <w:szCs w:val="18"/>
                </w:rPr>
                <w:t xml:space="preserve">Form of Nonstatutory Stock Option Award Agreements granted to our executive officers, including the Chief Executive Officer, under the Second Amended and Restated 2004 Stock Incentive Plan on January 30, 2014 (incorporated by reference to </w:t>
              </w:r>
              <w:r>
                <w:rPr>
                  <w:rStyle w:val="a3"/>
                  <w:rFonts w:eastAsia="Times New Roman"/>
                  <w:sz w:val="18"/>
                  <w:szCs w:val="18"/>
                </w:rPr>
                <w:t>Exhibit 10.2.15 of the 2013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10.2.7+</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8" w:history="1">
              <w:r>
                <w:rPr>
                  <w:rStyle w:val="a3"/>
                  <w:rFonts w:eastAsia="Times New Roman"/>
                  <w:sz w:val="18"/>
                  <w:szCs w:val="18"/>
                </w:rPr>
                <w:t>Form of Performance Unit Award Agreements granted to our executive officers, including the Chief Executive Officer, under the Second Amended and Restated 2004 Stock Incentive Plan on January 30, 2014 (incorporated by reference to Exhibit 10.2.16 of the 201</w:t>
              </w:r>
              <w:r>
                <w:rPr>
                  <w:rStyle w:val="a3"/>
                  <w:rFonts w:eastAsia="Times New Roman"/>
                  <w:sz w:val="18"/>
                  <w:szCs w:val="18"/>
                </w:rPr>
                <w:t>3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29" w:history="1">
              <w:r>
                <w:rPr>
                  <w:rStyle w:val="a3"/>
                  <w:rFonts w:eastAsia="Times New Roman"/>
                  <w:sz w:val="18"/>
                  <w:szCs w:val="18"/>
                </w:rPr>
                <w:t>Form of Restricted Stock Unit Award Agreements granted to our executive officers, including the Chief Executive Officer, under the Second Amended and Restated 2004 Stock Incentive Plan on January 30, 2014 (incorporated by reference to Exhibit 10.2.17 of th</w:t>
              </w:r>
              <w:r>
                <w:rPr>
                  <w:rStyle w:val="a3"/>
                  <w:rFonts w:eastAsia="Times New Roman"/>
                  <w:sz w:val="18"/>
                  <w:szCs w:val="18"/>
                </w:rPr>
                <w:t>e 2013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0" w:history="1">
              <w:r>
                <w:rPr>
                  <w:rStyle w:val="a3"/>
                  <w:rFonts w:eastAsia="Times New Roman"/>
                  <w:sz w:val="18"/>
                  <w:szCs w:val="18"/>
                </w:rPr>
                <w:t>Form of Nonstatutory Stock Option Award Agreements granted to our executive officers, including the Chief Executive Officer, under the Third Amended and Restated 2004 Stock Incentive Plan on January 29, 2015 (incorporated by reference to Exhibit 10.2.14 of</w:t>
              </w:r>
              <w:r>
                <w:rPr>
                  <w:rStyle w:val="a3"/>
                  <w:rFonts w:eastAsia="Times New Roman"/>
                  <w:sz w:val="18"/>
                  <w:szCs w:val="18"/>
                </w:rPr>
                <w:t xml:space="preserve"> the 2014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1" w:history="1">
              <w:r>
                <w:rPr>
                  <w:rStyle w:val="a3"/>
                  <w:rFonts w:eastAsia="Times New Roman"/>
                  <w:sz w:val="18"/>
                  <w:szCs w:val="18"/>
                </w:rPr>
                <w:t>Form of Performance Unit Award Agreements granted to our executive officers, including the Chief Executiv</w:t>
              </w:r>
              <w:r>
                <w:rPr>
                  <w:rStyle w:val="a3"/>
                  <w:rFonts w:eastAsia="Times New Roman"/>
                  <w:sz w:val="18"/>
                  <w:szCs w:val="18"/>
                </w:rPr>
                <w:t>e Officer, under the Third Amended and Restated 2004 Stock Incentive Plan on January 29, 2015 (incorporated by reference to Exhibit 10.2.15 of the 2014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2" w:history="1">
              <w:r>
                <w:rPr>
                  <w:rStyle w:val="a3"/>
                  <w:rFonts w:eastAsia="Times New Roman"/>
                  <w:sz w:val="18"/>
                  <w:szCs w:val="18"/>
                </w:rPr>
                <w:t>Form of Restricted Stock Unit Award Agreements granted to our executive officers, including the Chief Executive Officer, under the Third Amended</w:t>
              </w:r>
              <w:r>
                <w:rPr>
                  <w:rStyle w:val="a3"/>
                  <w:rFonts w:eastAsia="Times New Roman"/>
                  <w:sz w:val="18"/>
                  <w:szCs w:val="18"/>
                </w:rPr>
                <w:t xml:space="preserve"> and Restated 2004 Stock Incentive Plan on January 29, 2015 (incorporated by reference to Exhibit 10.2.16 of the 2014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3" w:history="1">
              <w:r>
                <w:rPr>
                  <w:rStyle w:val="a3"/>
                  <w:rFonts w:eastAsia="Times New Roman"/>
                  <w:sz w:val="18"/>
                  <w:szCs w:val="18"/>
                </w:rPr>
                <w:t>Form of Nonstatutory Stock Option Award Agreements granted to our executive officers, including the Chief Executive Officer, under the Third Amended and Restated 2004 Stock Incentive Plan on February 4, 2016 (incorporated by reference to Exhibit 10.2.17</w:t>
              </w:r>
              <w:r>
                <w:rPr>
                  <w:rStyle w:val="a3"/>
                  <w:rFonts w:eastAsia="Times New Roman"/>
                  <w:sz w:val="18"/>
                  <w:szCs w:val="18"/>
                </w:rPr>
                <w:t xml:space="preserve"> of the 2015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4" w:history="1">
              <w:r>
                <w:rPr>
                  <w:rStyle w:val="a3"/>
                  <w:rFonts w:eastAsia="Times New Roman"/>
                  <w:sz w:val="18"/>
                  <w:szCs w:val="18"/>
                </w:rPr>
                <w:t>Form of Performance Unit Award Agreements granted to our executive officers, including the Chief Execu</w:t>
              </w:r>
              <w:r>
                <w:rPr>
                  <w:rStyle w:val="a3"/>
                  <w:rFonts w:eastAsia="Times New Roman"/>
                  <w:sz w:val="18"/>
                  <w:szCs w:val="18"/>
                </w:rPr>
                <w:t>tive Officer, under the Third Amended and Restated 2004 Stock Incentive Plan on February 4, 2016 (incorporated by reference to Exhibit 10.2.18 of the 2015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10.2.14+</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5" w:history="1">
              <w:r>
                <w:rPr>
                  <w:rStyle w:val="a3"/>
                  <w:rFonts w:eastAsia="Times New Roman"/>
                  <w:sz w:val="18"/>
                  <w:szCs w:val="18"/>
                </w:rPr>
                <w:t>Form of Restricted Stock Unit Award Agreements granted to our executive officers, including the Chief Executive Officer, under the Third Amended</w:t>
              </w:r>
              <w:r>
                <w:rPr>
                  <w:rStyle w:val="a3"/>
                  <w:rFonts w:eastAsia="Times New Roman"/>
                  <w:sz w:val="18"/>
                  <w:szCs w:val="18"/>
                </w:rPr>
                <w:t xml:space="preserve"> and Restated 2004 Stock Incentive Plan on February 4, 2016 (incorporated by reference to Exhibit 10.2.19 of the 2015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10.2.15+</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6" w:history="1">
              <w:r>
                <w:rPr>
                  <w:rStyle w:val="a3"/>
                  <w:rFonts w:eastAsia="Times New Roman"/>
                  <w:sz w:val="18"/>
                  <w:szCs w:val="18"/>
                </w:rPr>
                <w:t>Restricted Stock Unit Award Agreement granted to R. Scott Blackley under the Third Amended and Restated 2004 Stock Incentive Plan, dated May 9, 2016 (incorporated by reference to Exhibit 10.2 of the Quarterly Report on Form 10-Q for the period ended June 3</w:t>
              </w:r>
              <w:r>
                <w:rPr>
                  <w:rStyle w:val="a3"/>
                  <w:rFonts w:eastAsia="Times New Roman"/>
                  <w:sz w:val="18"/>
                  <w:szCs w:val="18"/>
                </w:rPr>
                <w:t>0, 2016).</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7" w:history="1">
              <w:r>
                <w:rPr>
                  <w:rStyle w:val="a3"/>
                  <w:rFonts w:eastAsia="Times New Roman"/>
                  <w:sz w:val="18"/>
                  <w:szCs w:val="18"/>
                </w:rPr>
                <w:t>Form of Nonstatutory Stock Option Award Agreements granted to our executive officers, including the Chief Executive Officer, under the Third Amended and Restated 2004 Stock Incentive Plan on February 2, 2017 (incorporated by reference to Exhibit 10.2.19 of</w:t>
              </w:r>
              <w:r>
                <w:rPr>
                  <w:rStyle w:val="a3"/>
                  <w:rFonts w:eastAsia="Times New Roman"/>
                  <w:sz w:val="18"/>
                  <w:szCs w:val="18"/>
                </w:rPr>
                <w:t xml:space="preserve"> the 2016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10.2.17+</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8" w:history="1">
              <w:r>
                <w:rPr>
                  <w:rStyle w:val="a3"/>
                  <w:rFonts w:eastAsia="Times New Roman"/>
                  <w:sz w:val="18"/>
                  <w:szCs w:val="18"/>
                </w:rPr>
                <w:t>Form of Performance Unit Award Agreements granted to our executive officers, including the Chief Executive</w:t>
              </w:r>
              <w:r>
                <w:rPr>
                  <w:rStyle w:val="a3"/>
                  <w:rFonts w:eastAsia="Times New Roman"/>
                  <w:sz w:val="18"/>
                  <w:szCs w:val="18"/>
                </w:rPr>
                <w:t xml:space="preserve"> Officer, under the Third Amended and Restated 2004 Stock Incentive Plan on February 2, 2017 (incorporated by reference to Exhibit 10.2.20 of the 2016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10.2.18+</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39" w:history="1">
              <w:r>
                <w:rPr>
                  <w:rStyle w:val="a3"/>
                  <w:rFonts w:eastAsia="Times New Roman"/>
                  <w:sz w:val="18"/>
                  <w:szCs w:val="18"/>
                </w:rPr>
                <w:t xml:space="preserve">Form of Restricted Stock Unit Award Agreements granted to our executive officers, including the Chief Executive Officer, under the Third Amended and Restated 2004 Stock Incentive Plan on February 2, 2017 (incorporated by </w:t>
              </w:r>
              <w:r>
                <w:rPr>
                  <w:rStyle w:val="a3"/>
                  <w:rFonts w:eastAsia="Times New Roman"/>
                  <w:sz w:val="18"/>
                  <w:szCs w:val="18"/>
                </w:rPr>
                <w:t>reference to Exhibit 10.2.21 of the 2016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10.2.19+</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0" w:history="1">
              <w:r>
                <w:rPr>
                  <w:rStyle w:val="a3"/>
                  <w:rFonts w:eastAsia="Times New Roman"/>
                  <w:sz w:val="18"/>
                  <w:szCs w:val="18"/>
                </w:rPr>
                <w:t xml:space="preserve">Form of Performance Unit Award Agreements granted to our executive officers, including the Chief Executive Officer, under the Fourth Amended and </w:t>
              </w:r>
              <w:r>
                <w:rPr>
                  <w:rStyle w:val="a3"/>
                  <w:rFonts w:eastAsia="Times New Roman"/>
                  <w:sz w:val="18"/>
                  <w:szCs w:val="18"/>
                </w:rPr>
                <w:t>Restated 2004 Stock Incentive Plan on February 1, 2018 (incorporated by reference to Exhibit 10.2.22 of the 2017 Form 10-K).</w:t>
              </w:r>
            </w:hyperlink>
          </w:p>
        </w:tc>
      </w:tr>
      <w:tr w:rsidR="00000000">
        <w:trPr>
          <w:divId w:val="1678192063"/>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10.2.20+</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1" w:history="1">
              <w:r>
                <w:rPr>
                  <w:rStyle w:val="a3"/>
                  <w:rFonts w:eastAsia="Times New Roman"/>
                  <w:sz w:val="18"/>
                  <w:szCs w:val="18"/>
                </w:rPr>
                <w:t>For</w:t>
              </w:r>
              <w:r>
                <w:rPr>
                  <w:rStyle w:val="a3"/>
                  <w:rFonts w:eastAsia="Times New Roman"/>
                  <w:sz w:val="18"/>
                  <w:szCs w:val="18"/>
                </w:rPr>
                <w:t>m of Restricted Stock Unit Award Agreements granted to our executive officers, including the Chief Executive Officer, under the Fourth Amended and Restated 2004 Stock Incentive Plan on February 1, 2018 (incorporated by reference to Exhibit 10.2.23 of the 2</w:t>
              </w:r>
              <w:r>
                <w:rPr>
                  <w:rStyle w:val="a3"/>
                  <w:rFonts w:eastAsia="Times New Roman"/>
                  <w:sz w:val="18"/>
                  <w:szCs w:val="18"/>
                </w:rPr>
                <w:t xml:space="preserve">017 Form 10-K). </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218</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4" style="width:0;height:1.5pt" o:hralign="center" o:hrstd="t" o:hr="t" fillcolor="#a0a0a0" stroked="f"/>
        </w:pict>
      </w:r>
    </w:p>
    <w:p w:rsidR="00000000" w:rsidRDefault="00E0782F">
      <w:pPr>
        <w:jc w:val="both"/>
        <w:divId w:val="1162699541"/>
        <w:rPr>
          <w:rFonts w:eastAsia="Times New Roman"/>
        </w:rPr>
      </w:pPr>
      <w:hyperlink w:anchor="i3af66512804646fcaf1b19a0aea6f320_7"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819"/>
        <w:gridCol w:w="36"/>
        <w:gridCol w:w="36"/>
        <w:gridCol w:w="36"/>
        <w:gridCol w:w="36"/>
        <w:gridCol w:w="39"/>
        <w:gridCol w:w="7174"/>
        <w:gridCol w:w="37"/>
      </w:tblGrid>
      <w:tr w:rsidR="00000000">
        <w:trPr>
          <w:divId w:val="1592817994"/>
          <w:jc w:val="center"/>
        </w:trPr>
        <w:tc>
          <w:tcPr>
            <w:tcW w:w="50" w:type="pct"/>
            <w:vAlign w:val="center"/>
            <w:hideMark/>
          </w:tcPr>
          <w:p w:rsidR="00000000" w:rsidRDefault="00E0782F">
            <w:pPr>
              <w:jc w:val="both"/>
              <w:rPr>
                <w:rFonts w:eastAsia="Times New Roman"/>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1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592817994"/>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8"/>
                <w:szCs w:val="18"/>
              </w:rPr>
              <w:t>Exhibit No.</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b/>
                <w:bCs/>
                <w:color w:val="000000"/>
                <w:sz w:val="18"/>
                <w:szCs w:val="18"/>
              </w:rPr>
              <w:t>Description</w:t>
            </w:r>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2" w:history="1">
              <w:r>
                <w:rPr>
                  <w:rStyle w:val="a3"/>
                  <w:rFonts w:eastAsia="Times New Roman"/>
                  <w:sz w:val="18"/>
                  <w:szCs w:val="18"/>
                </w:rPr>
                <w:t>Form of Performance Unit Award Agreements granted to our executive officers under the Fourth Amended and Restated 2004 Stock Incentive Plan on Ja</w:t>
              </w:r>
              <w:r>
                <w:rPr>
                  <w:rStyle w:val="a3"/>
                  <w:rFonts w:eastAsia="Times New Roman"/>
                  <w:sz w:val="18"/>
                  <w:szCs w:val="18"/>
                </w:rPr>
                <w:t>nuary 31, 2019 (incorporated by reference to Exhibit 10.2.21 of the 2018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3" w:history="1">
              <w:r>
                <w:rPr>
                  <w:rStyle w:val="a3"/>
                  <w:rFonts w:eastAsia="Times New Roman"/>
                  <w:sz w:val="18"/>
                  <w:szCs w:val="18"/>
                </w:rPr>
                <w:t>Form of Restricted Stock Unit Award Agreeme</w:t>
              </w:r>
              <w:r>
                <w:rPr>
                  <w:rStyle w:val="a3"/>
                  <w:rFonts w:eastAsia="Times New Roman"/>
                  <w:sz w:val="18"/>
                  <w:szCs w:val="18"/>
                </w:rPr>
                <w:t>nts granted to our executive officers, including the Chief Executive Officer, under the Fourth Amended and Restated 2004 Stock Incentive Plan on January 31, 2019 (incorporated by reference to Exhibit 10.2.22 of the 2018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4" w:history="1">
              <w:r>
                <w:rPr>
                  <w:rStyle w:val="a3"/>
                  <w:rFonts w:eastAsia="Times New Roman"/>
                  <w:sz w:val="18"/>
                  <w:szCs w:val="18"/>
                </w:rPr>
                <w:t>Form of Performance Unit Award Agreements granted to our executive officers, including the Chief Executive Officer, under the Fifth Amended and R</w:t>
              </w:r>
              <w:r>
                <w:rPr>
                  <w:rStyle w:val="a3"/>
                  <w:rFonts w:eastAsia="Times New Roman"/>
                  <w:sz w:val="18"/>
                  <w:szCs w:val="18"/>
                </w:rPr>
                <w:t>estated 2004 Stock Incentive Plan on January 30, 2020 (incorporated by reference to Exhibit 10.2.23 of the 2019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10.2.24+</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5" w:history="1">
              <w:r>
                <w:rPr>
                  <w:rStyle w:val="a3"/>
                  <w:rFonts w:eastAsia="Times New Roman"/>
                  <w:sz w:val="18"/>
                  <w:szCs w:val="18"/>
                </w:rPr>
                <w:t>Form</w:t>
              </w:r>
              <w:r>
                <w:rPr>
                  <w:rStyle w:val="a3"/>
                  <w:rFonts w:eastAsia="Times New Roman"/>
                  <w:sz w:val="18"/>
                  <w:szCs w:val="18"/>
                </w:rPr>
                <w:t xml:space="preserve"> of Restricted Stock Unit Award Agreements granted to our executive officers, including the Chief Executive Officer, under the Fifth Amended and Restated 2004 Stock Incentive Plan on January 30, 2020 (incorporated by reference to Exhibit 10.2.24 of the 201</w:t>
              </w:r>
              <w:r>
                <w:rPr>
                  <w:rStyle w:val="a3"/>
                  <w:rFonts w:eastAsia="Times New Roman"/>
                  <w:sz w:val="18"/>
                  <w:szCs w:val="18"/>
                </w:rPr>
                <w:t>9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10.2.25+*</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6" w:history="1">
              <w:r>
                <w:rPr>
                  <w:rStyle w:val="a3"/>
                  <w:rFonts w:eastAsia="Times New Roman"/>
                  <w:sz w:val="18"/>
                  <w:szCs w:val="18"/>
                </w:rPr>
                <w:t>Form of Performance Unit Award Agreements granted to our executive officers, including the Chief Executive Officer, under the Fifth Amended and Restated 2004 Stock Incentive Plan on February 4, 2021.</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10.2.26+*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7" w:history="1">
              <w:r>
                <w:rPr>
                  <w:rStyle w:val="a3"/>
                  <w:rFonts w:eastAsia="Times New Roman"/>
                  <w:sz w:val="18"/>
                  <w:szCs w:val="18"/>
                </w:rPr>
                <w:t>Form of Restricted Stock Unit Award Agreements granted to our executive officers, including the Chief Executive Officer, under the Fifth Amended and Restated 2004 Stock Incentive Plan on February 4, 2021.</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w:t>
            </w:r>
            <w:r>
              <w:rPr>
                <w:rFonts w:eastAsia="Times New Roman"/>
                <w:color w:val="000000"/>
                <w:sz w:val="18"/>
                <w:szCs w:val="18"/>
              </w:rPr>
              <w:t>2.27+*</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48" w:history="1">
              <w:r>
                <w:rPr>
                  <w:rStyle w:val="a3"/>
                  <w:rFonts w:eastAsia="Times New Roman"/>
                  <w:sz w:val="18"/>
                  <w:szCs w:val="18"/>
                </w:rPr>
                <w:t>Form of</w:t>
              </w:r>
            </w:hyperlink>
            <w:hyperlink r:id="rId49" w:history="1">
              <w:r>
                <w:rPr>
                  <w:rStyle w:val="a3"/>
                  <w:rFonts w:eastAsia="Times New Roman"/>
                  <w:sz w:val="18"/>
                  <w:szCs w:val="18"/>
                </w:rPr>
                <w:t xml:space="preserve"> </w:t>
              </w:r>
            </w:hyperlink>
            <w:hyperlink r:id="rId50" w:history="1">
              <w:r>
                <w:rPr>
                  <w:rStyle w:val="a3"/>
                  <w:rFonts w:eastAsia="Times New Roman"/>
                  <w:sz w:val="18"/>
                  <w:szCs w:val="18"/>
                </w:rPr>
                <w:t>Total Share</w:t>
              </w:r>
            </w:hyperlink>
            <w:hyperlink r:id="rId51" w:history="1">
              <w:r>
                <w:rPr>
                  <w:rStyle w:val="a3"/>
                  <w:rFonts w:eastAsia="Times New Roman"/>
                  <w:sz w:val="18"/>
                  <w:szCs w:val="18"/>
                </w:rPr>
                <w:t>holder</w:t>
              </w:r>
            </w:hyperlink>
            <w:hyperlink r:id="rId52" w:history="1">
              <w:r>
                <w:rPr>
                  <w:rStyle w:val="a3"/>
                  <w:rFonts w:eastAsia="Times New Roman"/>
                  <w:sz w:val="18"/>
                  <w:szCs w:val="18"/>
                </w:rPr>
                <w:t xml:space="preserve"> </w:t>
              </w:r>
            </w:hyperlink>
            <w:hyperlink r:id="rId53" w:history="1">
              <w:r>
                <w:rPr>
                  <w:rStyle w:val="a3"/>
                  <w:rFonts w:eastAsia="Times New Roman"/>
                  <w:sz w:val="18"/>
                  <w:szCs w:val="18"/>
                </w:rPr>
                <w:t>Return</w:t>
              </w:r>
            </w:hyperlink>
            <w:hyperlink r:id="rId54" w:history="1">
              <w:r>
                <w:rPr>
                  <w:rStyle w:val="a3"/>
                  <w:rFonts w:eastAsia="Times New Roman"/>
                  <w:sz w:val="18"/>
                  <w:szCs w:val="18"/>
                </w:rPr>
                <w:t xml:space="preserve"> Performance Unit Award Agreement granted to our Chief Executive Officer under the Fifth Amended and Restated 2004 Stock Incentive Plan on February 4, 20</w:t>
              </w:r>
              <w:r>
                <w:rPr>
                  <w:rStyle w:val="a3"/>
                  <w:rFonts w:eastAsia="Times New Roman"/>
                  <w:sz w:val="18"/>
                  <w:szCs w:val="18"/>
                </w:rPr>
                <w:t>21.</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10.3.1+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55" w:history="1">
              <w:r>
                <w:rPr>
                  <w:rStyle w:val="a3"/>
                  <w:rFonts w:eastAsia="Times New Roman"/>
                  <w:sz w:val="18"/>
                  <w:szCs w:val="18"/>
                </w:rPr>
                <w:t>Capital One Financial Corporation 1999 Non-Employee Directors Stock Incentive Plan, as amended (incorporated by reference to Exhibit 10.4 of the 2002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10.3.2+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56" w:history="1">
              <w:r>
                <w:rPr>
                  <w:rStyle w:val="a3"/>
                  <w:rFonts w:eastAsia="Times New Roman"/>
                  <w:sz w:val="18"/>
                  <w:szCs w:val="18"/>
                </w:rPr>
                <w:t>Form of 1999 Non-Employee Directors Stock Incentive Plan Deferred Share Units Award Agreement between Capital One Financial Corporation and certain of its Directors (incorporated by reference to Exhibit 10.3 of the Quarterly Report on Form 1</w:t>
              </w:r>
              <w:r>
                <w:rPr>
                  <w:rStyle w:val="a3"/>
                  <w:rFonts w:eastAsia="Times New Roman"/>
                  <w:sz w:val="18"/>
                  <w:szCs w:val="18"/>
                </w:rPr>
                <w:t>0-Q for the period ended September 30, 2004).</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10.3.3+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57" w:history="1">
              <w:r>
                <w:rPr>
                  <w:rStyle w:val="a3"/>
                  <w:rFonts w:eastAsia="Times New Roman"/>
                  <w:sz w:val="18"/>
                  <w:szCs w:val="18"/>
                </w:rPr>
                <w:t>Form of Restricted Stock Unit Award Agreement granted to our directors under the Second Amended and Restated 2004 Stock Incentive Plan (incorporated by reference to Exhibit 10.3.4 of the 2011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10.3.4+</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58" w:history="1">
              <w:r>
                <w:rPr>
                  <w:rStyle w:val="a3"/>
                  <w:rFonts w:eastAsia="Times New Roman"/>
                  <w:sz w:val="18"/>
                  <w:szCs w:val="18"/>
                </w:rPr>
                <w:t>Form of Stock Option Award Agreement granted to our directors under the Second Amended and Restated 2004 Stock Incentive Plan (incorporated by reference to Exhibit 10.3.5 of the 2011 Form 10-</w:t>
              </w:r>
              <w:r>
                <w:rPr>
                  <w:rStyle w:val="a3"/>
                  <w:rFonts w:eastAsia="Times New Roman"/>
                  <w:sz w:val="18"/>
                  <w:szCs w:val="18"/>
                </w:rPr>
                <w:t>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10.3.5+</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59" w:history="1">
              <w:r>
                <w:rPr>
                  <w:rStyle w:val="a3"/>
                  <w:rFonts w:eastAsia="Times New Roman"/>
                  <w:sz w:val="18"/>
                  <w:szCs w:val="18"/>
                </w:rPr>
                <w:t>Form of Restricted Stock Unit Award Agreement granted to our directors under the Fourth Amended and Restated 2004 Stock Incenti</w:t>
              </w:r>
              <w:r>
                <w:rPr>
                  <w:rStyle w:val="a3"/>
                  <w:rFonts w:eastAsia="Times New Roman"/>
                  <w:sz w:val="18"/>
                  <w:szCs w:val="18"/>
                </w:rPr>
                <w:t>ve Plan (incorporated by reference to Exhibit 10.1 of the Quarterly Report on Form 10-Q for the period ended June 30, 2018).</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10.3.6+</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0" w:history="1">
              <w:r>
                <w:rPr>
                  <w:rStyle w:val="a3"/>
                  <w:rFonts w:eastAsia="Times New Roman"/>
                  <w:sz w:val="18"/>
                  <w:szCs w:val="18"/>
                </w:rPr>
                <w:t>Form of Restricted Stock Unit Award Agreement granted to our directors under the Fifth Amended and Restated 2004 Stock Incentive Plan (incorporated</w:t>
              </w:r>
              <w:r>
                <w:rPr>
                  <w:rStyle w:val="a3"/>
                  <w:rFonts w:eastAsia="Times New Roman"/>
                  <w:sz w:val="18"/>
                  <w:szCs w:val="18"/>
                </w:rPr>
                <w:t xml:space="preserve"> by reference to Exhibit 10.2 of the Quarterly Report on Form 10-Q for the period ended June 30, 2019).</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10.4.1+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1" w:history="1">
              <w:r>
                <w:rPr>
                  <w:rStyle w:val="a3"/>
                  <w:rFonts w:eastAsia="Times New Roman"/>
                  <w:sz w:val="18"/>
                  <w:szCs w:val="18"/>
                </w:rPr>
                <w:t>Amended and Restated Capital One Fin</w:t>
              </w:r>
              <w:r>
                <w:rPr>
                  <w:rStyle w:val="a3"/>
                  <w:rFonts w:eastAsia="Times New Roman"/>
                  <w:sz w:val="18"/>
                  <w:szCs w:val="18"/>
                </w:rPr>
                <w:t>ancial Corporation Executive Severance Plan (incorporated by reference to Exhibit 10.4 of the 2011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10.4.2+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2" w:history="1">
              <w:r>
                <w:rPr>
                  <w:rStyle w:val="a3"/>
                  <w:rFonts w:eastAsia="Times New Roman"/>
                  <w:sz w:val="18"/>
                  <w:szCs w:val="18"/>
                </w:rPr>
                <w:t xml:space="preserve">Amended and Restated Capital One Financial Corporation Executive Severance Plan (incorporated by reference to Exhibit 10.1 of the Quarterly Report </w:t>
              </w:r>
              <w:r>
                <w:rPr>
                  <w:rStyle w:val="a3"/>
                  <w:rFonts w:eastAsia="Times New Roman"/>
                  <w:sz w:val="18"/>
                  <w:szCs w:val="18"/>
                </w:rPr>
                <w:t>on Form 10-Q for the period ended September 30, 2015).</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10.5+</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3" w:history="1">
              <w:r>
                <w:rPr>
                  <w:rStyle w:val="a3"/>
                  <w:rFonts w:eastAsia="Times New Roman"/>
                  <w:sz w:val="18"/>
                  <w:szCs w:val="18"/>
                </w:rPr>
                <w:t>Capital One Financial Corporation Non-Employee Directors Deferred Compensation Plan (in</w:t>
              </w:r>
              <w:r>
                <w:rPr>
                  <w:rStyle w:val="a3"/>
                  <w:rFonts w:eastAsia="Times New Roman"/>
                  <w:sz w:val="18"/>
                  <w:szCs w:val="18"/>
                </w:rPr>
                <w:t>corporated by reference to Exhibit 10.5 of the 2011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10.6.1+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4" w:history="1">
              <w:r>
                <w:rPr>
                  <w:rStyle w:val="a3"/>
                  <w:rFonts w:eastAsia="Times New Roman"/>
                  <w:sz w:val="18"/>
                  <w:szCs w:val="18"/>
                </w:rPr>
                <w:t>Amended and Restated Capital One Financial Corporation Voluntary Non-Qualifi</w:t>
              </w:r>
              <w:r>
                <w:rPr>
                  <w:rStyle w:val="a3"/>
                  <w:rFonts w:eastAsia="Times New Roman"/>
                  <w:sz w:val="18"/>
                  <w:szCs w:val="18"/>
                </w:rPr>
                <w:t>ed Deferred Compensation Plan (incorporated by reference to Exhibit 10.6 of the 2011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10.6.2+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5" w:history="1">
              <w:r>
                <w:rPr>
                  <w:rStyle w:val="a3"/>
                  <w:rFonts w:eastAsia="Times New Roman"/>
                  <w:sz w:val="18"/>
                  <w:szCs w:val="18"/>
                </w:rPr>
                <w:t>First Amendment to the Amended and Restated Capital One Financial Corporation Voluntary Non-Qualified Deferred Compensation Plan (incorporated by reference</w:t>
              </w:r>
              <w:r>
                <w:rPr>
                  <w:rStyle w:val="a3"/>
                  <w:rFonts w:eastAsia="Times New Roman"/>
                  <w:sz w:val="18"/>
                  <w:szCs w:val="18"/>
                </w:rPr>
                <w:t xml:space="preserve"> to Exhibit 10.6.2 of the 2012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10.7.1+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6" w:history="1">
              <w:r>
                <w:rPr>
                  <w:rStyle w:val="a3"/>
                  <w:rFonts w:eastAsia="Times New Roman"/>
                  <w:sz w:val="18"/>
                  <w:szCs w:val="18"/>
                </w:rPr>
                <w:t>Form of Change of Control Employment Agreement between Capital One Financial Corporation and eac</w:t>
              </w:r>
              <w:r>
                <w:rPr>
                  <w:rStyle w:val="a3"/>
                  <w:rFonts w:eastAsia="Times New Roman"/>
                  <w:sz w:val="18"/>
                  <w:szCs w:val="18"/>
                </w:rPr>
                <w:t>h of its named executive officers, other than the Chief Executive Officer (incorporated by reference to Exhibit 10.8.2 of the 2011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10.7.2+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7" w:history="1">
              <w:r>
                <w:rPr>
                  <w:rStyle w:val="a3"/>
                  <w:rFonts w:eastAsia="Times New Roman"/>
                  <w:sz w:val="18"/>
                  <w:szCs w:val="18"/>
                </w:rPr>
                <w:t xml:space="preserve">Form of 2011 Change of Control Employment Agreement between Capital One Financial Corporation and certain executive officers (incorporated by reference to </w:t>
              </w:r>
              <w:r>
                <w:rPr>
                  <w:rStyle w:val="a3"/>
                  <w:rFonts w:eastAsia="Times New Roman"/>
                  <w:sz w:val="18"/>
                  <w:szCs w:val="18"/>
                </w:rPr>
                <w:t>Exhibit 10.8.3 of the 2012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10.7.3+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8" w:history="1">
              <w:r>
                <w:rPr>
                  <w:rStyle w:val="a3"/>
                  <w:rFonts w:eastAsia="Times New Roman"/>
                  <w:sz w:val="18"/>
                  <w:szCs w:val="18"/>
                </w:rPr>
                <w:t>Change of Control Employment Agreement between Capital One Financial Corporation and Richard D. Fair</w:t>
              </w:r>
              <w:r>
                <w:rPr>
                  <w:rStyle w:val="a3"/>
                  <w:rFonts w:eastAsia="Times New Roman"/>
                  <w:sz w:val="18"/>
                  <w:szCs w:val="18"/>
                </w:rPr>
                <w:t>bank (incorporated by reference to Exhibit 10.7.3 of the 2013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10.8.1+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69" w:history="1">
              <w:r>
                <w:rPr>
                  <w:rStyle w:val="a3"/>
                  <w:rFonts w:eastAsia="Times New Roman"/>
                  <w:sz w:val="18"/>
                  <w:szCs w:val="18"/>
                </w:rPr>
                <w:t xml:space="preserve">Form of Non-Competition Agreement between Capital One Financial Corporation and certain named executive officers (incorporated by reference to Exhibit 10.9 </w:t>
              </w:r>
              <w:r>
                <w:rPr>
                  <w:rStyle w:val="a3"/>
                  <w:rFonts w:eastAsia="Times New Roman"/>
                  <w:sz w:val="18"/>
                  <w:szCs w:val="18"/>
                </w:rPr>
                <w:t>of the 2012 Form 10-K).</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10.8.2+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0" w:history="1">
              <w:r>
                <w:rPr>
                  <w:rStyle w:val="a3"/>
                  <w:rFonts w:eastAsia="Times New Roman"/>
                  <w:sz w:val="18"/>
                  <w:szCs w:val="18"/>
                </w:rPr>
                <w:t>Non-Competition Agreement between Capital One Financial Corporation and R. Scott Blackley, as amended on Ju</w:t>
              </w:r>
              <w:r>
                <w:rPr>
                  <w:rStyle w:val="a3"/>
                  <w:rFonts w:eastAsia="Times New Roman"/>
                  <w:sz w:val="18"/>
                  <w:szCs w:val="18"/>
                </w:rPr>
                <w:t>ly 1, 2017 (incorporated by reference to Exhibit 10.1.1 of the Quarterly Report on Form 10-Q for the period ended March 31, 2017).</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10.8.3+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1" w:history="1">
              <w:r>
                <w:rPr>
                  <w:rStyle w:val="a3"/>
                  <w:rFonts w:eastAsia="Times New Roman"/>
                  <w:sz w:val="18"/>
                  <w:szCs w:val="18"/>
                </w:rPr>
                <w:t>Non-Competition Agreement between Capital One Financial Corporation and Michael J. Wassmer (incorporated by reference to Exhibit 10.1.3 of the Quarterly Report on Form 10-Q for the period ended March 31, 2017).</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2" w:history="1">
              <w:r>
                <w:rPr>
                  <w:rStyle w:val="a3"/>
                  <w:rFonts w:eastAsia="Times New Roman"/>
                  <w:sz w:val="18"/>
                  <w:szCs w:val="18"/>
                </w:rPr>
                <w:t>Subsidiaries of the Company.</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23*</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3" w:history="1">
              <w:r>
                <w:rPr>
                  <w:rStyle w:val="a3"/>
                  <w:rFonts w:eastAsia="Times New Roman"/>
                  <w:sz w:val="18"/>
                  <w:szCs w:val="18"/>
                </w:rPr>
                <w:t>Consent of Ernst &amp; Young LLP.</w:t>
              </w:r>
            </w:hyperlink>
          </w:p>
        </w:tc>
      </w:tr>
      <w:tr w:rsidR="00000000">
        <w:trPr>
          <w:divId w:val="1592817994"/>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31.1*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4" w:history="1">
              <w:r>
                <w:rPr>
                  <w:rStyle w:val="a3"/>
                  <w:rFonts w:eastAsia="Times New Roman"/>
                  <w:sz w:val="18"/>
                  <w:szCs w:val="18"/>
                </w:rPr>
                <w:t>Certification of Richard D. Fairbank.</w:t>
              </w:r>
            </w:hyperlink>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219</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5" style="width:0;height:1.5pt" o:hralign="center" o:hrstd="t" o:hr="t" fillcolor="#a0a0a0" stroked="f"/>
        </w:pict>
      </w:r>
    </w:p>
    <w:p w:rsidR="00000000" w:rsidRDefault="00E0782F">
      <w:pPr>
        <w:jc w:val="both"/>
        <w:divId w:val="832987707"/>
        <w:rPr>
          <w:rFonts w:eastAsia="Times New Roman"/>
        </w:rPr>
      </w:pPr>
      <w:hyperlink w:anchor="i3af66512804646fcaf1b19a0aea6f320_7"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819"/>
        <w:gridCol w:w="36"/>
        <w:gridCol w:w="36"/>
        <w:gridCol w:w="36"/>
        <w:gridCol w:w="36"/>
        <w:gridCol w:w="38"/>
        <w:gridCol w:w="7175"/>
        <w:gridCol w:w="37"/>
      </w:tblGrid>
      <w:tr w:rsidR="00000000">
        <w:trPr>
          <w:divId w:val="1145395516"/>
          <w:jc w:val="center"/>
        </w:trPr>
        <w:tc>
          <w:tcPr>
            <w:tcW w:w="50" w:type="pct"/>
            <w:vAlign w:val="center"/>
            <w:hideMark/>
          </w:tcPr>
          <w:p w:rsidR="00000000" w:rsidRDefault="00E0782F">
            <w:pPr>
              <w:jc w:val="both"/>
              <w:rPr>
                <w:rFonts w:eastAsia="Times New Roman"/>
              </w:rPr>
            </w:pPr>
          </w:p>
        </w:tc>
        <w:tc>
          <w:tcPr>
            <w:tcW w:w="4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411"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45395516"/>
          <w:jc w:val="center"/>
        </w:trPr>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center"/>
              <w:rPr>
                <w:rFonts w:eastAsia="Times New Roman"/>
              </w:rPr>
            </w:pPr>
            <w:r>
              <w:rPr>
                <w:rFonts w:eastAsia="Times New Roman"/>
                <w:b/>
                <w:bCs/>
                <w:color w:val="000000"/>
                <w:sz w:val="18"/>
                <w:szCs w:val="18"/>
              </w:rPr>
              <w:t>Exhibit No.</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E0782F">
            <w:pPr>
              <w:jc w:val="both"/>
              <w:rPr>
                <w:rFonts w:eastAsia="Times New Roman"/>
              </w:rPr>
            </w:pPr>
            <w:r>
              <w:rPr>
                <w:rFonts w:eastAsia="Times New Roman"/>
                <w:b/>
                <w:bCs/>
                <w:color w:val="000000"/>
                <w:sz w:val="18"/>
                <w:szCs w:val="18"/>
              </w:rPr>
              <w:t>Description</w:t>
            </w:r>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31.2*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5" w:history="1">
              <w:r>
                <w:rPr>
                  <w:rStyle w:val="a3"/>
                  <w:rFonts w:eastAsia="Times New Roman"/>
                  <w:sz w:val="18"/>
                  <w:szCs w:val="18"/>
                </w:rPr>
                <w:t>Certification of R. Scott Blackley.</w:t>
              </w:r>
            </w:hyperlink>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32.1**</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6" w:history="1">
              <w:r>
                <w:rPr>
                  <w:rStyle w:val="a3"/>
                  <w:rFonts w:eastAsia="Times New Roman"/>
                  <w:sz w:val="18"/>
                  <w:szCs w:val="18"/>
                </w:rPr>
                <w:t>Certification of Richard D. Fairbank.</w:t>
              </w:r>
            </w:hyperlink>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32.2**</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hyperlink r:id="rId77" w:history="1">
              <w:r>
                <w:rPr>
                  <w:rStyle w:val="a3"/>
                  <w:rFonts w:eastAsia="Times New Roman"/>
                  <w:sz w:val="18"/>
                  <w:szCs w:val="18"/>
                </w:rPr>
                <w:t>Certification of R. Scott Blackley.</w:t>
              </w:r>
            </w:hyperlink>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101.INS</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8"/>
                <w:szCs w:val="18"/>
              </w:rPr>
              <w:t>XBRL Instance Document - the instance document does not appear in the Interactive Data File because its XBRL tags are embedded within the Inline XBRL document.</w:t>
            </w:r>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101.SCH*</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8"/>
                <w:szCs w:val="18"/>
              </w:rPr>
              <w:t>Inline XBRL Taxonomy Extension Schema Document.</w:t>
            </w:r>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101.CAL*</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8"/>
                <w:szCs w:val="18"/>
              </w:rPr>
              <w:t>Inline XBRL Taxonomy Extension Calculation Linkbase Document.</w:t>
            </w:r>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101.DEF*</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8"/>
                <w:szCs w:val="18"/>
              </w:rPr>
              <w:t>Inline XBRL Taxonomy Extension Definition Linkbase Document.</w:t>
            </w:r>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101.LAB*</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8"/>
                <w:szCs w:val="18"/>
              </w:rPr>
              <w:t>Inline XBRL Taxonomy Extension Label Linkbase Document.</w:t>
            </w:r>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101.PRE*</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8"/>
                <w:szCs w:val="18"/>
              </w:rPr>
              <w:t>Inline XBRL Taxonomy Extension Presentation Linkbase Document.</w:t>
            </w:r>
          </w:p>
        </w:tc>
      </w:tr>
      <w:tr w:rsidR="00000000">
        <w:trPr>
          <w:divId w:val="1145395516"/>
          <w:jc w:val="center"/>
        </w:trPr>
        <w:tc>
          <w:tcPr>
            <w:tcW w:w="0" w:type="auto"/>
            <w:gridSpan w:val="3"/>
            <w:tcMar>
              <w:top w:w="30" w:type="dxa"/>
              <w:left w:w="20" w:type="dxa"/>
              <w:bottom w:w="30" w:type="dxa"/>
              <w:right w:w="20" w:type="dxa"/>
            </w:tcMar>
            <w:hideMark/>
          </w:tcPr>
          <w:p w:rsidR="00000000" w:rsidRDefault="00E0782F">
            <w:pPr>
              <w:jc w:val="center"/>
              <w:rPr>
                <w:rFonts w:eastAsia="Times New Roman"/>
              </w:rPr>
            </w:pPr>
            <w:r>
              <w:rPr>
                <w:rFonts w:eastAsia="Times New Roman"/>
                <w:color w:val="000000"/>
                <w:sz w:val="18"/>
                <w:szCs w:val="18"/>
              </w:rPr>
              <w:t>104</w:t>
            </w:r>
          </w:p>
        </w:tc>
        <w:tc>
          <w:tcPr>
            <w:tcW w:w="0" w:type="auto"/>
            <w:gridSpan w:val="3"/>
            <w:tcMar>
              <w:top w:w="0" w:type="dxa"/>
              <w:left w:w="20" w:type="dxa"/>
              <w:bottom w:w="0" w:type="dxa"/>
              <w:right w:w="20" w:type="dxa"/>
            </w:tcMar>
            <w:vAlign w:val="center"/>
            <w:hideMark/>
          </w:tcPr>
          <w:p w:rsidR="00000000" w:rsidRDefault="00E0782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8"/>
                <w:szCs w:val="18"/>
              </w:rPr>
              <w:t>The cover page of Capital One Financial Corporation’s Annual Report on Form 10-K for the year ended December</w:t>
            </w:r>
            <w:r>
              <w:rPr>
                <w:rFonts w:eastAsia="Times New Roman"/>
                <w:color w:val="000000"/>
                <w:sz w:val="18"/>
                <w:szCs w:val="18"/>
              </w:rPr>
              <w:t xml:space="preserve"> 31, 2019, formatted in Inline XBRL (included within the Exhibit 101 attachments).</w:t>
            </w:r>
          </w:p>
        </w:tc>
      </w:tr>
    </w:tbl>
    <w:p w:rsidR="00000000" w:rsidRDefault="00E0782F">
      <w:pPr>
        <w:divId w:val="1649895945"/>
        <w:rPr>
          <w:rFonts w:eastAsia="Times New Roman"/>
        </w:rPr>
      </w:pPr>
      <w:r>
        <w:rPr>
          <w:rFonts w:eastAsia="Times New Roman"/>
          <w:color w:val="000000"/>
          <w:sz w:val="20"/>
          <w:szCs w:val="20"/>
        </w:rPr>
        <w:t>__________</w:t>
      </w:r>
    </w:p>
    <w:tbl>
      <w:tblPr>
        <w:tblW w:w="5000" w:type="pct"/>
        <w:tblCellMar>
          <w:top w:w="15" w:type="dxa"/>
          <w:left w:w="15" w:type="dxa"/>
          <w:bottom w:w="15" w:type="dxa"/>
          <w:right w:w="15" w:type="dxa"/>
        </w:tblCellMar>
        <w:tblLook w:val="04A0" w:firstRow="1" w:lastRow="0" w:firstColumn="1" w:lastColumn="0" w:noHBand="0" w:noVBand="1"/>
      </w:tblPr>
      <w:tblGrid>
        <w:gridCol w:w="69"/>
        <w:gridCol w:w="197"/>
        <w:gridCol w:w="36"/>
        <w:gridCol w:w="69"/>
        <w:gridCol w:w="7899"/>
        <w:gridCol w:w="36"/>
      </w:tblGrid>
      <w:tr w:rsidR="00000000">
        <w:trPr>
          <w:divId w:val="659777463"/>
        </w:trPr>
        <w:tc>
          <w:tcPr>
            <w:tcW w:w="50" w:type="pct"/>
            <w:vAlign w:val="center"/>
            <w:hideMark/>
          </w:tcPr>
          <w:p w:rsidR="00000000" w:rsidRDefault="00E0782F">
            <w:pPr>
              <w:rPr>
                <w:rFonts w:eastAsia="Times New Roman"/>
              </w:rPr>
            </w:pPr>
          </w:p>
        </w:tc>
        <w:tc>
          <w:tcPr>
            <w:tcW w:w="12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476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659777463"/>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6"/>
                <w:szCs w:val="16"/>
              </w:rPr>
              <w:t>Represents a management contract or compensatory plan or arrangement.</w:t>
            </w:r>
          </w:p>
        </w:tc>
      </w:tr>
      <w:tr w:rsidR="00000000">
        <w:trPr>
          <w:divId w:val="659777463"/>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6"/>
                <w:szCs w:val="16"/>
              </w:rPr>
              <w:t xml:space="preserve">Indicates a document being filed with this Form 10-K. </w:t>
            </w:r>
          </w:p>
        </w:tc>
      </w:tr>
      <w:tr w:rsidR="00000000">
        <w:trPr>
          <w:divId w:val="659777463"/>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rsidR="00000000" w:rsidRDefault="00E0782F">
            <w:pPr>
              <w:jc w:val="both"/>
              <w:rPr>
                <w:rFonts w:eastAsia="Times New Roman"/>
              </w:rPr>
            </w:pPr>
            <w:r>
              <w:rPr>
                <w:rFonts w:eastAsia="Times New Roman"/>
                <w:color w:val="000000"/>
                <w:sz w:val="16"/>
                <w:szCs w:val="16"/>
              </w:rPr>
              <w:t>Indicates a document being furnished with this Form 10-K. Information in this Form 10-K furnished herewith shall not</w:t>
            </w:r>
            <w:r>
              <w:rPr>
                <w:rFonts w:eastAsia="Times New Roman"/>
                <w:color w:val="000000"/>
                <w:sz w:val="16"/>
                <w:szCs w:val="16"/>
              </w:rPr>
              <w:t xml:space="preserve"> be deemed to be “filed” for the purposes of Section 18 of the Securities Exchange Act of 1934 or otherwise subject to the liabilities of that Section. Such exhibit shall not be deemed incorporated by reference into any filing under the Securities Act of 1</w:t>
            </w:r>
            <w:r>
              <w:rPr>
                <w:rFonts w:eastAsia="Times New Roman"/>
                <w:color w:val="000000"/>
                <w:sz w:val="16"/>
                <w:szCs w:val="16"/>
              </w:rPr>
              <w:t>933 or the Securities Exchange Act of 1934.</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220</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6" style="width:0;height:1.5pt" o:hralign="center" o:hrstd="t" o:hr="t" fillcolor="#a0a0a0" stroked="f"/>
        </w:pict>
      </w:r>
    </w:p>
    <w:p w:rsidR="00000000" w:rsidRDefault="00E0782F">
      <w:pPr>
        <w:jc w:val="both"/>
        <w:divId w:val="732702507"/>
        <w:rPr>
          <w:rFonts w:eastAsia="Times New Roman"/>
        </w:rPr>
      </w:pPr>
      <w:hyperlink w:anchor="i3af66512804646fcaf1b19a0aea6f320_7" w:history="1">
        <w:r>
          <w:rPr>
            <w:rStyle w:val="a3"/>
            <w:rFonts w:eastAsia="Times New Roman"/>
            <w:sz w:val="16"/>
            <w:szCs w:val="16"/>
          </w:rPr>
          <w:t>Table of Contents</w:t>
        </w:r>
      </w:hyperlink>
    </w:p>
    <w:p w:rsidR="00000000" w:rsidRDefault="00E0782F">
      <w:pPr>
        <w:jc w:val="center"/>
        <w:divId w:val="2043163435"/>
        <w:rPr>
          <w:rFonts w:eastAsia="Times New Roman"/>
        </w:rPr>
      </w:pPr>
      <w:r>
        <w:rPr>
          <w:rFonts w:eastAsia="Times New Roman"/>
          <w:b/>
          <w:bCs/>
          <w:color w:val="000000"/>
          <w:sz w:val="20"/>
          <w:szCs w:val="20"/>
        </w:rPr>
        <w:t>SIGNATURES</w:t>
      </w:r>
    </w:p>
    <w:p w:rsidR="00000000" w:rsidRDefault="00E0782F">
      <w:pPr>
        <w:jc w:val="both"/>
        <w:divId w:val="447547261"/>
        <w:rPr>
          <w:rFonts w:eastAsia="Times New Roman"/>
        </w:rPr>
      </w:pPr>
      <w:r>
        <w:rPr>
          <w:rFonts w:eastAsia="Times New Roman"/>
          <w:color w:val="000000"/>
          <w:sz w:val="20"/>
          <w:szCs w:val="20"/>
        </w:rPr>
        <w:t>Pursuant to the requirements of Section 13 or 15(d) of the Securities Exchange Act of 1934, the registrant has duly caused this repor</w:t>
      </w:r>
      <w:r>
        <w:rPr>
          <w:rFonts w:eastAsia="Times New Roman"/>
          <w:color w:val="000000"/>
          <w:sz w:val="20"/>
          <w:szCs w:val="20"/>
        </w:rPr>
        <w:t>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4"/>
        <w:gridCol w:w="3230"/>
        <w:gridCol w:w="36"/>
        <w:gridCol w:w="64"/>
        <w:gridCol w:w="849"/>
        <w:gridCol w:w="36"/>
        <w:gridCol w:w="77"/>
        <w:gridCol w:w="217"/>
        <w:gridCol w:w="36"/>
        <w:gridCol w:w="36"/>
        <w:gridCol w:w="36"/>
        <w:gridCol w:w="36"/>
        <w:gridCol w:w="43"/>
        <w:gridCol w:w="3510"/>
        <w:gridCol w:w="36"/>
      </w:tblGrid>
      <w:tr w:rsidR="00000000">
        <w:trPr>
          <w:divId w:val="2104494354"/>
        </w:trPr>
        <w:tc>
          <w:tcPr>
            <w:tcW w:w="50" w:type="pct"/>
            <w:vAlign w:val="center"/>
            <w:hideMark/>
          </w:tcPr>
          <w:p w:rsidR="00000000" w:rsidRDefault="00E0782F">
            <w:pPr>
              <w:jc w:val="both"/>
              <w:rPr>
                <w:rFonts w:eastAsia="Times New Roman"/>
              </w:rPr>
            </w:pPr>
          </w:p>
        </w:tc>
        <w:tc>
          <w:tcPr>
            <w:tcW w:w="195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52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42"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2123"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2104494354"/>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b/>
                <w:bCs/>
                <w:color w:val="000000"/>
                <w:sz w:val="20"/>
                <w:szCs w:val="20"/>
              </w:rPr>
              <w:t>CAPITAL ONE FINANCIAL CORPORATION</w:t>
            </w:r>
          </w:p>
        </w:tc>
      </w:tr>
      <w:tr w:rsidR="00000000">
        <w:trPr>
          <w:divId w:val="2104494354"/>
          <w:trHeight w:val="120"/>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2104494354"/>
        </w:trPr>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20"/>
                <w:szCs w:val="20"/>
              </w:rPr>
              <w:t>Date: February 25, 2021</w:t>
            </w: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E0782F">
            <w:pPr>
              <w:rPr>
                <w:rFonts w:eastAsia="Times New Roman"/>
              </w:rPr>
            </w:pPr>
            <w:r>
              <w:rPr>
                <w:rFonts w:eastAsia="Times New Roman"/>
                <w:color w:val="000000"/>
                <w:sz w:val="18"/>
                <w:szCs w:val="18"/>
              </w:rPr>
              <w:t>By:</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20"/>
                <w:szCs w:val="20"/>
              </w:rPr>
              <w:t>/s/ RICHARD D. FAIRBANK</w:t>
            </w:r>
          </w:p>
        </w:tc>
      </w:tr>
      <w:tr w:rsidR="00000000">
        <w:trPr>
          <w:divId w:val="2104494354"/>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E0782F">
            <w:pPr>
              <w:rPr>
                <w:rFonts w:eastAsia="Times New Roman"/>
              </w:rPr>
            </w:pPr>
            <w:r>
              <w:rPr>
                <w:rFonts w:eastAsia="Times New Roman"/>
                <w:color w:val="000000"/>
                <w:sz w:val="20"/>
                <w:szCs w:val="20"/>
              </w:rPr>
              <w:t>Richard D. Fairbank</w:t>
            </w:r>
          </w:p>
        </w:tc>
      </w:tr>
      <w:tr w:rsidR="00000000">
        <w:trPr>
          <w:divId w:val="2104494354"/>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20"/>
                <w:szCs w:val="20"/>
              </w:rPr>
              <w:t>Chair, Chief Executive Officer and President</w:t>
            </w:r>
          </w:p>
        </w:tc>
      </w:tr>
    </w:tbl>
    <w:p w:rsidR="00000000" w:rsidRDefault="00E0782F">
      <w:pPr>
        <w:jc w:val="both"/>
        <w:divId w:val="2067683656"/>
        <w:rPr>
          <w:rFonts w:eastAsia="Times New Roman"/>
        </w:rPr>
      </w:pPr>
    </w:p>
    <w:p w:rsidR="00000000" w:rsidRDefault="00E0782F">
      <w:pPr>
        <w:jc w:val="both"/>
        <w:divId w:val="845022168"/>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661"/>
        <w:gridCol w:w="37"/>
        <w:gridCol w:w="36"/>
        <w:gridCol w:w="36"/>
        <w:gridCol w:w="36"/>
        <w:gridCol w:w="41"/>
        <w:gridCol w:w="2946"/>
        <w:gridCol w:w="37"/>
        <w:gridCol w:w="36"/>
        <w:gridCol w:w="36"/>
        <w:gridCol w:w="36"/>
        <w:gridCol w:w="43"/>
        <w:gridCol w:w="1231"/>
        <w:gridCol w:w="36"/>
      </w:tblGrid>
      <w:tr w:rsidR="00000000">
        <w:trPr>
          <w:divId w:val="1197308731"/>
          <w:jc w:val="center"/>
        </w:trPr>
        <w:tc>
          <w:tcPr>
            <w:tcW w:w="50" w:type="pct"/>
            <w:vAlign w:val="center"/>
            <w:hideMark/>
          </w:tcPr>
          <w:p w:rsidR="00000000" w:rsidRDefault="00E0782F">
            <w:pPr>
              <w:jc w:val="both"/>
              <w:rPr>
                <w:rFonts w:eastAsia="Times New Roman"/>
              </w:rPr>
            </w:pPr>
          </w:p>
        </w:tc>
        <w:tc>
          <w:tcPr>
            <w:tcW w:w="22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78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7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Signature</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Title</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Date</w:t>
            </w: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RICHARD D. FAIRBANK</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Chair, Chief Executive Officer and President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Richard D. Fairbank</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(Principal Executive Officer)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R. SCOTT BLACKLEY</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Chief Financial Officer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R. Scott Blackley</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(Principal Financial Officer)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TIMOTHY P. GOLDEN</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Controller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Timothy P. Golden</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(Principal Accounting Officer)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APARNA CHENNAPRAGADA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Aparna Chennapragada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ANN FRITZ HACKETT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Ann Fritz Hackett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PETER THOMAS KILLALEA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Peter Thomas Killalea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6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C.P.A.J. (ELI) LEENAARS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C.P.A.J. (Eli) Leenaars</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6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PIERRE E. LEROY</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Pierre E. Leroy</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FRANÇOIS LOCOH-DONOU</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Franç</w:t>
            </w:r>
            <w:r>
              <w:rPr>
                <w:rFonts w:eastAsia="Times New Roman"/>
                <w:color w:val="000000"/>
                <w:sz w:val="18"/>
                <w:szCs w:val="18"/>
              </w:rPr>
              <w:t>ois Locoh-Donou</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PETER E. RASKIND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Peter E. Raskind</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197308731"/>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EILEEN SERRA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19730873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Eileen Serra</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2663"/>
        <w:gridCol w:w="144"/>
        <w:gridCol w:w="144"/>
        <w:gridCol w:w="2676"/>
        <w:gridCol w:w="144"/>
        <w:gridCol w:w="144"/>
        <w:gridCol w:w="2676"/>
        <w:gridCol w:w="144"/>
      </w:tblGrid>
      <w:tr w:rsidR="00000000">
        <w:trPr>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221</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000000" w:rsidRDefault="00E0782F">
      <w:pPr>
        <w:rPr>
          <w:rFonts w:eastAsia="Times New Roman"/>
        </w:rPr>
      </w:pPr>
      <w:r>
        <w:rPr>
          <w:rFonts w:eastAsia="Times New Roman"/>
        </w:rPr>
        <w:pict>
          <v:rect id="_x0000_i1247" style="width:0;height:1.5pt" o:hralign="center" o:hrstd="t" o:hr="t" fillcolor="#a0a0a0" stroked="f"/>
        </w:pict>
      </w:r>
    </w:p>
    <w:p w:rsidR="00000000" w:rsidRDefault="00E0782F">
      <w:pPr>
        <w:jc w:val="both"/>
        <w:divId w:val="633022018"/>
        <w:rPr>
          <w:rFonts w:eastAsia="Times New Roman"/>
        </w:rPr>
      </w:pPr>
      <w:hyperlink w:anchor="i3af66512804646fcaf1b19a0aea6f320_7" w:history="1">
        <w:r>
          <w:rPr>
            <w:rStyle w:val="a3"/>
            <w:rFonts w:eastAsia="Times New Roman"/>
            <w:sz w:val="16"/>
            <w:szCs w:val="16"/>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661"/>
        <w:gridCol w:w="37"/>
        <w:gridCol w:w="36"/>
        <w:gridCol w:w="36"/>
        <w:gridCol w:w="36"/>
        <w:gridCol w:w="42"/>
        <w:gridCol w:w="2946"/>
        <w:gridCol w:w="36"/>
        <w:gridCol w:w="36"/>
        <w:gridCol w:w="36"/>
        <w:gridCol w:w="36"/>
        <w:gridCol w:w="43"/>
        <w:gridCol w:w="1231"/>
        <w:gridCol w:w="36"/>
      </w:tblGrid>
      <w:tr w:rsidR="00000000">
        <w:trPr>
          <w:divId w:val="12998817"/>
          <w:jc w:val="center"/>
        </w:trPr>
        <w:tc>
          <w:tcPr>
            <w:tcW w:w="50" w:type="pct"/>
            <w:vAlign w:val="center"/>
            <w:hideMark/>
          </w:tcPr>
          <w:p w:rsidR="00000000" w:rsidRDefault="00E0782F">
            <w:pPr>
              <w:jc w:val="both"/>
              <w:rPr>
                <w:rFonts w:eastAsia="Times New Roman"/>
              </w:rPr>
            </w:pPr>
          </w:p>
        </w:tc>
        <w:tc>
          <w:tcPr>
            <w:tcW w:w="22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78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7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divId w:val="12998817"/>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998817"/>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MAYO A. SHATTUCK III</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299881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Mayo A. Shattuck III</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998817"/>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998817"/>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BRADFORD H. WARNER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299881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Bradford H. Warner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998817"/>
          <w:trHeight w:val="120"/>
          <w:jc w:val="center"/>
        </w:trPr>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divId w:val="12998817"/>
          <w:jc w:val="center"/>
        </w:trPr>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/s/ CATHERINE G. WEST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Director</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February 25, 2021</w:t>
            </w:r>
          </w:p>
        </w:tc>
      </w:tr>
      <w:tr w:rsidR="00000000">
        <w:trPr>
          <w:divId w:val="12998817"/>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E0782F">
            <w:pPr>
              <w:rPr>
                <w:rFonts w:eastAsia="Times New Roman"/>
              </w:rPr>
            </w:pPr>
            <w:r>
              <w:rPr>
                <w:rFonts w:eastAsia="Times New Roman"/>
                <w:color w:val="000000"/>
                <w:sz w:val="18"/>
                <w:szCs w:val="18"/>
              </w:rPr>
              <w:t>Catherine G. West</w:t>
            </w:r>
          </w:p>
        </w:tc>
        <w:tc>
          <w:tcPr>
            <w:tcW w:w="0" w:type="auto"/>
            <w:gridSpan w:val="3"/>
            <w:tcMar>
              <w:top w:w="0" w:type="dxa"/>
              <w:left w:w="20" w:type="dxa"/>
              <w:bottom w:w="0" w:type="dxa"/>
              <w:right w:w="20" w:type="dxa"/>
            </w:tcMar>
            <w:vAlign w:val="center"/>
            <w:hideMark/>
          </w:tcPr>
          <w:p w:rsidR="00000000" w:rsidRDefault="00E0782F">
            <w:pPr>
              <w:rPr>
                <w:rFonts w:eastAsia="Times New Roman"/>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E0782F">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3684"/>
        <w:gridCol w:w="144"/>
        <w:gridCol w:w="144"/>
        <w:gridCol w:w="144"/>
        <w:gridCol w:w="144"/>
        <w:gridCol w:w="144"/>
        <w:gridCol w:w="2968"/>
        <w:gridCol w:w="144"/>
        <w:gridCol w:w="144"/>
        <w:gridCol w:w="144"/>
        <w:gridCol w:w="144"/>
        <w:gridCol w:w="144"/>
        <w:gridCol w:w="1255"/>
        <w:gridCol w:w="144"/>
      </w:tblGrid>
      <w:tr w:rsidR="00000000">
        <w:trPr>
          <w:jc w:val="center"/>
        </w:trPr>
        <w:tc>
          <w:tcPr>
            <w:tcW w:w="50" w:type="pct"/>
            <w:vAlign w:val="center"/>
            <w:hideMark/>
          </w:tcPr>
          <w:p w:rsidR="00000000" w:rsidRDefault="00E0782F">
            <w:pPr>
              <w:jc w:val="center"/>
              <w:rPr>
                <w:rFonts w:eastAsia="Times New Roman"/>
              </w:rPr>
            </w:pPr>
          </w:p>
        </w:tc>
        <w:tc>
          <w:tcPr>
            <w:tcW w:w="2218"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1787"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2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c>
          <w:tcPr>
            <w:tcW w:w="50" w:type="pct"/>
            <w:vAlign w:val="center"/>
            <w:hideMark/>
          </w:tcPr>
          <w:p w:rsidR="00000000" w:rsidRDefault="00E0782F">
            <w:pPr>
              <w:rPr>
                <w:rFonts w:eastAsia="Times New Roman"/>
                <w:sz w:val="20"/>
                <w:szCs w:val="20"/>
              </w:rPr>
            </w:pPr>
          </w:p>
        </w:tc>
        <w:tc>
          <w:tcPr>
            <w:tcW w:w="756" w:type="pct"/>
            <w:vAlign w:val="center"/>
            <w:hideMark/>
          </w:tcPr>
          <w:p w:rsidR="00000000" w:rsidRDefault="00E0782F">
            <w:pPr>
              <w:rPr>
                <w:rFonts w:eastAsia="Times New Roman"/>
                <w:sz w:val="20"/>
                <w:szCs w:val="20"/>
              </w:rPr>
            </w:pPr>
          </w:p>
        </w:tc>
        <w:tc>
          <w:tcPr>
            <w:tcW w:w="5" w:type="pct"/>
            <w:vAlign w:val="center"/>
            <w:hideMark/>
          </w:tcPr>
          <w:p w:rsidR="00000000" w:rsidRDefault="00E0782F">
            <w:pPr>
              <w:rPr>
                <w:rFonts w:eastAsia="Times New Roman"/>
                <w:sz w:val="20"/>
                <w:szCs w:val="20"/>
              </w:rPr>
            </w:pPr>
          </w:p>
        </w:tc>
      </w:tr>
      <w:tr w:rsidR="00000000">
        <w:trPr>
          <w:trHeight w:val="60"/>
          <w:jc w:val="center"/>
        </w:trPr>
        <w:tc>
          <w:tcPr>
            <w:tcW w:w="0" w:type="auto"/>
            <w:gridSpan w:val="15"/>
            <w:tcMar>
              <w:top w:w="0" w:type="dxa"/>
              <w:left w:w="20" w:type="dxa"/>
              <w:bottom w:w="0" w:type="dxa"/>
              <w:right w:w="20" w:type="dxa"/>
            </w:tcMar>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r w:rsidR="00000000">
        <w:trPr>
          <w:jc w:val="center"/>
        </w:trPr>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c>
          <w:tcPr>
            <w:tcW w:w="0" w:type="auto"/>
            <w:gridSpan w:val="3"/>
            <w:vAlign w:val="center"/>
            <w:hideMark/>
          </w:tcPr>
          <w:p w:rsidR="00000000" w:rsidRDefault="00E0782F">
            <w:pPr>
              <w:rPr>
                <w:rFonts w:eastAsia="Times New Roman"/>
                <w:sz w:val="20"/>
                <w:szCs w:val="20"/>
              </w:rPr>
            </w:pPr>
          </w:p>
        </w:tc>
      </w:tr>
    </w:tbl>
    <w:p w:rsidR="00000000" w:rsidRDefault="00E0782F">
      <w:pPr>
        <w:jc w:val="center"/>
        <w:divId w:val="460802334"/>
        <w:rPr>
          <w:rFonts w:eastAsia="Times New Roman"/>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650"/>
        <w:gridCol w:w="36"/>
        <w:gridCol w:w="69"/>
        <w:gridCol w:w="2663"/>
        <w:gridCol w:w="36"/>
        <w:gridCol w:w="70"/>
        <w:gridCol w:w="2664"/>
        <w:gridCol w:w="36"/>
      </w:tblGrid>
      <w:tr w:rsidR="00000000">
        <w:trPr>
          <w:divId w:val="460802334"/>
          <w:jc w:val="center"/>
        </w:trPr>
        <w:tc>
          <w:tcPr>
            <w:tcW w:w="50" w:type="pct"/>
            <w:vAlign w:val="center"/>
            <w:hideMark/>
          </w:tcPr>
          <w:p w:rsidR="00000000" w:rsidRDefault="00E0782F">
            <w:pPr>
              <w:jc w:val="center"/>
              <w:rPr>
                <w:rFonts w:eastAsia="Times New Roman"/>
              </w:rPr>
            </w:pPr>
          </w:p>
        </w:tc>
        <w:tc>
          <w:tcPr>
            <w:tcW w:w="1606"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c>
          <w:tcPr>
            <w:tcW w:w="50" w:type="pct"/>
            <w:vAlign w:val="center"/>
            <w:hideMark/>
          </w:tcPr>
          <w:p w:rsidR="00000000" w:rsidRDefault="00E0782F">
            <w:pPr>
              <w:spacing w:after="100"/>
              <w:rPr>
                <w:rFonts w:eastAsia="Times New Roman"/>
                <w:sz w:val="20"/>
                <w:szCs w:val="20"/>
              </w:rPr>
            </w:pPr>
          </w:p>
        </w:tc>
        <w:tc>
          <w:tcPr>
            <w:tcW w:w="1614" w:type="pct"/>
            <w:vAlign w:val="center"/>
            <w:hideMark/>
          </w:tcPr>
          <w:p w:rsidR="00000000" w:rsidRDefault="00E0782F">
            <w:pPr>
              <w:spacing w:after="100"/>
              <w:rPr>
                <w:rFonts w:eastAsia="Times New Roman"/>
                <w:sz w:val="20"/>
                <w:szCs w:val="20"/>
              </w:rPr>
            </w:pPr>
          </w:p>
        </w:tc>
        <w:tc>
          <w:tcPr>
            <w:tcW w:w="5" w:type="pct"/>
            <w:vAlign w:val="center"/>
            <w:hideMark/>
          </w:tcPr>
          <w:p w:rsidR="00000000" w:rsidRDefault="00E0782F">
            <w:pPr>
              <w:spacing w:after="100"/>
              <w:rPr>
                <w:rFonts w:eastAsia="Times New Roman"/>
                <w:sz w:val="20"/>
                <w:szCs w:val="20"/>
              </w:rPr>
            </w:pPr>
          </w:p>
        </w:tc>
      </w:tr>
      <w:tr w:rsidR="00000000">
        <w:trPr>
          <w:divId w:val="460802334"/>
          <w:trHeight w:val="300"/>
          <w:jc w:val="center"/>
        </w:trPr>
        <w:tc>
          <w:tcPr>
            <w:tcW w:w="0" w:type="auto"/>
            <w:gridSpan w:val="9"/>
            <w:shd w:val="clear" w:color="auto" w:fill="FFFFFF"/>
            <w:tcMar>
              <w:top w:w="0" w:type="dxa"/>
              <w:left w:w="20" w:type="dxa"/>
              <w:bottom w:w="0" w:type="dxa"/>
              <w:right w:w="20" w:type="dxa"/>
            </w:tcMar>
            <w:vAlign w:val="center"/>
            <w:hideMark/>
          </w:tcPr>
          <w:p w:rsidR="00000000" w:rsidRDefault="00E0782F">
            <w:pPr>
              <w:spacing w:after="100"/>
              <w:rPr>
                <w:rFonts w:eastAsia="Times New Roman"/>
                <w:sz w:val="20"/>
                <w:szCs w:val="20"/>
              </w:rPr>
            </w:pPr>
          </w:p>
        </w:tc>
      </w:tr>
      <w:tr w:rsidR="00000000">
        <w:trPr>
          <w:divId w:val="460802334"/>
          <w:jc w:val="center"/>
        </w:trPr>
        <w:tc>
          <w:tcPr>
            <w:tcW w:w="0" w:type="auto"/>
            <w:gridSpan w:val="3"/>
            <w:tcMar>
              <w:top w:w="0" w:type="dxa"/>
              <w:left w:w="20" w:type="dxa"/>
              <w:bottom w:w="0" w:type="dxa"/>
              <w:right w:w="20" w:type="dxa"/>
            </w:tcMar>
            <w:vAlign w:val="center"/>
            <w:hideMark/>
          </w:tcPr>
          <w:p w:rsidR="00000000" w:rsidRDefault="00E0782F">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E0782F">
            <w:pPr>
              <w:spacing w:after="100"/>
              <w:jc w:val="center"/>
              <w:rPr>
                <w:rFonts w:eastAsia="Times New Roman"/>
              </w:rPr>
            </w:pPr>
            <w:r>
              <w:rPr>
                <w:rFonts w:eastAsia="Times New Roman"/>
                <w:color w:val="000000"/>
                <w:sz w:val="16"/>
                <w:szCs w:val="16"/>
              </w:rPr>
              <w:t>222</w:t>
            </w:r>
          </w:p>
        </w:tc>
        <w:tc>
          <w:tcPr>
            <w:tcW w:w="0" w:type="auto"/>
            <w:gridSpan w:val="3"/>
            <w:tcMar>
              <w:top w:w="30" w:type="dxa"/>
              <w:left w:w="20" w:type="dxa"/>
              <w:bottom w:w="30" w:type="dxa"/>
              <w:right w:w="20" w:type="dxa"/>
            </w:tcMar>
            <w:vAlign w:val="bottom"/>
            <w:hideMark/>
          </w:tcPr>
          <w:p w:rsidR="00000000" w:rsidRDefault="00E0782F">
            <w:pPr>
              <w:spacing w:after="100"/>
              <w:jc w:val="right"/>
              <w:rPr>
                <w:rFonts w:eastAsia="Times New Roman"/>
              </w:rPr>
            </w:pPr>
            <w:r>
              <w:rPr>
                <w:rFonts w:eastAsia="Times New Roman"/>
                <w:color w:val="000000"/>
                <w:sz w:val="16"/>
                <w:szCs w:val="16"/>
              </w:rPr>
              <w:t>Capital One Financial Corporation (COF)</w:t>
            </w:r>
          </w:p>
        </w:tc>
      </w:tr>
    </w:tbl>
    <w:p w:rsidR="00E0782F" w:rsidRDefault="00E0782F">
      <w:pPr>
        <w:divId w:val="460802334"/>
        <w:rPr>
          <w:rFonts w:eastAsia="Times New Roman"/>
        </w:rPr>
      </w:pPr>
    </w:p>
    <w:sectPr w:rsidR="00E0782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0782F"/>
    <w:rsid w:val="00E0782F"/>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capitalone.com/20201231"/>
  <w:attachedSchema w:val="http://fasb.org/srt/2020-01-31"/>
  <w:attachedSchema w:val="http://fasb.org/us-gaap/2020-01-31"/>
  <w:attachedSchema w:val="http://www.xbrl.org/2003/iso4217"/>
  <w:attachedSchema w:val="http://www.w3.org/1999/xlink"/>
  <w:attachedSchema w:val="http://www.xbrl.org/2003/linkbase"/>
  <w:attachedSchema w:val="http://www.xbrl.org/2013/inlineXBRL"/>
  <w:attachedSchema w:val="http://xbrl.sec.gov/currency/2020-01-31"/>
  <w:attachedSchema w:val="http://www.xbrl.org/2003/instance"/>
  <w:attachedSchema w:val="http://xbrl.sec.gov/country/2020-01-31"/>
  <w:attachedSchema w:val="http://www.xbrl.org/inlineXBRL/transformation/2015-02-26"/>
  <w:attachedSchema w:val="http://xbrl.sec.gov/dei/2020-01-31"/>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06">
      <w:marLeft w:val="0"/>
      <w:marRight w:val="0"/>
      <w:marTop w:val="180"/>
      <w:marBottom w:val="180"/>
      <w:divBdr>
        <w:top w:val="none" w:sz="0" w:space="0" w:color="auto"/>
        <w:left w:val="none" w:sz="0" w:space="0" w:color="auto"/>
        <w:bottom w:val="none" w:sz="0" w:space="0" w:color="auto"/>
        <w:right w:val="none" w:sz="0" w:space="0" w:color="auto"/>
      </w:divBdr>
    </w:div>
    <w:div w:id="4092948">
      <w:marLeft w:val="0"/>
      <w:marRight w:val="0"/>
      <w:marTop w:val="60"/>
      <w:marBottom w:val="60"/>
      <w:divBdr>
        <w:top w:val="none" w:sz="0" w:space="0" w:color="auto"/>
        <w:left w:val="none" w:sz="0" w:space="0" w:color="auto"/>
        <w:bottom w:val="none" w:sz="0" w:space="0" w:color="auto"/>
        <w:right w:val="none" w:sz="0" w:space="0" w:color="auto"/>
      </w:divBdr>
    </w:div>
    <w:div w:id="6370478">
      <w:marLeft w:val="0"/>
      <w:marRight w:val="0"/>
      <w:marTop w:val="0"/>
      <w:marBottom w:val="0"/>
      <w:divBdr>
        <w:top w:val="none" w:sz="0" w:space="0" w:color="auto"/>
        <w:left w:val="none" w:sz="0" w:space="0" w:color="auto"/>
        <w:bottom w:val="none" w:sz="0" w:space="0" w:color="auto"/>
        <w:right w:val="none" w:sz="0" w:space="0" w:color="auto"/>
      </w:divBdr>
    </w:div>
    <w:div w:id="6518248">
      <w:marLeft w:val="0"/>
      <w:marRight w:val="0"/>
      <w:marTop w:val="180"/>
      <w:marBottom w:val="60"/>
      <w:divBdr>
        <w:top w:val="none" w:sz="0" w:space="0" w:color="auto"/>
        <w:left w:val="none" w:sz="0" w:space="0" w:color="auto"/>
        <w:bottom w:val="none" w:sz="0" w:space="0" w:color="auto"/>
        <w:right w:val="none" w:sz="0" w:space="0" w:color="auto"/>
      </w:divBdr>
    </w:div>
    <w:div w:id="7371723">
      <w:marLeft w:val="0"/>
      <w:marRight w:val="0"/>
      <w:marTop w:val="180"/>
      <w:marBottom w:val="180"/>
      <w:divBdr>
        <w:top w:val="none" w:sz="0" w:space="0" w:color="auto"/>
        <w:left w:val="none" w:sz="0" w:space="0" w:color="auto"/>
        <w:bottom w:val="none" w:sz="0" w:space="0" w:color="auto"/>
        <w:right w:val="none" w:sz="0" w:space="0" w:color="auto"/>
      </w:divBdr>
    </w:div>
    <w:div w:id="8027850">
      <w:marLeft w:val="0"/>
      <w:marRight w:val="0"/>
      <w:marTop w:val="60"/>
      <w:marBottom w:val="60"/>
      <w:divBdr>
        <w:top w:val="none" w:sz="0" w:space="0" w:color="auto"/>
        <w:left w:val="none" w:sz="0" w:space="0" w:color="auto"/>
        <w:bottom w:val="none" w:sz="0" w:space="0" w:color="auto"/>
        <w:right w:val="none" w:sz="0" w:space="0" w:color="auto"/>
      </w:divBdr>
    </w:div>
    <w:div w:id="8609026">
      <w:marLeft w:val="0"/>
      <w:marRight w:val="0"/>
      <w:marTop w:val="180"/>
      <w:marBottom w:val="180"/>
      <w:divBdr>
        <w:top w:val="none" w:sz="0" w:space="0" w:color="auto"/>
        <w:left w:val="none" w:sz="0" w:space="0" w:color="auto"/>
        <w:bottom w:val="none" w:sz="0" w:space="0" w:color="auto"/>
        <w:right w:val="none" w:sz="0" w:space="0" w:color="auto"/>
      </w:divBdr>
    </w:div>
    <w:div w:id="9140678">
      <w:marLeft w:val="0"/>
      <w:marRight w:val="0"/>
      <w:marTop w:val="180"/>
      <w:marBottom w:val="180"/>
      <w:divBdr>
        <w:top w:val="none" w:sz="0" w:space="0" w:color="auto"/>
        <w:left w:val="none" w:sz="0" w:space="0" w:color="auto"/>
        <w:bottom w:val="none" w:sz="0" w:space="0" w:color="auto"/>
        <w:right w:val="none" w:sz="0" w:space="0" w:color="auto"/>
      </w:divBdr>
    </w:div>
    <w:div w:id="10039084">
      <w:marLeft w:val="0"/>
      <w:marRight w:val="0"/>
      <w:marTop w:val="180"/>
      <w:marBottom w:val="180"/>
      <w:divBdr>
        <w:top w:val="none" w:sz="0" w:space="0" w:color="auto"/>
        <w:left w:val="none" w:sz="0" w:space="0" w:color="auto"/>
        <w:bottom w:val="none" w:sz="0" w:space="0" w:color="auto"/>
        <w:right w:val="none" w:sz="0" w:space="0" w:color="auto"/>
      </w:divBdr>
    </w:div>
    <w:div w:id="12457808">
      <w:marLeft w:val="0"/>
      <w:marRight w:val="0"/>
      <w:marTop w:val="280"/>
      <w:marBottom w:val="280"/>
      <w:divBdr>
        <w:top w:val="none" w:sz="0" w:space="0" w:color="auto"/>
        <w:left w:val="none" w:sz="0" w:space="0" w:color="auto"/>
        <w:bottom w:val="none" w:sz="0" w:space="0" w:color="auto"/>
        <w:right w:val="none" w:sz="0" w:space="0" w:color="auto"/>
      </w:divBdr>
    </w:div>
    <w:div w:id="12463250">
      <w:marLeft w:val="0"/>
      <w:marRight w:val="0"/>
      <w:marTop w:val="180"/>
      <w:marBottom w:val="180"/>
      <w:divBdr>
        <w:top w:val="none" w:sz="0" w:space="0" w:color="auto"/>
        <w:left w:val="none" w:sz="0" w:space="0" w:color="auto"/>
        <w:bottom w:val="none" w:sz="0" w:space="0" w:color="auto"/>
        <w:right w:val="none" w:sz="0" w:space="0" w:color="auto"/>
      </w:divBdr>
    </w:div>
    <w:div w:id="12659178">
      <w:marLeft w:val="0"/>
      <w:marRight w:val="0"/>
      <w:marTop w:val="60"/>
      <w:marBottom w:val="60"/>
      <w:divBdr>
        <w:top w:val="none" w:sz="0" w:space="0" w:color="auto"/>
        <w:left w:val="none" w:sz="0" w:space="0" w:color="auto"/>
        <w:bottom w:val="none" w:sz="0" w:space="0" w:color="auto"/>
        <w:right w:val="none" w:sz="0" w:space="0" w:color="auto"/>
      </w:divBdr>
    </w:div>
    <w:div w:id="12998033">
      <w:marLeft w:val="0"/>
      <w:marRight w:val="0"/>
      <w:marTop w:val="60"/>
      <w:marBottom w:val="60"/>
      <w:divBdr>
        <w:top w:val="none" w:sz="0" w:space="0" w:color="auto"/>
        <w:left w:val="none" w:sz="0" w:space="0" w:color="auto"/>
        <w:bottom w:val="none" w:sz="0" w:space="0" w:color="auto"/>
        <w:right w:val="none" w:sz="0" w:space="0" w:color="auto"/>
      </w:divBdr>
    </w:div>
    <w:div w:id="12998817">
      <w:marLeft w:val="0"/>
      <w:marRight w:val="0"/>
      <w:marTop w:val="100"/>
      <w:marBottom w:val="180"/>
      <w:divBdr>
        <w:top w:val="none" w:sz="0" w:space="0" w:color="auto"/>
        <w:left w:val="none" w:sz="0" w:space="0" w:color="auto"/>
        <w:bottom w:val="none" w:sz="0" w:space="0" w:color="auto"/>
        <w:right w:val="none" w:sz="0" w:space="0" w:color="auto"/>
      </w:divBdr>
    </w:div>
    <w:div w:id="13116814">
      <w:marLeft w:val="0"/>
      <w:marRight w:val="0"/>
      <w:marTop w:val="60"/>
      <w:marBottom w:val="60"/>
      <w:divBdr>
        <w:top w:val="none" w:sz="0" w:space="0" w:color="auto"/>
        <w:left w:val="none" w:sz="0" w:space="0" w:color="auto"/>
        <w:bottom w:val="none" w:sz="0" w:space="0" w:color="auto"/>
        <w:right w:val="none" w:sz="0" w:space="0" w:color="auto"/>
      </w:divBdr>
    </w:div>
    <w:div w:id="13576842">
      <w:marLeft w:val="0"/>
      <w:marRight w:val="0"/>
      <w:marTop w:val="60"/>
      <w:marBottom w:val="60"/>
      <w:divBdr>
        <w:top w:val="none" w:sz="0" w:space="0" w:color="auto"/>
        <w:left w:val="none" w:sz="0" w:space="0" w:color="auto"/>
        <w:bottom w:val="none" w:sz="0" w:space="0" w:color="auto"/>
        <w:right w:val="none" w:sz="0" w:space="0" w:color="auto"/>
      </w:divBdr>
    </w:div>
    <w:div w:id="13963850">
      <w:marLeft w:val="0"/>
      <w:marRight w:val="0"/>
      <w:marTop w:val="180"/>
      <w:marBottom w:val="180"/>
      <w:divBdr>
        <w:top w:val="none" w:sz="0" w:space="0" w:color="auto"/>
        <w:left w:val="none" w:sz="0" w:space="0" w:color="auto"/>
        <w:bottom w:val="none" w:sz="0" w:space="0" w:color="auto"/>
        <w:right w:val="none" w:sz="0" w:space="0" w:color="auto"/>
      </w:divBdr>
    </w:div>
    <w:div w:id="14045346">
      <w:marLeft w:val="0"/>
      <w:marRight w:val="0"/>
      <w:marTop w:val="0"/>
      <w:marBottom w:val="0"/>
      <w:divBdr>
        <w:top w:val="none" w:sz="0" w:space="0" w:color="auto"/>
        <w:left w:val="none" w:sz="0" w:space="0" w:color="auto"/>
        <w:bottom w:val="none" w:sz="0" w:space="0" w:color="auto"/>
        <w:right w:val="none" w:sz="0" w:space="0" w:color="auto"/>
      </w:divBdr>
      <w:divsChild>
        <w:div w:id="1142117362">
          <w:marLeft w:val="0"/>
          <w:marRight w:val="0"/>
          <w:marTop w:val="60"/>
          <w:marBottom w:val="60"/>
          <w:divBdr>
            <w:top w:val="none" w:sz="0" w:space="0" w:color="auto"/>
            <w:left w:val="none" w:sz="0" w:space="0" w:color="auto"/>
            <w:bottom w:val="none" w:sz="0" w:space="0" w:color="auto"/>
            <w:right w:val="none" w:sz="0" w:space="0" w:color="auto"/>
          </w:divBdr>
        </w:div>
      </w:divsChild>
    </w:div>
    <w:div w:id="14767516">
      <w:marLeft w:val="0"/>
      <w:marRight w:val="0"/>
      <w:marTop w:val="180"/>
      <w:marBottom w:val="60"/>
      <w:divBdr>
        <w:top w:val="none" w:sz="0" w:space="0" w:color="auto"/>
        <w:left w:val="none" w:sz="0" w:space="0" w:color="auto"/>
        <w:bottom w:val="none" w:sz="0" w:space="0" w:color="auto"/>
        <w:right w:val="none" w:sz="0" w:space="0" w:color="auto"/>
      </w:divBdr>
    </w:div>
    <w:div w:id="14888031">
      <w:marLeft w:val="0"/>
      <w:marRight w:val="0"/>
      <w:marTop w:val="180"/>
      <w:marBottom w:val="60"/>
      <w:divBdr>
        <w:top w:val="none" w:sz="0" w:space="0" w:color="auto"/>
        <w:left w:val="none" w:sz="0" w:space="0" w:color="auto"/>
        <w:bottom w:val="none" w:sz="0" w:space="0" w:color="auto"/>
        <w:right w:val="none" w:sz="0" w:space="0" w:color="auto"/>
      </w:divBdr>
    </w:div>
    <w:div w:id="16659261">
      <w:marLeft w:val="0"/>
      <w:marRight w:val="0"/>
      <w:marTop w:val="180"/>
      <w:marBottom w:val="180"/>
      <w:divBdr>
        <w:top w:val="none" w:sz="0" w:space="0" w:color="auto"/>
        <w:left w:val="none" w:sz="0" w:space="0" w:color="auto"/>
        <w:bottom w:val="none" w:sz="0" w:space="0" w:color="auto"/>
        <w:right w:val="none" w:sz="0" w:space="0" w:color="auto"/>
      </w:divBdr>
    </w:div>
    <w:div w:id="16662921">
      <w:marLeft w:val="0"/>
      <w:marRight w:val="0"/>
      <w:marTop w:val="60"/>
      <w:marBottom w:val="60"/>
      <w:divBdr>
        <w:top w:val="none" w:sz="0" w:space="0" w:color="auto"/>
        <w:left w:val="none" w:sz="0" w:space="0" w:color="auto"/>
        <w:bottom w:val="none" w:sz="0" w:space="0" w:color="auto"/>
        <w:right w:val="none" w:sz="0" w:space="0" w:color="auto"/>
      </w:divBdr>
    </w:div>
    <w:div w:id="17707302">
      <w:marLeft w:val="0"/>
      <w:marRight w:val="0"/>
      <w:marTop w:val="0"/>
      <w:marBottom w:val="0"/>
      <w:divBdr>
        <w:top w:val="none" w:sz="0" w:space="0" w:color="auto"/>
        <w:left w:val="none" w:sz="0" w:space="0" w:color="auto"/>
        <w:bottom w:val="none" w:sz="0" w:space="0" w:color="auto"/>
        <w:right w:val="none" w:sz="0" w:space="0" w:color="auto"/>
      </w:divBdr>
    </w:div>
    <w:div w:id="21440003">
      <w:marLeft w:val="0"/>
      <w:marRight w:val="0"/>
      <w:marTop w:val="180"/>
      <w:marBottom w:val="180"/>
      <w:divBdr>
        <w:top w:val="none" w:sz="0" w:space="0" w:color="auto"/>
        <w:left w:val="none" w:sz="0" w:space="0" w:color="auto"/>
        <w:bottom w:val="none" w:sz="0" w:space="0" w:color="auto"/>
        <w:right w:val="none" w:sz="0" w:space="0" w:color="auto"/>
      </w:divBdr>
    </w:div>
    <w:div w:id="22097391">
      <w:marLeft w:val="0"/>
      <w:marRight w:val="0"/>
      <w:marTop w:val="180"/>
      <w:marBottom w:val="180"/>
      <w:divBdr>
        <w:top w:val="none" w:sz="0" w:space="0" w:color="auto"/>
        <w:left w:val="none" w:sz="0" w:space="0" w:color="auto"/>
        <w:bottom w:val="none" w:sz="0" w:space="0" w:color="auto"/>
        <w:right w:val="none" w:sz="0" w:space="0" w:color="auto"/>
      </w:divBdr>
    </w:div>
    <w:div w:id="23482653">
      <w:marLeft w:val="0"/>
      <w:marRight w:val="0"/>
      <w:marTop w:val="0"/>
      <w:marBottom w:val="0"/>
      <w:divBdr>
        <w:top w:val="none" w:sz="0" w:space="0" w:color="auto"/>
        <w:left w:val="none" w:sz="0" w:space="0" w:color="auto"/>
        <w:bottom w:val="none" w:sz="0" w:space="0" w:color="auto"/>
        <w:right w:val="none" w:sz="0" w:space="0" w:color="auto"/>
      </w:divBdr>
      <w:divsChild>
        <w:div w:id="976911028">
          <w:marLeft w:val="0"/>
          <w:marRight w:val="0"/>
          <w:marTop w:val="0"/>
          <w:marBottom w:val="0"/>
          <w:divBdr>
            <w:top w:val="none" w:sz="0" w:space="0" w:color="auto"/>
            <w:left w:val="none" w:sz="0" w:space="0" w:color="auto"/>
            <w:bottom w:val="none" w:sz="0" w:space="0" w:color="auto"/>
            <w:right w:val="none" w:sz="0" w:space="0" w:color="auto"/>
          </w:divBdr>
          <w:divsChild>
            <w:div w:id="136868005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713263">
      <w:marLeft w:val="0"/>
      <w:marRight w:val="0"/>
      <w:marTop w:val="180"/>
      <w:marBottom w:val="120"/>
      <w:divBdr>
        <w:top w:val="none" w:sz="0" w:space="0" w:color="auto"/>
        <w:left w:val="none" w:sz="0" w:space="0" w:color="auto"/>
        <w:bottom w:val="none" w:sz="0" w:space="0" w:color="auto"/>
        <w:right w:val="none" w:sz="0" w:space="0" w:color="auto"/>
      </w:divBdr>
      <w:divsChild>
        <w:div w:id="516040541">
          <w:marLeft w:val="0"/>
          <w:marRight w:val="0"/>
          <w:marTop w:val="0"/>
          <w:marBottom w:val="0"/>
          <w:divBdr>
            <w:top w:val="none" w:sz="0" w:space="0" w:color="auto"/>
            <w:left w:val="none" w:sz="0" w:space="0" w:color="auto"/>
            <w:bottom w:val="none" w:sz="0" w:space="0" w:color="auto"/>
            <w:right w:val="none" w:sz="0" w:space="0" w:color="auto"/>
          </w:divBdr>
        </w:div>
        <w:div w:id="988678295">
          <w:marLeft w:val="0"/>
          <w:marRight w:val="0"/>
          <w:marTop w:val="0"/>
          <w:marBottom w:val="0"/>
          <w:divBdr>
            <w:top w:val="none" w:sz="0" w:space="0" w:color="auto"/>
            <w:left w:val="none" w:sz="0" w:space="0" w:color="auto"/>
            <w:bottom w:val="none" w:sz="0" w:space="0" w:color="auto"/>
            <w:right w:val="none" w:sz="0" w:space="0" w:color="auto"/>
          </w:divBdr>
        </w:div>
        <w:div w:id="494225726">
          <w:marLeft w:val="0"/>
          <w:marRight w:val="0"/>
          <w:marTop w:val="0"/>
          <w:marBottom w:val="0"/>
          <w:divBdr>
            <w:top w:val="none" w:sz="0" w:space="0" w:color="auto"/>
            <w:left w:val="none" w:sz="0" w:space="0" w:color="auto"/>
            <w:bottom w:val="none" w:sz="0" w:space="0" w:color="auto"/>
            <w:right w:val="none" w:sz="0" w:space="0" w:color="auto"/>
          </w:divBdr>
        </w:div>
      </w:divsChild>
    </w:div>
    <w:div w:id="25916170">
      <w:marLeft w:val="0"/>
      <w:marRight w:val="0"/>
      <w:marTop w:val="0"/>
      <w:marBottom w:val="0"/>
      <w:divBdr>
        <w:top w:val="none" w:sz="0" w:space="0" w:color="auto"/>
        <w:left w:val="none" w:sz="0" w:space="0" w:color="auto"/>
        <w:bottom w:val="none" w:sz="0" w:space="0" w:color="auto"/>
        <w:right w:val="none" w:sz="0" w:space="0" w:color="auto"/>
      </w:divBdr>
      <w:divsChild>
        <w:div w:id="2091350368">
          <w:marLeft w:val="0"/>
          <w:marRight w:val="0"/>
          <w:marTop w:val="60"/>
          <w:marBottom w:val="60"/>
          <w:divBdr>
            <w:top w:val="none" w:sz="0" w:space="0" w:color="auto"/>
            <w:left w:val="none" w:sz="0" w:space="0" w:color="auto"/>
            <w:bottom w:val="none" w:sz="0" w:space="0" w:color="auto"/>
            <w:right w:val="none" w:sz="0" w:space="0" w:color="auto"/>
          </w:divBdr>
        </w:div>
      </w:divsChild>
    </w:div>
    <w:div w:id="26225241">
      <w:marLeft w:val="0"/>
      <w:marRight w:val="0"/>
      <w:marTop w:val="180"/>
      <w:marBottom w:val="180"/>
      <w:divBdr>
        <w:top w:val="none" w:sz="0" w:space="0" w:color="auto"/>
        <w:left w:val="none" w:sz="0" w:space="0" w:color="auto"/>
        <w:bottom w:val="none" w:sz="0" w:space="0" w:color="auto"/>
        <w:right w:val="none" w:sz="0" w:space="0" w:color="auto"/>
      </w:divBdr>
    </w:div>
    <w:div w:id="27150357">
      <w:marLeft w:val="0"/>
      <w:marRight w:val="0"/>
      <w:marTop w:val="60"/>
      <w:marBottom w:val="60"/>
      <w:divBdr>
        <w:top w:val="none" w:sz="0" w:space="0" w:color="auto"/>
        <w:left w:val="none" w:sz="0" w:space="0" w:color="auto"/>
        <w:bottom w:val="none" w:sz="0" w:space="0" w:color="auto"/>
        <w:right w:val="none" w:sz="0" w:space="0" w:color="auto"/>
      </w:divBdr>
    </w:div>
    <w:div w:id="27417242">
      <w:marLeft w:val="0"/>
      <w:marRight w:val="0"/>
      <w:marTop w:val="180"/>
      <w:marBottom w:val="180"/>
      <w:divBdr>
        <w:top w:val="none" w:sz="0" w:space="0" w:color="auto"/>
        <w:left w:val="none" w:sz="0" w:space="0" w:color="auto"/>
        <w:bottom w:val="none" w:sz="0" w:space="0" w:color="auto"/>
        <w:right w:val="none" w:sz="0" w:space="0" w:color="auto"/>
      </w:divBdr>
    </w:div>
    <w:div w:id="29038119">
      <w:marLeft w:val="0"/>
      <w:marRight w:val="0"/>
      <w:marTop w:val="180"/>
      <w:marBottom w:val="180"/>
      <w:divBdr>
        <w:top w:val="none" w:sz="0" w:space="0" w:color="auto"/>
        <w:left w:val="none" w:sz="0" w:space="0" w:color="auto"/>
        <w:bottom w:val="none" w:sz="0" w:space="0" w:color="auto"/>
        <w:right w:val="none" w:sz="0" w:space="0" w:color="auto"/>
      </w:divBdr>
    </w:div>
    <w:div w:id="29571546">
      <w:marLeft w:val="0"/>
      <w:marRight w:val="0"/>
      <w:marTop w:val="180"/>
      <w:marBottom w:val="180"/>
      <w:divBdr>
        <w:top w:val="none" w:sz="0" w:space="0" w:color="auto"/>
        <w:left w:val="none" w:sz="0" w:space="0" w:color="auto"/>
        <w:bottom w:val="none" w:sz="0" w:space="0" w:color="auto"/>
        <w:right w:val="none" w:sz="0" w:space="0" w:color="auto"/>
      </w:divBdr>
    </w:div>
    <w:div w:id="30156871">
      <w:marLeft w:val="0"/>
      <w:marRight w:val="0"/>
      <w:marTop w:val="180"/>
      <w:marBottom w:val="180"/>
      <w:divBdr>
        <w:top w:val="none" w:sz="0" w:space="0" w:color="auto"/>
        <w:left w:val="none" w:sz="0" w:space="0" w:color="auto"/>
        <w:bottom w:val="none" w:sz="0" w:space="0" w:color="auto"/>
        <w:right w:val="none" w:sz="0" w:space="0" w:color="auto"/>
      </w:divBdr>
    </w:div>
    <w:div w:id="30569955">
      <w:marLeft w:val="0"/>
      <w:marRight w:val="0"/>
      <w:marTop w:val="180"/>
      <w:marBottom w:val="180"/>
      <w:divBdr>
        <w:top w:val="none" w:sz="0" w:space="0" w:color="auto"/>
        <w:left w:val="none" w:sz="0" w:space="0" w:color="auto"/>
        <w:bottom w:val="none" w:sz="0" w:space="0" w:color="auto"/>
        <w:right w:val="none" w:sz="0" w:space="0" w:color="auto"/>
      </w:divBdr>
    </w:div>
    <w:div w:id="32390989">
      <w:marLeft w:val="0"/>
      <w:marRight w:val="0"/>
      <w:marTop w:val="180"/>
      <w:marBottom w:val="60"/>
      <w:divBdr>
        <w:top w:val="none" w:sz="0" w:space="0" w:color="auto"/>
        <w:left w:val="none" w:sz="0" w:space="0" w:color="auto"/>
        <w:bottom w:val="none" w:sz="0" w:space="0" w:color="auto"/>
        <w:right w:val="none" w:sz="0" w:space="0" w:color="auto"/>
      </w:divBdr>
    </w:div>
    <w:div w:id="32728560">
      <w:marLeft w:val="0"/>
      <w:marRight w:val="0"/>
      <w:marTop w:val="180"/>
      <w:marBottom w:val="180"/>
      <w:divBdr>
        <w:top w:val="none" w:sz="0" w:space="0" w:color="auto"/>
        <w:left w:val="none" w:sz="0" w:space="0" w:color="auto"/>
        <w:bottom w:val="none" w:sz="0" w:space="0" w:color="auto"/>
        <w:right w:val="none" w:sz="0" w:space="0" w:color="auto"/>
      </w:divBdr>
    </w:div>
    <w:div w:id="33235269">
      <w:marLeft w:val="0"/>
      <w:marRight w:val="0"/>
      <w:marTop w:val="180"/>
      <w:marBottom w:val="180"/>
      <w:divBdr>
        <w:top w:val="none" w:sz="0" w:space="0" w:color="auto"/>
        <w:left w:val="none" w:sz="0" w:space="0" w:color="auto"/>
        <w:bottom w:val="none" w:sz="0" w:space="0" w:color="auto"/>
        <w:right w:val="none" w:sz="0" w:space="0" w:color="auto"/>
      </w:divBdr>
    </w:div>
    <w:div w:id="33504395">
      <w:marLeft w:val="0"/>
      <w:marRight w:val="0"/>
      <w:marTop w:val="100"/>
      <w:marBottom w:val="100"/>
      <w:divBdr>
        <w:top w:val="none" w:sz="0" w:space="0" w:color="auto"/>
        <w:left w:val="none" w:sz="0" w:space="0" w:color="auto"/>
        <w:bottom w:val="none" w:sz="0" w:space="0" w:color="auto"/>
        <w:right w:val="none" w:sz="0" w:space="0" w:color="auto"/>
      </w:divBdr>
    </w:div>
    <w:div w:id="33509409">
      <w:marLeft w:val="0"/>
      <w:marRight w:val="0"/>
      <w:marTop w:val="180"/>
      <w:marBottom w:val="180"/>
      <w:divBdr>
        <w:top w:val="none" w:sz="0" w:space="0" w:color="auto"/>
        <w:left w:val="none" w:sz="0" w:space="0" w:color="auto"/>
        <w:bottom w:val="none" w:sz="0" w:space="0" w:color="auto"/>
        <w:right w:val="none" w:sz="0" w:space="0" w:color="auto"/>
      </w:divBdr>
    </w:div>
    <w:div w:id="34889314">
      <w:marLeft w:val="0"/>
      <w:marRight w:val="0"/>
      <w:marTop w:val="180"/>
      <w:marBottom w:val="180"/>
      <w:divBdr>
        <w:top w:val="none" w:sz="0" w:space="0" w:color="auto"/>
        <w:left w:val="none" w:sz="0" w:space="0" w:color="auto"/>
        <w:bottom w:val="none" w:sz="0" w:space="0" w:color="auto"/>
        <w:right w:val="none" w:sz="0" w:space="0" w:color="auto"/>
      </w:divBdr>
    </w:div>
    <w:div w:id="35787646">
      <w:marLeft w:val="0"/>
      <w:marRight w:val="0"/>
      <w:marTop w:val="0"/>
      <w:marBottom w:val="0"/>
      <w:divBdr>
        <w:top w:val="none" w:sz="0" w:space="0" w:color="auto"/>
        <w:left w:val="none" w:sz="0" w:space="0" w:color="auto"/>
        <w:bottom w:val="none" w:sz="0" w:space="0" w:color="auto"/>
        <w:right w:val="none" w:sz="0" w:space="0" w:color="auto"/>
      </w:divBdr>
      <w:divsChild>
        <w:div w:id="372924369">
          <w:marLeft w:val="0"/>
          <w:marRight w:val="0"/>
          <w:marTop w:val="60"/>
          <w:marBottom w:val="60"/>
          <w:divBdr>
            <w:top w:val="none" w:sz="0" w:space="0" w:color="auto"/>
            <w:left w:val="none" w:sz="0" w:space="0" w:color="auto"/>
            <w:bottom w:val="none" w:sz="0" w:space="0" w:color="auto"/>
            <w:right w:val="none" w:sz="0" w:space="0" w:color="auto"/>
          </w:divBdr>
        </w:div>
      </w:divsChild>
    </w:div>
    <w:div w:id="35929614">
      <w:marLeft w:val="0"/>
      <w:marRight w:val="0"/>
      <w:marTop w:val="180"/>
      <w:marBottom w:val="180"/>
      <w:divBdr>
        <w:top w:val="none" w:sz="0" w:space="0" w:color="auto"/>
        <w:left w:val="none" w:sz="0" w:space="0" w:color="auto"/>
        <w:bottom w:val="none" w:sz="0" w:space="0" w:color="auto"/>
        <w:right w:val="none" w:sz="0" w:space="0" w:color="auto"/>
      </w:divBdr>
    </w:div>
    <w:div w:id="36197682">
      <w:marLeft w:val="0"/>
      <w:marRight w:val="0"/>
      <w:marTop w:val="180"/>
      <w:marBottom w:val="180"/>
      <w:divBdr>
        <w:top w:val="none" w:sz="0" w:space="0" w:color="auto"/>
        <w:left w:val="none" w:sz="0" w:space="0" w:color="auto"/>
        <w:bottom w:val="none" w:sz="0" w:space="0" w:color="auto"/>
        <w:right w:val="none" w:sz="0" w:space="0" w:color="auto"/>
      </w:divBdr>
    </w:div>
    <w:div w:id="36242634">
      <w:marLeft w:val="0"/>
      <w:marRight w:val="0"/>
      <w:marTop w:val="0"/>
      <w:marBottom w:val="0"/>
      <w:divBdr>
        <w:top w:val="none" w:sz="0" w:space="0" w:color="auto"/>
        <w:left w:val="none" w:sz="0" w:space="0" w:color="auto"/>
        <w:bottom w:val="none" w:sz="0" w:space="0" w:color="auto"/>
        <w:right w:val="none" w:sz="0" w:space="0" w:color="auto"/>
      </w:divBdr>
      <w:divsChild>
        <w:div w:id="808548347">
          <w:marLeft w:val="0"/>
          <w:marRight w:val="0"/>
          <w:marTop w:val="0"/>
          <w:marBottom w:val="0"/>
          <w:divBdr>
            <w:top w:val="none" w:sz="0" w:space="0" w:color="auto"/>
            <w:left w:val="none" w:sz="0" w:space="0" w:color="auto"/>
            <w:bottom w:val="none" w:sz="0" w:space="0" w:color="auto"/>
            <w:right w:val="none" w:sz="0" w:space="0" w:color="auto"/>
          </w:divBdr>
          <w:divsChild>
            <w:div w:id="9936057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054150">
      <w:marLeft w:val="0"/>
      <w:marRight w:val="0"/>
      <w:marTop w:val="60"/>
      <w:marBottom w:val="60"/>
      <w:divBdr>
        <w:top w:val="none" w:sz="0" w:space="0" w:color="auto"/>
        <w:left w:val="none" w:sz="0" w:space="0" w:color="auto"/>
        <w:bottom w:val="none" w:sz="0" w:space="0" w:color="auto"/>
        <w:right w:val="none" w:sz="0" w:space="0" w:color="auto"/>
      </w:divBdr>
    </w:div>
    <w:div w:id="37358198">
      <w:marLeft w:val="0"/>
      <w:marRight w:val="0"/>
      <w:marTop w:val="0"/>
      <w:marBottom w:val="0"/>
      <w:divBdr>
        <w:top w:val="none" w:sz="0" w:space="0" w:color="auto"/>
        <w:left w:val="none" w:sz="0" w:space="0" w:color="auto"/>
        <w:bottom w:val="none" w:sz="0" w:space="0" w:color="auto"/>
        <w:right w:val="none" w:sz="0" w:space="0" w:color="auto"/>
      </w:divBdr>
    </w:div>
    <w:div w:id="38211307">
      <w:marLeft w:val="0"/>
      <w:marRight w:val="0"/>
      <w:marTop w:val="180"/>
      <w:marBottom w:val="180"/>
      <w:divBdr>
        <w:top w:val="none" w:sz="0" w:space="0" w:color="auto"/>
        <w:left w:val="none" w:sz="0" w:space="0" w:color="auto"/>
        <w:bottom w:val="none" w:sz="0" w:space="0" w:color="auto"/>
        <w:right w:val="none" w:sz="0" w:space="0" w:color="auto"/>
      </w:divBdr>
    </w:div>
    <w:div w:id="38747531">
      <w:marLeft w:val="0"/>
      <w:marRight w:val="0"/>
      <w:marTop w:val="180"/>
      <w:marBottom w:val="180"/>
      <w:divBdr>
        <w:top w:val="none" w:sz="0" w:space="0" w:color="auto"/>
        <w:left w:val="none" w:sz="0" w:space="0" w:color="auto"/>
        <w:bottom w:val="none" w:sz="0" w:space="0" w:color="auto"/>
        <w:right w:val="none" w:sz="0" w:space="0" w:color="auto"/>
      </w:divBdr>
    </w:div>
    <w:div w:id="39986796">
      <w:marLeft w:val="0"/>
      <w:marRight w:val="0"/>
      <w:marTop w:val="100"/>
      <w:marBottom w:val="100"/>
      <w:divBdr>
        <w:top w:val="none" w:sz="0" w:space="0" w:color="auto"/>
        <w:left w:val="none" w:sz="0" w:space="0" w:color="auto"/>
        <w:bottom w:val="none" w:sz="0" w:space="0" w:color="auto"/>
        <w:right w:val="none" w:sz="0" w:space="0" w:color="auto"/>
      </w:divBdr>
      <w:divsChild>
        <w:div w:id="1539851643">
          <w:marLeft w:val="0"/>
          <w:marRight w:val="0"/>
          <w:marTop w:val="0"/>
          <w:marBottom w:val="0"/>
          <w:divBdr>
            <w:top w:val="none" w:sz="0" w:space="0" w:color="auto"/>
            <w:left w:val="none" w:sz="0" w:space="0" w:color="auto"/>
            <w:bottom w:val="none" w:sz="0" w:space="0" w:color="auto"/>
            <w:right w:val="none" w:sz="0" w:space="0" w:color="auto"/>
          </w:divBdr>
        </w:div>
        <w:div w:id="433674750">
          <w:marLeft w:val="0"/>
          <w:marRight w:val="0"/>
          <w:marTop w:val="0"/>
          <w:marBottom w:val="0"/>
          <w:divBdr>
            <w:top w:val="none" w:sz="0" w:space="0" w:color="auto"/>
            <w:left w:val="none" w:sz="0" w:space="0" w:color="auto"/>
            <w:bottom w:val="none" w:sz="0" w:space="0" w:color="auto"/>
            <w:right w:val="none" w:sz="0" w:space="0" w:color="auto"/>
          </w:divBdr>
        </w:div>
      </w:divsChild>
    </w:div>
    <w:div w:id="40985188">
      <w:marLeft w:val="0"/>
      <w:marRight w:val="0"/>
      <w:marTop w:val="180"/>
      <w:marBottom w:val="180"/>
      <w:divBdr>
        <w:top w:val="none" w:sz="0" w:space="0" w:color="auto"/>
        <w:left w:val="none" w:sz="0" w:space="0" w:color="auto"/>
        <w:bottom w:val="none" w:sz="0" w:space="0" w:color="auto"/>
        <w:right w:val="none" w:sz="0" w:space="0" w:color="auto"/>
      </w:divBdr>
    </w:div>
    <w:div w:id="41368353">
      <w:marLeft w:val="0"/>
      <w:marRight w:val="0"/>
      <w:marTop w:val="180"/>
      <w:marBottom w:val="180"/>
      <w:divBdr>
        <w:top w:val="none" w:sz="0" w:space="0" w:color="auto"/>
        <w:left w:val="none" w:sz="0" w:space="0" w:color="auto"/>
        <w:bottom w:val="none" w:sz="0" w:space="0" w:color="auto"/>
        <w:right w:val="none" w:sz="0" w:space="0" w:color="auto"/>
      </w:divBdr>
    </w:div>
    <w:div w:id="41485204">
      <w:marLeft w:val="0"/>
      <w:marRight w:val="0"/>
      <w:marTop w:val="180"/>
      <w:marBottom w:val="180"/>
      <w:divBdr>
        <w:top w:val="none" w:sz="0" w:space="0" w:color="auto"/>
        <w:left w:val="none" w:sz="0" w:space="0" w:color="auto"/>
        <w:bottom w:val="none" w:sz="0" w:space="0" w:color="auto"/>
        <w:right w:val="none" w:sz="0" w:space="0" w:color="auto"/>
      </w:divBdr>
    </w:div>
    <w:div w:id="42489674">
      <w:marLeft w:val="0"/>
      <w:marRight w:val="0"/>
      <w:marTop w:val="100"/>
      <w:marBottom w:val="100"/>
      <w:divBdr>
        <w:top w:val="none" w:sz="0" w:space="0" w:color="auto"/>
        <w:left w:val="none" w:sz="0" w:space="0" w:color="auto"/>
        <w:bottom w:val="none" w:sz="0" w:space="0" w:color="auto"/>
        <w:right w:val="none" w:sz="0" w:space="0" w:color="auto"/>
      </w:divBdr>
    </w:div>
    <w:div w:id="43413631">
      <w:marLeft w:val="0"/>
      <w:marRight w:val="0"/>
      <w:marTop w:val="180"/>
      <w:marBottom w:val="60"/>
      <w:divBdr>
        <w:top w:val="none" w:sz="0" w:space="0" w:color="auto"/>
        <w:left w:val="none" w:sz="0" w:space="0" w:color="auto"/>
        <w:bottom w:val="none" w:sz="0" w:space="0" w:color="auto"/>
        <w:right w:val="none" w:sz="0" w:space="0" w:color="auto"/>
      </w:divBdr>
    </w:div>
    <w:div w:id="43872151">
      <w:marLeft w:val="0"/>
      <w:marRight w:val="0"/>
      <w:marTop w:val="180"/>
      <w:marBottom w:val="180"/>
      <w:divBdr>
        <w:top w:val="none" w:sz="0" w:space="0" w:color="auto"/>
        <w:left w:val="none" w:sz="0" w:space="0" w:color="auto"/>
        <w:bottom w:val="none" w:sz="0" w:space="0" w:color="auto"/>
        <w:right w:val="none" w:sz="0" w:space="0" w:color="auto"/>
      </w:divBdr>
    </w:div>
    <w:div w:id="44573403">
      <w:marLeft w:val="0"/>
      <w:marRight w:val="0"/>
      <w:marTop w:val="180"/>
      <w:marBottom w:val="180"/>
      <w:divBdr>
        <w:top w:val="none" w:sz="0" w:space="0" w:color="auto"/>
        <w:left w:val="none" w:sz="0" w:space="0" w:color="auto"/>
        <w:bottom w:val="none" w:sz="0" w:space="0" w:color="auto"/>
        <w:right w:val="none" w:sz="0" w:space="0" w:color="auto"/>
      </w:divBdr>
    </w:div>
    <w:div w:id="45614427">
      <w:marLeft w:val="0"/>
      <w:marRight w:val="0"/>
      <w:marTop w:val="100"/>
      <w:marBottom w:val="100"/>
      <w:divBdr>
        <w:top w:val="none" w:sz="0" w:space="0" w:color="auto"/>
        <w:left w:val="none" w:sz="0" w:space="0" w:color="auto"/>
        <w:bottom w:val="none" w:sz="0" w:space="0" w:color="auto"/>
        <w:right w:val="none" w:sz="0" w:space="0" w:color="auto"/>
      </w:divBdr>
      <w:divsChild>
        <w:div w:id="189421393">
          <w:marLeft w:val="0"/>
          <w:marRight w:val="0"/>
          <w:marTop w:val="0"/>
          <w:marBottom w:val="0"/>
          <w:divBdr>
            <w:top w:val="none" w:sz="0" w:space="0" w:color="auto"/>
            <w:left w:val="none" w:sz="0" w:space="0" w:color="auto"/>
            <w:bottom w:val="none" w:sz="0" w:space="0" w:color="auto"/>
            <w:right w:val="none" w:sz="0" w:space="0" w:color="auto"/>
          </w:divBdr>
        </w:div>
        <w:div w:id="1745180116">
          <w:marLeft w:val="0"/>
          <w:marRight w:val="0"/>
          <w:marTop w:val="0"/>
          <w:marBottom w:val="0"/>
          <w:divBdr>
            <w:top w:val="none" w:sz="0" w:space="0" w:color="auto"/>
            <w:left w:val="none" w:sz="0" w:space="0" w:color="auto"/>
            <w:bottom w:val="none" w:sz="0" w:space="0" w:color="auto"/>
            <w:right w:val="none" w:sz="0" w:space="0" w:color="auto"/>
          </w:divBdr>
        </w:div>
      </w:divsChild>
    </w:div>
    <w:div w:id="47992952">
      <w:marLeft w:val="0"/>
      <w:marRight w:val="0"/>
      <w:marTop w:val="180"/>
      <w:marBottom w:val="180"/>
      <w:divBdr>
        <w:top w:val="none" w:sz="0" w:space="0" w:color="auto"/>
        <w:left w:val="none" w:sz="0" w:space="0" w:color="auto"/>
        <w:bottom w:val="none" w:sz="0" w:space="0" w:color="auto"/>
        <w:right w:val="none" w:sz="0" w:space="0" w:color="auto"/>
      </w:divBdr>
    </w:div>
    <w:div w:id="48191883">
      <w:marLeft w:val="0"/>
      <w:marRight w:val="0"/>
      <w:marTop w:val="180"/>
      <w:marBottom w:val="180"/>
      <w:divBdr>
        <w:top w:val="none" w:sz="0" w:space="0" w:color="auto"/>
        <w:left w:val="none" w:sz="0" w:space="0" w:color="auto"/>
        <w:bottom w:val="none" w:sz="0" w:space="0" w:color="auto"/>
        <w:right w:val="none" w:sz="0" w:space="0" w:color="auto"/>
      </w:divBdr>
    </w:div>
    <w:div w:id="48379385">
      <w:marLeft w:val="0"/>
      <w:marRight w:val="0"/>
      <w:marTop w:val="180"/>
      <w:marBottom w:val="180"/>
      <w:divBdr>
        <w:top w:val="none" w:sz="0" w:space="0" w:color="auto"/>
        <w:left w:val="none" w:sz="0" w:space="0" w:color="auto"/>
        <w:bottom w:val="none" w:sz="0" w:space="0" w:color="auto"/>
        <w:right w:val="none" w:sz="0" w:space="0" w:color="auto"/>
      </w:divBdr>
    </w:div>
    <w:div w:id="48652424">
      <w:marLeft w:val="0"/>
      <w:marRight w:val="0"/>
      <w:marTop w:val="180"/>
      <w:marBottom w:val="180"/>
      <w:divBdr>
        <w:top w:val="none" w:sz="0" w:space="0" w:color="auto"/>
        <w:left w:val="none" w:sz="0" w:space="0" w:color="auto"/>
        <w:bottom w:val="none" w:sz="0" w:space="0" w:color="auto"/>
        <w:right w:val="none" w:sz="0" w:space="0" w:color="auto"/>
      </w:divBdr>
    </w:div>
    <w:div w:id="49768384">
      <w:marLeft w:val="0"/>
      <w:marRight w:val="0"/>
      <w:marTop w:val="60"/>
      <w:marBottom w:val="60"/>
      <w:divBdr>
        <w:top w:val="none" w:sz="0" w:space="0" w:color="auto"/>
        <w:left w:val="none" w:sz="0" w:space="0" w:color="auto"/>
        <w:bottom w:val="none" w:sz="0" w:space="0" w:color="auto"/>
        <w:right w:val="none" w:sz="0" w:space="0" w:color="auto"/>
      </w:divBdr>
    </w:div>
    <w:div w:id="50352505">
      <w:marLeft w:val="0"/>
      <w:marRight w:val="0"/>
      <w:marTop w:val="180"/>
      <w:marBottom w:val="180"/>
      <w:divBdr>
        <w:top w:val="none" w:sz="0" w:space="0" w:color="auto"/>
        <w:left w:val="none" w:sz="0" w:space="0" w:color="auto"/>
        <w:bottom w:val="none" w:sz="0" w:space="0" w:color="auto"/>
        <w:right w:val="none" w:sz="0" w:space="0" w:color="auto"/>
      </w:divBdr>
    </w:div>
    <w:div w:id="50616065">
      <w:marLeft w:val="0"/>
      <w:marRight w:val="0"/>
      <w:marTop w:val="0"/>
      <w:marBottom w:val="0"/>
      <w:divBdr>
        <w:top w:val="none" w:sz="0" w:space="0" w:color="auto"/>
        <w:left w:val="none" w:sz="0" w:space="0" w:color="auto"/>
        <w:bottom w:val="none" w:sz="0" w:space="0" w:color="auto"/>
        <w:right w:val="none" w:sz="0" w:space="0" w:color="auto"/>
      </w:divBdr>
    </w:div>
    <w:div w:id="51075854">
      <w:marLeft w:val="0"/>
      <w:marRight w:val="0"/>
      <w:marTop w:val="0"/>
      <w:marBottom w:val="0"/>
      <w:divBdr>
        <w:top w:val="none" w:sz="0" w:space="0" w:color="auto"/>
        <w:left w:val="none" w:sz="0" w:space="0" w:color="auto"/>
        <w:bottom w:val="none" w:sz="0" w:space="0" w:color="auto"/>
        <w:right w:val="none" w:sz="0" w:space="0" w:color="auto"/>
      </w:divBdr>
      <w:divsChild>
        <w:div w:id="198709626">
          <w:marLeft w:val="0"/>
          <w:marRight w:val="0"/>
          <w:marTop w:val="180"/>
          <w:marBottom w:val="180"/>
          <w:divBdr>
            <w:top w:val="none" w:sz="0" w:space="0" w:color="auto"/>
            <w:left w:val="none" w:sz="0" w:space="0" w:color="auto"/>
            <w:bottom w:val="none" w:sz="0" w:space="0" w:color="auto"/>
            <w:right w:val="none" w:sz="0" w:space="0" w:color="auto"/>
          </w:divBdr>
        </w:div>
      </w:divsChild>
    </w:div>
    <w:div w:id="51849056">
      <w:marLeft w:val="0"/>
      <w:marRight w:val="0"/>
      <w:marTop w:val="180"/>
      <w:marBottom w:val="180"/>
      <w:divBdr>
        <w:top w:val="none" w:sz="0" w:space="0" w:color="auto"/>
        <w:left w:val="none" w:sz="0" w:space="0" w:color="auto"/>
        <w:bottom w:val="none" w:sz="0" w:space="0" w:color="auto"/>
        <w:right w:val="none" w:sz="0" w:space="0" w:color="auto"/>
      </w:divBdr>
    </w:div>
    <w:div w:id="53428113">
      <w:marLeft w:val="0"/>
      <w:marRight w:val="0"/>
      <w:marTop w:val="60"/>
      <w:marBottom w:val="60"/>
      <w:divBdr>
        <w:top w:val="none" w:sz="0" w:space="0" w:color="auto"/>
        <w:left w:val="none" w:sz="0" w:space="0" w:color="auto"/>
        <w:bottom w:val="none" w:sz="0" w:space="0" w:color="auto"/>
        <w:right w:val="none" w:sz="0" w:space="0" w:color="auto"/>
      </w:divBdr>
    </w:div>
    <w:div w:id="54553002">
      <w:marLeft w:val="0"/>
      <w:marRight w:val="0"/>
      <w:marTop w:val="180"/>
      <w:marBottom w:val="180"/>
      <w:divBdr>
        <w:top w:val="none" w:sz="0" w:space="0" w:color="auto"/>
        <w:left w:val="none" w:sz="0" w:space="0" w:color="auto"/>
        <w:bottom w:val="none" w:sz="0" w:space="0" w:color="auto"/>
        <w:right w:val="none" w:sz="0" w:space="0" w:color="auto"/>
      </w:divBdr>
    </w:div>
    <w:div w:id="54740177">
      <w:marLeft w:val="0"/>
      <w:marRight w:val="0"/>
      <w:marTop w:val="180"/>
      <w:marBottom w:val="180"/>
      <w:divBdr>
        <w:top w:val="none" w:sz="0" w:space="0" w:color="auto"/>
        <w:left w:val="none" w:sz="0" w:space="0" w:color="auto"/>
        <w:bottom w:val="none" w:sz="0" w:space="0" w:color="auto"/>
        <w:right w:val="none" w:sz="0" w:space="0" w:color="auto"/>
      </w:divBdr>
    </w:div>
    <w:div w:id="57023471">
      <w:marLeft w:val="0"/>
      <w:marRight w:val="0"/>
      <w:marTop w:val="180"/>
      <w:marBottom w:val="180"/>
      <w:divBdr>
        <w:top w:val="none" w:sz="0" w:space="0" w:color="auto"/>
        <w:left w:val="none" w:sz="0" w:space="0" w:color="auto"/>
        <w:bottom w:val="none" w:sz="0" w:space="0" w:color="auto"/>
        <w:right w:val="none" w:sz="0" w:space="0" w:color="auto"/>
      </w:divBdr>
    </w:div>
    <w:div w:id="58016752">
      <w:marLeft w:val="0"/>
      <w:marRight w:val="0"/>
      <w:marTop w:val="60"/>
      <w:marBottom w:val="60"/>
      <w:divBdr>
        <w:top w:val="none" w:sz="0" w:space="0" w:color="auto"/>
        <w:left w:val="none" w:sz="0" w:space="0" w:color="auto"/>
        <w:bottom w:val="none" w:sz="0" w:space="0" w:color="auto"/>
        <w:right w:val="none" w:sz="0" w:space="0" w:color="auto"/>
      </w:divBdr>
    </w:div>
    <w:div w:id="58600742">
      <w:marLeft w:val="0"/>
      <w:marRight w:val="0"/>
      <w:marTop w:val="180"/>
      <w:marBottom w:val="180"/>
      <w:divBdr>
        <w:top w:val="none" w:sz="0" w:space="0" w:color="auto"/>
        <w:left w:val="none" w:sz="0" w:space="0" w:color="auto"/>
        <w:bottom w:val="none" w:sz="0" w:space="0" w:color="auto"/>
        <w:right w:val="none" w:sz="0" w:space="0" w:color="auto"/>
      </w:divBdr>
    </w:div>
    <w:div w:id="59137261">
      <w:marLeft w:val="0"/>
      <w:marRight w:val="0"/>
      <w:marTop w:val="180"/>
      <w:marBottom w:val="60"/>
      <w:divBdr>
        <w:top w:val="none" w:sz="0" w:space="0" w:color="auto"/>
        <w:left w:val="none" w:sz="0" w:space="0" w:color="auto"/>
        <w:bottom w:val="none" w:sz="0" w:space="0" w:color="auto"/>
        <w:right w:val="none" w:sz="0" w:space="0" w:color="auto"/>
      </w:divBdr>
    </w:div>
    <w:div w:id="59330802">
      <w:marLeft w:val="0"/>
      <w:marRight w:val="0"/>
      <w:marTop w:val="0"/>
      <w:marBottom w:val="0"/>
      <w:divBdr>
        <w:top w:val="none" w:sz="0" w:space="0" w:color="auto"/>
        <w:left w:val="none" w:sz="0" w:space="0" w:color="auto"/>
        <w:bottom w:val="none" w:sz="0" w:space="0" w:color="auto"/>
        <w:right w:val="none" w:sz="0" w:space="0" w:color="auto"/>
      </w:divBdr>
    </w:div>
    <w:div w:id="60253280">
      <w:marLeft w:val="0"/>
      <w:marRight w:val="0"/>
      <w:marTop w:val="180"/>
      <w:marBottom w:val="180"/>
      <w:divBdr>
        <w:top w:val="none" w:sz="0" w:space="0" w:color="auto"/>
        <w:left w:val="none" w:sz="0" w:space="0" w:color="auto"/>
        <w:bottom w:val="none" w:sz="0" w:space="0" w:color="auto"/>
        <w:right w:val="none" w:sz="0" w:space="0" w:color="auto"/>
      </w:divBdr>
    </w:div>
    <w:div w:id="60687542">
      <w:marLeft w:val="0"/>
      <w:marRight w:val="0"/>
      <w:marTop w:val="180"/>
      <w:marBottom w:val="180"/>
      <w:divBdr>
        <w:top w:val="none" w:sz="0" w:space="0" w:color="auto"/>
        <w:left w:val="none" w:sz="0" w:space="0" w:color="auto"/>
        <w:bottom w:val="none" w:sz="0" w:space="0" w:color="auto"/>
        <w:right w:val="none" w:sz="0" w:space="0" w:color="auto"/>
      </w:divBdr>
    </w:div>
    <w:div w:id="61031475">
      <w:marLeft w:val="0"/>
      <w:marRight w:val="0"/>
      <w:marTop w:val="60"/>
      <w:marBottom w:val="60"/>
      <w:divBdr>
        <w:top w:val="none" w:sz="0" w:space="0" w:color="auto"/>
        <w:left w:val="none" w:sz="0" w:space="0" w:color="auto"/>
        <w:bottom w:val="none" w:sz="0" w:space="0" w:color="auto"/>
        <w:right w:val="none" w:sz="0" w:space="0" w:color="auto"/>
      </w:divBdr>
    </w:div>
    <w:div w:id="62411703">
      <w:marLeft w:val="0"/>
      <w:marRight w:val="0"/>
      <w:marTop w:val="180"/>
      <w:marBottom w:val="60"/>
      <w:divBdr>
        <w:top w:val="none" w:sz="0" w:space="0" w:color="auto"/>
        <w:left w:val="none" w:sz="0" w:space="0" w:color="auto"/>
        <w:bottom w:val="none" w:sz="0" w:space="0" w:color="auto"/>
        <w:right w:val="none" w:sz="0" w:space="0" w:color="auto"/>
      </w:divBdr>
    </w:div>
    <w:div w:id="62458695">
      <w:marLeft w:val="0"/>
      <w:marRight w:val="0"/>
      <w:marTop w:val="180"/>
      <w:marBottom w:val="180"/>
      <w:divBdr>
        <w:top w:val="none" w:sz="0" w:space="0" w:color="auto"/>
        <w:left w:val="none" w:sz="0" w:space="0" w:color="auto"/>
        <w:bottom w:val="none" w:sz="0" w:space="0" w:color="auto"/>
        <w:right w:val="none" w:sz="0" w:space="0" w:color="auto"/>
      </w:divBdr>
    </w:div>
    <w:div w:id="65541484">
      <w:marLeft w:val="0"/>
      <w:marRight w:val="0"/>
      <w:marTop w:val="180"/>
      <w:marBottom w:val="180"/>
      <w:divBdr>
        <w:top w:val="none" w:sz="0" w:space="0" w:color="auto"/>
        <w:left w:val="none" w:sz="0" w:space="0" w:color="auto"/>
        <w:bottom w:val="none" w:sz="0" w:space="0" w:color="auto"/>
        <w:right w:val="none" w:sz="0" w:space="0" w:color="auto"/>
      </w:divBdr>
    </w:div>
    <w:div w:id="65615296">
      <w:marLeft w:val="0"/>
      <w:marRight w:val="0"/>
      <w:marTop w:val="0"/>
      <w:marBottom w:val="0"/>
      <w:divBdr>
        <w:top w:val="none" w:sz="0" w:space="0" w:color="auto"/>
        <w:left w:val="none" w:sz="0" w:space="0" w:color="auto"/>
        <w:bottom w:val="none" w:sz="0" w:space="0" w:color="auto"/>
        <w:right w:val="none" w:sz="0" w:space="0" w:color="auto"/>
      </w:divBdr>
      <w:divsChild>
        <w:div w:id="1868257243">
          <w:marLeft w:val="0"/>
          <w:marRight w:val="0"/>
          <w:marTop w:val="60"/>
          <w:marBottom w:val="60"/>
          <w:divBdr>
            <w:top w:val="none" w:sz="0" w:space="0" w:color="auto"/>
            <w:left w:val="none" w:sz="0" w:space="0" w:color="auto"/>
            <w:bottom w:val="none" w:sz="0" w:space="0" w:color="auto"/>
            <w:right w:val="none" w:sz="0" w:space="0" w:color="auto"/>
          </w:divBdr>
        </w:div>
      </w:divsChild>
    </w:div>
    <w:div w:id="65929332">
      <w:marLeft w:val="0"/>
      <w:marRight w:val="0"/>
      <w:marTop w:val="60"/>
      <w:marBottom w:val="60"/>
      <w:divBdr>
        <w:top w:val="none" w:sz="0" w:space="0" w:color="auto"/>
        <w:left w:val="none" w:sz="0" w:space="0" w:color="auto"/>
        <w:bottom w:val="none" w:sz="0" w:space="0" w:color="auto"/>
        <w:right w:val="none" w:sz="0" w:space="0" w:color="auto"/>
      </w:divBdr>
    </w:div>
    <w:div w:id="66656539">
      <w:marLeft w:val="0"/>
      <w:marRight w:val="0"/>
      <w:marTop w:val="180"/>
      <w:marBottom w:val="180"/>
      <w:divBdr>
        <w:top w:val="none" w:sz="0" w:space="0" w:color="auto"/>
        <w:left w:val="none" w:sz="0" w:space="0" w:color="auto"/>
        <w:bottom w:val="none" w:sz="0" w:space="0" w:color="auto"/>
        <w:right w:val="none" w:sz="0" w:space="0" w:color="auto"/>
      </w:divBdr>
    </w:div>
    <w:div w:id="68427249">
      <w:marLeft w:val="0"/>
      <w:marRight w:val="0"/>
      <w:marTop w:val="180"/>
      <w:marBottom w:val="180"/>
      <w:divBdr>
        <w:top w:val="none" w:sz="0" w:space="0" w:color="auto"/>
        <w:left w:val="none" w:sz="0" w:space="0" w:color="auto"/>
        <w:bottom w:val="none" w:sz="0" w:space="0" w:color="auto"/>
        <w:right w:val="none" w:sz="0" w:space="0" w:color="auto"/>
      </w:divBdr>
    </w:div>
    <w:div w:id="68501768">
      <w:marLeft w:val="0"/>
      <w:marRight w:val="0"/>
      <w:marTop w:val="0"/>
      <w:marBottom w:val="0"/>
      <w:divBdr>
        <w:top w:val="none" w:sz="0" w:space="0" w:color="auto"/>
        <w:left w:val="none" w:sz="0" w:space="0" w:color="auto"/>
        <w:bottom w:val="none" w:sz="0" w:space="0" w:color="auto"/>
        <w:right w:val="none" w:sz="0" w:space="0" w:color="auto"/>
      </w:divBdr>
    </w:div>
    <w:div w:id="68501881">
      <w:marLeft w:val="0"/>
      <w:marRight w:val="0"/>
      <w:marTop w:val="180"/>
      <w:marBottom w:val="180"/>
      <w:divBdr>
        <w:top w:val="none" w:sz="0" w:space="0" w:color="auto"/>
        <w:left w:val="none" w:sz="0" w:space="0" w:color="auto"/>
        <w:bottom w:val="none" w:sz="0" w:space="0" w:color="auto"/>
        <w:right w:val="none" w:sz="0" w:space="0" w:color="auto"/>
      </w:divBdr>
    </w:div>
    <w:div w:id="69929850">
      <w:marLeft w:val="0"/>
      <w:marRight w:val="0"/>
      <w:marTop w:val="100"/>
      <w:marBottom w:val="100"/>
      <w:divBdr>
        <w:top w:val="none" w:sz="0" w:space="0" w:color="auto"/>
        <w:left w:val="none" w:sz="0" w:space="0" w:color="auto"/>
        <w:bottom w:val="none" w:sz="0" w:space="0" w:color="auto"/>
        <w:right w:val="none" w:sz="0" w:space="0" w:color="auto"/>
      </w:divBdr>
      <w:divsChild>
        <w:div w:id="1303927434">
          <w:marLeft w:val="0"/>
          <w:marRight w:val="0"/>
          <w:marTop w:val="0"/>
          <w:marBottom w:val="0"/>
          <w:divBdr>
            <w:top w:val="none" w:sz="0" w:space="0" w:color="auto"/>
            <w:left w:val="none" w:sz="0" w:space="0" w:color="auto"/>
            <w:bottom w:val="none" w:sz="0" w:space="0" w:color="auto"/>
            <w:right w:val="none" w:sz="0" w:space="0" w:color="auto"/>
          </w:divBdr>
        </w:div>
        <w:div w:id="1958177439">
          <w:marLeft w:val="0"/>
          <w:marRight w:val="0"/>
          <w:marTop w:val="0"/>
          <w:marBottom w:val="0"/>
          <w:divBdr>
            <w:top w:val="none" w:sz="0" w:space="0" w:color="auto"/>
            <w:left w:val="none" w:sz="0" w:space="0" w:color="auto"/>
            <w:bottom w:val="none" w:sz="0" w:space="0" w:color="auto"/>
            <w:right w:val="none" w:sz="0" w:space="0" w:color="auto"/>
          </w:divBdr>
        </w:div>
      </w:divsChild>
    </w:div>
    <w:div w:id="70394890">
      <w:marLeft w:val="0"/>
      <w:marRight w:val="0"/>
      <w:marTop w:val="240"/>
      <w:marBottom w:val="180"/>
      <w:divBdr>
        <w:top w:val="none" w:sz="0" w:space="0" w:color="auto"/>
        <w:left w:val="none" w:sz="0" w:space="0" w:color="auto"/>
        <w:bottom w:val="none" w:sz="0" w:space="0" w:color="auto"/>
        <w:right w:val="none" w:sz="0" w:space="0" w:color="auto"/>
      </w:divBdr>
    </w:div>
    <w:div w:id="70583630">
      <w:marLeft w:val="0"/>
      <w:marRight w:val="0"/>
      <w:marTop w:val="180"/>
      <w:marBottom w:val="180"/>
      <w:divBdr>
        <w:top w:val="none" w:sz="0" w:space="0" w:color="auto"/>
        <w:left w:val="none" w:sz="0" w:space="0" w:color="auto"/>
        <w:bottom w:val="none" w:sz="0" w:space="0" w:color="auto"/>
        <w:right w:val="none" w:sz="0" w:space="0" w:color="auto"/>
      </w:divBdr>
    </w:div>
    <w:div w:id="70660373">
      <w:marLeft w:val="0"/>
      <w:marRight w:val="0"/>
      <w:marTop w:val="180"/>
      <w:marBottom w:val="180"/>
      <w:divBdr>
        <w:top w:val="none" w:sz="0" w:space="0" w:color="auto"/>
        <w:left w:val="none" w:sz="0" w:space="0" w:color="auto"/>
        <w:bottom w:val="none" w:sz="0" w:space="0" w:color="auto"/>
        <w:right w:val="none" w:sz="0" w:space="0" w:color="auto"/>
      </w:divBdr>
    </w:div>
    <w:div w:id="74018890">
      <w:marLeft w:val="0"/>
      <w:marRight w:val="0"/>
      <w:marTop w:val="180"/>
      <w:marBottom w:val="180"/>
      <w:divBdr>
        <w:top w:val="none" w:sz="0" w:space="0" w:color="auto"/>
        <w:left w:val="none" w:sz="0" w:space="0" w:color="auto"/>
        <w:bottom w:val="none" w:sz="0" w:space="0" w:color="auto"/>
        <w:right w:val="none" w:sz="0" w:space="0" w:color="auto"/>
      </w:divBdr>
    </w:div>
    <w:div w:id="74253765">
      <w:marLeft w:val="0"/>
      <w:marRight w:val="0"/>
      <w:marTop w:val="180"/>
      <w:marBottom w:val="60"/>
      <w:divBdr>
        <w:top w:val="none" w:sz="0" w:space="0" w:color="auto"/>
        <w:left w:val="none" w:sz="0" w:space="0" w:color="auto"/>
        <w:bottom w:val="none" w:sz="0" w:space="0" w:color="auto"/>
        <w:right w:val="none" w:sz="0" w:space="0" w:color="auto"/>
      </w:divBdr>
    </w:div>
    <w:div w:id="74934863">
      <w:marLeft w:val="0"/>
      <w:marRight w:val="0"/>
      <w:marTop w:val="100"/>
      <w:marBottom w:val="0"/>
      <w:divBdr>
        <w:top w:val="none" w:sz="0" w:space="0" w:color="auto"/>
        <w:left w:val="none" w:sz="0" w:space="0" w:color="auto"/>
        <w:bottom w:val="none" w:sz="0" w:space="0" w:color="auto"/>
        <w:right w:val="none" w:sz="0" w:space="0" w:color="auto"/>
      </w:divBdr>
    </w:div>
    <w:div w:id="75058144">
      <w:marLeft w:val="0"/>
      <w:marRight w:val="0"/>
      <w:marTop w:val="180"/>
      <w:marBottom w:val="180"/>
      <w:divBdr>
        <w:top w:val="none" w:sz="0" w:space="0" w:color="auto"/>
        <w:left w:val="none" w:sz="0" w:space="0" w:color="auto"/>
        <w:bottom w:val="none" w:sz="0" w:space="0" w:color="auto"/>
        <w:right w:val="none" w:sz="0" w:space="0" w:color="auto"/>
      </w:divBdr>
    </w:div>
    <w:div w:id="77139912">
      <w:marLeft w:val="0"/>
      <w:marRight w:val="0"/>
      <w:marTop w:val="180"/>
      <w:marBottom w:val="180"/>
      <w:divBdr>
        <w:top w:val="none" w:sz="0" w:space="0" w:color="auto"/>
        <w:left w:val="none" w:sz="0" w:space="0" w:color="auto"/>
        <w:bottom w:val="none" w:sz="0" w:space="0" w:color="auto"/>
        <w:right w:val="none" w:sz="0" w:space="0" w:color="auto"/>
      </w:divBdr>
    </w:div>
    <w:div w:id="78406907">
      <w:marLeft w:val="0"/>
      <w:marRight w:val="0"/>
      <w:marTop w:val="180"/>
      <w:marBottom w:val="180"/>
      <w:divBdr>
        <w:top w:val="none" w:sz="0" w:space="0" w:color="auto"/>
        <w:left w:val="none" w:sz="0" w:space="0" w:color="auto"/>
        <w:bottom w:val="none" w:sz="0" w:space="0" w:color="auto"/>
        <w:right w:val="none" w:sz="0" w:space="0" w:color="auto"/>
      </w:divBdr>
    </w:div>
    <w:div w:id="78989698">
      <w:marLeft w:val="0"/>
      <w:marRight w:val="0"/>
      <w:marTop w:val="180"/>
      <w:marBottom w:val="100"/>
      <w:divBdr>
        <w:top w:val="none" w:sz="0" w:space="0" w:color="auto"/>
        <w:left w:val="none" w:sz="0" w:space="0" w:color="auto"/>
        <w:bottom w:val="none" w:sz="0" w:space="0" w:color="auto"/>
        <w:right w:val="none" w:sz="0" w:space="0" w:color="auto"/>
      </w:divBdr>
    </w:div>
    <w:div w:id="79986240">
      <w:marLeft w:val="0"/>
      <w:marRight w:val="0"/>
      <w:marTop w:val="180"/>
      <w:marBottom w:val="60"/>
      <w:divBdr>
        <w:top w:val="none" w:sz="0" w:space="0" w:color="auto"/>
        <w:left w:val="none" w:sz="0" w:space="0" w:color="auto"/>
        <w:bottom w:val="none" w:sz="0" w:space="0" w:color="auto"/>
        <w:right w:val="none" w:sz="0" w:space="0" w:color="auto"/>
      </w:divBdr>
    </w:div>
    <w:div w:id="80100551">
      <w:marLeft w:val="0"/>
      <w:marRight w:val="0"/>
      <w:marTop w:val="0"/>
      <w:marBottom w:val="0"/>
      <w:divBdr>
        <w:top w:val="none" w:sz="0" w:space="0" w:color="auto"/>
        <w:left w:val="none" w:sz="0" w:space="0" w:color="auto"/>
        <w:bottom w:val="none" w:sz="0" w:space="0" w:color="auto"/>
        <w:right w:val="none" w:sz="0" w:space="0" w:color="auto"/>
      </w:divBdr>
      <w:divsChild>
        <w:div w:id="1071273330">
          <w:marLeft w:val="0"/>
          <w:marRight w:val="0"/>
          <w:marTop w:val="0"/>
          <w:marBottom w:val="0"/>
          <w:divBdr>
            <w:top w:val="none" w:sz="0" w:space="0" w:color="auto"/>
            <w:left w:val="none" w:sz="0" w:space="0" w:color="auto"/>
            <w:bottom w:val="none" w:sz="0" w:space="0" w:color="auto"/>
            <w:right w:val="none" w:sz="0" w:space="0" w:color="auto"/>
          </w:divBdr>
          <w:divsChild>
            <w:div w:id="7519722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144453">
      <w:marLeft w:val="0"/>
      <w:marRight w:val="0"/>
      <w:marTop w:val="60"/>
      <w:marBottom w:val="60"/>
      <w:divBdr>
        <w:top w:val="none" w:sz="0" w:space="0" w:color="auto"/>
        <w:left w:val="none" w:sz="0" w:space="0" w:color="auto"/>
        <w:bottom w:val="none" w:sz="0" w:space="0" w:color="auto"/>
        <w:right w:val="none" w:sz="0" w:space="0" w:color="auto"/>
      </w:divBdr>
    </w:div>
    <w:div w:id="81149739">
      <w:marLeft w:val="0"/>
      <w:marRight w:val="0"/>
      <w:marTop w:val="100"/>
      <w:marBottom w:val="0"/>
      <w:divBdr>
        <w:top w:val="none" w:sz="0" w:space="0" w:color="auto"/>
        <w:left w:val="none" w:sz="0" w:space="0" w:color="auto"/>
        <w:bottom w:val="none" w:sz="0" w:space="0" w:color="auto"/>
        <w:right w:val="none" w:sz="0" w:space="0" w:color="auto"/>
      </w:divBdr>
    </w:div>
    <w:div w:id="81220263">
      <w:marLeft w:val="0"/>
      <w:marRight w:val="0"/>
      <w:marTop w:val="100"/>
      <w:marBottom w:val="100"/>
      <w:divBdr>
        <w:top w:val="none" w:sz="0" w:space="0" w:color="auto"/>
        <w:left w:val="none" w:sz="0" w:space="0" w:color="auto"/>
        <w:bottom w:val="none" w:sz="0" w:space="0" w:color="auto"/>
        <w:right w:val="none" w:sz="0" w:space="0" w:color="auto"/>
      </w:divBdr>
      <w:divsChild>
        <w:div w:id="1150439095">
          <w:marLeft w:val="0"/>
          <w:marRight w:val="0"/>
          <w:marTop w:val="0"/>
          <w:marBottom w:val="0"/>
          <w:divBdr>
            <w:top w:val="none" w:sz="0" w:space="0" w:color="auto"/>
            <w:left w:val="none" w:sz="0" w:space="0" w:color="auto"/>
            <w:bottom w:val="none" w:sz="0" w:space="0" w:color="auto"/>
            <w:right w:val="none" w:sz="0" w:space="0" w:color="auto"/>
          </w:divBdr>
        </w:div>
        <w:div w:id="1714379832">
          <w:marLeft w:val="0"/>
          <w:marRight w:val="0"/>
          <w:marTop w:val="0"/>
          <w:marBottom w:val="0"/>
          <w:divBdr>
            <w:top w:val="none" w:sz="0" w:space="0" w:color="auto"/>
            <w:left w:val="none" w:sz="0" w:space="0" w:color="auto"/>
            <w:bottom w:val="none" w:sz="0" w:space="0" w:color="auto"/>
            <w:right w:val="none" w:sz="0" w:space="0" w:color="auto"/>
          </w:divBdr>
        </w:div>
        <w:div w:id="2110198170">
          <w:marLeft w:val="0"/>
          <w:marRight w:val="0"/>
          <w:marTop w:val="0"/>
          <w:marBottom w:val="0"/>
          <w:divBdr>
            <w:top w:val="none" w:sz="0" w:space="0" w:color="auto"/>
            <w:left w:val="none" w:sz="0" w:space="0" w:color="auto"/>
            <w:bottom w:val="none" w:sz="0" w:space="0" w:color="auto"/>
            <w:right w:val="none" w:sz="0" w:space="0" w:color="auto"/>
          </w:divBdr>
        </w:div>
        <w:div w:id="1487285870">
          <w:marLeft w:val="0"/>
          <w:marRight w:val="0"/>
          <w:marTop w:val="0"/>
          <w:marBottom w:val="0"/>
          <w:divBdr>
            <w:top w:val="none" w:sz="0" w:space="0" w:color="auto"/>
            <w:left w:val="none" w:sz="0" w:space="0" w:color="auto"/>
            <w:bottom w:val="none" w:sz="0" w:space="0" w:color="auto"/>
            <w:right w:val="none" w:sz="0" w:space="0" w:color="auto"/>
          </w:divBdr>
        </w:div>
        <w:div w:id="1377655693">
          <w:marLeft w:val="0"/>
          <w:marRight w:val="0"/>
          <w:marTop w:val="0"/>
          <w:marBottom w:val="0"/>
          <w:divBdr>
            <w:top w:val="none" w:sz="0" w:space="0" w:color="auto"/>
            <w:left w:val="none" w:sz="0" w:space="0" w:color="auto"/>
            <w:bottom w:val="none" w:sz="0" w:space="0" w:color="auto"/>
            <w:right w:val="none" w:sz="0" w:space="0" w:color="auto"/>
          </w:divBdr>
        </w:div>
      </w:divsChild>
    </w:div>
    <w:div w:id="81267511">
      <w:marLeft w:val="0"/>
      <w:marRight w:val="0"/>
      <w:marTop w:val="180"/>
      <w:marBottom w:val="180"/>
      <w:divBdr>
        <w:top w:val="none" w:sz="0" w:space="0" w:color="auto"/>
        <w:left w:val="none" w:sz="0" w:space="0" w:color="auto"/>
        <w:bottom w:val="none" w:sz="0" w:space="0" w:color="auto"/>
        <w:right w:val="none" w:sz="0" w:space="0" w:color="auto"/>
      </w:divBdr>
    </w:div>
    <w:div w:id="82339893">
      <w:marLeft w:val="0"/>
      <w:marRight w:val="0"/>
      <w:marTop w:val="0"/>
      <w:marBottom w:val="0"/>
      <w:divBdr>
        <w:top w:val="none" w:sz="0" w:space="0" w:color="auto"/>
        <w:left w:val="none" w:sz="0" w:space="0" w:color="auto"/>
        <w:bottom w:val="none" w:sz="0" w:space="0" w:color="auto"/>
        <w:right w:val="none" w:sz="0" w:space="0" w:color="auto"/>
      </w:divBdr>
      <w:divsChild>
        <w:div w:id="1607537235">
          <w:marLeft w:val="0"/>
          <w:marRight w:val="0"/>
          <w:marTop w:val="60"/>
          <w:marBottom w:val="60"/>
          <w:divBdr>
            <w:top w:val="none" w:sz="0" w:space="0" w:color="auto"/>
            <w:left w:val="none" w:sz="0" w:space="0" w:color="auto"/>
            <w:bottom w:val="none" w:sz="0" w:space="0" w:color="auto"/>
            <w:right w:val="none" w:sz="0" w:space="0" w:color="auto"/>
          </w:divBdr>
        </w:div>
      </w:divsChild>
    </w:div>
    <w:div w:id="82730202">
      <w:marLeft w:val="0"/>
      <w:marRight w:val="0"/>
      <w:marTop w:val="0"/>
      <w:marBottom w:val="0"/>
      <w:divBdr>
        <w:top w:val="none" w:sz="0" w:space="0" w:color="auto"/>
        <w:left w:val="none" w:sz="0" w:space="0" w:color="auto"/>
        <w:bottom w:val="none" w:sz="0" w:space="0" w:color="auto"/>
        <w:right w:val="none" w:sz="0" w:space="0" w:color="auto"/>
      </w:divBdr>
    </w:div>
    <w:div w:id="83764992">
      <w:marLeft w:val="0"/>
      <w:marRight w:val="0"/>
      <w:marTop w:val="0"/>
      <w:marBottom w:val="0"/>
      <w:divBdr>
        <w:top w:val="none" w:sz="0" w:space="0" w:color="auto"/>
        <w:left w:val="none" w:sz="0" w:space="0" w:color="auto"/>
        <w:bottom w:val="none" w:sz="0" w:space="0" w:color="auto"/>
        <w:right w:val="none" w:sz="0" w:space="0" w:color="auto"/>
      </w:divBdr>
      <w:divsChild>
        <w:div w:id="1894610385">
          <w:marLeft w:val="0"/>
          <w:marRight w:val="0"/>
          <w:marTop w:val="60"/>
          <w:marBottom w:val="60"/>
          <w:divBdr>
            <w:top w:val="none" w:sz="0" w:space="0" w:color="auto"/>
            <w:left w:val="none" w:sz="0" w:space="0" w:color="auto"/>
            <w:bottom w:val="none" w:sz="0" w:space="0" w:color="auto"/>
            <w:right w:val="none" w:sz="0" w:space="0" w:color="auto"/>
          </w:divBdr>
        </w:div>
      </w:divsChild>
    </w:div>
    <w:div w:id="84108245">
      <w:marLeft w:val="0"/>
      <w:marRight w:val="0"/>
      <w:marTop w:val="180"/>
      <w:marBottom w:val="180"/>
      <w:divBdr>
        <w:top w:val="none" w:sz="0" w:space="0" w:color="auto"/>
        <w:left w:val="none" w:sz="0" w:space="0" w:color="auto"/>
        <w:bottom w:val="none" w:sz="0" w:space="0" w:color="auto"/>
        <w:right w:val="none" w:sz="0" w:space="0" w:color="auto"/>
      </w:divBdr>
    </w:div>
    <w:div w:id="84226767">
      <w:marLeft w:val="0"/>
      <w:marRight w:val="0"/>
      <w:marTop w:val="0"/>
      <w:marBottom w:val="0"/>
      <w:divBdr>
        <w:top w:val="none" w:sz="0" w:space="0" w:color="auto"/>
        <w:left w:val="none" w:sz="0" w:space="0" w:color="auto"/>
        <w:bottom w:val="none" w:sz="0" w:space="0" w:color="auto"/>
        <w:right w:val="none" w:sz="0" w:space="0" w:color="auto"/>
      </w:divBdr>
      <w:divsChild>
        <w:div w:id="6644139">
          <w:marLeft w:val="0"/>
          <w:marRight w:val="0"/>
          <w:marTop w:val="60"/>
          <w:marBottom w:val="60"/>
          <w:divBdr>
            <w:top w:val="none" w:sz="0" w:space="0" w:color="auto"/>
            <w:left w:val="none" w:sz="0" w:space="0" w:color="auto"/>
            <w:bottom w:val="none" w:sz="0" w:space="0" w:color="auto"/>
            <w:right w:val="none" w:sz="0" w:space="0" w:color="auto"/>
          </w:divBdr>
        </w:div>
      </w:divsChild>
    </w:div>
    <w:div w:id="85006983">
      <w:marLeft w:val="0"/>
      <w:marRight w:val="0"/>
      <w:marTop w:val="60"/>
      <w:marBottom w:val="60"/>
      <w:divBdr>
        <w:top w:val="none" w:sz="0" w:space="0" w:color="auto"/>
        <w:left w:val="none" w:sz="0" w:space="0" w:color="auto"/>
        <w:bottom w:val="none" w:sz="0" w:space="0" w:color="auto"/>
        <w:right w:val="none" w:sz="0" w:space="0" w:color="auto"/>
      </w:divBdr>
    </w:div>
    <w:div w:id="85425997">
      <w:marLeft w:val="0"/>
      <w:marRight w:val="0"/>
      <w:marTop w:val="180"/>
      <w:marBottom w:val="180"/>
      <w:divBdr>
        <w:top w:val="none" w:sz="0" w:space="0" w:color="auto"/>
        <w:left w:val="none" w:sz="0" w:space="0" w:color="auto"/>
        <w:bottom w:val="none" w:sz="0" w:space="0" w:color="auto"/>
        <w:right w:val="none" w:sz="0" w:space="0" w:color="auto"/>
      </w:divBdr>
    </w:div>
    <w:div w:id="86653302">
      <w:marLeft w:val="0"/>
      <w:marRight w:val="0"/>
      <w:marTop w:val="180"/>
      <w:marBottom w:val="180"/>
      <w:divBdr>
        <w:top w:val="none" w:sz="0" w:space="0" w:color="auto"/>
        <w:left w:val="none" w:sz="0" w:space="0" w:color="auto"/>
        <w:bottom w:val="none" w:sz="0" w:space="0" w:color="auto"/>
        <w:right w:val="none" w:sz="0" w:space="0" w:color="auto"/>
      </w:divBdr>
    </w:div>
    <w:div w:id="87890102">
      <w:marLeft w:val="0"/>
      <w:marRight w:val="0"/>
      <w:marTop w:val="60"/>
      <w:marBottom w:val="60"/>
      <w:divBdr>
        <w:top w:val="none" w:sz="0" w:space="0" w:color="auto"/>
        <w:left w:val="none" w:sz="0" w:space="0" w:color="auto"/>
        <w:bottom w:val="none" w:sz="0" w:space="0" w:color="auto"/>
        <w:right w:val="none" w:sz="0" w:space="0" w:color="auto"/>
      </w:divBdr>
    </w:div>
    <w:div w:id="89592540">
      <w:marLeft w:val="0"/>
      <w:marRight w:val="0"/>
      <w:marTop w:val="60"/>
      <w:marBottom w:val="60"/>
      <w:divBdr>
        <w:top w:val="none" w:sz="0" w:space="0" w:color="auto"/>
        <w:left w:val="none" w:sz="0" w:space="0" w:color="auto"/>
        <w:bottom w:val="none" w:sz="0" w:space="0" w:color="auto"/>
        <w:right w:val="none" w:sz="0" w:space="0" w:color="auto"/>
      </w:divBdr>
    </w:div>
    <w:div w:id="89619855">
      <w:marLeft w:val="0"/>
      <w:marRight w:val="0"/>
      <w:marTop w:val="180"/>
      <w:marBottom w:val="180"/>
      <w:divBdr>
        <w:top w:val="none" w:sz="0" w:space="0" w:color="auto"/>
        <w:left w:val="none" w:sz="0" w:space="0" w:color="auto"/>
        <w:bottom w:val="none" w:sz="0" w:space="0" w:color="auto"/>
        <w:right w:val="none" w:sz="0" w:space="0" w:color="auto"/>
      </w:divBdr>
    </w:div>
    <w:div w:id="90586829">
      <w:marLeft w:val="0"/>
      <w:marRight w:val="0"/>
      <w:marTop w:val="180"/>
      <w:marBottom w:val="180"/>
      <w:divBdr>
        <w:top w:val="none" w:sz="0" w:space="0" w:color="auto"/>
        <w:left w:val="none" w:sz="0" w:space="0" w:color="auto"/>
        <w:bottom w:val="none" w:sz="0" w:space="0" w:color="auto"/>
        <w:right w:val="none" w:sz="0" w:space="0" w:color="auto"/>
      </w:divBdr>
    </w:div>
    <w:div w:id="90591681">
      <w:marLeft w:val="0"/>
      <w:marRight w:val="0"/>
      <w:marTop w:val="0"/>
      <w:marBottom w:val="0"/>
      <w:divBdr>
        <w:top w:val="none" w:sz="0" w:space="0" w:color="auto"/>
        <w:left w:val="none" w:sz="0" w:space="0" w:color="auto"/>
        <w:bottom w:val="none" w:sz="0" w:space="0" w:color="auto"/>
        <w:right w:val="none" w:sz="0" w:space="0" w:color="auto"/>
      </w:divBdr>
    </w:div>
    <w:div w:id="92669430">
      <w:marLeft w:val="0"/>
      <w:marRight w:val="0"/>
      <w:marTop w:val="180"/>
      <w:marBottom w:val="180"/>
      <w:divBdr>
        <w:top w:val="none" w:sz="0" w:space="0" w:color="auto"/>
        <w:left w:val="none" w:sz="0" w:space="0" w:color="auto"/>
        <w:bottom w:val="none" w:sz="0" w:space="0" w:color="auto"/>
        <w:right w:val="none" w:sz="0" w:space="0" w:color="auto"/>
      </w:divBdr>
    </w:div>
    <w:div w:id="94718044">
      <w:marLeft w:val="0"/>
      <w:marRight w:val="0"/>
      <w:marTop w:val="0"/>
      <w:marBottom w:val="0"/>
      <w:divBdr>
        <w:top w:val="none" w:sz="0" w:space="0" w:color="auto"/>
        <w:left w:val="none" w:sz="0" w:space="0" w:color="auto"/>
        <w:bottom w:val="none" w:sz="0" w:space="0" w:color="auto"/>
        <w:right w:val="none" w:sz="0" w:space="0" w:color="auto"/>
      </w:divBdr>
      <w:divsChild>
        <w:div w:id="387265016">
          <w:marLeft w:val="0"/>
          <w:marRight w:val="0"/>
          <w:marTop w:val="0"/>
          <w:marBottom w:val="0"/>
          <w:divBdr>
            <w:top w:val="none" w:sz="0" w:space="0" w:color="auto"/>
            <w:left w:val="none" w:sz="0" w:space="0" w:color="auto"/>
            <w:bottom w:val="none" w:sz="0" w:space="0" w:color="auto"/>
            <w:right w:val="none" w:sz="0" w:space="0" w:color="auto"/>
          </w:divBdr>
          <w:divsChild>
            <w:div w:id="10400868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4861597">
      <w:marLeft w:val="0"/>
      <w:marRight w:val="0"/>
      <w:marTop w:val="180"/>
      <w:marBottom w:val="180"/>
      <w:divBdr>
        <w:top w:val="none" w:sz="0" w:space="0" w:color="auto"/>
        <w:left w:val="none" w:sz="0" w:space="0" w:color="auto"/>
        <w:bottom w:val="none" w:sz="0" w:space="0" w:color="auto"/>
        <w:right w:val="none" w:sz="0" w:space="0" w:color="auto"/>
      </w:divBdr>
    </w:div>
    <w:div w:id="96103527">
      <w:marLeft w:val="0"/>
      <w:marRight w:val="0"/>
      <w:marTop w:val="240"/>
      <w:marBottom w:val="100"/>
      <w:divBdr>
        <w:top w:val="none" w:sz="0" w:space="0" w:color="auto"/>
        <w:left w:val="none" w:sz="0" w:space="0" w:color="auto"/>
        <w:bottom w:val="none" w:sz="0" w:space="0" w:color="auto"/>
        <w:right w:val="none" w:sz="0" w:space="0" w:color="auto"/>
      </w:divBdr>
    </w:div>
    <w:div w:id="97333412">
      <w:marLeft w:val="0"/>
      <w:marRight w:val="0"/>
      <w:marTop w:val="180"/>
      <w:marBottom w:val="180"/>
      <w:divBdr>
        <w:top w:val="none" w:sz="0" w:space="0" w:color="auto"/>
        <w:left w:val="none" w:sz="0" w:space="0" w:color="auto"/>
        <w:bottom w:val="none" w:sz="0" w:space="0" w:color="auto"/>
        <w:right w:val="none" w:sz="0" w:space="0" w:color="auto"/>
      </w:divBdr>
    </w:div>
    <w:div w:id="97910785">
      <w:marLeft w:val="0"/>
      <w:marRight w:val="0"/>
      <w:marTop w:val="180"/>
      <w:marBottom w:val="180"/>
      <w:divBdr>
        <w:top w:val="none" w:sz="0" w:space="0" w:color="auto"/>
        <w:left w:val="none" w:sz="0" w:space="0" w:color="auto"/>
        <w:bottom w:val="none" w:sz="0" w:space="0" w:color="auto"/>
        <w:right w:val="none" w:sz="0" w:space="0" w:color="auto"/>
      </w:divBdr>
    </w:div>
    <w:div w:id="98257683">
      <w:marLeft w:val="0"/>
      <w:marRight w:val="0"/>
      <w:marTop w:val="180"/>
      <w:marBottom w:val="180"/>
      <w:divBdr>
        <w:top w:val="none" w:sz="0" w:space="0" w:color="auto"/>
        <w:left w:val="none" w:sz="0" w:space="0" w:color="auto"/>
        <w:bottom w:val="none" w:sz="0" w:space="0" w:color="auto"/>
        <w:right w:val="none" w:sz="0" w:space="0" w:color="auto"/>
      </w:divBdr>
    </w:div>
    <w:div w:id="99839414">
      <w:marLeft w:val="0"/>
      <w:marRight w:val="0"/>
      <w:marTop w:val="180"/>
      <w:marBottom w:val="60"/>
      <w:divBdr>
        <w:top w:val="none" w:sz="0" w:space="0" w:color="auto"/>
        <w:left w:val="none" w:sz="0" w:space="0" w:color="auto"/>
        <w:bottom w:val="none" w:sz="0" w:space="0" w:color="auto"/>
        <w:right w:val="none" w:sz="0" w:space="0" w:color="auto"/>
      </w:divBdr>
    </w:div>
    <w:div w:id="101732247">
      <w:marLeft w:val="0"/>
      <w:marRight w:val="0"/>
      <w:marTop w:val="100"/>
      <w:marBottom w:val="60"/>
      <w:divBdr>
        <w:top w:val="none" w:sz="0" w:space="0" w:color="auto"/>
        <w:left w:val="none" w:sz="0" w:space="0" w:color="auto"/>
        <w:bottom w:val="none" w:sz="0" w:space="0" w:color="auto"/>
        <w:right w:val="none" w:sz="0" w:space="0" w:color="auto"/>
      </w:divBdr>
      <w:divsChild>
        <w:div w:id="1074205118">
          <w:marLeft w:val="0"/>
          <w:marRight w:val="0"/>
          <w:marTop w:val="0"/>
          <w:marBottom w:val="0"/>
          <w:divBdr>
            <w:top w:val="none" w:sz="0" w:space="0" w:color="auto"/>
            <w:left w:val="none" w:sz="0" w:space="0" w:color="auto"/>
            <w:bottom w:val="none" w:sz="0" w:space="0" w:color="auto"/>
            <w:right w:val="none" w:sz="0" w:space="0" w:color="auto"/>
          </w:divBdr>
        </w:div>
      </w:divsChild>
    </w:div>
    <w:div w:id="102263234">
      <w:marLeft w:val="0"/>
      <w:marRight w:val="0"/>
      <w:marTop w:val="100"/>
      <w:marBottom w:val="60"/>
      <w:divBdr>
        <w:top w:val="none" w:sz="0" w:space="0" w:color="auto"/>
        <w:left w:val="none" w:sz="0" w:space="0" w:color="auto"/>
        <w:bottom w:val="none" w:sz="0" w:space="0" w:color="auto"/>
        <w:right w:val="none" w:sz="0" w:space="0" w:color="auto"/>
      </w:divBdr>
    </w:div>
    <w:div w:id="102919284">
      <w:marLeft w:val="0"/>
      <w:marRight w:val="0"/>
      <w:marTop w:val="60"/>
      <w:marBottom w:val="60"/>
      <w:divBdr>
        <w:top w:val="none" w:sz="0" w:space="0" w:color="auto"/>
        <w:left w:val="none" w:sz="0" w:space="0" w:color="auto"/>
        <w:bottom w:val="none" w:sz="0" w:space="0" w:color="auto"/>
        <w:right w:val="none" w:sz="0" w:space="0" w:color="auto"/>
      </w:divBdr>
    </w:div>
    <w:div w:id="102967940">
      <w:marLeft w:val="0"/>
      <w:marRight w:val="0"/>
      <w:marTop w:val="180"/>
      <w:marBottom w:val="180"/>
      <w:divBdr>
        <w:top w:val="none" w:sz="0" w:space="0" w:color="auto"/>
        <w:left w:val="none" w:sz="0" w:space="0" w:color="auto"/>
        <w:bottom w:val="none" w:sz="0" w:space="0" w:color="auto"/>
        <w:right w:val="none" w:sz="0" w:space="0" w:color="auto"/>
      </w:divBdr>
    </w:div>
    <w:div w:id="104691849">
      <w:marLeft w:val="0"/>
      <w:marRight w:val="0"/>
      <w:marTop w:val="180"/>
      <w:marBottom w:val="180"/>
      <w:divBdr>
        <w:top w:val="none" w:sz="0" w:space="0" w:color="auto"/>
        <w:left w:val="none" w:sz="0" w:space="0" w:color="auto"/>
        <w:bottom w:val="none" w:sz="0" w:space="0" w:color="auto"/>
        <w:right w:val="none" w:sz="0" w:space="0" w:color="auto"/>
      </w:divBdr>
    </w:div>
    <w:div w:id="105588073">
      <w:marLeft w:val="0"/>
      <w:marRight w:val="0"/>
      <w:marTop w:val="180"/>
      <w:marBottom w:val="180"/>
      <w:divBdr>
        <w:top w:val="none" w:sz="0" w:space="0" w:color="auto"/>
        <w:left w:val="none" w:sz="0" w:space="0" w:color="auto"/>
        <w:bottom w:val="none" w:sz="0" w:space="0" w:color="auto"/>
        <w:right w:val="none" w:sz="0" w:space="0" w:color="auto"/>
      </w:divBdr>
    </w:div>
    <w:div w:id="105664375">
      <w:marLeft w:val="0"/>
      <w:marRight w:val="0"/>
      <w:marTop w:val="180"/>
      <w:marBottom w:val="180"/>
      <w:divBdr>
        <w:top w:val="none" w:sz="0" w:space="0" w:color="auto"/>
        <w:left w:val="none" w:sz="0" w:space="0" w:color="auto"/>
        <w:bottom w:val="none" w:sz="0" w:space="0" w:color="auto"/>
        <w:right w:val="none" w:sz="0" w:space="0" w:color="auto"/>
      </w:divBdr>
    </w:div>
    <w:div w:id="105778726">
      <w:marLeft w:val="0"/>
      <w:marRight w:val="0"/>
      <w:marTop w:val="180"/>
      <w:marBottom w:val="180"/>
      <w:divBdr>
        <w:top w:val="none" w:sz="0" w:space="0" w:color="auto"/>
        <w:left w:val="none" w:sz="0" w:space="0" w:color="auto"/>
        <w:bottom w:val="none" w:sz="0" w:space="0" w:color="auto"/>
        <w:right w:val="none" w:sz="0" w:space="0" w:color="auto"/>
      </w:divBdr>
    </w:div>
    <w:div w:id="105934201">
      <w:marLeft w:val="0"/>
      <w:marRight w:val="0"/>
      <w:marTop w:val="60"/>
      <w:marBottom w:val="0"/>
      <w:divBdr>
        <w:top w:val="none" w:sz="0" w:space="0" w:color="auto"/>
        <w:left w:val="none" w:sz="0" w:space="0" w:color="auto"/>
        <w:bottom w:val="none" w:sz="0" w:space="0" w:color="auto"/>
        <w:right w:val="none" w:sz="0" w:space="0" w:color="auto"/>
      </w:divBdr>
    </w:div>
    <w:div w:id="106391634">
      <w:marLeft w:val="0"/>
      <w:marRight w:val="0"/>
      <w:marTop w:val="180"/>
      <w:marBottom w:val="180"/>
      <w:divBdr>
        <w:top w:val="none" w:sz="0" w:space="0" w:color="auto"/>
        <w:left w:val="none" w:sz="0" w:space="0" w:color="auto"/>
        <w:bottom w:val="none" w:sz="0" w:space="0" w:color="auto"/>
        <w:right w:val="none" w:sz="0" w:space="0" w:color="auto"/>
      </w:divBdr>
    </w:div>
    <w:div w:id="106581292">
      <w:marLeft w:val="0"/>
      <w:marRight w:val="0"/>
      <w:marTop w:val="60"/>
      <w:marBottom w:val="60"/>
      <w:divBdr>
        <w:top w:val="none" w:sz="0" w:space="0" w:color="auto"/>
        <w:left w:val="none" w:sz="0" w:space="0" w:color="auto"/>
        <w:bottom w:val="none" w:sz="0" w:space="0" w:color="auto"/>
        <w:right w:val="none" w:sz="0" w:space="0" w:color="auto"/>
      </w:divBdr>
    </w:div>
    <w:div w:id="106705496">
      <w:marLeft w:val="0"/>
      <w:marRight w:val="0"/>
      <w:marTop w:val="100"/>
      <w:marBottom w:val="100"/>
      <w:divBdr>
        <w:top w:val="none" w:sz="0" w:space="0" w:color="auto"/>
        <w:left w:val="none" w:sz="0" w:space="0" w:color="auto"/>
        <w:bottom w:val="none" w:sz="0" w:space="0" w:color="auto"/>
        <w:right w:val="none" w:sz="0" w:space="0" w:color="auto"/>
      </w:divBdr>
      <w:divsChild>
        <w:div w:id="808547601">
          <w:marLeft w:val="0"/>
          <w:marRight w:val="0"/>
          <w:marTop w:val="0"/>
          <w:marBottom w:val="0"/>
          <w:divBdr>
            <w:top w:val="none" w:sz="0" w:space="0" w:color="auto"/>
            <w:left w:val="none" w:sz="0" w:space="0" w:color="auto"/>
            <w:bottom w:val="none" w:sz="0" w:space="0" w:color="auto"/>
            <w:right w:val="none" w:sz="0" w:space="0" w:color="auto"/>
          </w:divBdr>
        </w:div>
        <w:div w:id="1169562669">
          <w:marLeft w:val="0"/>
          <w:marRight w:val="0"/>
          <w:marTop w:val="0"/>
          <w:marBottom w:val="0"/>
          <w:divBdr>
            <w:top w:val="none" w:sz="0" w:space="0" w:color="auto"/>
            <w:left w:val="none" w:sz="0" w:space="0" w:color="auto"/>
            <w:bottom w:val="none" w:sz="0" w:space="0" w:color="auto"/>
            <w:right w:val="none" w:sz="0" w:space="0" w:color="auto"/>
          </w:divBdr>
        </w:div>
        <w:div w:id="193887673">
          <w:marLeft w:val="0"/>
          <w:marRight w:val="0"/>
          <w:marTop w:val="0"/>
          <w:marBottom w:val="0"/>
          <w:divBdr>
            <w:top w:val="none" w:sz="0" w:space="0" w:color="auto"/>
            <w:left w:val="none" w:sz="0" w:space="0" w:color="auto"/>
            <w:bottom w:val="none" w:sz="0" w:space="0" w:color="auto"/>
            <w:right w:val="none" w:sz="0" w:space="0" w:color="auto"/>
          </w:divBdr>
        </w:div>
        <w:div w:id="1385254807">
          <w:marLeft w:val="0"/>
          <w:marRight w:val="0"/>
          <w:marTop w:val="0"/>
          <w:marBottom w:val="0"/>
          <w:divBdr>
            <w:top w:val="none" w:sz="0" w:space="0" w:color="auto"/>
            <w:left w:val="none" w:sz="0" w:space="0" w:color="auto"/>
            <w:bottom w:val="none" w:sz="0" w:space="0" w:color="auto"/>
            <w:right w:val="none" w:sz="0" w:space="0" w:color="auto"/>
          </w:divBdr>
        </w:div>
        <w:div w:id="2041201577">
          <w:marLeft w:val="0"/>
          <w:marRight w:val="0"/>
          <w:marTop w:val="0"/>
          <w:marBottom w:val="0"/>
          <w:divBdr>
            <w:top w:val="none" w:sz="0" w:space="0" w:color="auto"/>
            <w:left w:val="none" w:sz="0" w:space="0" w:color="auto"/>
            <w:bottom w:val="none" w:sz="0" w:space="0" w:color="auto"/>
            <w:right w:val="none" w:sz="0" w:space="0" w:color="auto"/>
          </w:divBdr>
        </w:div>
      </w:divsChild>
    </w:div>
    <w:div w:id="107238898">
      <w:marLeft w:val="0"/>
      <w:marRight w:val="0"/>
      <w:marTop w:val="0"/>
      <w:marBottom w:val="0"/>
      <w:divBdr>
        <w:top w:val="none" w:sz="0" w:space="0" w:color="auto"/>
        <w:left w:val="none" w:sz="0" w:space="0" w:color="auto"/>
        <w:bottom w:val="none" w:sz="0" w:space="0" w:color="auto"/>
        <w:right w:val="none" w:sz="0" w:space="0" w:color="auto"/>
      </w:divBdr>
      <w:divsChild>
        <w:div w:id="1258515150">
          <w:marLeft w:val="0"/>
          <w:marRight w:val="0"/>
          <w:marTop w:val="180"/>
          <w:marBottom w:val="180"/>
          <w:divBdr>
            <w:top w:val="none" w:sz="0" w:space="0" w:color="auto"/>
            <w:left w:val="none" w:sz="0" w:space="0" w:color="auto"/>
            <w:bottom w:val="none" w:sz="0" w:space="0" w:color="auto"/>
            <w:right w:val="none" w:sz="0" w:space="0" w:color="auto"/>
          </w:divBdr>
        </w:div>
      </w:divsChild>
    </w:div>
    <w:div w:id="108207628">
      <w:marLeft w:val="0"/>
      <w:marRight w:val="0"/>
      <w:marTop w:val="240"/>
      <w:marBottom w:val="180"/>
      <w:divBdr>
        <w:top w:val="none" w:sz="0" w:space="0" w:color="auto"/>
        <w:left w:val="none" w:sz="0" w:space="0" w:color="auto"/>
        <w:bottom w:val="none" w:sz="0" w:space="0" w:color="auto"/>
        <w:right w:val="none" w:sz="0" w:space="0" w:color="auto"/>
      </w:divBdr>
    </w:div>
    <w:div w:id="108360930">
      <w:marLeft w:val="0"/>
      <w:marRight w:val="0"/>
      <w:marTop w:val="180"/>
      <w:marBottom w:val="180"/>
      <w:divBdr>
        <w:top w:val="none" w:sz="0" w:space="0" w:color="auto"/>
        <w:left w:val="none" w:sz="0" w:space="0" w:color="auto"/>
        <w:bottom w:val="none" w:sz="0" w:space="0" w:color="auto"/>
        <w:right w:val="none" w:sz="0" w:space="0" w:color="auto"/>
      </w:divBdr>
    </w:div>
    <w:div w:id="112329745">
      <w:marLeft w:val="0"/>
      <w:marRight w:val="0"/>
      <w:marTop w:val="240"/>
      <w:marBottom w:val="180"/>
      <w:divBdr>
        <w:top w:val="none" w:sz="0" w:space="0" w:color="auto"/>
        <w:left w:val="none" w:sz="0" w:space="0" w:color="auto"/>
        <w:bottom w:val="none" w:sz="0" w:space="0" w:color="auto"/>
        <w:right w:val="none" w:sz="0" w:space="0" w:color="auto"/>
      </w:divBdr>
    </w:div>
    <w:div w:id="113646249">
      <w:marLeft w:val="0"/>
      <w:marRight w:val="0"/>
      <w:marTop w:val="180"/>
      <w:marBottom w:val="180"/>
      <w:divBdr>
        <w:top w:val="none" w:sz="0" w:space="0" w:color="auto"/>
        <w:left w:val="none" w:sz="0" w:space="0" w:color="auto"/>
        <w:bottom w:val="none" w:sz="0" w:space="0" w:color="auto"/>
        <w:right w:val="none" w:sz="0" w:space="0" w:color="auto"/>
      </w:divBdr>
    </w:div>
    <w:div w:id="115107071">
      <w:marLeft w:val="0"/>
      <w:marRight w:val="0"/>
      <w:marTop w:val="180"/>
      <w:marBottom w:val="180"/>
      <w:divBdr>
        <w:top w:val="none" w:sz="0" w:space="0" w:color="auto"/>
        <w:left w:val="none" w:sz="0" w:space="0" w:color="auto"/>
        <w:bottom w:val="none" w:sz="0" w:space="0" w:color="auto"/>
        <w:right w:val="none" w:sz="0" w:space="0" w:color="auto"/>
      </w:divBdr>
    </w:div>
    <w:div w:id="115174757">
      <w:marLeft w:val="0"/>
      <w:marRight w:val="0"/>
      <w:marTop w:val="180"/>
      <w:marBottom w:val="180"/>
      <w:divBdr>
        <w:top w:val="none" w:sz="0" w:space="0" w:color="auto"/>
        <w:left w:val="none" w:sz="0" w:space="0" w:color="auto"/>
        <w:bottom w:val="none" w:sz="0" w:space="0" w:color="auto"/>
        <w:right w:val="none" w:sz="0" w:space="0" w:color="auto"/>
      </w:divBdr>
    </w:div>
    <w:div w:id="115299670">
      <w:marLeft w:val="0"/>
      <w:marRight w:val="0"/>
      <w:marTop w:val="100"/>
      <w:marBottom w:val="100"/>
      <w:divBdr>
        <w:top w:val="none" w:sz="0" w:space="0" w:color="auto"/>
        <w:left w:val="none" w:sz="0" w:space="0" w:color="auto"/>
        <w:bottom w:val="none" w:sz="0" w:space="0" w:color="auto"/>
        <w:right w:val="none" w:sz="0" w:space="0" w:color="auto"/>
      </w:divBdr>
    </w:div>
    <w:div w:id="115494318">
      <w:marLeft w:val="0"/>
      <w:marRight w:val="0"/>
      <w:marTop w:val="180"/>
      <w:marBottom w:val="180"/>
      <w:divBdr>
        <w:top w:val="none" w:sz="0" w:space="0" w:color="auto"/>
        <w:left w:val="none" w:sz="0" w:space="0" w:color="auto"/>
        <w:bottom w:val="none" w:sz="0" w:space="0" w:color="auto"/>
        <w:right w:val="none" w:sz="0" w:space="0" w:color="auto"/>
      </w:divBdr>
    </w:div>
    <w:div w:id="116221764">
      <w:marLeft w:val="0"/>
      <w:marRight w:val="0"/>
      <w:marTop w:val="180"/>
      <w:marBottom w:val="180"/>
      <w:divBdr>
        <w:top w:val="none" w:sz="0" w:space="0" w:color="auto"/>
        <w:left w:val="none" w:sz="0" w:space="0" w:color="auto"/>
        <w:bottom w:val="none" w:sz="0" w:space="0" w:color="auto"/>
        <w:right w:val="none" w:sz="0" w:space="0" w:color="auto"/>
      </w:divBdr>
    </w:div>
    <w:div w:id="116608298">
      <w:marLeft w:val="0"/>
      <w:marRight w:val="0"/>
      <w:marTop w:val="180"/>
      <w:marBottom w:val="180"/>
      <w:divBdr>
        <w:top w:val="none" w:sz="0" w:space="0" w:color="auto"/>
        <w:left w:val="none" w:sz="0" w:space="0" w:color="auto"/>
        <w:bottom w:val="none" w:sz="0" w:space="0" w:color="auto"/>
        <w:right w:val="none" w:sz="0" w:space="0" w:color="auto"/>
      </w:divBdr>
    </w:div>
    <w:div w:id="117455774">
      <w:marLeft w:val="0"/>
      <w:marRight w:val="0"/>
      <w:marTop w:val="180"/>
      <w:marBottom w:val="180"/>
      <w:divBdr>
        <w:top w:val="none" w:sz="0" w:space="0" w:color="auto"/>
        <w:left w:val="none" w:sz="0" w:space="0" w:color="auto"/>
        <w:bottom w:val="none" w:sz="0" w:space="0" w:color="auto"/>
        <w:right w:val="none" w:sz="0" w:space="0" w:color="auto"/>
      </w:divBdr>
    </w:div>
    <w:div w:id="117530875">
      <w:marLeft w:val="0"/>
      <w:marRight w:val="0"/>
      <w:marTop w:val="180"/>
      <w:marBottom w:val="180"/>
      <w:divBdr>
        <w:top w:val="none" w:sz="0" w:space="0" w:color="auto"/>
        <w:left w:val="none" w:sz="0" w:space="0" w:color="auto"/>
        <w:bottom w:val="none" w:sz="0" w:space="0" w:color="auto"/>
        <w:right w:val="none" w:sz="0" w:space="0" w:color="auto"/>
      </w:divBdr>
    </w:div>
    <w:div w:id="119542010">
      <w:marLeft w:val="0"/>
      <w:marRight w:val="0"/>
      <w:marTop w:val="0"/>
      <w:marBottom w:val="0"/>
      <w:divBdr>
        <w:top w:val="none" w:sz="0" w:space="0" w:color="auto"/>
        <w:left w:val="none" w:sz="0" w:space="0" w:color="auto"/>
        <w:bottom w:val="none" w:sz="0" w:space="0" w:color="auto"/>
        <w:right w:val="none" w:sz="0" w:space="0" w:color="auto"/>
      </w:divBdr>
    </w:div>
    <w:div w:id="120921206">
      <w:marLeft w:val="0"/>
      <w:marRight w:val="0"/>
      <w:marTop w:val="180"/>
      <w:marBottom w:val="180"/>
      <w:divBdr>
        <w:top w:val="none" w:sz="0" w:space="0" w:color="auto"/>
        <w:left w:val="none" w:sz="0" w:space="0" w:color="auto"/>
        <w:bottom w:val="none" w:sz="0" w:space="0" w:color="auto"/>
        <w:right w:val="none" w:sz="0" w:space="0" w:color="auto"/>
      </w:divBdr>
    </w:div>
    <w:div w:id="121120751">
      <w:marLeft w:val="0"/>
      <w:marRight w:val="0"/>
      <w:marTop w:val="180"/>
      <w:marBottom w:val="180"/>
      <w:divBdr>
        <w:top w:val="none" w:sz="0" w:space="0" w:color="auto"/>
        <w:left w:val="none" w:sz="0" w:space="0" w:color="auto"/>
        <w:bottom w:val="none" w:sz="0" w:space="0" w:color="auto"/>
        <w:right w:val="none" w:sz="0" w:space="0" w:color="auto"/>
      </w:divBdr>
    </w:div>
    <w:div w:id="121703468">
      <w:marLeft w:val="0"/>
      <w:marRight w:val="0"/>
      <w:marTop w:val="0"/>
      <w:marBottom w:val="0"/>
      <w:divBdr>
        <w:top w:val="none" w:sz="0" w:space="0" w:color="auto"/>
        <w:left w:val="none" w:sz="0" w:space="0" w:color="auto"/>
        <w:bottom w:val="none" w:sz="0" w:space="0" w:color="auto"/>
        <w:right w:val="none" w:sz="0" w:space="0" w:color="auto"/>
      </w:divBdr>
      <w:divsChild>
        <w:div w:id="1490903614">
          <w:marLeft w:val="0"/>
          <w:marRight w:val="0"/>
          <w:marTop w:val="0"/>
          <w:marBottom w:val="0"/>
          <w:divBdr>
            <w:top w:val="none" w:sz="0" w:space="0" w:color="auto"/>
            <w:left w:val="none" w:sz="0" w:space="0" w:color="auto"/>
            <w:bottom w:val="none" w:sz="0" w:space="0" w:color="auto"/>
            <w:right w:val="none" w:sz="0" w:space="0" w:color="auto"/>
          </w:divBdr>
          <w:divsChild>
            <w:div w:id="6376840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040169">
      <w:marLeft w:val="0"/>
      <w:marRight w:val="0"/>
      <w:marTop w:val="60"/>
      <w:marBottom w:val="60"/>
      <w:divBdr>
        <w:top w:val="none" w:sz="0" w:space="0" w:color="auto"/>
        <w:left w:val="none" w:sz="0" w:space="0" w:color="auto"/>
        <w:bottom w:val="none" w:sz="0" w:space="0" w:color="auto"/>
        <w:right w:val="none" w:sz="0" w:space="0" w:color="auto"/>
      </w:divBdr>
    </w:div>
    <w:div w:id="123043797">
      <w:marLeft w:val="0"/>
      <w:marRight w:val="0"/>
      <w:marTop w:val="60"/>
      <w:marBottom w:val="60"/>
      <w:divBdr>
        <w:top w:val="none" w:sz="0" w:space="0" w:color="auto"/>
        <w:left w:val="none" w:sz="0" w:space="0" w:color="auto"/>
        <w:bottom w:val="none" w:sz="0" w:space="0" w:color="auto"/>
        <w:right w:val="none" w:sz="0" w:space="0" w:color="auto"/>
      </w:divBdr>
    </w:div>
    <w:div w:id="123474229">
      <w:marLeft w:val="0"/>
      <w:marRight w:val="0"/>
      <w:marTop w:val="180"/>
      <w:marBottom w:val="180"/>
      <w:divBdr>
        <w:top w:val="none" w:sz="0" w:space="0" w:color="auto"/>
        <w:left w:val="none" w:sz="0" w:space="0" w:color="auto"/>
        <w:bottom w:val="none" w:sz="0" w:space="0" w:color="auto"/>
        <w:right w:val="none" w:sz="0" w:space="0" w:color="auto"/>
      </w:divBdr>
    </w:div>
    <w:div w:id="123616955">
      <w:marLeft w:val="0"/>
      <w:marRight w:val="0"/>
      <w:marTop w:val="100"/>
      <w:marBottom w:val="100"/>
      <w:divBdr>
        <w:top w:val="none" w:sz="0" w:space="0" w:color="auto"/>
        <w:left w:val="none" w:sz="0" w:space="0" w:color="auto"/>
        <w:bottom w:val="none" w:sz="0" w:space="0" w:color="auto"/>
        <w:right w:val="none" w:sz="0" w:space="0" w:color="auto"/>
      </w:divBdr>
      <w:divsChild>
        <w:div w:id="244581505">
          <w:marLeft w:val="0"/>
          <w:marRight w:val="0"/>
          <w:marTop w:val="0"/>
          <w:marBottom w:val="0"/>
          <w:divBdr>
            <w:top w:val="none" w:sz="0" w:space="0" w:color="auto"/>
            <w:left w:val="none" w:sz="0" w:space="0" w:color="auto"/>
            <w:bottom w:val="none" w:sz="0" w:space="0" w:color="auto"/>
            <w:right w:val="none" w:sz="0" w:space="0" w:color="auto"/>
          </w:divBdr>
        </w:div>
        <w:div w:id="1458721632">
          <w:marLeft w:val="0"/>
          <w:marRight w:val="0"/>
          <w:marTop w:val="0"/>
          <w:marBottom w:val="0"/>
          <w:divBdr>
            <w:top w:val="none" w:sz="0" w:space="0" w:color="auto"/>
            <w:left w:val="none" w:sz="0" w:space="0" w:color="auto"/>
            <w:bottom w:val="none" w:sz="0" w:space="0" w:color="auto"/>
            <w:right w:val="none" w:sz="0" w:space="0" w:color="auto"/>
          </w:divBdr>
        </w:div>
        <w:div w:id="760612382">
          <w:marLeft w:val="0"/>
          <w:marRight w:val="0"/>
          <w:marTop w:val="0"/>
          <w:marBottom w:val="0"/>
          <w:divBdr>
            <w:top w:val="none" w:sz="0" w:space="0" w:color="auto"/>
            <w:left w:val="none" w:sz="0" w:space="0" w:color="auto"/>
            <w:bottom w:val="none" w:sz="0" w:space="0" w:color="auto"/>
            <w:right w:val="none" w:sz="0" w:space="0" w:color="auto"/>
          </w:divBdr>
        </w:div>
        <w:div w:id="1167330603">
          <w:marLeft w:val="0"/>
          <w:marRight w:val="0"/>
          <w:marTop w:val="0"/>
          <w:marBottom w:val="0"/>
          <w:divBdr>
            <w:top w:val="none" w:sz="0" w:space="0" w:color="auto"/>
            <w:left w:val="none" w:sz="0" w:space="0" w:color="auto"/>
            <w:bottom w:val="none" w:sz="0" w:space="0" w:color="auto"/>
            <w:right w:val="none" w:sz="0" w:space="0" w:color="auto"/>
          </w:divBdr>
        </w:div>
        <w:div w:id="674457935">
          <w:marLeft w:val="0"/>
          <w:marRight w:val="0"/>
          <w:marTop w:val="0"/>
          <w:marBottom w:val="0"/>
          <w:divBdr>
            <w:top w:val="none" w:sz="0" w:space="0" w:color="auto"/>
            <w:left w:val="none" w:sz="0" w:space="0" w:color="auto"/>
            <w:bottom w:val="none" w:sz="0" w:space="0" w:color="auto"/>
            <w:right w:val="none" w:sz="0" w:space="0" w:color="auto"/>
          </w:divBdr>
        </w:div>
        <w:div w:id="851381026">
          <w:marLeft w:val="0"/>
          <w:marRight w:val="0"/>
          <w:marTop w:val="0"/>
          <w:marBottom w:val="0"/>
          <w:divBdr>
            <w:top w:val="none" w:sz="0" w:space="0" w:color="auto"/>
            <w:left w:val="none" w:sz="0" w:space="0" w:color="auto"/>
            <w:bottom w:val="none" w:sz="0" w:space="0" w:color="auto"/>
            <w:right w:val="none" w:sz="0" w:space="0" w:color="auto"/>
          </w:divBdr>
        </w:div>
        <w:div w:id="468203897">
          <w:marLeft w:val="0"/>
          <w:marRight w:val="0"/>
          <w:marTop w:val="0"/>
          <w:marBottom w:val="0"/>
          <w:divBdr>
            <w:top w:val="none" w:sz="0" w:space="0" w:color="auto"/>
            <w:left w:val="none" w:sz="0" w:space="0" w:color="auto"/>
            <w:bottom w:val="none" w:sz="0" w:space="0" w:color="auto"/>
            <w:right w:val="none" w:sz="0" w:space="0" w:color="auto"/>
          </w:divBdr>
        </w:div>
        <w:div w:id="1667316781">
          <w:marLeft w:val="0"/>
          <w:marRight w:val="0"/>
          <w:marTop w:val="0"/>
          <w:marBottom w:val="0"/>
          <w:divBdr>
            <w:top w:val="none" w:sz="0" w:space="0" w:color="auto"/>
            <w:left w:val="none" w:sz="0" w:space="0" w:color="auto"/>
            <w:bottom w:val="none" w:sz="0" w:space="0" w:color="auto"/>
            <w:right w:val="none" w:sz="0" w:space="0" w:color="auto"/>
          </w:divBdr>
        </w:div>
        <w:div w:id="779107656">
          <w:marLeft w:val="0"/>
          <w:marRight w:val="0"/>
          <w:marTop w:val="0"/>
          <w:marBottom w:val="0"/>
          <w:divBdr>
            <w:top w:val="none" w:sz="0" w:space="0" w:color="auto"/>
            <w:left w:val="none" w:sz="0" w:space="0" w:color="auto"/>
            <w:bottom w:val="none" w:sz="0" w:space="0" w:color="auto"/>
            <w:right w:val="none" w:sz="0" w:space="0" w:color="auto"/>
          </w:divBdr>
        </w:div>
        <w:div w:id="277370890">
          <w:marLeft w:val="0"/>
          <w:marRight w:val="0"/>
          <w:marTop w:val="0"/>
          <w:marBottom w:val="0"/>
          <w:divBdr>
            <w:top w:val="none" w:sz="0" w:space="0" w:color="auto"/>
            <w:left w:val="none" w:sz="0" w:space="0" w:color="auto"/>
            <w:bottom w:val="none" w:sz="0" w:space="0" w:color="auto"/>
            <w:right w:val="none" w:sz="0" w:space="0" w:color="auto"/>
          </w:divBdr>
        </w:div>
        <w:div w:id="232740649">
          <w:marLeft w:val="0"/>
          <w:marRight w:val="0"/>
          <w:marTop w:val="0"/>
          <w:marBottom w:val="0"/>
          <w:divBdr>
            <w:top w:val="none" w:sz="0" w:space="0" w:color="auto"/>
            <w:left w:val="none" w:sz="0" w:space="0" w:color="auto"/>
            <w:bottom w:val="none" w:sz="0" w:space="0" w:color="auto"/>
            <w:right w:val="none" w:sz="0" w:space="0" w:color="auto"/>
          </w:divBdr>
        </w:div>
        <w:div w:id="1818494152">
          <w:marLeft w:val="0"/>
          <w:marRight w:val="0"/>
          <w:marTop w:val="0"/>
          <w:marBottom w:val="0"/>
          <w:divBdr>
            <w:top w:val="none" w:sz="0" w:space="0" w:color="auto"/>
            <w:left w:val="none" w:sz="0" w:space="0" w:color="auto"/>
            <w:bottom w:val="none" w:sz="0" w:space="0" w:color="auto"/>
            <w:right w:val="none" w:sz="0" w:space="0" w:color="auto"/>
          </w:divBdr>
        </w:div>
        <w:div w:id="1855336496">
          <w:marLeft w:val="0"/>
          <w:marRight w:val="0"/>
          <w:marTop w:val="0"/>
          <w:marBottom w:val="0"/>
          <w:divBdr>
            <w:top w:val="none" w:sz="0" w:space="0" w:color="auto"/>
            <w:left w:val="none" w:sz="0" w:space="0" w:color="auto"/>
            <w:bottom w:val="none" w:sz="0" w:space="0" w:color="auto"/>
            <w:right w:val="none" w:sz="0" w:space="0" w:color="auto"/>
          </w:divBdr>
        </w:div>
        <w:div w:id="911891016">
          <w:marLeft w:val="0"/>
          <w:marRight w:val="0"/>
          <w:marTop w:val="0"/>
          <w:marBottom w:val="0"/>
          <w:divBdr>
            <w:top w:val="none" w:sz="0" w:space="0" w:color="auto"/>
            <w:left w:val="none" w:sz="0" w:space="0" w:color="auto"/>
            <w:bottom w:val="none" w:sz="0" w:space="0" w:color="auto"/>
            <w:right w:val="none" w:sz="0" w:space="0" w:color="auto"/>
          </w:divBdr>
        </w:div>
        <w:div w:id="394354105">
          <w:marLeft w:val="0"/>
          <w:marRight w:val="0"/>
          <w:marTop w:val="0"/>
          <w:marBottom w:val="0"/>
          <w:divBdr>
            <w:top w:val="none" w:sz="0" w:space="0" w:color="auto"/>
            <w:left w:val="none" w:sz="0" w:space="0" w:color="auto"/>
            <w:bottom w:val="none" w:sz="0" w:space="0" w:color="auto"/>
            <w:right w:val="none" w:sz="0" w:space="0" w:color="auto"/>
          </w:divBdr>
        </w:div>
        <w:div w:id="388505237">
          <w:marLeft w:val="0"/>
          <w:marRight w:val="0"/>
          <w:marTop w:val="0"/>
          <w:marBottom w:val="0"/>
          <w:divBdr>
            <w:top w:val="none" w:sz="0" w:space="0" w:color="auto"/>
            <w:left w:val="none" w:sz="0" w:space="0" w:color="auto"/>
            <w:bottom w:val="none" w:sz="0" w:space="0" w:color="auto"/>
            <w:right w:val="none" w:sz="0" w:space="0" w:color="auto"/>
          </w:divBdr>
        </w:div>
      </w:divsChild>
    </w:div>
    <w:div w:id="125395860">
      <w:marLeft w:val="0"/>
      <w:marRight w:val="0"/>
      <w:marTop w:val="180"/>
      <w:marBottom w:val="180"/>
      <w:divBdr>
        <w:top w:val="none" w:sz="0" w:space="0" w:color="auto"/>
        <w:left w:val="none" w:sz="0" w:space="0" w:color="auto"/>
        <w:bottom w:val="none" w:sz="0" w:space="0" w:color="auto"/>
        <w:right w:val="none" w:sz="0" w:space="0" w:color="auto"/>
      </w:divBdr>
    </w:div>
    <w:div w:id="125701001">
      <w:marLeft w:val="0"/>
      <w:marRight w:val="0"/>
      <w:marTop w:val="180"/>
      <w:marBottom w:val="180"/>
      <w:divBdr>
        <w:top w:val="none" w:sz="0" w:space="0" w:color="auto"/>
        <w:left w:val="none" w:sz="0" w:space="0" w:color="auto"/>
        <w:bottom w:val="none" w:sz="0" w:space="0" w:color="auto"/>
        <w:right w:val="none" w:sz="0" w:space="0" w:color="auto"/>
      </w:divBdr>
    </w:div>
    <w:div w:id="126313996">
      <w:marLeft w:val="0"/>
      <w:marRight w:val="0"/>
      <w:marTop w:val="0"/>
      <w:marBottom w:val="0"/>
      <w:divBdr>
        <w:top w:val="none" w:sz="0" w:space="0" w:color="auto"/>
        <w:left w:val="none" w:sz="0" w:space="0" w:color="auto"/>
        <w:bottom w:val="none" w:sz="0" w:space="0" w:color="auto"/>
        <w:right w:val="none" w:sz="0" w:space="0" w:color="auto"/>
      </w:divBdr>
    </w:div>
    <w:div w:id="126557335">
      <w:marLeft w:val="0"/>
      <w:marRight w:val="0"/>
      <w:marTop w:val="180"/>
      <w:marBottom w:val="180"/>
      <w:divBdr>
        <w:top w:val="none" w:sz="0" w:space="0" w:color="auto"/>
        <w:left w:val="none" w:sz="0" w:space="0" w:color="auto"/>
        <w:bottom w:val="none" w:sz="0" w:space="0" w:color="auto"/>
        <w:right w:val="none" w:sz="0" w:space="0" w:color="auto"/>
      </w:divBdr>
    </w:div>
    <w:div w:id="126823532">
      <w:marLeft w:val="0"/>
      <w:marRight w:val="0"/>
      <w:marTop w:val="180"/>
      <w:marBottom w:val="180"/>
      <w:divBdr>
        <w:top w:val="none" w:sz="0" w:space="0" w:color="auto"/>
        <w:left w:val="none" w:sz="0" w:space="0" w:color="auto"/>
        <w:bottom w:val="none" w:sz="0" w:space="0" w:color="auto"/>
        <w:right w:val="none" w:sz="0" w:space="0" w:color="auto"/>
      </w:divBdr>
    </w:div>
    <w:div w:id="126971717">
      <w:marLeft w:val="0"/>
      <w:marRight w:val="0"/>
      <w:marTop w:val="180"/>
      <w:marBottom w:val="180"/>
      <w:divBdr>
        <w:top w:val="none" w:sz="0" w:space="0" w:color="auto"/>
        <w:left w:val="none" w:sz="0" w:space="0" w:color="auto"/>
        <w:bottom w:val="none" w:sz="0" w:space="0" w:color="auto"/>
        <w:right w:val="none" w:sz="0" w:space="0" w:color="auto"/>
      </w:divBdr>
    </w:div>
    <w:div w:id="127213396">
      <w:marLeft w:val="0"/>
      <w:marRight w:val="0"/>
      <w:marTop w:val="60"/>
      <w:marBottom w:val="60"/>
      <w:divBdr>
        <w:top w:val="none" w:sz="0" w:space="0" w:color="auto"/>
        <w:left w:val="none" w:sz="0" w:space="0" w:color="auto"/>
        <w:bottom w:val="none" w:sz="0" w:space="0" w:color="auto"/>
        <w:right w:val="none" w:sz="0" w:space="0" w:color="auto"/>
      </w:divBdr>
    </w:div>
    <w:div w:id="127943979">
      <w:marLeft w:val="0"/>
      <w:marRight w:val="0"/>
      <w:marTop w:val="180"/>
      <w:marBottom w:val="180"/>
      <w:divBdr>
        <w:top w:val="none" w:sz="0" w:space="0" w:color="auto"/>
        <w:left w:val="none" w:sz="0" w:space="0" w:color="auto"/>
        <w:bottom w:val="none" w:sz="0" w:space="0" w:color="auto"/>
        <w:right w:val="none" w:sz="0" w:space="0" w:color="auto"/>
      </w:divBdr>
    </w:div>
    <w:div w:id="128986566">
      <w:marLeft w:val="0"/>
      <w:marRight w:val="0"/>
      <w:marTop w:val="180"/>
      <w:marBottom w:val="180"/>
      <w:divBdr>
        <w:top w:val="none" w:sz="0" w:space="0" w:color="auto"/>
        <w:left w:val="none" w:sz="0" w:space="0" w:color="auto"/>
        <w:bottom w:val="none" w:sz="0" w:space="0" w:color="auto"/>
        <w:right w:val="none" w:sz="0" w:space="0" w:color="auto"/>
      </w:divBdr>
    </w:div>
    <w:div w:id="129636702">
      <w:marLeft w:val="0"/>
      <w:marRight w:val="0"/>
      <w:marTop w:val="180"/>
      <w:marBottom w:val="180"/>
      <w:divBdr>
        <w:top w:val="none" w:sz="0" w:space="0" w:color="auto"/>
        <w:left w:val="none" w:sz="0" w:space="0" w:color="auto"/>
        <w:bottom w:val="none" w:sz="0" w:space="0" w:color="auto"/>
        <w:right w:val="none" w:sz="0" w:space="0" w:color="auto"/>
      </w:divBdr>
    </w:div>
    <w:div w:id="131556486">
      <w:marLeft w:val="0"/>
      <w:marRight w:val="0"/>
      <w:marTop w:val="0"/>
      <w:marBottom w:val="0"/>
      <w:divBdr>
        <w:top w:val="none" w:sz="0" w:space="0" w:color="auto"/>
        <w:left w:val="none" w:sz="0" w:space="0" w:color="auto"/>
        <w:bottom w:val="none" w:sz="0" w:space="0" w:color="auto"/>
        <w:right w:val="none" w:sz="0" w:space="0" w:color="auto"/>
      </w:divBdr>
      <w:divsChild>
        <w:div w:id="321549857">
          <w:marLeft w:val="0"/>
          <w:marRight w:val="0"/>
          <w:marTop w:val="180"/>
          <w:marBottom w:val="180"/>
          <w:divBdr>
            <w:top w:val="none" w:sz="0" w:space="0" w:color="auto"/>
            <w:left w:val="none" w:sz="0" w:space="0" w:color="auto"/>
            <w:bottom w:val="none" w:sz="0" w:space="0" w:color="auto"/>
            <w:right w:val="none" w:sz="0" w:space="0" w:color="auto"/>
          </w:divBdr>
        </w:div>
      </w:divsChild>
    </w:div>
    <w:div w:id="131560159">
      <w:marLeft w:val="0"/>
      <w:marRight w:val="0"/>
      <w:marTop w:val="240"/>
      <w:marBottom w:val="180"/>
      <w:divBdr>
        <w:top w:val="none" w:sz="0" w:space="0" w:color="auto"/>
        <w:left w:val="none" w:sz="0" w:space="0" w:color="auto"/>
        <w:bottom w:val="none" w:sz="0" w:space="0" w:color="auto"/>
        <w:right w:val="none" w:sz="0" w:space="0" w:color="auto"/>
      </w:divBdr>
    </w:div>
    <w:div w:id="132256692">
      <w:marLeft w:val="0"/>
      <w:marRight w:val="0"/>
      <w:marTop w:val="180"/>
      <w:marBottom w:val="180"/>
      <w:divBdr>
        <w:top w:val="none" w:sz="0" w:space="0" w:color="auto"/>
        <w:left w:val="none" w:sz="0" w:space="0" w:color="auto"/>
        <w:bottom w:val="none" w:sz="0" w:space="0" w:color="auto"/>
        <w:right w:val="none" w:sz="0" w:space="0" w:color="auto"/>
      </w:divBdr>
    </w:div>
    <w:div w:id="132452776">
      <w:marLeft w:val="0"/>
      <w:marRight w:val="0"/>
      <w:marTop w:val="0"/>
      <w:marBottom w:val="180"/>
      <w:divBdr>
        <w:top w:val="none" w:sz="0" w:space="0" w:color="auto"/>
        <w:left w:val="none" w:sz="0" w:space="0" w:color="auto"/>
        <w:bottom w:val="none" w:sz="0" w:space="0" w:color="auto"/>
        <w:right w:val="none" w:sz="0" w:space="0" w:color="auto"/>
      </w:divBdr>
    </w:div>
    <w:div w:id="133647265">
      <w:marLeft w:val="0"/>
      <w:marRight w:val="0"/>
      <w:marTop w:val="180"/>
      <w:marBottom w:val="180"/>
      <w:divBdr>
        <w:top w:val="none" w:sz="0" w:space="0" w:color="auto"/>
        <w:left w:val="none" w:sz="0" w:space="0" w:color="auto"/>
        <w:bottom w:val="none" w:sz="0" w:space="0" w:color="auto"/>
        <w:right w:val="none" w:sz="0" w:space="0" w:color="auto"/>
      </w:divBdr>
    </w:div>
    <w:div w:id="135032882">
      <w:marLeft w:val="0"/>
      <w:marRight w:val="0"/>
      <w:marTop w:val="0"/>
      <w:marBottom w:val="0"/>
      <w:divBdr>
        <w:top w:val="none" w:sz="0" w:space="0" w:color="auto"/>
        <w:left w:val="none" w:sz="0" w:space="0" w:color="auto"/>
        <w:bottom w:val="none" w:sz="0" w:space="0" w:color="auto"/>
        <w:right w:val="none" w:sz="0" w:space="0" w:color="auto"/>
      </w:divBdr>
      <w:divsChild>
        <w:div w:id="1779182078">
          <w:marLeft w:val="0"/>
          <w:marRight w:val="0"/>
          <w:marTop w:val="180"/>
          <w:marBottom w:val="180"/>
          <w:divBdr>
            <w:top w:val="none" w:sz="0" w:space="0" w:color="auto"/>
            <w:left w:val="none" w:sz="0" w:space="0" w:color="auto"/>
            <w:bottom w:val="none" w:sz="0" w:space="0" w:color="auto"/>
            <w:right w:val="none" w:sz="0" w:space="0" w:color="auto"/>
          </w:divBdr>
        </w:div>
      </w:divsChild>
    </w:div>
    <w:div w:id="135876587">
      <w:marLeft w:val="0"/>
      <w:marRight w:val="0"/>
      <w:marTop w:val="0"/>
      <w:marBottom w:val="0"/>
      <w:divBdr>
        <w:top w:val="none" w:sz="0" w:space="0" w:color="auto"/>
        <w:left w:val="none" w:sz="0" w:space="0" w:color="auto"/>
        <w:bottom w:val="none" w:sz="0" w:space="0" w:color="auto"/>
        <w:right w:val="none" w:sz="0" w:space="0" w:color="auto"/>
      </w:divBdr>
      <w:divsChild>
        <w:div w:id="1307779578">
          <w:marLeft w:val="0"/>
          <w:marRight w:val="0"/>
          <w:marTop w:val="0"/>
          <w:marBottom w:val="0"/>
          <w:divBdr>
            <w:top w:val="none" w:sz="0" w:space="0" w:color="auto"/>
            <w:left w:val="none" w:sz="0" w:space="0" w:color="auto"/>
            <w:bottom w:val="none" w:sz="0" w:space="0" w:color="auto"/>
            <w:right w:val="none" w:sz="0" w:space="0" w:color="auto"/>
          </w:divBdr>
          <w:divsChild>
            <w:div w:id="515847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339069">
      <w:marLeft w:val="0"/>
      <w:marRight w:val="0"/>
      <w:marTop w:val="60"/>
      <w:marBottom w:val="60"/>
      <w:divBdr>
        <w:top w:val="none" w:sz="0" w:space="0" w:color="auto"/>
        <w:left w:val="none" w:sz="0" w:space="0" w:color="auto"/>
        <w:bottom w:val="none" w:sz="0" w:space="0" w:color="auto"/>
        <w:right w:val="none" w:sz="0" w:space="0" w:color="auto"/>
      </w:divBdr>
    </w:div>
    <w:div w:id="139731924">
      <w:marLeft w:val="0"/>
      <w:marRight w:val="0"/>
      <w:marTop w:val="180"/>
      <w:marBottom w:val="180"/>
      <w:divBdr>
        <w:top w:val="none" w:sz="0" w:space="0" w:color="auto"/>
        <w:left w:val="none" w:sz="0" w:space="0" w:color="auto"/>
        <w:bottom w:val="none" w:sz="0" w:space="0" w:color="auto"/>
        <w:right w:val="none" w:sz="0" w:space="0" w:color="auto"/>
      </w:divBdr>
    </w:div>
    <w:div w:id="139805833">
      <w:marLeft w:val="0"/>
      <w:marRight w:val="0"/>
      <w:marTop w:val="0"/>
      <w:marBottom w:val="0"/>
      <w:divBdr>
        <w:top w:val="none" w:sz="0" w:space="0" w:color="auto"/>
        <w:left w:val="none" w:sz="0" w:space="0" w:color="auto"/>
        <w:bottom w:val="none" w:sz="0" w:space="0" w:color="auto"/>
        <w:right w:val="none" w:sz="0" w:space="0" w:color="auto"/>
      </w:divBdr>
    </w:div>
    <w:div w:id="140317103">
      <w:marLeft w:val="0"/>
      <w:marRight w:val="0"/>
      <w:marTop w:val="180"/>
      <w:marBottom w:val="180"/>
      <w:divBdr>
        <w:top w:val="none" w:sz="0" w:space="0" w:color="auto"/>
        <w:left w:val="none" w:sz="0" w:space="0" w:color="auto"/>
        <w:bottom w:val="none" w:sz="0" w:space="0" w:color="auto"/>
        <w:right w:val="none" w:sz="0" w:space="0" w:color="auto"/>
      </w:divBdr>
    </w:div>
    <w:div w:id="142088974">
      <w:marLeft w:val="0"/>
      <w:marRight w:val="0"/>
      <w:marTop w:val="0"/>
      <w:marBottom w:val="0"/>
      <w:divBdr>
        <w:top w:val="none" w:sz="0" w:space="0" w:color="auto"/>
        <w:left w:val="none" w:sz="0" w:space="0" w:color="auto"/>
        <w:bottom w:val="none" w:sz="0" w:space="0" w:color="auto"/>
        <w:right w:val="none" w:sz="0" w:space="0" w:color="auto"/>
      </w:divBdr>
    </w:div>
    <w:div w:id="142159588">
      <w:marLeft w:val="0"/>
      <w:marRight w:val="0"/>
      <w:marTop w:val="0"/>
      <w:marBottom w:val="0"/>
      <w:divBdr>
        <w:top w:val="none" w:sz="0" w:space="0" w:color="auto"/>
        <w:left w:val="none" w:sz="0" w:space="0" w:color="auto"/>
        <w:bottom w:val="none" w:sz="0" w:space="0" w:color="auto"/>
        <w:right w:val="none" w:sz="0" w:space="0" w:color="auto"/>
      </w:divBdr>
      <w:divsChild>
        <w:div w:id="467404157">
          <w:marLeft w:val="0"/>
          <w:marRight w:val="0"/>
          <w:marTop w:val="0"/>
          <w:marBottom w:val="0"/>
          <w:divBdr>
            <w:top w:val="none" w:sz="0" w:space="0" w:color="auto"/>
            <w:left w:val="none" w:sz="0" w:space="0" w:color="auto"/>
            <w:bottom w:val="none" w:sz="0" w:space="0" w:color="auto"/>
            <w:right w:val="none" w:sz="0" w:space="0" w:color="auto"/>
          </w:divBdr>
          <w:divsChild>
            <w:div w:id="2221064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3394306">
      <w:marLeft w:val="0"/>
      <w:marRight w:val="0"/>
      <w:marTop w:val="0"/>
      <w:marBottom w:val="0"/>
      <w:divBdr>
        <w:top w:val="none" w:sz="0" w:space="0" w:color="auto"/>
        <w:left w:val="none" w:sz="0" w:space="0" w:color="auto"/>
        <w:bottom w:val="none" w:sz="0" w:space="0" w:color="auto"/>
        <w:right w:val="none" w:sz="0" w:space="0" w:color="auto"/>
      </w:divBdr>
    </w:div>
    <w:div w:id="143816807">
      <w:marLeft w:val="0"/>
      <w:marRight w:val="0"/>
      <w:marTop w:val="100"/>
      <w:marBottom w:val="100"/>
      <w:divBdr>
        <w:top w:val="none" w:sz="0" w:space="0" w:color="auto"/>
        <w:left w:val="none" w:sz="0" w:space="0" w:color="auto"/>
        <w:bottom w:val="none" w:sz="0" w:space="0" w:color="auto"/>
        <w:right w:val="none" w:sz="0" w:space="0" w:color="auto"/>
      </w:divBdr>
      <w:divsChild>
        <w:div w:id="143668096">
          <w:marLeft w:val="0"/>
          <w:marRight w:val="0"/>
          <w:marTop w:val="0"/>
          <w:marBottom w:val="0"/>
          <w:divBdr>
            <w:top w:val="none" w:sz="0" w:space="0" w:color="auto"/>
            <w:left w:val="none" w:sz="0" w:space="0" w:color="auto"/>
            <w:bottom w:val="none" w:sz="0" w:space="0" w:color="auto"/>
            <w:right w:val="none" w:sz="0" w:space="0" w:color="auto"/>
          </w:divBdr>
        </w:div>
        <w:div w:id="1569923688">
          <w:marLeft w:val="0"/>
          <w:marRight w:val="0"/>
          <w:marTop w:val="0"/>
          <w:marBottom w:val="0"/>
          <w:divBdr>
            <w:top w:val="none" w:sz="0" w:space="0" w:color="auto"/>
            <w:left w:val="none" w:sz="0" w:space="0" w:color="auto"/>
            <w:bottom w:val="none" w:sz="0" w:space="0" w:color="auto"/>
            <w:right w:val="none" w:sz="0" w:space="0" w:color="auto"/>
          </w:divBdr>
        </w:div>
        <w:div w:id="212009025">
          <w:marLeft w:val="0"/>
          <w:marRight w:val="0"/>
          <w:marTop w:val="0"/>
          <w:marBottom w:val="0"/>
          <w:divBdr>
            <w:top w:val="none" w:sz="0" w:space="0" w:color="auto"/>
            <w:left w:val="none" w:sz="0" w:space="0" w:color="auto"/>
            <w:bottom w:val="none" w:sz="0" w:space="0" w:color="auto"/>
            <w:right w:val="none" w:sz="0" w:space="0" w:color="auto"/>
          </w:divBdr>
        </w:div>
        <w:div w:id="888299093">
          <w:marLeft w:val="0"/>
          <w:marRight w:val="0"/>
          <w:marTop w:val="0"/>
          <w:marBottom w:val="0"/>
          <w:divBdr>
            <w:top w:val="none" w:sz="0" w:space="0" w:color="auto"/>
            <w:left w:val="none" w:sz="0" w:space="0" w:color="auto"/>
            <w:bottom w:val="none" w:sz="0" w:space="0" w:color="auto"/>
            <w:right w:val="none" w:sz="0" w:space="0" w:color="auto"/>
          </w:divBdr>
        </w:div>
        <w:div w:id="1956792722">
          <w:marLeft w:val="0"/>
          <w:marRight w:val="0"/>
          <w:marTop w:val="0"/>
          <w:marBottom w:val="0"/>
          <w:divBdr>
            <w:top w:val="none" w:sz="0" w:space="0" w:color="auto"/>
            <w:left w:val="none" w:sz="0" w:space="0" w:color="auto"/>
            <w:bottom w:val="none" w:sz="0" w:space="0" w:color="auto"/>
            <w:right w:val="none" w:sz="0" w:space="0" w:color="auto"/>
          </w:divBdr>
        </w:div>
        <w:div w:id="58333837">
          <w:marLeft w:val="0"/>
          <w:marRight w:val="0"/>
          <w:marTop w:val="0"/>
          <w:marBottom w:val="0"/>
          <w:divBdr>
            <w:top w:val="none" w:sz="0" w:space="0" w:color="auto"/>
            <w:left w:val="none" w:sz="0" w:space="0" w:color="auto"/>
            <w:bottom w:val="none" w:sz="0" w:space="0" w:color="auto"/>
            <w:right w:val="none" w:sz="0" w:space="0" w:color="auto"/>
          </w:divBdr>
        </w:div>
        <w:div w:id="668142633">
          <w:marLeft w:val="0"/>
          <w:marRight w:val="0"/>
          <w:marTop w:val="0"/>
          <w:marBottom w:val="0"/>
          <w:divBdr>
            <w:top w:val="none" w:sz="0" w:space="0" w:color="auto"/>
            <w:left w:val="none" w:sz="0" w:space="0" w:color="auto"/>
            <w:bottom w:val="none" w:sz="0" w:space="0" w:color="auto"/>
            <w:right w:val="none" w:sz="0" w:space="0" w:color="auto"/>
          </w:divBdr>
        </w:div>
        <w:div w:id="118694248">
          <w:marLeft w:val="0"/>
          <w:marRight w:val="0"/>
          <w:marTop w:val="0"/>
          <w:marBottom w:val="0"/>
          <w:divBdr>
            <w:top w:val="none" w:sz="0" w:space="0" w:color="auto"/>
            <w:left w:val="none" w:sz="0" w:space="0" w:color="auto"/>
            <w:bottom w:val="none" w:sz="0" w:space="0" w:color="auto"/>
            <w:right w:val="none" w:sz="0" w:space="0" w:color="auto"/>
          </w:divBdr>
        </w:div>
        <w:div w:id="643897947">
          <w:marLeft w:val="0"/>
          <w:marRight w:val="0"/>
          <w:marTop w:val="0"/>
          <w:marBottom w:val="0"/>
          <w:divBdr>
            <w:top w:val="none" w:sz="0" w:space="0" w:color="auto"/>
            <w:left w:val="none" w:sz="0" w:space="0" w:color="auto"/>
            <w:bottom w:val="none" w:sz="0" w:space="0" w:color="auto"/>
            <w:right w:val="none" w:sz="0" w:space="0" w:color="auto"/>
          </w:divBdr>
        </w:div>
        <w:div w:id="491338977">
          <w:marLeft w:val="0"/>
          <w:marRight w:val="0"/>
          <w:marTop w:val="0"/>
          <w:marBottom w:val="0"/>
          <w:divBdr>
            <w:top w:val="none" w:sz="0" w:space="0" w:color="auto"/>
            <w:left w:val="none" w:sz="0" w:space="0" w:color="auto"/>
            <w:bottom w:val="none" w:sz="0" w:space="0" w:color="auto"/>
            <w:right w:val="none" w:sz="0" w:space="0" w:color="auto"/>
          </w:divBdr>
        </w:div>
        <w:div w:id="272518262">
          <w:marLeft w:val="0"/>
          <w:marRight w:val="0"/>
          <w:marTop w:val="0"/>
          <w:marBottom w:val="0"/>
          <w:divBdr>
            <w:top w:val="none" w:sz="0" w:space="0" w:color="auto"/>
            <w:left w:val="none" w:sz="0" w:space="0" w:color="auto"/>
            <w:bottom w:val="none" w:sz="0" w:space="0" w:color="auto"/>
            <w:right w:val="none" w:sz="0" w:space="0" w:color="auto"/>
          </w:divBdr>
        </w:div>
        <w:div w:id="1831943647">
          <w:marLeft w:val="0"/>
          <w:marRight w:val="0"/>
          <w:marTop w:val="0"/>
          <w:marBottom w:val="0"/>
          <w:divBdr>
            <w:top w:val="none" w:sz="0" w:space="0" w:color="auto"/>
            <w:left w:val="none" w:sz="0" w:space="0" w:color="auto"/>
            <w:bottom w:val="none" w:sz="0" w:space="0" w:color="auto"/>
            <w:right w:val="none" w:sz="0" w:space="0" w:color="auto"/>
          </w:divBdr>
        </w:div>
        <w:div w:id="988483077">
          <w:marLeft w:val="0"/>
          <w:marRight w:val="0"/>
          <w:marTop w:val="0"/>
          <w:marBottom w:val="0"/>
          <w:divBdr>
            <w:top w:val="none" w:sz="0" w:space="0" w:color="auto"/>
            <w:left w:val="none" w:sz="0" w:space="0" w:color="auto"/>
            <w:bottom w:val="none" w:sz="0" w:space="0" w:color="auto"/>
            <w:right w:val="none" w:sz="0" w:space="0" w:color="auto"/>
          </w:divBdr>
        </w:div>
        <w:div w:id="1794202718">
          <w:marLeft w:val="0"/>
          <w:marRight w:val="0"/>
          <w:marTop w:val="0"/>
          <w:marBottom w:val="0"/>
          <w:divBdr>
            <w:top w:val="none" w:sz="0" w:space="0" w:color="auto"/>
            <w:left w:val="none" w:sz="0" w:space="0" w:color="auto"/>
            <w:bottom w:val="none" w:sz="0" w:space="0" w:color="auto"/>
            <w:right w:val="none" w:sz="0" w:space="0" w:color="auto"/>
          </w:divBdr>
        </w:div>
        <w:div w:id="926574162">
          <w:marLeft w:val="0"/>
          <w:marRight w:val="0"/>
          <w:marTop w:val="0"/>
          <w:marBottom w:val="0"/>
          <w:divBdr>
            <w:top w:val="none" w:sz="0" w:space="0" w:color="auto"/>
            <w:left w:val="none" w:sz="0" w:space="0" w:color="auto"/>
            <w:bottom w:val="none" w:sz="0" w:space="0" w:color="auto"/>
            <w:right w:val="none" w:sz="0" w:space="0" w:color="auto"/>
          </w:divBdr>
        </w:div>
      </w:divsChild>
    </w:div>
    <w:div w:id="144666653">
      <w:marLeft w:val="0"/>
      <w:marRight w:val="0"/>
      <w:marTop w:val="180"/>
      <w:marBottom w:val="180"/>
      <w:divBdr>
        <w:top w:val="none" w:sz="0" w:space="0" w:color="auto"/>
        <w:left w:val="none" w:sz="0" w:space="0" w:color="auto"/>
        <w:bottom w:val="none" w:sz="0" w:space="0" w:color="auto"/>
        <w:right w:val="none" w:sz="0" w:space="0" w:color="auto"/>
      </w:divBdr>
    </w:div>
    <w:div w:id="146672308">
      <w:marLeft w:val="0"/>
      <w:marRight w:val="0"/>
      <w:marTop w:val="180"/>
      <w:marBottom w:val="180"/>
      <w:divBdr>
        <w:top w:val="none" w:sz="0" w:space="0" w:color="auto"/>
        <w:left w:val="none" w:sz="0" w:space="0" w:color="auto"/>
        <w:bottom w:val="none" w:sz="0" w:space="0" w:color="auto"/>
        <w:right w:val="none" w:sz="0" w:space="0" w:color="auto"/>
      </w:divBdr>
    </w:div>
    <w:div w:id="146897992">
      <w:marLeft w:val="0"/>
      <w:marRight w:val="0"/>
      <w:marTop w:val="180"/>
      <w:marBottom w:val="180"/>
      <w:divBdr>
        <w:top w:val="none" w:sz="0" w:space="0" w:color="auto"/>
        <w:left w:val="none" w:sz="0" w:space="0" w:color="auto"/>
        <w:bottom w:val="none" w:sz="0" w:space="0" w:color="auto"/>
        <w:right w:val="none" w:sz="0" w:space="0" w:color="auto"/>
      </w:divBdr>
    </w:div>
    <w:div w:id="147553370">
      <w:marLeft w:val="0"/>
      <w:marRight w:val="0"/>
      <w:marTop w:val="180"/>
      <w:marBottom w:val="180"/>
      <w:divBdr>
        <w:top w:val="none" w:sz="0" w:space="0" w:color="auto"/>
        <w:left w:val="none" w:sz="0" w:space="0" w:color="auto"/>
        <w:bottom w:val="none" w:sz="0" w:space="0" w:color="auto"/>
        <w:right w:val="none" w:sz="0" w:space="0" w:color="auto"/>
      </w:divBdr>
    </w:div>
    <w:div w:id="147989342">
      <w:marLeft w:val="0"/>
      <w:marRight w:val="0"/>
      <w:marTop w:val="180"/>
      <w:marBottom w:val="180"/>
      <w:divBdr>
        <w:top w:val="none" w:sz="0" w:space="0" w:color="auto"/>
        <w:left w:val="none" w:sz="0" w:space="0" w:color="auto"/>
        <w:bottom w:val="none" w:sz="0" w:space="0" w:color="auto"/>
        <w:right w:val="none" w:sz="0" w:space="0" w:color="auto"/>
      </w:divBdr>
    </w:div>
    <w:div w:id="148324370">
      <w:marLeft w:val="0"/>
      <w:marRight w:val="0"/>
      <w:marTop w:val="180"/>
      <w:marBottom w:val="180"/>
      <w:divBdr>
        <w:top w:val="none" w:sz="0" w:space="0" w:color="auto"/>
        <w:left w:val="none" w:sz="0" w:space="0" w:color="auto"/>
        <w:bottom w:val="none" w:sz="0" w:space="0" w:color="auto"/>
        <w:right w:val="none" w:sz="0" w:space="0" w:color="auto"/>
      </w:divBdr>
    </w:div>
    <w:div w:id="148521159">
      <w:marLeft w:val="0"/>
      <w:marRight w:val="0"/>
      <w:marTop w:val="0"/>
      <w:marBottom w:val="0"/>
      <w:divBdr>
        <w:top w:val="none" w:sz="0" w:space="0" w:color="auto"/>
        <w:left w:val="none" w:sz="0" w:space="0" w:color="auto"/>
        <w:bottom w:val="none" w:sz="0" w:space="0" w:color="auto"/>
        <w:right w:val="none" w:sz="0" w:space="0" w:color="auto"/>
      </w:divBdr>
      <w:divsChild>
        <w:div w:id="890119955">
          <w:marLeft w:val="0"/>
          <w:marRight w:val="0"/>
          <w:marTop w:val="0"/>
          <w:marBottom w:val="0"/>
          <w:divBdr>
            <w:top w:val="none" w:sz="0" w:space="0" w:color="auto"/>
            <w:left w:val="none" w:sz="0" w:space="0" w:color="auto"/>
            <w:bottom w:val="none" w:sz="0" w:space="0" w:color="auto"/>
            <w:right w:val="none" w:sz="0" w:space="0" w:color="auto"/>
          </w:divBdr>
          <w:divsChild>
            <w:div w:id="4998101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030089">
      <w:marLeft w:val="0"/>
      <w:marRight w:val="0"/>
      <w:marTop w:val="0"/>
      <w:marBottom w:val="0"/>
      <w:divBdr>
        <w:top w:val="none" w:sz="0" w:space="0" w:color="auto"/>
        <w:left w:val="none" w:sz="0" w:space="0" w:color="auto"/>
        <w:bottom w:val="none" w:sz="0" w:space="0" w:color="auto"/>
        <w:right w:val="none" w:sz="0" w:space="0" w:color="auto"/>
      </w:divBdr>
    </w:div>
    <w:div w:id="149641277">
      <w:marLeft w:val="0"/>
      <w:marRight w:val="0"/>
      <w:marTop w:val="100"/>
      <w:marBottom w:val="100"/>
      <w:divBdr>
        <w:top w:val="none" w:sz="0" w:space="0" w:color="auto"/>
        <w:left w:val="none" w:sz="0" w:space="0" w:color="auto"/>
        <w:bottom w:val="none" w:sz="0" w:space="0" w:color="auto"/>
        <w:right w:val="none" w:sz="0" w:space="0" w:color="auto"/>
      </w:divBdr>
    </w:div>
    <w:div w:id="150221639">
      <w:marLeft w:val="0"/>
      <w:marRight w:val="0"/>
      <w:marTop w:val="100"/>
      <w:marBottom w:val="100"/>
      <w:divBdr>
        <w:top w:val="none" w:sz="0" w:space="0" w:color="auto"/>
        <w:left w:val="none" w:sz="0" w:space="0" w:color="auto"/>
        <w:bottom w:val="none" w:sz="0" w:space="0" w:color="auto"/>
        <w:right w:val="none" w:sz="0" w:space="0" w:color="auto"/>
      </w:divBdr>
      <w:divsChild>
        <w:div w:id="1380662666">
          <w:marLeft w:val="0"/>
          <w:marRight w:val="0"/>
          <w:marTop w:val="0"/>
          <w:marBottom w:val="0"/>
          <w:divBdr>
            <w:top w:val="none" w:sz="0" w:space="0" w:color="auto"/>
            <w:left w:val="none" w:sz="0" w:space="0" w:color="auto"/>
            <w:bottom w:val="none" w:sz="0" w:space="0" w:color="auto"/>
            <w:right w:val="none" w:sz="0" w:space="0" w:color="auto"/>
          </w:divBdr>
        </w:div>
        <w:div w:id="1809320613">
          <w:marLeft w:val="0"/>
          <w:marRight w:val="0"/>
          <w:marTop w:val="0"/>
          <w:marBottom w:val="0"/>
          <w:divBdr>
            <w:top w:val="none" w:sz="0" w:space="0" w:color="auto"/>
            <w:left w:val="none" w:sz="0" w:space="0" w:color="auto"/>
            <w:bottom w:val="none" w:sz="0" w:space="0" w:color="auto"/>
            <w:right w:val="none" w:sz="0" w:space="0" w:color="auto"/>
          </w:divBdr>
        </w:div>
        <w:div w:id="1850290888">
          <w:marLeft w:val="0"/>
          <w:marRight w:val="0"/>
          <w:marTop w:val="0"/>
          <w:marBottom w:val="0"/>
          <w:divBdr>
            <w:top w:val="none" w:sz="0" w:space="0" w:color="auto"/>
            <w:left w:val="none" w:sz="0" w:space="0" w:color="auto"/>
            <w:bottom w:val="none" w:sz="0" w:space="0" w:color="auto"/>
            <w:right w:val="none" w:sz="0" w:space="0" w:color="auto"/>
          </w:divBdr>
        </w:div>
        <w:div w:id="1287737864">
          <w:marLeft w:val="0"/>
          <w:marRight w:val="0"/>
          <w:marTop w:val="0"/>
          <w:marBottom w:val="0"/>
          <w:divBdr>
            <w:top w:val="none" w:sz="0" w:space="0" w:color="auto"/>
            <w:left w:val="none" w:sz="0" w:space="0" w:color="auto"/>
            <w:bottom w:val="none" w:sz="0" w:space="0" w:color="auto"/>
            <w:right w:val="none" w:sz="0" w:space="0" w:color="auto"/>
          </w:divBdr>
        </w:div>
      </w:divsChild>
    </w:div>
    <w:div w:id="152062902">
      <w:marLeft w:val="0"/>
      <w:marRight w:val="0"/>
      <w:marTop w:val="180"/>
      <w:marBottom w:val="0"/>
      <w:divBdr>
        <w:top w:val="none" w:sz="0" w:space="0" w:color="auto"/>
        <w:left w:val="none" w:sz="0" w:space="0" w:color="auto"/>
        <w:bottom w:val="none" w:sz="0" w:space="0" w:color="auto"/>
        <w:right w:val="none" w:sz="0" w:space="0" w:color="auto"/>
      </w:divBdr>
    </w:div>
    <w:div w:id="153182039">
      <w:marLeft w:val="0"/>
      <w:marRight w:val="0"/>
      <w:marTop w:val="0"/>
      <w:marBottom w:val="0"/>
      <w:divBdr>
        <w:top w:val="none" w:sz="0" w:space="0" w:color="auto"/>
        <w:left w:val="none" w:sz="0" w:space="0" w:color="auto"/>
        <w:bottom w:val="none" w:sz="0" w:space="0" w:color="auto"/>
        <w:right w:val="none" w:sz="0" w:space="0" w:color="auto"/>
      </w:divBdr>
      <w:divsChild>
        <w:div w:id="265238759">
          <w:marLeft w:val="0"/>
          <w:marRight w:val="0"/>
          <w:marTop w:val="0"/>
          <w:marBottom w:val="0"/>
          <w:divBdr>
            <w:top w:val="none" w:sz="0" w:space="0" w:color="auto"/>
            <w:left w:val="none" w:sz="0" w:space="0" w:color="auto"/>
            <w:bottom w:val="none" w:sz="0" w:space="0" w:color="auto"/>
            <w:right w:val="none" w:sz="0" w:space="0" w:color="auto"/>
          </w:divBdr>
          <w:divsChild>
            <w:div w:id="520016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3649022">
      <w:marLeft w:val="0"/>
      <w:marRight w:val="0"/>
      <w:marTop w:val="180"/>
      <w:marBottom w:val="180"/>
      <w:divBdr>
        <w:top w:val="none" w:sz="0" w:space="0" w:color="auto"/>
        <w:left w:val="none" w:sz="0" w:space="0" w:color="auto"/>
        <w:bottom w:val="none" w:sz="0" w:space="0" w:color="auto"/>
        <w:right w:val="none" w:sz="0" w:space="0" w:color="auto"/>
      </w:divBdr>
    </w:div>
    <w:div w:id="154028718">
      <w:marLeft w:val="0"/>
      <w:marRight w:val="0"/>
      <w:marTop w:val="60"/>
      <w:marBottom w:val="60"/>
      <w:divBdr>
        <w:top w:val="none" w:sz="0" w:space="0" w:color="auto"/>
        <w:left w:val="none" w:sz="0" w:space="0" w:color="auto"/>
        <w:bottom w:val="none" w:sz="0" w:space="0" w:color="auto"/>
        <w:right w:val="none" w:sz="0" w:space="0" w:color="auto"/>
      </w:divBdr>
    </w:div>
    <w:div w:id="154078712">
      <w:marLeft w:val="0"/>
      <w:marRight w:val="0"/>
      <w:marTop w:val="0"/>
      <w:marBottom w:val="0"/>
      <w:divBdr>
        <w:top w:val="none" w:sz="0" w:space="0" w:color="auto"/>
        <w:left w:val="none" w:sz="0" w:space="0" w:color="auto"/>
        <w:bottom w:val="none" w:sz="0" w:space="0" w:color="auto"/>
        <w:right w:val="none" w:sz="0" w:space="0" w:color="auto"/>
      </w:divBdr>
      <w:divsChild>
        <w:div w:id="788401820">
          <w:marLeft w:val="0"/>
          <w:marRight w:val="0"/>
          <w:marTop w:val="0"/>
          <w:marBottom w:val="0"/>
          <w:divBdr>
            <w:top w:val="none" w:sz="0" w:space="0" w:color="auto"/>
            <w:left w:val="none" w:sz="0" w:space="0" w:color="auto"/>
            <w:bottom w:val="none" w:sz="0" w:space="0" w:color="auto"/>
            <w:right w:val="none" w:sz="0" w:space="0" w:color="auto"/>
          </w:divBdr>
          <w:divsChild>
            <w:div w:id="5066801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107077">
      <w:marLeft w:val="0"/>
      <w:marRight w:val="0"/>
      <w:marTop w:val="180"/>
      <w:marBottom w:val="180"/>
      <w:divBdr>
        <w:top w:val="none" w:sz="0" w:space="0" w:color="auto"/>
        <w:left w:val="none" w:sz="0" w:space="0" w:color="auto"/>
        <w:bottom w:val="none" w:sz="0" w:space="0" w:color="auto"/>
        <w:right w:val="none" w:sz="0" w:space="0" w:color="auto"/>
      </w:divBdr>
    </w:div>
    <w:div w:id="154348554">
      <w:marLeft w:val="0"/>
      <w:marRight w:val="0"/>
      <w:marTop w:val="180"/>
      <w:marBottom w:val="180"/>
      <w:divBdr>
        <w:top w:val="none" w:sz="0" w:space="0" w:color="auto"/>
        <w:left w:val="none" w:sz="0" w:space="0" w:color="auto"/>
        <w:bottom w:val="none" w:sz="0" w:space="0" w:color="auto"/>
        <w:right w:val="none" w:sz="0" w:space="0" w:color="auto"/>
      </w:divBdr>
    </w:div>
    <w:div w:id="155268167">
      <w:marLeft w:val="0"/>
      <w:marRight w:val="0"/>
      <w:marTop w:val="180"/>
      <w:marBottom w:val="180"/>
      <w:divBdr>
        <w:top w:val="none" w:sz="0" w:space="0" w:color="auto"/>
        <w:left w:val="none" w:sz="0" w:space="0" w:color="auto"/>
        <w:bottom w:val="none" w:sz="0" w:space="0" w:color="auto"/>
        <w:right w:val="none" w:sz="0" w:space="0" w:color="auto"/>
      </w:divBdr>
    </w:div>
    <w:div w:id="155462137">
      <w:marLeft w:val="0"/>
      <w:marRight w:val="0"/>
      <w:marTop w:val="0"/>
      <w:marBottom w:val="0"/>
      <w:divBdr>
        <w:top w:val="none" w:sz="0" w:space="0" w:color="auto"/>
        <w:left w:val="none" w:sz="0" w:space="0" w:color="auto"/>
        <w:bottom w:val="none" w:sz="0" w:space="0" w:color="auto"/>
        <w:right w:val="none" w:sz="0" w:space="0" w:color="auto"/>
      </w:divBdr>
      <w:divsChild>
        <w:div w:id="1923374690">
          <w:marLeft w:val="0"/>
          <w:marRight w:val="0"/>
          <w:marTop w:val="0"/>
          <w:marBottom w:val="0"/>
          <w:divBdr>
            <w:top w:val="none" w:sz="0" w:space="0" w:color="auto"/>
            <w:left w:val="none" w:sz="0" w:space="0" w:color="auto"/>
            <w:bottom w:val="none" w:sz="0" w:space="0" w:color="auto"/>
            <w:right w:val="none" w:sz="0" w:space="0" w:color="auto"/>
          </w:divBdr>
          <w:divsChild>
            <w:div w:id="3008889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613296">
      <w:marLeft w:val="0"/>
      <w:marRight w:val="0"/>
      <w:marTop w:val="180"/>
      <w:marBottom w:val="180"/>
      <w:divBdr>
        <w:top w:val="none" w:sz="0" w:space="0" w:color="auto"/>
        <w:left w:val="none" w:sz="0" w:space="0" w:color="auto"/>
        <w:bottom w:val="none" w:sz="0" w:space="0" w:color="auto"/>
        <w:right w:val="none" w:sz="0" w:space="0" w:color="auto"/>
      </w:divBdr>
    </w:div>
    <w:div w:id="155849711">
      <w:marLeft w:val="0"/>
      <w:marRight w:val="0"/>
      <w:marTop w:val="60"/>
      <w:marBottom w:val="60"/>
      <w:divBdr>
        <w:top w:val="none" w:sz="0" w:space="0" w:color="auto"/>
        <w:left w:val="none" w:sz="0" w:space="0" w:color="auto"/>
        <w:bottom w:val="none" w:sz="0" w:space="0" w:color="auto"/>
        <w:right w:val="none" w:sz="0" w:space="0" w:color="auto"/>
      </w:divBdr>
    </w:div>
    <w:div w:id="156652265">
      <w:marLeft w:val="0"/>
      <w:marRight w:val="0"/>
      <w:marTop w:val="0"/>
      <w:marBottom w:val="15"/>
      <w:divBdr>
        <w:top w:val="none" w:sz="0" w:space="0" w:color="auto"/>
        <w:left w:val="none" w:sz="0" w:space="0" w:color="auto"/>
        <w:bottom w:val="none" w:sz="0" w:space="0" w:color="auto"/>
        <w:right w:val="none" w:sz="0" w:space="0" w:color="auto"/>
      </w:divBdr>
    </w:div>
    <w:div w:id="157503455">
      <w:marLeft w:val="0"/>
      <w:marRight w:val="0"/>
      <w:marTop w:val="100"/>
      <w:marBottom w:val="100"/>
      <w:divBdr>
        <w:top w:val="none" w:sz="0" w:space="0" w:color="auto"/>
        <w:left w:val="none" w:sz="0" w:space="0" w:color="auto"/>
        <w:bottom w:val="none" w:sz="0" w:space="0" w:color="auto"/>
        <w:right w:val="none" w:sz="0" w:space="0" w:color="auto"/>
      </w:divBdr>
      <w:divsChild>
        <w:div w:id="1366103011">
          <w:marLeft w:val="0"/>
          <w:marRight w:val="0"/>
          <w:marTop w:val="0"/>
          <w:marBottom w:val="0"/>
          <w:divBdr>
            <w:top w:val="none" w:sz="0" w:space="0" w:color="auto"/>
            <w:left w:val="none" w:sz="0" w:space="0" w:color="auto"/>
            <w:bottom w:val="none" w:sz="0" w:space="0" w:color="auto"/>
            <w:right w:val="none" w:sz="0" w:space="0" w:color="auto"/>
          </w:divBdr>
        </w:div>
      </w:divsChild>
    </w:div>
    <w:div w:id="157504648">
      <w:marLeft w:val="0"/>
      <w:marRight w:val="0"/>
      <w:marTop w:val="0"/>
      <w:marBottom w:val="0"/>
      <w:divBdr>
        <w:top w:val="none" w:sz="0" w:space="0" w:color="auto"/>
        <w:left w:val="none" w:sz="0" w:space="0" w:color="auto"/>
        <w:bottom w:val="none" w:sz="0" w:space="0" w:color="auto"/>
        <w:right w:val="none" w:sz="0" w:space="0" w:color="auto"/>
      </w:divBdr>
      <w:divsChild>
        <w:div w:id="1986928913">
          <w:marLeft w:val="0"/>
          <w:marRight w:val="0"/>
          <w:marTop w:val="180"/>
          <w:marBottom w:val="180"/>
          <w:divBdr>
            <w:top w:val="none" w:sz="0" w:space="0" w:color="auto"/>
            <w:left w:val="none" w:sz="0" w:space="0" w:color="auto"/>
            <w:bottom w:val="none" w:sz="0" w:space="0" w:color="auto"/>
            <w:right w:val="none" w:sz="0" w:space="0" w:color="auto"/>
          </w:divBdr>
        </w:div>
      </w:divsChild>
    </w:div>
    <w:div w:id="157893350">
      <w:marLeft w:val="0"/>
      <w:marRight w:val="0"/>
      <w:marTop w:val="180"/>
      <w:marBottom w:val="180"/>
      <w:divBdr>
        <w:top w:val="none" w:sz="0" w:space="0" w:color="auto"/>
        <w:left w:val="none" w:sz="0" w:space="0" w:color="auto"/>
        <w:bottom w:val="none" w:sz="0" w:space="0" w:color="auto"/>
        <w:right w:val="none" w:sz="0" w:space="0" w:color="auto"/>
      </w:divBdr>
    </w:div>
    <w:div w:id="159388468">
      <w:marLeft w:val="0"/>
      <w:marRight w:val="0"/>
      <w:marTop w:val="180"/>
      <w:marBottom w:val="180"/>
      <w:divBdr>
        <w:top w:val="none" w:sz="0" w:space="0" w:color="auto"/>
        <w:left w:val="none" w:sz="0" w:space="0" w:color="auto"/>
        <w:bottom w:val="none" w:sz="0" w:space="0" w:color="auto"/>
        <w:right w:val="none" w:sz="0" w:space="0" w:color="auto"/>
      </w:divBdr>
    </w:div>
    <w:div w:id="159472346">
      <w:marLeft w:val="0"/>
      <w:marRight w:val="0"/>
      <w:marTop w:val="60"/>
      <w:marBottom w:val="60"/>
      <w:divBdr>
        <w:top w:val="none" w:sz="0" w:space="0" w:color="auto"/>
        <w:left w:val="none" w:sz="0" w:space="0" w:color="auto"/>
        <w:bottom w:val="none" w:sz="0" w:space="0" w:color="auto"/>
        <w:right w:val="none" w:sz="0" w:space="0" w:color="auto"/>
      </w:divBdr>
    </w:div>
    <w:div w:id="160049453">
      <w:marLeft w:val="0"/>
      <w:marRight w:val="0"/>
      <w:marTop w:val="0"/>
      <w:marBottom w:val="0"/>
      <w:divBdr>
        <w:top w:val="none" w:sz="0" w:space="0" w:color="auto"/>
        <w:left w:val="none" w:sz="0" w:space="0" w:color="auto"/>
        <w:bottom w:val="none" w:sz="0" w:space="0" w:color="auto"/>
        <w:right w:val="none" w:sz="0" w:space="0" w:color="auto"/>
      </w:divBdr>
      <w:divsChild>
        <w:div w:id="926497846">
          <w:marLeft w:val="0"/>
          <w:marRight w:val="0"/>
          <w:marTop w:val="180"/>
          <w:marBottom w:val="180"/>
          <w:divBdr>
            <w:top w:val="none" w:sz="0" w:space="0" w:color="auto"/>
            <w:left w:val="none" w:sz="0" w:space="0" w:color="auto"/>
            <w:bottom w:val="none" w:sz="0" w:space="0" w:color="auto"/>
            <w:right w:val="none" w:sz="0" w:space="0" w:color="auto"/>
          </w:divBdr>
        </w:div>
      </w:divsChild>
    </w:div>
    <w:div w:id="160120470">
      <w:marLeft w:val="0"/>
      <w:marRight w:val="0"/>
      <w:marTop w:val="180"/>
      <w:marBottom w:val="180"/>
      <w:divBdr>
        <w:top w:val="none" w:sz="0" w:space="0" w:color="auto"/>
        <w:left w:val="none" w:sz="0" w:space="0" w:color="auto"/>
        <w:bottom w:val="none" w:sz="0" w:space="0" w:color="auto"/>
        <w:right w:val="none" w:sz="0" w:space="0" w:color="auto"/>
      </w:divBdr>
    </w:div>
    <w:div w:id="160894602">
      <w:marLeft w:val="0"/>
      <w:marRight w:val="0"/>
      <w:marTop w:val="160"/>
      <w:marBottom w:val="100"/>
      <w:divBdr>
        <w:top w:val="none" w:sz="0" w:space="0" w:color="auto"/>
        <w:left w:val="none" w:sz="0" w:space="0" w:color="auto"/>
        <w:bottom w:val="none" w:sz="0" w:space="0" w:color="auto"/>
        <w:right w:val="none" w:sz="0" w:space="0" w:color="auto"/>
      </w:divBdr>
      <w:divsChild>
        <w:div w:id="1052390595">
          <w:marLeft w:val="0"/>
          <w:marRight w:val="0"/>
          <w:marTop w:val="0"/>
          <w:marBottom w:val="0"/>
          <w:divBdr>
            <w:top w:val="none" w:sz="0" w:space="0" w:color="auto"/>
            <w:left w:val="none" w:sz="0" w:space="0" w:color="auto"/>
            <w:bottom w:val="none" w:sz="0" w:space="0" w:color="auto"/>
            <w:right w:val="none" w:sz="0" w:space="0" w:color="auto"/>
          </w:divBdr>
        </w:div>
        <w:div w:id="620650749">
          <w:marLeft w:val="0"/>
          <w:marRight w:val="0"/>
          <w:marTop w:val="0"/>
          <w:marBottom w:val="0"/>
          <w:divBdr>
            <w:top w:val="none" w:sz="0" w:space="0" w:color="auto"/>
            <w:left w:val="none" w:sz="0" w:space="0" w:color="auto"/>
            <w:bottom w:val="none" w:sz="0" w:space="0" w:color="auto"/>
            <w:right w:val="none" w:sz="0" w:space="0" w:color="auto"/>
          </w:divBdr>
        </w:div>
      </w:divsChild>
    </w:div>
    <w:div w:id="161703049">
      <w:marLeft w:val="0"/>
      <w:marRight w:val="0"/>
      <w:marTop w:val="60"/>
      <w:marBottom w:val="60"/>
      <w:divBdr>
        <w:top w:val="none" w:sz="0" w:space="0" w:color="auto"/>
        <w:left w:val="none" w:sz="0" w:space="0" w:color="auto"/>
        <w:bottom w:val="none" w:sz="0" w:space="0" w:color="auto"/>
        <w:right w:val="none" w:sz="0" w:space="0" w:color="auto"/>
      </w:divBdr>
    </w:div>
    <w:div w:id="161894219">
      <w:marLeft w:val="0"/>
      <w:marRight w:val="0"/>
      <w:marTop w:val="60"/>
      <w:marBottom w:val="60"/>
      <w:divBdr>
        <w:top w:val="none" w:sz="0" w:space="0" w:color="auto"/>
        <w:left w:val="none" w:sz="0" w:space="0" w:color="auto"/>
        <w:bottom w:val="none" w:sz="0" w:space="0" w:color="auto"/>
        <w:right w:val="none" w:sz="0" w:space="0" w:color="auto"/>
      </w:divBdr>
    </w:div>
    <w:div w:id="162821771">
      <w:marLeft w:val="0"/>
      <w:marRight w:val="0"/>
      <w:marTop w:val="180"/>
      <w:marBottom w:val="180"/>
      <w:divBdr>
        <w:top w:val="none" w:sz="0" w:space="0" w:color="auto"/>
        <w:left w:val="none" w:sz="0" w:space="0" w:color="auto"/>
        <w:bottom w:val="none" w:sz="0" w:space="0" w:color="auto"/>
        <w:right w:val="none" w:sz="0" w:space="0" w:color="auto"/>
      </w:divBdr>
    </w:div>
    <w:div w:id="165248023">
      <w:marLeft w:val="0"/>
      <w:marRight w:val="0"/>
      <w:marTop w:val="180"/>
      <w:marBottom w:val="180"/>
      <w:divBdr>
        <w:top w:val="none" w:sz="0" w:space="0" w:color="auto"/>
        <w:left w:val="none" w:sz="0" w:space="0" w:color="auto"/>
        <w:bottom w:val="none" w:sz="0" w:space="0" w:color="auto"/>
        <w:right w:val="none" w:sz="0" w:space="0" w:color="auto"/>
      </w:divBdr>
    </w:div>
    <w:div w:id="166287151">
      <w:marLeft w:val="0"/>
      <w:marRight w:val="0"/>
      <w:marTop w:val="180"/>
      <w:marBottom w:val="180"/>
      <w:divBdr>
        <w:top w:val="none" w:sz="0" w:space="0" w:color="auto"/>
        <w:left w:val="none" w:sz="0" w:space="0" w:color="auto"/>
        <w:bottom w:val="none" w:sz="0" w:space="0" w:color="auto"/>
        <w:right w:val="none" w:sz="0" w:space="0" w:color="auto"/>
      </w:divBdr>
    </w:div>
    <w:div w:id="166481216">
      <w:marLeft w:val="0"/>
      <w:marRight w:val="0"/>
      <w:marTop w:val="180"/>
      <w:marBottom w:val="180"/>
      <w:divBdr>
        <w:top w:val="none" w:sz="0" w:space="0" w:color="auto"/>
        <w:left w:val="none" w:sz="0" w:space="0" w:color="auto"/>
        <w:bottom w:val="none" w:sz="0" w:space="0" w:color="auto"/>
        <w:right w:val="none" w:sz="0" w:space="0" w:color="auto"/>
      </w:divBdr>
    </w:div>
    <w:div w:id="167066357">
      <w:marLeft w:val="0"/>
      <w:marRight w:val="0"/>
      <w:marTop w:val="0"/>
      <w:marBottom w:val="0"/>
      <w:divBdr>
        <w:top w:val="none" w:sz="0" w:space="0" w:color="auto"/>
        <w:left w:val="none" w:sz="0" w:space="0" w:color="auto"/>
        <w:bottom w:val="none" w:sz="0" w:space="0" w:color="auto"/>
        <w:right w:val="none" w:sz="0" w:space="0" w:color="auto"/>
      </w:divBdr>
      <w:divsChild>
        <w:div w:id="1525900802">
          <w:marLeft w:val="0"/>
          <w:marRight w:val="0"/>
          <w:marTop w:val="0"/>
          <w:marBottom w:val="0"/>
          <w:divBdr>
            <w:top w:val="none" w:sz="0" w:space="0" w:color="auto"/>
            <w:left w:val="none" w:sz="0" w:space="0" w:color="auto"/>
            <w:bottom w:val="none" w:sz="0" w:space="0" w:color="auto"/>
            <w:right w:val="none" w:sz="0" w:space="0" w:color="auto"/>
          </w:divBdr>
          <w:divsChild>
            <w:div w:id="3940853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139815">
      <w:marLeft w:val="0"/>
      <w:marRight w:val="0"/>
      <w:marTop w:val="0"/>
      <w:marBottom w:val="0"/>
      <w:divBdr>
        <w:top w:val="none" w:sz="0" w:space="0" w:color="auto"/>
        <w:left w:val="none" w:sz="0" w:space="0" w:color="auto"/>
        <w:bottom w:val="none" w:sz="0" w:space="0" w:color="auto"/>
        <w:right w:val="none" w:sz="0" w:space="0" w:color="auto"/>
      </w:divBdr>
    </w:div>
    <w:div w:id="168175994">
      <w:marLeft w:val="0"/>
      <w:marRight w:val="0"/>
      <w:marTop w:val="180"/>
      <w:marBottom w:val="180"/>
      <w:divBdr>
        <w:top w:val="none" w:sz="0" w:space="0" w:color="auto"/>
        <w:left w:val="none" w:sz="0" w:space="0" w:color="auto"/>
        <w:bottom w:val="none" w:sz="0" w:space="0" w:color="auto"/>
        <w:right w:val="none" w:sz="0" w:space="0" w:color="auto"/>
      </w:divBdr>
    </w:div>
    <w:div w:id="171266601">
      <w:marLeft w:val="0"/>
      <w:marRight w:val="0"/>
      <w:marTop w:val="100"/>
      <w:marBottom w:val="100"/>
      <w:divBdr>
        <w:top w:val="none" w:sz="0" w:space="0" w:color="auto"/>
        <w:left w:val="none" w:sz="0" w:space="0" w:color="auto"/>
        <w:bottom w:val="none" w:sz="0" w:space="0" w:color="auto"/>
        <w:right w:val="none" w:sz="0" w:space="0" w:color="auto"/>
      </w:divBdr>
    </w:div>
    <w:div w:id="172769943">
      <w:marLeft w:val="0"/>
      <w:marRight w:val="0"/>
      <w:marTop w:val="180"/>
      <w:marBottom w:val="60"/>
      <w:divBdr>
        <w:top w:val="none" w:sz="0" w:space="0" w:color="auto"/>
        <w:left w:val="none" w:sz="0" w:space="0" w:color="auto"/>
        <w:bottom w:val="none" w:sz="0" w:space="0" w:color="auto"/>
        <w:right w:val="none" w:sz="0" w:space="0" w:color="auto"/>
      </w:divBdr>
    </w:div>
    <w:div w:id="173421917">
      <w:marLeft w:val="0"/>
      <w:marRight w:val="0"/>
      <w:marTop w:val="100"/>
      <w:marBottom w:val="180"/>
      <w:divBdr>
        <w:top w:val="none" w:sz="0" w:space="0" w:color="auto"/>
        <w:left w:val="none" w:sz="0" w:space="0" w:color="auto"/>
        <w:bottom w:val="none" w:sz="0" w:space="0" w:color="auto"/>
        <w:right w:val="none" w:sz="0" w:space="0" w:color="auto"/>
      </w:divBdr>
    </w:div>
    <w:div w:id="173762357">
      <w:marLeft w:val="0"/>
      <w:marRight w:val="0"/>
      <w:marTop w:val="60"/>
      <w:marBottom w:val="60"/>
      <w:divBdr>
        <w:top w:val="none" w:sz="0" w:space="0" w:color="auto"/>
        <w:left w:val="none" w:sz="0" w:space="0" w:color="auto"/>
        <w:bottom w:val="none" w:sz="0" w:space="0" w:color="auto"/>
        <w:right w:val="none" w:sz="0" w:space="0" w:color="auto"/>
      </w:divBdr>
    </w:div>
    <w:div w:id="173886847">
      <w:marLeft w:val="0"/>
      <w:marRight w:val="0"/>
      <w:marTop w:val="100"/>
      <w:marBottom w:val="100"/>
      <w:divBdr>
        <w:top w:val="none" w:sz="0" w:space="0" w:color="auto"/>
        <w:left w:val="none" w:sz="0" w:space="0" w:color="auto"/>
        <w:bottom w:val="none" w:sz="0" w:space="0" w:color="auto"/>
        <w:right w:val="none" w:sz="0" w:space="0" w:color="auto"/>
      </w:divBdr>
    </w:div>
    <w:div w:id="174544333">
      <w:marLeft w:val="0"/>
      <w:marRight w:val="0"/>
      <w:marTop w:val="180"/>
      <w:marBottom w:val="60"/>
      <w:divBdr>
        <w:top w:val="none" w:sz="0" w:space="0" w:color="auto"/>
        <w:left w:val="none" w:sz="0" w:space="0" w:color="auto"/>
        <w:bottom w:val="none" w:sz="0" w:space="0" w:color="auto"/>
        <w:right w:val="none" w:sz="0" w:space="0" w:color="auto"/>
      </w:divBdr>
    </w:div>
    <w:div w:id="176118451">
      <w:marLeft w:val="0"/>
      <w:marRight w:val="0"/>
      <w:marTop w:val="180"/>
      <w:marBottom w:val="180"/>
      <w:divBdr>
        <w:top w:val="none" w:sz="0" w:space="0" w:color="auto"/>
        <w:left w:val="none" w:sz="0" w:space="0" w:color="auto"/>
        <w:bottom w:val="none" w:sz="0" w:space="0" w:color="auto"/>
        <w:right w:val="none" w:sz="0" w:space="0" w:color="auto"/>
      </w:divBdr>
    </w:div>
    <w:div w:id="176313121">
      <w:marLeft w:val="0"/>
      <w:marRight w:val="0"/>
      <w:marTop w:val="180"/>
      <w:marBottom w:val="180"/>
      <w:divBdr>
        <w:top w:val="none" w:sz="0" w:space="0" w:color="auto"/>
        <w:left w:val="none" w:sz="0" w:space="0" w:color="auto"/>
        <w:bottom w:val="none" w:sz="0" w:space="0" w:color="auto"/>
        <w:right w:val="none" w:sz="0" w:space="0" w:color="auto"/>
      </w:divBdr>
    </w:div>
    <w:div w:id="176697179">
      <w:marLeft w:val="0"/>
      <w:marRight w:val="0"/>
      <w:marTop w:val="0"/>
      <w:marBottom w:val="0"/>
      <w:divBdr>
        <w:top w:val="none" w:sz="0" w:space="0" w:color="auto"/>
        <w:left w:val="none" w:sz="0" w:space="0" w:color="auto"/>
        <w:bottom w:val="none" w:sz="0" w:space="0" w:color="auto"/>
        <w:right w:val="none" w:sz="0" w:space="0" w:color="auto"/>
      </w:divBdr>
      <w:divsChild>
        <w:div w:id="406266079">
          <w:marLeft w:val="0"/>
          <w:marRight w:val="0"/>
          <w:marTop w:val="0"/>
          <w:marBottom w:val="0"/>
          <w:divBdr>
            <w:top w:val="none" w:sz="0" w:space="0" w:color="auto"/>
            <w:left w:val="none" w:sz="0" w:space="0" w:color="auto"/>
            <w:bottom w:val="none" w:sz="0" w:space="0" w:color="auto"/>
            <w:right w:val="none" w:sz="0" w:space="0" w:color="auto"/>
          </w:divBdr>
          <w:divsChild>
            <w:div w:id="13593529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894521">
      <w:marLeft w:val="0"/>
      <w:marRight w:val="0"/>
      <w:marTop w:val="180"/>
      <w:marBottom w:val="180"/>
      <w:divBdr>
        <w:top w:val="none" w:sz="0" w:space="0" w:color="auto"/>
        <w:left w:val="none" w:sz="0" w:space="0" w:color="auto"/>
        <w:bottom w:val="none" w:sz="0" w:space="0" w:color="auto"/>
        <w:right w:val="none" w:sz="0" w:space="0" w:color="auto"/>
      </w:divBdr>
    </w:div>
    <w:div w:id="177236849">
      <w:marLeft w:val="0"/>
      <w:marRight w:val="0"/>
      <w:marTop w:val="180"/>
      <w:marBottom w:val="180"/>
      <w:divBdr>
        <w:top w:val="none" w:sz="0" w:space="0" w:color="auto"/>
        <w:left w:val="none" w:sz="0" w:space="0" w:color="auto"/>
        <w:bottom w:val="none" w:sz="0" w:space="0" w:color="auto"/>
        <w:right w:val="none" w:sz="0" w:space="0" w:color="auto"/>
      </w:divBdr>
    </w:div>
    <w:div w:id="179010337">
      <w:marLeft w:val="0"/>
      <w:marRight w:val="0"/>
      <w:marTop w:val="180"/>
      <w:marBottom w:val="180"/>
      <w:divBdr>
        <w:top w:val="none" w:sz="0" w:space="0" w:color="auto"/>
        <w:left w:val="none" w:sz="0" w:space="0" w:color="auto"/>
        <w:bottom w:val="none" w:sz="0" w:space="0" w:color="auto"/>
        <w:right w:val="none" w:sz="0" w:space="0" w:color="auto"/>
      </w:divBdr>
    </w:div>
    <w:div w:id="180319977">
      <w:marLeft w:val="0"/>
      <w:marRight w:val="0"/>
      <w:marTop w:val="100"/>
      <w:marBottom w:val="100"/>
      <w:divBdr>
        <w:top w:val="none" w:sz="0" w:space="0" w:color="auto"/>
        <w:left w:val="none" w:sz="0" w:space="0" w:color="auto"/>
        <w:bottom w:val="none" w:sz="0" w:space="0" w:color="auto"/>
        <w:right w:val="none" w:sz="0" w:space="0" w:color="auto"/>
      </w:divBdr>
    </w:div>
    <w:div w:id="180441660">
      <w:marLeft w:val="0"/>
      <w:marRight w:val="0"/>
      <w:marTop w:val="60"/>
      <w:marBottom w:val="60"/>
      <w:divBdr>
        <w:top w:val="none" w:sz="0" w:space="0" w:color="auto"/>
        <w:left w:val="none" w:sz="0" w:space="0" w:color="auto"/>
        <w:bottom w:val="none" w:sz="0" w:space="0" w:color="auto"/>
        <w:right w:val="none" w:sz="0" w:space="0" w:color="auto"/>
      </w:divBdr>
    </w:div>
    <w:div w:id="182059492">
      <w:marLeft w:val="0"/>
      <w:marRight w:val="0"/>
      <w:marTop w:val="180"/>
      <w:marBottom w:val="180"/>
      <w:divBdr>
        <w:top w:val="none" w:sz="0" w:space="0" w:color="auto"/>
        <w:left w:val="none" w:sz="0" w:space="0" w:color="auto"/>
        <w:bottom w:val="none" w:sz="0" w:space="0" w:color="auto"/>
        <w:right w:val="none" w:sz="0" w:space="0" w:color="auto"/>
      </w:divBdr>
    </w:div>
    <w:div w:id="182204962">
      <w:marLeft w:val="0"/>
      <w:marRight w:val="0"/>
      <w:marTop w:val="180"/>
      <w:marBottom w:val="180"/>
      <w:divBdr>
        <w:top w:val="none" w:sz="0" w:space="0" w:color="auto"/>
        <w:left w:val="none" w:sz="0" w:space="0" w:color="auto"/>
        <w:bottom w:val="none" w:sz="0" w:space="0" w:color="auto"/>
        <w:right w:val="none" w:sz="0" w:space="0" w:color="auto"/>
      </w:divBdr>
    </w:div>
    <w:div w:id="182519097">
      <w:marLeft w:val="0"/>
      <w:marRight w:val="0"/>
      <w:marTop w:val="180"/>
      <w:marBottom w:val="180"/>
      <w:divBdr>
        <w:top w:val="none" w:sz="0" w:space="0" w:color="auto"/>
        <w:left w:val="none" w:sz="0" w:space="0" w:color="auto"/>
        <w:bottom w:val="none" w:sz="0" w:space="0" w:color="auto"/>
        <w:right w:val="none" w:sz="0" w:space="0" w:color="auto"/>
      </w:divBdr>
    </w:div>
    <w:div w:id="182715318">
      <w:marLeft w:val="0"/>
      <w:marRight w:val="0"/>
      <w:marTop w:val="180"/>
      <w:marBottom w:val="180"/>
      <w:divBdr>
        <w:top w:val="none" w:sz="0" w:space="0" w:color="auto"/>
        <w:left w:val="none" w:sz="0" w:space="0" w:color="auto"/>
        <w:bottom w:val="none" w:sz="0" w:space="0" w:color="auto"/>
        <w:right w:val="none" w:sz="0" w:space="0" w:color="auto"/>
      </w:divBdr>
    </w:div>
    <w:div w:id="183712437">
      <w:marLeft w:val="0"/>
      <w:marRight w:val="0"/>
      <w:marTop w:val="180"/>
      <w:marBottom w:val="180"/>
      <w:divBdr>
        <w:top w:val="none" w:sz="0" w:space="0" w:color="auto"/>
        <w:left w:val="none" w:sz="0" w:space="0" w:color="auto"/>
        <w:bottom w:val="none" w:sz="0" w:space="0" w:color="auto"/>
        <w:right w:val="none" w:sz="0" w:space="0" w:color="auto"/>
      </w:divBdr>
    </w:div>
    <w:div w:id="183903555">
      <w:marLeft w:val="0"/>
      <w:marRight w:val="0"/>
      <w:marTop w:val="180"/>
      <w:marBottom w:val="180"/>
      <w:divBdr>
        <w:top w:val="none" w:sz="0" w:space="0" w:color="auto"/>
        <w:left w:val="none" w:sz="0" w:space="0" w:color="auto"/>
        <w:bottom w:val="none" w:sz="0" w:space="0" w:color="auto"/>
        <w:right w:val="none" w:sz="0" w:space="0" w:color="auto"/>
      </w:divBdr>
    </w:div>
    <w:div w:id="183985724">
      <w:marLeft w:val="0"/>
      <w:marRight w:val="0"/>
      <w:marTop w:val="0"/>
      <w:marBottom w:val="0"/>
      <w:divBdr>
        <w:top w:val="none" w:sz="0" w:space="0" w:color="auto"/>
        <w:left w:val="none" w:sz="0" w:space="0" w:color="auto"/>
        <w:bottom w:val="none" w:sz="0" w:space="0" w:color="auto"/>
        <w:right w:val="none" w:sz="0" w:space="0" w:color="auto"/>
      </w:divBdr>
      <w:divsChild>
        <w:div w:id="861482458">
          <w:marLeft w:val="0"/>
          <w:marRight w:val="0"/>
          <w:marTop w:val="180"/>
          <w:marBottom w:val="180"/>
          <w:divBdr>
            <w:top w:val="none" w:sz="0" w:space="0" w:color="auto"/>
            <w:left w:val="none" w:sz="0" w:space="0" w:color="auto"/>
            <w:bottom w:val="none" w:sz="0" w:space="0" w:color="auto"/>
            <w:right w:val="none" w:sz="0" w:space="0" w:color="auto"/>
          </w:divBdr>
        </w:div>
      </w:divsChild>
    </w:div>
    <w:div w:id="184557978">
      <w:marLeft w:val="0"/>
      <w:marRight w:val="0"/>
      <w:marTop w:val="60"/>
      <w:marBottom w:val="60"/>
      <w:divBdr>
        <w:top w:val="none" w:sz="0" w:space="0" w:color="auto"/>
        <w:left w:val="none" w:sz="0" w:space="0" w:color="auto"/>
        <w:bottom w:val="none" w:sz="0" w:space="0" w:color="auto"/>
        <w:right w:val="none" w:sz="0" w:space="0" w:color="auto"/>
      </w:divBdr>
    </w:div>
    <w:div w:id="184635162">
      <w:marLeft w:val="0"/>
      <w:marRight w:val="0"/>
      <w:marTop w:val="180"/>
      <w:marBottom w:val="180"/>
      <w:divBdr>
        <w:top w:val="none" w:sz="0" w:space="0" w:color="auto"/>
        <w:left w:val="none" w:sz="0" w:space="0" w:color="auto"/>
        <w:bottom w:val="none" w:sz="0" w:space="0" w:color="auto"/>
        <w:right w:val="none" w:sz="0" w:space="0" w:color="auto"/>
      </w:divBdr>
    </w:div>
    <w:div w:id="184756738">
      <w:marLeft w:val="0"/>
      <w:marRight w:val="0"/>
      <w:marTop w:val="180"/>
      <w:marBottom w:val="180"/>
      <w:divBdr>
        <w:top w:val="none" w:sz="0" w:space="0" w:color="auto"/>
        <w:left w:val="none" w:sz="0" w:space="0" w:color="auto"/>
        <w:bottom w:val="none" w:sz="0" w:space="0" w:color="auto"/>
        <w:right w:val="none" w:sz="0" w:space="0" w:color="auto"/>
      </w:divBdr>
    </w:div>
    <w:div w:id="186215162">
      <w:marLeft w:val="0"/>
      <w:marRight w:val="0"/>
      <w:marTop w:val="60"/>
      <w:marBottom w:val="60"/>
      <w:divBdr>
        <w:top w:val="none" w:sz="0" w:space="0" w:color="auto"/>
        <w:left w:val="none" w:sz="0" w:space="0" w:color="auto"/>
        <w:bottom w:val="none" w:sz="0" w:space="0" w:color="auto"/>
        <w:right w:val="none" w:sz="0" w:space="0" w:color="auto"/>
      </w:divBdr>
    </w:div>
    <w:div w:id="186601150">
      <w:marLeft w:val="0"/>
      <w:marRight w:val="0"/>
      <w:marTop w:val="60"/>
      <w:marBottom w:val="60"/>
      <w:divBdr>
        <w:top w:val="none" w:sz="0" w:space="0" w:color="auto"/>
        <w:left w:val="none" w:sz="0" w:space="0" w:color="auto"/>
        <w:bottom w:val="none" w:sz="0" w:space="0" w:color="auto"/>
        <w:right w:val="none" w:sz="0" w:space="0" w:color="auto"/>
      </w:divBdr>
    </w:div>
    <w:div w:id="186795098">
      <w:marLeft w:val="0"/>
      <w:marRight w:val="0"/>
      <w:marTop w:val="60"/>
      <w:marBottom w:val="60"/>
      <w:divBdr>
        <w:top w:val="none" w:sz="0" w:space="0" w:color="auto"/>
        <w:left w:val="none" w:sz="0" w:space="0" w:color="auto"/>
        <w:bottom w:val="none" w:sz="0" w:space="0" w:color="auto"/>
        <w:right w:val="none" w:sz="0" w:space="0" w:color="auto"/>
      </w:divBdr>
    </w:div>
    <w:div w:id="187135726">
      <w:marLeft w:val="0"/>
      <w:marRight w:val="0"/>
      <w:marTop w:val="60"/>
      <w:marBottom w:val="60"/>
      <w:divBdr>
        <w:top w:val="none" w:sz="0" w:space="0" w:color="auto"/>
        <w:left w:val="none" w:sz="0" w:space="0" w:color="auto"/>
        <w:bottom w:val="none" w:sz="0" w:space="0" w:color="auto"/>
        <w:right w:val="none" w:sz="0" w:space="0" w:color="auto"/>
      </w:divBdr>
    </w:div>
    <w:div w:id="187765384">
      <w:marLeft w:val="0"/>
      <w:marRight w:val="0"/>
      <w:marTop w:val="0"/>
      <w:marBottom w:val="0"/>
      <w:divBdr>
        <w:top w:val="none" w:sz="0" w:space="0" w:color="auto"/>
        <w:left w:val="none" w:sz="0" w:space="0" w:color="auto"/>
        <w:bottom w:val="none" w:sz="0" w:space="0" w:color="auto"/>
        <w:right w:val="none" w:sz="0" w:space="0" w:color="auto"/>
      </w:divBdr>
      <w:divsChild>
        <w:div w:id="1904368223">
          <w:marLeft w:val="0"/>
          <w:marRight w:val="0"/>
          <w:marTop w:val="180"/>
          <w:marBottom w:val="180"/>
          <w:divBdr>
            <w:top w:val="none" w:sz="0" w:space="0" w:color="auto"/>
            <w:left w:val="none" w:sz="0" w:space="0" w:color="auto"/>
            <w:bottom w:val="none" w:sz="0" w:space="0" w:color="auto"/>
            <w:right w:val="none" w:sz="0" w:space="0" w:color="auto"/>
          </w:divBdr>
        </w:div>
      </w:divsChild>
    </w:div>
    <w:div w:id="188494985">
      <w:marLeft w:val="0"/>
      <w:marRight w:val="0"/>
      <w:marTop w:val="0"/>
      <w:marBottom w:val="0"/>
      <w:divBdr>
        <w:top w:val="none" w:sz="0" w:space="0" w:color="auto"/>
        <w:left w:val="none" w:sz="0" w:space="0" w:color="auto"/>
        <w:bottom w:val="none" w:sz="0" w:space="0" w:color="auto"/>
        <w:right w:val="none" w:sz="0" w:space="0" w:color="auto"/>
      </w:divBdr>
      <w:divsChild>
        <w:div w:id="313679512">
          <w:marLeft w:val="0"/>
          <w:marRight w:val="0"/>
          <w:marTop w:val="0"/>
          <w:marBottom w:val="0"/>
          <w:divBdr>
            <w:top w:val="none" w:sz="0" w:space="0" w:color="auto"/>
            <w:left w:val="none" w:sz="0" w:space="0" w:color="auto"/>
            <w:bottom w:val="none" w:sz="0" w:space="0" w:color="auto"/>
            <w:right w:val="none" w:sz="0" w:space="0" w:color="auto"/>
          </w:divBdr>
          <w:divsChild>
            <w:div w:id="7644948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689162">
      <w:marLeft w:val="0"/>
      <w:marRight w:val="0"/>
      <w:marTop w:val="180"/>
      <w:marBottom w:val="180"/>
      <w:divBdr>
        <w:top w:val="none" w:sz="0" w:space="0" w:color="auto"/>
        <w:left w:val="none" w:sz="0" w:space="0" w:color="auto"/>
        <w:bottom w:val="none" w:sz="0" w:space="0" w:color="auto"/>
        <w:right w:val="none" w:sz="0" w:space="0" w:color="auto"/>
      </w:divBdr>
    </w:div>
    <w:div w:id="188954292">
      <w:marLeft w:val="0"/>
      <w:marRight w:val="0"/>
      <w:marTop w:val="0"/>
      <w:marBottom w:val="0"/>
      <w:divBdr>
        <w:top w:val="none" w:sz="0" w:space="0" w:color="auto"/>
        <w:left w:val="none" w:sz="0" w:space="0" w:color="auto"/>
        <w:bottom w:val="none" w:sz="0" w:space="0" w:color="auto"/>
        <w:right w:val="none" w:sz="0" w:space="0" w:color="auto"/>
      </w:divBdr>
    </w:div>
    <w:div w:id="190077210">
      <w:marLeft w:val="0"/>
      <w:marRight w:val="0"/>
      <w:marTop w:val="0"/>
      <w:marBottom w:val="0"/>
      <w:divBdr>
        <w:top w:val="none" w:sz="0" w:space="0" w:color="auto"/>
        <w:left w:val="none" w:sz="0" w:space="0" w:color="auto"/>
        <w:bottom w:val="none" w:sz="0" w:space="0" w:color="auto"/>
        <w:right w:val="none" w:sz="0" w:space="0" w:color="auto"/>
      </w:divBdr>
    </w:div>
    <w:div w:id="190458238">
      <w:marLeft w:val="0"/>
      <w:marRight w:val="0"/>
      <w:marTop w:val="180"/>
      <w:marBottom w:val="120"/>
      <w:divBdr>
        <w:top w:val="none" w:sz="0" w:space="0" w:color="auto"/>
        <w:left w:val="none" w:sz="0" w:space="0" w:color="auto"/>
        <w:bottom w:val="none" w:sz="0" w:space="0" w:color="auto"/>
        <w:right w:val="none" w:sz="0" w:space="0" w:color="auto"/>
      </w:divBdr>
    </w:div>
    <w:div w:id="190462207">
      <w:marLeft w:val="0"/>
      <w:marRight w:val="0"/>
      <w:marTop w:val="180"/>
      <w:marBottom w:val="180"/>
      <w:divBdr>
        <w:top w:val="none" w:sz="0" w:space="0" w:color="auto"/>
        <w:left w:val="none" w:sz="0" w:space="0" w:color="auto"/>
        <w:bottom w:val="none" w:sz="0" w:space="0" w:color="auto"/>
        <w:right w:val="none" w:sz="0" w:space="0" w:color="auto"/>
      </w:divBdr>
    </w:div>
    <w:div w:id="191767883">
      <w:marLeft w:val="0"/>
      <w:marRight w:val="0"/>
      <w:marTop w:val="180"/>
      <w:marBottom w:val="180"/>
      <w:divBdr>
        <w:top w:val="none" w:sz="0" w:space="0" w:color="auto"/>
        <w:left w:val="none" w:sz="0" w:space="0" w:color="auto"/>
        <w:bottom w:val="none" w:sz="0" w:space="0" w:color="auto"/>
        <w:right w:val="none" w:sz="0" w:space="0" w:color="auto"/>
      </w:divBdr>
    </w:div>
    <w:div w:id="193617399">
      <w:marLeft w:val="0"/>
      <w:marRight w:val="0"/>
      <w:marTop w:val="180"/>
      <w:marBottom w:val="180"/>
      <w:divBdr>
        <w:top w:val="none" w:sz="0" w:space="0" w:color="auto"/>
        <w:left w:val="none" w:sz="0" w:space="0" w:color="auto"/>
        <w:bottom w:val="none" w:sz="0" w:space="0" w:color="auto"/>
        <w:right w:val="none" w:sz="0" w:space="0" w:color="auto"/>
      </w:divBdr>
    </w:div>
    <w:div w:id="193924108">
      <w:marLeft w:val="0"/>
      <w:marRight w:val="0"/>
      <w:marTop w:val="180"/>
      <w:marBottom w:val="180"/>
      <w:divBdr>
        <w:top w:val="none" w:sz="0" w:space="0" w:color="auto"/>
        <w:left w:val="none" w:sz="0" w:space="0" w:color="auto"/>
        <w:bottom w:val="none" w:sz="0" w:space="0" w:color="auto"/>
        <w:right w:val="none" w:sz="0" w:space="0" w:color="auto"/>
      </w:divBdr>
    </w:div>
    <w:div w:id="194344728">
      <w:marLeft w:val="0"/>
      <w:marRight w:val="0"/>
      <w:marTop w:val="180"/>
      <w:marBottom w:val="180"/>
      <w:divBdr>
        <w:top w:val="none" w:sz="0" w:space="0" w:color="auto"/>
        <w:left w:val="none" w:sz="0" w:space="0" w:color="auto"/>
        <w:bottom w:val="none" w:sz="0" w:space="0" w:color="auto"/>
        <w:right w:val="none" w:sz="0" w:space="0" w:color="auto"/>
      </w:divBdr>
    </w:div>
    <w:div w:id="194777298">
      <w:marLeft w:val="0"/>
      <w:marRight w:val="0"/>
      <w:marTop w:val="180"/>
      <w:marBottom w:val="180"/>
      <w:divBdr>
        <w:top w:val="none" w:sz="0" w:space="0" w:color="auto"/>
        <w:left w:val="none" w:sz="0" w:space="0" w:color="auto"/>
        <w:bottom w:val="none" w:sz="0" w:space="0" w:color="auto"/>
        <w:right w:val="none" w:sz="0" w:space="0" w:color="auto"/>
      </w:divBdr>
    </w:div>
    <w:div w:id="197087761">
      <w:marLeft w:val="0"/>
      <w:marRight w:val="0"/>
      <w:marTop w:val="0"/>
      <w:marBottom w:val="0"/>
      <w:divBdr>
        <w:top w:val="none" w:sz="0" w:space="0" w:color="auto"/>
        <w:left w:val="none" w:sz="0" w:space="0" w:color="auto"/>
        <w:bottom w:val="none" w:sz="0" w:space="0" w:color="auto"/>
        <w:right w:val="none" w:sz="0" w:space="0" w:color="auto"/>
      </w:divBdr>
      <w:divsChild>
        <w:div w:id="1806853561">
          <w:marLeft w:val="0"/>
          <w:marRight w:val="0"/>
          <w:marTop w:val="0"/>
          <w:marBottom w:val="0"/>
          <w:divBdr>
            <w:top w:val="none" w:sz="0" w:space="0" w:color="auto"/>
            <w:left w:val="none" w:sz="0" w:space="0" w:color="auto"/>
            <w:bottom w:val="none" w:sz="0" w:space="0" w:color="auto"/>
            <w:right w:val="none" w:sz="0" w:space="0" w:color="auto"/>
          </w:divBdr>
          <w:divsChild>
            <w:div w:id="1468469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819966">
      <w:marLeft w:val="0"/>
      <w:marRight w:val="0"/>
      <w:marTop w:val="0"/>
      <w:marBottom w:val="0"/>
      <w:divBdr>
        <w:top w:val="none" w:sz="0" w:space="0" w:color="auto"/>
        <w:left w:val="none" w:sz="0" w:space="0" w:color="auto"/>
        <w:bottom w:val="none" w:sz="0" w:space="0" w:color="auto"/>
        <w:right w:val="none" w:sz="0" w:space="0" w:color="auto"/>
      </w:divBdr>
      <w:divsChild>
        <w:div w:id="1411195650">
          <w:marLeft w:val="0"/>
          <w:marRight w:val="0"/>
          <w:marTop w:val="0"/>
          <w:marBottom w:val="0"/>
          <w:divBdr>
            <w:top w:val="none" w:sz="0" w:space="0" w:color="auto"/>
            <w:left w:val="none" w:sz="0" w:space="0" w:color="auto"/>
            <w:bottom w:val="none" w:sz="0" w:space="0" w:color="auto"/>
            <w:right w:val="none" w:sz="0" w:space="0" w:color="auto"/>
          </w:divBdr>
          <w:divsChild>
            <w:div w:id="7166674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8132343">
      <w:marLeft w:val="0"/>
      <w:marRight w:val="0"/>
      <w:marTop w:val="180"/>
      <w:marBottom w:val="180"/>
      <w:divBdr>
        <w:top w:val="none" w:sz="0" w:space="0" w:color="auto"/>
        <w:left w:val="none" w:sz="0" w:space="0" w:color="auto"/>
        <w:bottom w:val="none" w:sz="0" w:space="0" w:color="auto"/>
        <w:right w:val="none" w:sz="0" w:space="0" w:color="auto"/>
      </w:divBdr>
    </w:div>
    <w:div w:id="198904964">
      <w:marLeft w:val="0"/>
      <w:marRight w:val="0"/>
      <w:marTop w:val="180"/>
      <w:marBottom w:val="180"/>
      <w:divBdr>
        <w:top w:val="none" w:sz="0" w:space="0" w:color="auto"/>
        <w:left w:val="none" w:sz="0" w:space="0" w:color="auto"/>
        <w:bottom w:val="none" w:sz="0" w:space="0" w:color="auto"/>
        <w:right w:val="none" w:sz="0" w:space="0" w:color="auto"/>
      </w:divBdr>
    </w:div>
    <w:div w:id="201089723">
      <w:marLeft w:val="0"/>
      <w:marRight w:val="0"/>
      <w:marTop w:val="180"/>
      <w:marBottom w:val="180"/>
      <w:divBdr>
        <w:top w:val="none" w:sz="0" w:space="0" w:color="auto"/>
        <w:left w:val="none" w:sz="0" w:space="0" w:color="auto"/>
        <w:bottom w:val="none" w:sz="0" w:space="0" w:color="auto"/>
        <w:right w:val="none" w:sz="0" w:space="0" w:color="auto"/>
      </w:divBdr>
    </w:div>
    <w:div w:id="201483843">
      <w:marLeft w:val="0"/>
      <w:marRight w:val="0"/>
      <w:marTop w:val="180"/>
      <w:marBottom w:val="180"/>
      <w:divBdr>
        <w:top w:val="none" w:sz="0" w:space="0" w:color="auto"/>
        <w:left w:val="none" w:sz="0" w:space="0" w:color="auto"/>
        <w:bottom w:val="none" w:sz="0" w:space="0" w:color="auto"/>
        <w:right w:val="none" w:sz="0" w:space="0" w:color="auto"/>
      </w:divBdr>
    </w:div>
    <w:div w:id="202325432">
      <w:marLeft w:val="0"/>
      <w:marRight w:val="0"/>
      <w:marTop w:val="0"/>
      <w:marBottom w:val="0"/>
      <w:divBdr>
        <w:top w:val="none" w:sz="0" w:space="0" w:color="auto"/>
        <w:left w:val="none" w:sz="0" w:space="0" w:color="auto"/>
        <w:bottom w:val="none" w:sz="0" w:space="0" w:color="auto"/>
        <w:right w:val="none" w:sz="0" w:space="0" w:color="auto"/>
      </w:divBdr>
      <w:divsChild>
        <w:div w:id="379672028">
          <w:marLeft w:val="0"/>
          <w:marRight w:val="0"/>
          <w:marTop w:val="180"/>
          <w:marBottom w:val="180"/>
          <w:divBdr>
            <w:top w:val="none" w:sz="0" w:space="0" w:color="auto"/>
            <w:left w:val="none" w:sz="0" w:space="0" w:color="auto"/>
            <w:bottom w:val="none" w:sz="0" w:space="0" w:color="auto"/>
            <w:right w:val="none" w:sz="0" w:space="0" w:color="auto"/>
          </w:divBdr>
        </w:div>
      </w:divsChild>
    </w:div>
    <w:div w:id="202795400">
      <w:marLeft w:val="0"/>
      <w:marRight w:val="0"/>
      <w:marTop w:val="180"/>
      <w:marBottom w:val="180"/>
      <w:divBdr>
        <w:top w:val="none" w:sz="0" w:space="0" w:color="auto"/>
        <w:left w:val="none" w:sz="0" w:space="0" w:color="auto"/>
        <w:bottom w:val="none" w:sz="0" w:space="0" w:color="auto"/>
        <w:right w:val="none" w:sz="0" w:space="0" w:color="auto"/>
      </w:divBdr>
    </w:div>
    <w:div w:id="203715949">
      <w:marLeft w:val="0"/>
      <w:marRight w:val="0"/>
      <w:marTop w:val="180"/>
      <w:marBottom w:val="180"/>
      <w:divBdr>
        <w:top w:val="none" w:sz="0" w:space="0" w:color="auto"/>
        <w:left w:val="none" w:sz="0" w:space="0" w:color="auto"/>
        <w:bottom w:val="none" w:sz="0" w:space="0" w:color="auto"/>
        <w:right w:val="none" w:sz="0" w:space="0" w:color="auto"/>
      </w:divBdr>
    </w:div>
    <w:div w:id="205022867">
      <w:marLeft w:val="0"/>
      <w:marRight w:val="0"/>
      <w:marTop w:val="0"/>
      <w:marBottom w:val="15"/>
      <w:divBdr>
        <w:top w:val="none" w:sz="0" w:space="0" w:color="auto"/>
        <w:left w:val="none" w:sz="0" w:space="0" w:color="auto"/>
        <w:bottom w:val="none" w:sz="0" w:space="0" w:color="auto"/>
        <w:right w:val="none" w:sz="0" w:space="0" w:color="auto"/>
      </w:divBdr>
    </w:div>
    <w:div w:id="205024886">
      <w:marLeft w:val="0"/>
      <w:marRight w:val="0"/>
      <w:marTop w:val="180"/>
      <w:marBottom w:val="180"/>
      <w:divBdr>
        <w:top w:val="none" w:sz="0" w:space="0" w:color="auto"/>
        <w:left w:val="none" w:sz="0" w:space="0" w:color="auto"/>
        <w:bottom w:val="none" w:sz="0" w:space="0" w:color="auto"/>
        <w:right w:val="none" w:sz="0" w:space="0" w:color="auto"/>
      </w:divBdr>
    </w:div>
    <w:div w:id="205142599">
      <w:marLeft w:val="0"/>
      <w:marRight w:val="0"/>
      <w:marTop w:val="100"/>
      <w:marBottom w:val="100"/>
      <w:divBdr>
        <w:top w:val="none" w:sz="0" w:space="0" w:color="auto"/>
        <w:left w:val="none" w:sz="0" w:space="0" w:color="auto"/>
        <w:bottom w:val="none" w:sz="0" w:space="0" w:color="auto"/>
        <w:right w:val="none" w:sz="0" w:space="0" w:color="auto"/>
      </w:divBdr>
      <w:divsChild>
        <w:div w:id="1385906375">
          <w:marLeft w:val="0"/>
          <w:marRight w:val="0"/>
          <w:marTop w:val="0"/>
          <w:marBottom w:val="160"/>
          <w:divBdr>
            <w:top w:val="none" w:sz="0" w:space="0" w:color="auto"/>
            <w:left w:val="none" w:sz="0" w:space="0" w:color="auto"/>
            <w:bottom w:val="none" w:sz="0" w:space="0" w:color="auto"/>
            <w:right w:val="none" w:sz="0" w:space="0" w:color="auto"/>
          </w:divBdr>
        </w:div>
        <w:div w:id="874074881">
          <w:marLeft w:val="0"/>
          <w:marRight w:val="0"/>
          <w:marTop w:val="0"/>
          <w:marBottom w:val="160"/>
          <w:divBdr>
            <w:top w:val="none" w:sz="0" w:space="0" w:color="auto"/>
            <w:left w:val="none" w:sz="0" w:space="0" w:color="auto"/>
            <w:bottom w:val="none" w:sz="0" w:space="0" w:color="auto"/>
            <w:right w:val="none" w:sz="0" w:space="0" w:color="auto"/>
          </w:divBdr>
        </w:div>
      </w:divsChild>
    </w:div>
    <w:div w:id="205603857">
      <w:marLeft w:val="0"/>
      <w:marRight w:val="0"/>
      <w:marTop w:val="180"/>
      <w:marBottom w:val="180"/>
      <w:divBdr>
        <w:top w:val="none" w:sz="0" w:space="0" w:color="auto"/>
        <w:left w:val="none" w:sz="0" w:space="0" w:color="auto"/>
        <w:bottom w:val="none" w:sz="0" w:space="0" w:color="auto"/>
        <w:right w:val="none" w:sz="0" w:space="0" w:color="auto"/>
      </w:divBdr>
    </w:div>
    <w:div w:id="205683900">
      <w:marLeft w:val="0"/>
      <w:marRight w:val="0"/>
      <w:marTop w:val="180"/>
      <w:marBottom w:val="180"/>
      <w:divBdr>
        <w:top w:val="none" w:sz="0" w:space="0" w:color="auto"/>
        <w:left w:val="none" w:sz="0" w:space="0" w:color="auto"/>
        <w:bottom w:val="none" w:sz="0" w:space="0" w:color="auto"/>
        <w:right w:val="none" w:sz="0" w:space="0" w:color="auto"/>
      </w:divBdr>
    </w:div>
    <w:div w:id="206454050">
      <w:marLeft w:val="0"/>
      <w:marRight w:val="0"/>
      <w:marTop w:val="180"/>
      <w:marBottom w:val="180"/>
      <w:divBdr>
        <w:top w:val="none" w:sz="0" w:space="0" w:color="auto"/>
        <w:left w:val="none" w:sz="0" w:space="0" w:color="auto"/>
        <w:bottom w:val="none" w:sz="0" w:space="0" w:color="auto"/>
        <w:right w:val="none" w:sz="0" w:space="0" w:color="auto"/>
      </w:divBdr>
    </w:div>
    <w:div w:id="207494990">
      <w:marLeft w:val="0"/>
      <w:marRight w:val="0"/>
      <w:marTop w:val="60"/>
      <w:marBottom w:val="60"/>
      <w:divBdr>
        <w:top w:val="none" w:sz="0" w:space="0" w:color="auto"/>
        <w:left w:val="none" w:sz="0" w:space="0" w:color="auto"/>
        <w:bottom w:val="none" w:sz="0" w:space="0" w:color="auto"/>
        <w:right w:val="none" w:sz="0" w:space="0" w:color="auto"/>
      </w:divBdr>
    </w:div>
    <w:div w:id="208497205">
      <w:marLeft w:val="0"/>
      <w:marRight w:val="0"/>
      <w:marTop w:val="0"/>
      <w:marBottom w:val="0"/>
      <w:divBdr>
        <w:top w:val="none" w:sz="0" w:space="0" w:color="auto"/>
        <w:left w:val="none" w:sz="0" w:space="0" w:color="auto"/>
        <w:bottom w:val="none" w:sz="0" w:space="0" w:color="auto"/>
        <w:right w:val="none" w:sz="0" w:space="0" w:color="auto"/>
      </w:divBdr>
      <w:divsChild>
        <w:div w:id="1882860797">
          <w:marLeft w:val="0"/>
          <w:marRight w:val="0"/>
          <w:marTop w:val="0"/>
          <w:marBottom w:val="0"/>
          <w:divBdr>
            <w:top w:val="none" w:sz="0" w:space="0" w:color="auto"/>
            <w:left w:val="none" w:sz="0" w:space="0" w:color="auto"/>
            <w:bottom w:val="none" w:sz="0" w:space="0" w:color="auto"/>
            <w:right w:val="none" w:sz="0" w:space="0" w:color="auto"/>
          </w:divBdr>
          <w:divsChild>
            <w:div w:id="2958440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876539">
      <w:marLeft w:val="0"/>
      <w:marRight w:val="0"/>
      <w:marTop w:val="60"/>
      <w:marBottom w:val="60"/>
      <w:divBdr>
        <w:top w:val="none" w:sz="0" w:space="0" w:color="auto"/>
        <w:left w:val="none" w:sz="0" w:space="0" w:color="auto"/>
        <w:bottom w:val="none" w:sz="0" w:space="0" w:color="auto"/>
        <w:right w:val="none" w:sz="0" w:space="0" w:color="auto"/>
      </w:divBdr>
      <w:divsChild>
        <w:div w:id="1953123884">
          <w:marLeft w:val="0"/>
          <w:marRight w:val="0"/>
          <w:marTop w:val="0"/>
          <w:marBottom w:val="0"/>
          <w:divBdr>
            <w:top w:val="none" w:sz="0" w:space="0" w:color="auto"/>
            <w:left w:val="none" w:sz="0" w:space="0" w:color="auto"/>
            <w:bottom w:val="none" w:sz="0" w:space="0" w:color="auto"/>
            <w:right w:val="none" w:sz="0" w:space="0" w:color="auto"/>
          </w:divBdr>
        </w:div>
        <w:div w:id="93399219">
          <w:marLeft w:val="0"/>
          <w:marRight w:val="0"/>
          <w:marTop w:val="0"/>
          <w:marBottom w:val="0"/>
          <w:divBdr>
            <w:top w:val="none" w:sz="0" w:space="0" w:color="auto"/>
            <w:left w:val="none" w:sz="0" w:space="0" w:color="auto"/>
            <w:bottom w:val="none" w:sz="0" w:space="0" w:color="auto"/>
            <w:right w:val="none" w:sz="0" w:space="0" w:color="auto"/>
          </w:divBdr>
        </w:div>
      </w:divsChild>
    </w:div>
    <w:div w:id="210045101">
      <w:marLeft w:val="0"/>
      <w:marRight w:val="0"/>
      <w:marTop w:val="180"/>
      <w:marBottom w:val="160"/>
      <w:divBdr>
        <w:top w:val="none" w:sz="0" w:space="0" w:color="auto"/>
        <w:left w:val="none" w:sz="0" w:space="0" w:color="auto"/>
        <w:bottom w:val="none" w:sz="0" w:space="0" w:color="auto"/>
        <w:right w:val="none" w:sz="0" w:space="0" w:color="auto"/>
      </w:divBdr>
      <w:divsChild>
        <w:div w:id="687877980">
          <w:marLeft w:val="0"/>
          <w:marRight w:val="0"/>
          <w:marTop w:val="0"/>
          <w:marBottom w:val="0"/>
          <w:divBdr>
            <w:top w:val="none" w:sz="0" w:space="0" w:color="auto"/>
            <w:left w:val="none" w:sz="0" w:space="0" w:color="auto"/>
            <w:bottom w:val="none" w:sz="0" w:space="0" w:color="auto"/>
            <w:right w:val="none" w:sz="0" w:space="0" w:color="auto"/>
          </w:divBdr>
        </w:div>
        <w:div w:id="1889220091">
          <w:marLeft w:val="0"/>
          <w:marRight w:val="0"/>
          <w:marTop w:val="0"/>
          <w:marBottom w:val="0"/>
          <w:divBdr>
            <w:top w:val="none" w:sz="0" w:space="0" w:color="auto"/>
            <w:left w:val="none" w:sz="0" w:space="0" w:color="auto"/>
            <w:bottom w:val="none" w:sz="0" w:space="0" w:color="auto"/>
            <w:right w:val="none" w:sz="0" w:space="0" w:color="auto"/>
          </w:divBdr>
        </w:div>
        <w:div w:id="1857036520">
          <w:marLeft w:val="0"/>
          <w:marRight w:val="0"/>
          <w:marTop w:val="0"/>
          <w:marBottom w:val="0"/>
          <w:divBdr>
            <w:top w:val="none" w:sz="0" w:space="0" w:color="auto"/>
            <w:left w:val="none" w:sz="0" w:space="0" w:color="auto"/>
            <w:bottom w:val="none" w:sz="0" w:space="0" w:color="auto"/>
            <w:right w:val="none" w:sz="0" w:space="0" w:color="auto"/>
          </w:divBdr>
        </w:div>
      </w:divsChild>
    </w:div>
    <w:div w:id="210845011">
      <w:marLeft w:val="0"/>
      <w:marRight w:val="0"/>
      <w:marTop w:val="180"/>
      <w:marBottom w:val="180"/>
      <w:divBdr>
        <w:top w:val="none" w:sz="0" w:space="0" w:color="auto"/>
        <w:left w:val="none" w:sz="0" w:space="0" w:color="auto"/>
        <w:bottom w:val="none" w:sz="0" w:space="0" w:color="auto"/>
        <w:right w:val="none" w:sz="0" w:space="0" w:color="auto"/>
      </w:divBdr>
    </w:div>
    <w:div w:id="211163995">
      <w:marLeft w:val="0"/>
      <w:marRight w:val="0"/>
      <w:marTop w:val="180"/>
      <w:marBottom w:val="180"/>
      <w:divBdr>
        <w:top w:val="none" w:sz="0" w:space="0" w:color="auto"/>
        <w:left w:val="none" w:sz="0" w:space="0" w:color="auto"/>
        <w:bottom w:val="none" w:sz="0" w:space="0" w:color="auto"/>
        <w:right w:val="none" w:sz="0" w:space="0" w:color="auto"/>
      </w:divBdr>
    </w:div>
    <w:div w:id="211383949">
      <w:marLeft w:val="0"/>
      <w:marRight w:val="0"/>
      <w:marTop w:val="180"/>
      <w:marBottom w:val="60"/>
      <w:divBdr>
        <w:top w:val="none" w:sz="0" w:space="0" w:color="auto"/>
        <w:left w:val="none" w:sz="0" w:space="0" w:color="auto"/>
        <w:bottom w:val="none" w:sz="0" w:space="0" w:color="auto"/>
        <w:right w:val="none" w:sz="0" w:space="0" w:color="auto"/>
      </w:divBdr>
    </w:div>
    <w:div w:id="212616099">
      <w:marLeft w:val="0"/>
      <w:marRight w:val="0"/>
      <w:marTop w:val="180"/>
      <w:marBottom w:val="180"/>
      <w:divBdr>
        <w:top w:val="none" w:sz="0" w:space="0" w:color="auto"/>
        <w:left w:val="none" w:sz="0" w:space="0" w:color="auto"/>
        <w:bottom w:val="none" w:sz="0" w:space="0" w:color="auto"/>
        <w:right w:val="none" w:sz="0" w:space="0" w:color="auto"/>
      </w:divBdr>
    </w:div>
    <w:div w:id="213542772">
      <w:marLeft w:val="0"/>
      <w:marRight w:val="0"/>
      <w:marTop w:val="180"/>
      <w:marBottom w:val="180"/>
      <w:divBdr>
        <w:top w:val="none" w:sz="0" w:space="0" w:color="auto"/>
        <w:left w:val="none" w:sz="0" w:space="0" w:color="auto"/>
        <w:bottom w:val="none" w:sz="0" w:space="0" w:color="auto"/>
        <w:right w:val="none" w:sz="0" w:space="0" w:color="auto"/>
      </w:divBdr>
    </w:div>
    <w:div w:id="217210875">
      <w:marLeft w:val="0"/>
      <w:marRight w:val="0"/>
      <w:marTop w:val="100"/>
      <w:marBottom w:val="180"/>
      <w:divBdr>
        <w:top w:val="none" w:sz="0" w:space="0" w:color="auto"/>
        <w:left w:val="none" w:sz="0" w:space="0" w:color="auto"/>
        <w:bottom w:val="none" w:sz="0" w:space="0" w:color="auto"/>
        <w:right w:val="none" w:sz="0" w:space="0" w:color="auto"/>
      </w:divBdr>
    </w:div>
    <w:div w:id="217594851">
      <w:marLeft w:val="0"/>
      <w:marRight w:val="0"/>
      <w:marTop w:val="180"/>
      <w:marBottom w:val="180"/>
      <w:divBdr>
        <w:top w:val="none" w:sz="0" w:space="0" w:color="auto"/>
        <w:left w:val="none" w:sz="0" w:space="0" w:color="auto"/>
        <w:bottom w:val="none" w:sz="0" w:space="0" w:color="auto"/>
        <w:right w:val="none" w:sz="0" w:space="0" w:color="auto"/>
      </w:divBdr>
    </w:div>
    <w:div w:id="217741274">
      <w:marLeft w:val="0"/>
      <w:marRight w:val="0"/>
      <w:marTop w:val="0"/>
      <w:marBottom w:val="0"/>
      <w:divBdr>
        <w:top w:val="none" w:sz="0" w:space="0" w:color="auto"/>
        <w:left w:val="none" w:sz="0" w:space="0" w:color="auto"/>
        <w:bottom w:val="none" w:sz="0" w:space="0" w:color="auto"/>
        <w:right w:val="none" w:sz="0" w:space="0" w:color="auto"/>
      </w:divBdr>
      <w:divsChild>
        <w:div w:id="641813383">
          <w:marLeft w:val="0"/>
          <w:marRight w:val="0"/>
          <w:marTop w:val="0"/>
          <w:marBottom w:val="0"/>
          <w:divBdr>
            <w:top w:val="none" w:sz="0" w:space="0" w:color="auto"/>
            <w:left w:val="none" w:sz="0" w:space="0" w:color="auto"/>
            <w:bottom w:val="none" w:sz="0" w:space="0" w:color="auto"/>
            <w:right w:val="none" w:sz="0" w:space="0" w:color="auto"/>
          </w:divBdr>
          <w:divsChild>
            <w:div w:id="1464234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8052224">
      <w:marLeft w:val="0"/>
      <w:marRight w:val="0"/>
      <w:marTop w:val="180"/>
      <w:marBottom w:val="180"/>
      <w:divBdr>
        <w:top w:val="none" w:sz="0" w:space="0" w:color="auto"/>
        <w:left w:val="none" w:sz="0" w:space="0" w:color="auto"/>
        <w:bottom w:val="none" w:sz="0" w:space="0" w:color="auto"/>
        <w:right w:val="none" w:sz="0" w:space="0" w:color="auto"/>
      </w:divBdr>
    </w:div>
    <w:div w:id="218369268">
      <w:marLeft w:val="0"/>
      <w:marRight w:val="0"/>
      <w:marTop w:val="0"/>
      <w:marBottom w:val="0"/>
      <w:divBdr>
        <w:top w:val="none" w:sz="0" w:space="0" w:color="auto"/>
        <w:left w:val="none" w:sz="0" w:space="0" w:color="auto"/>
        <w:bottom w:val="none" w:sz="0" w:space="0" w:color="auto"/>
        <w:right w:val="none" w:sz="0" w:space="0" w:color="auto"/>
      </w:divBdr>
    </w:div>
    <w:div w:id="218638525">
      <w:marLeft w:val="0"/>
      <w:marRight w:val="0"/>
      <w:marTop w:val="180"/>
      <w:marBottom w:val="60"/>
      <w:divBdr>
        <w:top w:val="none" w:sz="0" w:space="0" w:color="auto"/>
        <w:left w:val="none" w:sz="0" w:space="0" w:color="auto"/>
        <w:bottom w:val="none" w:sz="0" w:space="0" w:color="auto"/>
        <w:right w:val="none" w:sz="0" w:space="0" w:color="auto"/>
      </w:divBdr>
    </w:div>
    <w:div w:id="219244504">
      <w:marLeft w:val="0"/>
      <w:marRight w:val="0"/>
      <w:marTop w:val="100"/>
      <w:marBottom w:val="100"/>
      <w:divBdr>
        <w:top w:val="none" w:sz="0" w:space="0" w:color="auto"/>
        <w:left w:val="none" w:sz="0" w:space="0" w:color="auto"/>
        <w:bottom w:val="none" w:sz="0" w:space="0" w:color="auto"/>
        <w:right w:val="none" w:sz="0" w:space="0" w:color="auto"/>
      </w:divBdr>
    </w:div>
    <w:div w:id="220361551">
      <w:marLeft w:val="0"/>
      <w:marRight w:val="0"/>
      <w:marTop w:val="180"/>
      <w:marBottom w:val="180"/>
      <w:divBdr>
        <w:top w:val="none" w:sz="0" w:space="0" w:color="auto"/>
        <w:left w:val="none" w:sz="0" w:space="0" w:color="auto"/>
        <w:bottom w:val="none" w:sz="0" w:space="0" w:color="auto"/>
        <w:right w:val="none" w:sz="0" w:space="0" w:color="auto"/>
      </w:divBdr>
    </w:div>
    <w:div w:id="220597415">
      <w:marLeft w:val="0"/>
      <w:marRight w:val="0"/>
      <w:marTop w:val="0"/>
      <w:marBottom w:val="0"/>
      <w:divBdr>
        <w:top w:val="none" w:sz="0" w:space="0" w:color="auto"/>
        <w:left w:val="none" w:sz="0" w:space="0" w:color="auto"/>
        <w:bottom w:val="none" w:sz="0" w:space="0" w:color="auto"/>
        <w:right w:val="none" w:sz="0" w:space="0" w:color="auto"/>
      </w:divBdr>
      <w:divsChild>
        <w:div w:id="1652097815">
          <w:marLeft w:val="0"/>
          <w:marRight w:val="0"/>
          <w:marTop w:val="180"/>
          <w:marBottom w:val="180"/>
          <w:divBdr>
            <w:top w:val="none" w:sz="0" w:space="0" w:color="auto"/>
            <w:left w:val="none" w:sz="0" w:space="0" w:color="auto"/>
            <w:bottom w:val="none" w:sz="0" w:space="0" w:color="auto"/>
            <w:right w:val="none" w:sz="0" w:space="0" w:color="auto"/>
          </w:divBdr>
        </w:div>
      </w:divsChild>
    </w:div>
    <w:div w:id="221647841">
      <w:marLeft w:val="0"/>
      <w:marRight w:val="0"/>
      <w:marTop w:val="180"/>
      <w:marBottom w:val="180"/>
      <w:divBdr>
        <w:top w:val="none" w:sz="0" w:space="0" w:color="auto"/>
        <w:left w:val="none" w:sz="0" w:space="0" w:color="auto"/>
        <w:bottom w:val="none" w:sz="0" w:space="0" w:color="auto"/>
        <w:right w:val="none" w:sz="0" w:space="0" w:color="auto"/>
      </w:divBdr>
    </w:div>
    <w:div w:id="223175387">
      <w:marLeft w:val="0"/>
      <w:marRight w:val="0"/>
      <w:marTop w:val="180"/>
      <w:marBottom w:val="180"/>
      <w:divBdr>
        <w:top w:val="none" w:sz="0" w:space="0" w:color="auto"/>
        <w:left w:val="none" w:sz="0" w:space="0" w:color="auto"/>
        <w:bottom w:val="none" w:sz="0" w:space="0" w:color="auto"/>
        <w:right w:val="none" w:sz="0" w:space="0" w:color="auto"/>
      </w:divBdr>
    </w:div>
    <w:div w:id="223182402">
      <w:marLeft w:val="0"/>
      <w:marRight w:val="0"/>
      <w:marTop w:val="180"/>
      <w:marBottom w:val="180"/>
      <w:divBdr>
        <w:top w:val="none" w:sz="0" w:space="0" w:color="auto"/>
        <w:left w:val="none" w:sz="0" w:space="0" w:color="auto"/>
        <w:bottom w:val="none" w:sz="0" w:space="0" w:color="auto"/>
        <w:right w:val="none" w:sz="0" w:space="0" w:color="auto"/>
      </w:divBdr>
    </w:div>
    <w:div w:id="224267694">
      <w:marLeft w:val="0"/>
      <w:marRight w:val="0"/>
      <w:marTop w:val="180"/>
      <w:marBottom w:val="180"/>
      <w:divBdr>
        <w:top w:val="none" w:sz="0" w:space="0" w:color="auto"/>
        <w:left w:val="none" w:sz="0" w:space="0" w:color="auto"/>
        <w:bottom w:val="none" w:sz="0" w:space="0" w:color="auto"/>
        <w:right w:val="none" w:sz="0" w:space="0" w:color="auto"/>
      </w:divBdr>
    </w:div>
    <w:div w:id="225452729">
      <w:marLeft w:val="0"/>
      <w:marRight w:val="0"/>
      <w:marTop w:val="180"/>
      <w:marBottom w:val="180"/>
      <w:divBdr>
        <w:top w:val="none" w:sz="0" w:space="0" w:color="auto"/>
        <w:left w:val="none" w:sz="0" w:space="0" w:color="auto"/>
        <w:bottom w:val="none" w:sz="0" w:space="0" w:color="auto"/>
        <w:right w:val="none" w:sz="0" w:space="0" w:color="auto"/>
      </w:divBdr>
    </w:div>
    <w:div w:id="225843641">
      <w:marLeft w:val="0"/>
      <w:marRight w:val="0"/>
      <w:marTop w:val="0"/>
      <w:marBottom w:val="0"/>
      <w:divBdr>
        <w:top w:val="none" w:sz="0" w:space="0" w:color="auto"/>
        <w:left w:val="none" w:sz="0" w:space="0" w:color="auto"/>
        <w:bottom w:val="none" w:sz="0" w:space="0" w:color="auto"/>
        <w:right w:val="none" w:sz="0" w:space="0" w:color="auto"/>
      </w:divBdr>
      <w:divsChild>
        <w:div w:id="1550916230">
          <w:marLeft w:val="0"/>
          <w:marRight w:val="0"/>
          <w:marTop w:val="0"/>
          <w:marBottom w:val="0"/>
          <w:divBdr>
            <w:top w:val="none" w:sz="0" w:space="0" w:color="auto"/>
            <w:left w:val="none" w:sz="0" w:space="0" w:color="auto"/>
            <w:bottom w:val="none" w:sz="0" w:space="0" w:color="auto"/>
            <w:right w:val="none" w:sz="0" w:space="0" w:color="auto"/>
          </w:divBdr>
          <w:divsChild>
            <w:div w:id="1176512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6692423">
      <w:marLeft w:val="0"/>
      <w:marRight w:val="0"/>
      <w:marTop w:val="0"/>
      <w:marBottom w:val="0"/>
      <w:divBdr>
        <w:top w:val="none" w:sz="0" w:space="0" w:color="auto"/>
        <w:left w:val="none" w:sz="0" w:space="0" w:color="auto"/>
        <w:bottom w:val="none" w:sz="0" w:space="0" w:color="auto"/>
        <w:right w:val="none" w:sz="0" w:space="0" w:color="auto"/>
      </w:divBdr>
      <w:divsChild>
        <w:div w:id="1334601545">
          <w:marLeft w:val="0"/>
          <w:marRight w:val="0"/>
          <w:marTop w:val="180"/>
          <w:marBottom w:val="180"/>
          <w:divBdr>
            <w:top w:val="none" w:sz="0" w:space="0" w:color="auto"/>
            <w:left w:val="none" w:sz="0" w:space="0" w:color="auto"/>
            <w:bottom w:val="none" w:sz="0" w:space="0" w:color="auto"/>
            <w:right w:val="none" w:sz="0" w:space="0" w:color="auto"/>
          </w:divBdr>
        </w:div>
      </w:divsChild>
    </w:div>
    <w:div w:id="227959917">
      <w:marLeft w:val="0"/>
      <w:marRight w:val="0"/>
      <w:marTop w:val="180"/>
      <w:marBottom w:val="180"/>
      <w:divBdr>
        <w:top w:val="none" w:sz="0" w:space="0" w:color="auto"/>
        <w:left w:val="none" w:sz="0" w:space="0" w:color="auto"/>
        <w:bottom w:val="none" w:sz="0" w:space="0" w:color="auto"/>
        <w:right w:val="none" w:sz="0" w:space="0" w:color="auto"/>
      </w:divBdr>
    </w:div>
    <w:div w:id="228997890">
      <w:marLeft w:val="0"/>
      <w:marRight w:val="0"/>
      <w:marTop w:val="180"/>
      <w:marBottom w:val="60"/>
      <w:divBdr>
        <w:top w:val="none" w:sz="0" w:space="0" w:color="auto"/>
        <w:left w:val="none" w:sz="0" w:space="0" w:color="auto"/>
        <w:bottom w:val="none" w:sz="0" w:space="0" w:color="auto"/>
        <w:right w:val="none" w:sz="0" w:space="0" w:color="auto"/>
      </w:divBdr>
    </w:div>
    <w:div w:id="229852666">
      <w:marLeft w:val="0"/>
      <w:marRight w:val="0"/>
      <w:marTop w:val="180"/>
      <w:marBottom w:val="180"/>
      <w:divBdr>
        <w:top w:val="none" w:sz="0" w:space="0" w:color="auto"/>
        <w:left w:val="none" w:sz="0" w:space="0" w:color="auto"/>
        <w:bottom w:val="none" w:sz="0" w:space="0" w:color="auto"/>
        <w:right w:val="none" w:sz="0" w:space="0" w:color="auto"/>
      </w:divBdr>
    </w:div>
    <w:div w:id="231890407">
      <w:marLeft w:val="0"/>
      <w:marRight w:val="0"/>
      <w:marTop w:val="60"/>
      <w:marBottom w:val="60"/>
      <w:divBdr>
        <w:top w:val="none" w:sz="0" w:space="0" w:color="auto"/>
        <w:left w:val="none" w:sz="0" w:space="0" w:color="auto"/>
        <w:bottom w:val="none" w:sz="0" w:space="0" w:color="auto"/>
        <w:right w:val="none" w:sz="0" w:space="0" w:color="auto"/>
      </w:divBdr>
    </w:div>
    <w:div w:id="232592696">
      <w:marLeft w:val="0"/>
      <w:marRight w:val="0"/>
      <w:marTop w:val="180"/>
      <w:marBottom w:val="180"/>
      <w:divBdr>
        <w:top w:val="none" w:sz="0" w:space="0" w:color="auto"/>
        <w:left w:val="none" w:sz="0" w:space="0" w:color="auto"/>
        <w:bottom w:val="none" w:sz="0" w:space="0" w:color="auto"/>
        <w:right w:val="none" w:sz="0" w:space="0" w:color="auto"/>
      </w:divBdr>
    </w:div>
    <w:div w:id="234358676">
      <w:marLeft w:val="0"/>
      <w:marRight w:val="0"/>
      <w:marTop w:val="180"/>
      <w:marBottom w:val="180"/>
      <w:divBdr>
        <w:top w:val="none" w:sz="0" w:space="0" w:color="auto"/>
        <w:left w:val="none" w:sz="0" w:space="0" w:color="auto"/>
        <w:bottom w:val="none" w:sz="0" w:space="0" w:color="auto"/>
        <w:right w:val="none" w:sz="0" w:space="0" w:color="auto"/>
      </w:divBdr>
    </w:div>
    <w:div w:id="234583704">
      <w:marLeft w:val="0"/>
      <w:marRight w:val="0"/>
      <w:marTop w:val="180"/>
      <w:marBottom w:val="180"/>
      <w:divBdr>
        <w:top w:val="none" w:sz="0" w:space="0" w:color="auto"/>
        <w:left w:val="none" w:sz="0" w:space="0" w:color="auto"/>
        <w:bottom w:val="none" w:sz="0" w:space="0" w:color="auto"/>
        <w:right w:val="none" w:sz="0" w:space="0" w:color="auto"/>
      </w:divBdr>
    </w:div>
    <w:div w:id="235823517">
      <w:marLeft w:val="0"/>
      <w:marRight w:val="0"/>
      <w:marTop w:val="180"/>
      <w:marBottom w:val="180"/>
      <w:divBdr>
        <w:top w:val="none" w:sz="0" w:space="0" w:color="auto"/>
        <w:left w:val="none" w:sz="0" w:space="0" w:color="auto"/>
        <w:bottom w:val="none" w:sz="0" w:space="0" w:color="auto"/>
        <w:right w:val="none" w:sz="0" w:space="0" w:color="auto"/>
      </w:divBdr>
    </w:div>
    <w:div w:id="238557963">
      <w:marLeft w:val="0"/>
      <w:marRight w:val="0"/>
      <w:marTop w:val="180"/>
      <w:marBottom w:val="180"/>
      <w:divBdr>
        <w:top w:val="none" w:sz="0" w:space="0" w:color="auto"/>
        <w:left w:val="none" w:sz="0" w:space="0" w:color="auto"/>
        <w:bottom w:val="none" w:sz="0" w:space="0" w:color="auto"/>
        <w:right w:val="none" w:sz="0" w:space="0" w:color="auto"/>
      </w:divBdr>
    </w:div>
    <w:div w:id="238634987">
      <w:marLeft w:val="0"/>
      <w:marRight w:val="0"/>
      <w:marTop w:val="180"/>
      <w:marBottom w:val="180"/>
      <w:divBdr>
        <w:top w:val="none" w:sz="0" w:space="0" w:color="auto"/>
        <w:left w:val="none" w:sz="0" w:space="0" w:color="auto"/>
        <w:bottom w:val="none" w:sz="0" w:space="0" w:color="auto"/>
        <w:right w:val="none" w:sz="0" w:space="0" w:color="auto"/>
      </w:divBdr>
    </w:div>
    <w:div w:id="239020167">
      <w:marLeft w:val="0"/>
      <w:marRight w:val="0"/>
      <w:marTop w:val="180"/>
      <w:marBottom w:val="180"/>
      <w:divBdr>
        <w:top w:val="none" w:sz="0" w:space="0" w:color="auto"/>
        <w:left w:val="none" w:sz="0" w:space="0" w:color="auto"/>
        <w:bottom w:val="none" w:sz="0" w:space="0" w:color="auto"/>
        <w:right w:val="none" w:sz="0" w:space="0" w:color="auto"/>
      </w:divBdr>
    </w:div>
    <w:div w:id="239021290">
      <w:marLeft w:val="0"/>
      <w:marRight w:val="0"/>
      <w:marTop w:val="60"/>
      <w:marBottom w:val="60"/>
      <w:divBdr>
        <w:top w:val="none" w:sz="0" w:space="0" w:color="auto"/>
        <w:left w:val="none" w:sz="0" w:space="0" w:color="auto"/>
        <w:bottom w:val="none" w:sz="0" w:space="0" w:color="auto"/>
        <w:right w:val="none" w:sz="0" w:space="0" w:color="auto"/>
      </w:divBdr>
    </w:div>
    <w:div w:id="240407521">
      <w:marLeft w:val="0"/>
      <w:marRight w:val="0"/>
      <w:marTop w:val="180"/>
      <w:marBottom w:val="180"/>
      <w:divBdr>
        <w:top w:val="none" w:sz="0" w:space="0" w:color="auto"/>
        <w:left w:val="none" w:sz="0" w:space="0" w:color="auto"/>
        <w:bottom w:val="none" w:sz="0" w:space="0" w:color="auto"/>
        <w:right w:val="none" w:sz="0" w:space="0" w:color="auto"/>
      </w:divBdr>
    </w:div>
    <w:div w:id="242838791">
      <w:marLeft w:val="0"/>
      <w:marRight w:val="0"/>
      <w:marTop w:val="0"/>
      <w:marBottom w:val="0"/>
      <w:divBdr>
        <w:top w:val="none" w:sz="0" w:space="0" w:color="auto"/>
        <w:left w:val="none" w:sz="0" w:space="0" w:color="auto"/>
        <w:bottom w:val="none" w:sz="0" w:space="0" w:color="auto"/>
        <w:right w:val="none" w:sz="0" w:space="0" w:color="auto"/>
      </w:divBdr>
      <w:divsChild>
        <w:div w:id="130946163">
          <w:marLeft w:val="0"/>
          <w:marRight w:val="0"/>
          <w:marTop w:val="180"/>
          <w:marBottom w:val="180"/>
          <w:divBdr>
            <w:top w:val="none" w:sz="0" w:space="0" w:color="auto"/>
            <w:left w:val="none" w:sz="0" w:space="0" w:color="auto"/>
            <w:bottom w:val="none" w:sz="0" w:space="0" w:color="auto"/>
            <w:right w:val="none" w:sz="0" w:space="0" w:color="auto"/>
          </w:divBdr>
        </w:div>
      </w:divsChild>
    </w:div>
    <w:div w:id="243606565">
      <w:marLeft w:val="0"/>
      <w:marRight w:val="0"/>
      <w:marTop w:val="0"/>
      <w:marBottom w:val="0"/>
      <w:divBdr>
        <w:top w:val="none" w:sz="0" w:space="0" w:color="auto"/>
        <w:left w:val="none" w:sz="0" w:space="0" w:color="auto"/>
        <w:bottom w:val="none" w:sz="0" w:space="0" w:color="auto"/>
        <w:right w:val="none" w:sz="0" w:space="0" w:color="auto"/>
      </w:divBdr>
      <w:divsChild>
        <w:div w:id="1198733787">
          <w:marLeft w:val="0"/>
          <w:marRight w:val="0"/>
          <w:marTop w:val="0"/>
          <w:marBottom w:val="0"/>
          <w:divBdr>
            <w:top w:val="none" w:sz="0" w:space="0" w:color="auto"/>
            <w:left w:val="none" w:sz="0" w:space="0" w:color="auto"/>
            <w:bottom w:val="none" w:sz="0" w:space="0" w:color="auto"/>
            <w:right w:val="none" w:sz="0" w:space="0" w:color="auto"/>
          </w:divBdr>
          <w:divsChild>
            <w:div w:id="525045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4147461">
      <w:marLeft w:val="0"/>
      <w:marRight w:val="0"/>
      <w:marTop w:val="180"/>
      <w:marBottom w:val="180"/>
      <w:divBdr>
        <w:top w:val="none" w:sz="0" w:space="0" w:color="auto"/>
        <w:left w:val="none" w:sz="0" w:space="0" w:color="auto"/>
        <w:bottom w:val="none" w:sz="0" w:space="0" w:color="auto"/>
        <w:right w:val="none" w:sz="0" w:space="0" w:color="auto"/>
      </w:divBdr>
    </w:div>
    <w:div w:id="244926070">
      <w:marLeft w:val="0"/>
      <w:marRight w:val="0"/>
      <w:marTop w:val="180"/>
      <w:marBottom w:val="180"/>
      <w:divBdr>
        <w:top w:val="none" w:sz="0" w:space="0" w:color="auto"/>
        <w:left w:val="none" w:sz="0" w:space="0" w:color="auto"/>
        <w:bottom w:val="none" w:sz="0" w:space="0" w:color="auto"/>
        <w:right w:val="none" w:sz="0" w:space="0" w:color="auto"/>
      </w:divBdr>
    </w:div>
    <w:div w:id="245653360">
      <w:marLeft w:val="0"/>
      <w:marRight w:val="0"/>
      <w:marTop w:val="180"/>
      <w:marBottom w:val="180"/>
      <w:divBdr>
        <w:top w:val="none" w:sz="0" w:space="0" w:color="auto"/>
        <w:left w:val="none" w:sz="0" w:space="0" w:color="auto"/>
        <w:bottom w:val="none" w:sz="0" w:space="0" w:color="auto"/>
        <w:right w:val="none" w:sz="0" w:space="0" w:color="auto"/>
      </w:divBdr>
    </w:div>
    <w:div w:id="247270479">
      <w:marLeft w:val="0"/>
      <w:marRight w:val="0"/>
      <w:marTop w:val="180"/>
      <w:marBottom w:val="180"/>
      <w:divBdr>
        <w:top w:val="none" w:sz="0" w:space="0" w:color="auto"/>
        <w:left w:val="none" w:sz="0" w:space="0" w:color="auto"/>
        <w:bottom w:val="none" w:sz="0" w:space="0" w:color="auto"/>
        <w:right w:val="none" w:sz="0" w:space="0" w:color="auto"/>
      </w:divBdr>
    </w:div>
    <w:div w:id="247272020">
      <w:marLeft w:val="0"/>
      <w:marRight w:val="0"/>
      <w:marTop w:val="180"/>
      <w:marBottom w:val="180"/>
      <w:divBdr>
        <w:top w:val="none" w:sz="0" w:space="0" w:color="auto"/>
        <w:left w:val="none" w:sz="0" w:space="0" w:color="auto"/>
        <w:bottom w:val="none" w:sz="0" w:space="0" w:color="auto"/>
        <w:right w:val="none" w:sz="0" w:space="0" w:color="auto"/>
      </w:divBdr>
    </w:div>
    <w:div w:id="247354057">
      <w:marLeft w:val="0"/>
      <w:marRight w:val="0"/>
      <w:marTop w:val="180"/>
      <w:marBottom w:val="180"/>
      <w:divBdr>
        <w:top w:val="none" w:sz="0" w:space="0" w:color="auto"/>
        <w:left w:val="none" w:sz="0" w:space="0" w:color="auto"/>
        <w:bottom w:val="none" w:sz="0" w:space="0" w:color="auto"/>
        <w:right w:val="none" w:sz="0" w:space="0" w:color="auto"/>
      </w:divBdr>
    </w:div>
    <w:div w:id="247466120">
      <w:marLeft w:val="0"/>
      <w:marRight w:val="0"/>
      <w:marTop w:val="60"/>
      <w:marBottom w:val="60"/>
      <w:divBdr>
        <w:top w:val="none" w:sz="0" w:space="0" w:color="auto"/>
        <w:left w:val="none" w:sz="0" w:space="0" w:color="auto"/>
        <w:bottom w:val="none" w:sz="0" w:space="0" w:color="auto"/>
        <w:right w:val="none" w:sz="0" w:space="0" w:color="auto"/>
      </w:divBdr>
    </w:div>
    <w:div w:id="247617554">
      <w:marLeft w:val="0"/>
      <w:marRight w:val="0"/>
      <w:marTop w:val="180"/>
      <w:marBottom w:val="180"/>
      <w:divBdr>
        <w:top w:val="none" w:sz="0" w:space="0" w:color="auto"/>
        <w:left w:val="none" w:sz="0" w:space="0" w:color="auto"/>
        <w:bottom w:val="none" w:sz="0" w:space="0" w:color="auto"/>
        <w:right w:val="none" w:sz="0" w:space="0" w:color="auto"/>
      </w:divBdr>
    </w:div>
    <w:div w:id="247815694">
      <w:marLeft w:val="0"/>
      <w:marRight w:val="0"/>
      <w:marTop w:val="0"/>
      <w:marBottom w:val="0"/>
      <w:divBdr>
        <w:top w:val="none" w:sz="0" w:space="0" w:color="auto"/>
        <w:left w:val="none" w:sz="0" w:space="0" w:color="auto"/>
        <w:bottom w:val="none" w:sz="0" w:space="0" w:color="auto"/>
        <w:right w:val="none" w:sz="0" w:space="0" w:color="auto"/>
      </w:divBdr>
      <w:divsChild>
        <w:div w:id="1997033398">
          <w:marLeft w:val="0"/>
          <w:marRight w:val="0"/>
          <w:marTop w:val="60"/>
          <w:marBottom w:val="60"/>
          <w:divBdr>
            <w:top w:val="none" w:sz="0" w:space="0" w:color="auto"/>
            <w:left w:val="none" w:sz="0" w:space="0" w:color="auto"/>
            <w:bottom w:val="none" w:sz="0" w:space="0" w:color="auto"/>
            <w:right w:val="none" w:sz="0" w:space="0" w:color="auto"/>
          </w:divBdr>
        </w:div>
      </w:divsChild>
    </w:div>
    <w:div w:id="248391273">
      <w:marLeft w:val="0"/>
      <w:marRight w:val="0"/>
      <w:marTop w:val="180"/>
      <w:marBottom w:val="180"/>
      <w:divBdr>
        <w:top w:val="none" w:sz="0" w:space="0" w:color="auto"/>
        <w:left w:val="none" w:sz="0" w:space="0" w:color="auto"/>
        <w:bottom w:val="none" w:sz="0" w:space="0" w:color="auto"/>
        <w:right w:val="none" w:sz="0" w:space="0" w:color="auto"/>
      </w:divBdr>
    </w:div>
    <w:div w:id="248733593">
      <w:marLeft w:val="0"/>
      <w:marRight w:val="0"/>
      <w:marTop w:val="0"/>
      <w:marBottom w:val="0"/>
      <w:divBdr>
        <w:top w:val="none" w:sz="0" w:space="0" w:color="auto"/>
        <w:left w:val="none" w:sz="0" w:space="0" w:color="auto"/>
        <w:bottom w:val="none" w:sz="0" w:space="0" w:color="auto"/>
        <w:right w:val="none" w:sz="0" w:space="0" w:color="auto"/>
      </w:divBdr>
    </w:div>
    <w:div w:id="248853505">
      <w:marLeft w:val="0"/>
      <w:marRight w:val="0"/>
      <w:marTop w:val="180"/>
      <w:marBottom w:val="180"/>
      <w:divBdr>
        <w:top w:val="none" w:sz="0" w:space="0" w:color="auto"/>
        <w:left w:val="none" w:sz="0" w:space="0" w:color="auto"/>
        <w:bottom w:val="none" w:sz="0" w:space="0" w:color="auto"/>
        <w:right w:val="none" w:sz="0" w:space="0" w:color="auto"/>
      </w:divBdr>
    </w:div>
    <w:div w:id="250353068">
      <w:marLeft w:val="0"/>
      <w:marRight w:val="0"/>
      <w:marTop w:val="60"/>
      <w:marBottom w:val="60"/>
      <w:divBdr>
        <w:top w:val="none" w:sz="0" w:space="0" w:color="auto"/>
        <w:left w:val="none" w:sz="0" w:space="0" w:color="auto"/>
        <w:bottom w:val="none" w:sz="0" w:space="0" w:color="auto"/>
        <w:right w:val="none" w:sz="0" w:space="0" w:color="auto"/>
      </w:divBdr>
    </w:div>
    <w:div w:id="251280329">
      <w:marLeft w:val="0"/>
      <w:marRight w:val="0"/>
      <w:marTop w:val="180"/>
      <w:marBottom w:val="180"/>
      <w:divBdr>
        <w:top w:val="none" w:sz="0" w:space="0" w:color="auto"/>
        <w:left w:val="none" w:sz="0" w:space="0" w:color="auto"/>
        <w:bottom w:val="none" w:sz="0" w:space="0" w:color="auto"/>
        <w:right w:val="none" w:sz="0" w:space="0" w:color="auto"/>
      </w:divBdr>
    </w:div>
    <w:div w:id="251282339">
      <w:marLeft w:val="0"/>
      <w:marRight w:val="0"/>
      <w:marTop w:val="180"/>
      <w:marBottom w:val="180"/>
      <w:divBdr>
        <w:top w:val="none" w:sz="0" w:space="0" w:color="auto"/>
        <w:left w:val="none" w:sz="0" w:space="0" w:color="auto"/>
        <w:bottom w:val="none" w:sz="0" w:space="0" w:color="auto"/>
        <w:right w:val="none" w:sz="0" w:space="0" w:color="auto"/>
      </w:divBdr>
    </w:div>
    <w:div w:id="251748027">
      <w:marLeft w:val="0"/>
      <w:marRight w:val="0"/>
      <w:marTop w:val="0"/>
      <w:marBottom w:val="0"/>
      <w:divBdr>
        <w:top w:val="none" w:sz="0" w:space="0" w:color="auto"/>
        <w:left w:val="none" w:sz="0" w:space="0" w:color="auto"/>
        <w:bottom w:val="none" w:sz="0" w:space="0" w:color="auto"/>
        <w:right w:val="none" w:sz="0" w:space="0" w:color="auto"/>
      </w:divBdr>
      <w:divsChild>
        <w:div w:id="1740399643">
          <w:marLeft w:val="0"/>
          <w:marRight w:val="0"/>
          <w:marTop w:val="0"/>
          <w:marBottom w:val="0"/>
          <w:divBdr>
            <w:top w:val="none" w:sz="0" w:space="0" w:color="auto"/>
            <w:left w:val="none" w:sz="0" w:space="0" w:color="auto"/>
            <w:bottom w:val="none" w:sz="0" w:space="0" w:color="auto"/>
            <w:right w:val="none" w:sz="0" w:space="0" w:color="auto"/>
          </w:divBdr>
          <w:divsChild>
            <w:div w:id="8767001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3635622">
      <w:marLeft w:val="0"/>
      <w:marRight w:val="0"/>
      <w:marTop w:val="180"/>
      <w:marBottom w:val="180"/>
      <w:divBdr>
        <w:top w:val="none" w:sz="0" w:space="0" w:color="auto"/>
        <w:left w:val="none" w:sz="0" w:space="0" w:color="auto"/>
        <w:bottom w:val="none" w:sz="0" w:space="0" w:color="auto"/>
        <w:right w:val="none" w:sz="0" w:space="0" w:color="auto"/>
      </w:divBdr>
    </w:div>
    <w:div w:id="254024048">
      <w:marLeft w:val="0"/>
      <w:marRight w:val="0"/>
      <w:marTop w:val="60"/>
      <w:marBottom w:val="60"/>
      <w:divBdr>
        <w:top w:val="none" w:sz="0" w:space="0" w:color="auto"/>
        <w:left w:val="none" w:sz="0" w:space="0" w:color="auto"/>
        <w:bottom w:val="none" w:sz="0" w:space="0" w:color="auto"/>
        <w:right w:val="none" w:sz="0" w:space="0" w:color="auto"/>
      </w:divBdr>
    </w:div>
    <w:div w:id="254214286">
      <w:marLeft w:val="0"/>
      <w:marRight w:val="0"/>
      <w:marTop w:val="180"/>
      <w:marBottom w:val="180"/>
      <w:divBdr>
        <w:top w:val="none" w:sz="0" w:space="0" w:color="auto"/>
        <w:left w:val="none" w:sz="0" w:space="0" w:color="auto"/>
        <w:bottom w:val="none" w:sz="0" w:space="0" w:color="auto"/>
        <w:right w:val="none" w:sz="0" w:space="0" w:color="auto"/>
      </w:divBdr>
    </w:div>
    <w:div w:id="255865388">
      <w:marLeft w:val="0"/>
      <w:marRight w:val="0"/>
      <w:marTop w:val="180"/>
      <w:marBottom w:val="180"/>
      <w:divBdr>
        <w:top w:val="none" w:sz="0" w:space="0" w:color="auto"/>
        <w:left w:val="none" w:sz="0" w:space="0" w:color="auto"/>
        <w:bottom w:val="none" w:sz="0" w:space="0" w:color="auto"/>
        <w:right w:val="none" w:sz="0" w:space="0" w:color="auto"/>
      </w:divBdr>
    </w:div>
    <w:div w:id="256518695">
      <w:marLeft w:val="0"/>
      <w:marRight w:val="0"/>
      <w:marTop w:val="180"/>
      <w:marBottom w:val="180"/>
      <w:divBdr>
        <w:top w:val="none" w:sz="0" w:space="0" w:color="auto"/>
        <w:left w:val="none" w:sz="0" w:space="0" w:color="auto"/>
        <w:bottom w:val="none" w:sz="0" w:space="0" w:color="auto"/>
        <w:right w:val="none" w:sz="0" w:space="0" w:color="auto"/>
      </w:divBdr>
    </w:div>
    <w:div w:id="256669553">
      <w:marLeft w:val="0"/>
      <w:marRight w:val="0"/>
      <w:marTop w:val="180"/>
      <w:marBottom w:val="180"/>
      <w:divBdr>
        <w:top w:val="none" w:sz="0" w:space="0" w:color="auto"/>
        <w:left w:val="none" w:sz="0" w:space="0" w:color="auto"/>
        <w:bottom w:val="none" w:sz="0" w:space="0" w:color="auto"/>
        <w:right w:val="none" w:sz="0" w:space="0" w:color="auto"/>
      </w:divBdr>
    </w:div>
    <w:div w:id="256909245">
      <w:marLeft w:val="0"/>
      <w:marRight w:val="0"/>
      <w:marTop w:val="60"/>
      <w:marBottom w:val="60"/>
      <w:divBdr>
        <w:top w:val="none" w:sz="0" w:space="0" w:color="auto"/>
        <w:left w:val="none" w:sz="0" w:space="0" w:color="auto"/>
        <w:bottom w:val="none" w:sz="0" w:space="0" w:color="auto"/>
        <w:right w:val="none" w:sz="0" w:space="0" w:color="auto"/>
      </w:divBdr>
    </w:div>
    <w:div w:id="257519621">
      <w:marLeft w:val="0"/>
      <w:marRight w:val="0"/>
      <w:marTop w:val="100"/>
      <w:marBottom w:val="100"/>
      <w:divBdr>
        <w:top w:val="none" w:sz="0" w:space="0" w:color="auto"/>
        <w:left w:val="none" w:sz="0" w:space="0" w:color="auto"/>
        <w:bottom w:val="none" w:sz="0" w:space="0" w:color="auto"/>
        <w:right w:val="none" w:sz="0" w:space="0" w:color="auto"/>
      </w:divBdr>
      <w:divsChild>
        <w:div w:id="1243881071">
          <w:marLeft w:val="0"/>
          <w:marRight w:val="0"/>
          <w:marTop w:val="0"/>
          <w:marBottom w:val="0"/>
          <w:divBdr>
            <w:top w:val="none" w:sz="0" w:space="0" w:color="auto"/>
            <w:left w:val="none" w:sz="0" w:space="0" w:color="auto"/>
            <w:bottom w:val="none" w:sz="0" w:space="0" w:color="auto"/>
            <w:right w:val="none" w:sz="0" w:space="0" w:color="auto"/>
          </w:divBdr>
        </w:div>
      </w:divsChild>
    </w:div>
    <w:div w:id="257563195">
      <w:marLeft w:val="0"/>
      <w:marRight w:val="0"/>
      <w:marTop w:val="60"/>
      <w:marBottom w:val="60"/>
      <w:divBdr>
        <w:top w:val="none" w:sz="0" w:space="0" w:color="auto"/>
        <w:left w:val="none" w:sz="0" w:space="0" w:color="auto"/>
        <w:bottom w:val="none" w:sz="0" w:space="0" w:color="auto"/>
        <w:right w:val="none" w:sz="0" w:space="0" w:color="auto"/>
      </w:divBdr>
    </w:div>
    <w:div w:id="258682558">
      <w:marLeft w:val="0"/>
      <w:marRight w:val="0"/>
      <w:marTop w:val="180"/>
      <w:marBottom w:val="180"/>
      <w:divBdr>
        <w:top w:val="none" w:sz="0" w:space="0" w:color="auto"/>
        <w:left w:val="none" w:sz="0" w:space="0" w:color="auto"/>
        <w:bottom w:val="none" w:sz="0" w:space="0" w:color="auto"/>
        <w:right w:val="none" w:sz="0" w:space="0" w:color="auto"/>
      </w:divBdr>
    </w:div>
    <w:div w:id="258872701">
      <w:marLeft w:val="0"/>
      <w:marRight w:val="0"/>
      <w:marTop w:val="60"/>
      <w:marBottom w:val="180"/>
      <w:divBdr>
        <w:top w:val="none" w:sz="0" w:space="0" w:color="auto"/>
        <w:left w:val="none" w:sz="0" w:space="0" w:color="auto"/>
        <w:bottom w:val="none" w:sz="0" w:space="0" w:color="auto"/>
        <w:right w:val="none" w:sz="0" w:space="0" w:color="auto"/>
      </w:divBdr>
    </w:div>
    <w:div w:id="259333626">
      <w:marLeft w:val="0"/>
      <w:marRight w:val="0"/>
      <w:marTop w:val="180"/>
      <w:marBottom w:val="180"/>
      <w:divBdr>
        <w:top w:val="none" w:sz="0" w:space="0" w:color="auto"/>
        <w:left w:val="none" w:sz="0" w:space="0" w:color="auto"/>
        <w:bottom w:val="none" w:sz="0" w:space="0" w:color="auto"/>
        <w:right w:val="none" w:sz="0" w:space="0" w:color="auto"/>
      </w:divBdr>
    </w:div>
    <w:div w:id="260383869">
      <w:marLeft w:val="0"/>
      <w:marRight w:val="0"/>
      <w:marTop w:val="0"/>
      <w:marBottom w:val="0"/>
      <w:divBdr>
        <w:top w:val="none" w:sz="0" w:space="0" w:color="auto"/>
        <w:left w:val="none" w:sz="0" w:space="0" w:color="auto"/>
        <w:bottom w:val="none" w:sz="0" w:space="0" w:color="auto"/>
        <w:right w:val="none" w:sz="0" w:space="0" w:color="auto"/>
      </w:divBdr>
    </w:div>
    <w:div w:id="261030342">
      <w:marLeft w:val="0"/>
      <w:marRight w:val="0"/>
      <w:marTop w:val="180"/>
      <w:marBottom w:val="180"/>
      <w:divBdr>
        <w:top w:val="none" w:sz="0" w:space="0" w:color="auto"/>
        <w:left w:val="none" w:sz="0" w:space="0" w:color="auto"/>
        <w:bottom w:val="none" w:sz="0" w:space="0" w:color="auto"/>
        <w:right w:val="none" w:sz="0" w:space="0" w:color="auto"/>
      </w:divBdr>
    </w:div>
    <w:div w:id="262108769">
      <w:marLeft w:val="0"/>
      <w:marRight w:val="0"/>
      <w:marTop w:val="60"/>
      <w:marBottom w:val="60"/>
      <w:divBdr>
        <w:top w:val="none" w:sz="0" w:space="0" w:color="auto"/>
        <w:left w:val="none" w:sz="0" w:space="0" w:color="auto"/>
        <w:bottom w:val="none" w:sz="0" w:space="0" w:color="auto"/>
        <w:right w:val="none" w:sz="0" w:space="0" w:color="auto"/>
      </w:divBdr>
    </w:div>
    <w:div w:id="262492326">
      <w:marLeft w:val="0"/>
      <w:marRight w:val="0"/>
      <w:marTop w:val="0"/>
      <w:marBottom w:val="0"/>
      <w:divBdr>
        <w:top w:val="none" w:sz="0" w:space="0" w:color="auto"/>
        <w:left w:val="none" w:sz="0" w:space="0" w:color="auto"/>
        <w:bottom w:val="none" w:sz="0" w:space="0" w:color="auto"/>
        <w:right w:val="none" w:sz="0" w:space="0" w:color="auto"/>
      </w:divBdr>
      <w:divsChild>
        <w:div w:id="1966230754">
          <w:marLeft w:val="0"/>
          <w:marRight w:val="0"/>
          <w:marTop w:val="0"/>
          <w:marBottom w:val="0"/>
          <w:divBdr>
            <w:top w:val="none" w:sz="0" w:space="0" w:color="auto"/>
            <w:left w:val="none" w:sz="0" w:space="0" w:color="auto"/>
            <w:bottom w:val="none" w:sz="0" w:space="0" w:color="auto"/>
            <w:right w:val="none" w:sz="0" w:space="0" w:color="auto"/>
          </w:divBdr>
          <w:divsChild>
            <w:div w:id="12953289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2803645">
      <w:marLeft w:val="0"/>
      <w:marRight w:val="0"/>
      <w:marTop w:val="0"/>
      <w:marBottom w:val="0"/>
      <w:divBdr>
        <w:top w:val="none" w:sz="0" w:space="0" w:color="auto"/>
        <w:left w:val="none" w:sz="0" w:space="0" w:color="auto"/>
        <w:bottom w:val="none" w:sz="0" w:space="0" w:color="auto"/>
        <w:right w:val="none" w:sz="0" w:space="0" w:color="auto"/>
      </w:divBdr>
    </w:div>
    <w:div w:id="263073021">
      <w:marLeft w:val="0"/>
      <w:marRight w:val="0"/>
      <w:marTop w:val="180"/>
      <w:marBottom w:val="180"/>
      <w:divBdr>
        <w:top w:val="none" w:sz="0" w:space="0" w:color="auto"/>
        <w:left w:val="none" w:sz="0" w:space="0" w:color="auto"/>
        <w:bottom w:val="none" w:sz="0" w:space="0" w:color="auto"/>
        <w:right w:val="none" w:sz="0" w:space="0" w:color="auto"/>
      </w:divBdr>
    </w:div>
    <w:div w:id="263224025">
      <w:marLeft w:val="0"/>
      <w:marRight w:val="0"/>
      <w:marTop w:val="180"/>
      <w:marBottom w:val="180"/>
      <w:divBdr>
        <w:top w:val="none" w:sz="0" w:space="0" w:color="auto"/>
        <w:left w:val="none" w:sz="0" w:space="0" w:color="auto"/>
        <w:bottom w:val="none" w:sz="0" w:space="0" w:color="auto"/>
        <w:right w:val="none" w:sz="0" w:space="0" w:color="auto"/>
      </w:divBdr>
    </w:div>
    <w:div w:id="263810949">
      <w:marLeft w:val="0"/>
      <w:marRight w:val="0"/>
      <w:marTop w:val="180"/>
      <w:marBottom w:val="180"/>
      <w:divBdr>
        <w:top w:val="none" w:sz="0" w:space="0" w:color="auto"/>
        <w:left w:val="none" w:sz="0" w:space="0" w:color="auto"/>
        <w:bottom w:val="none" w:sz="0" w:space="0" w:color="auto"/>
        <w:right w:val="none" w:sz="0" w:space="0" w:color="auto"/>
      </w:divBdr>
    </w:div>
    <w:div w:id="268390938">
      <w:marLeft w:val="0"/>
      <w:marRight w:val="0"/>
      <w:marTop w:val="0"/>
      <w:marBottom w:val="0"/>
      <w:divBdr>
        <w:top w:val="none" w:sz="0" w:space="0" w:color="auto"/>
        <w:left w:val="none" w:sz="0" w:space="0" w:color="auto"/>
        <w:bottom w:val="none" w:sz="0" w:space="0" w:color="auto"/>
        <w:right w:val="none" w:sz="0" w:space="0" w:color="auto"/>
      </w:divBdr>
      <w:divsChild>
        <w:div w:id="595791590">
          <w:marLeft w:val="0"/>
          <w:marRight w:val="0"/>
          <w:marTop w:val="180"/>
          <w:marBottom w:val="180"/>
          <w:divBdr>
            <w:top w:val="none" w:sz="0" w:space="0" w:color="auto"/>
            <w:left w:val="none" w:sz="0" w:space="0" w:color="auto"/>
            <w:bottom w:val="none" w:sz="0" w:space="0" w:color="auto"/>
            <w:right w:val="none" w:sz="0" w:space="0" w:color="auto"/>
          </w:divBdr>
        </w:div>
      </w:divsChild>
    </w:div>
    <w:div w:id="269095408">
      <w:marLeft w:val="0"/>
      <w:marRight w:val="0"/>
      <w:marTop w:val="180"/>
      <w:marBottom w:val="180"/>
      <w:divBdr>
        <w:top w:val="none" w:sz="0" w:space="0" w:color="auto"/>
        <w:left w:val="none" w:sz="0" w:space="0" w:color="auto"/>
        <w:bottom w:val="none" w:sz="0" w:space="0" w:color="auto"/>
        <w:right w:val="none" w:sz="0" w:space="0" w:color="auto"/>
      </w:divBdr>
    </w:div>
    <w:div w:id="269357717">
      <w:marLeft w:val="0"/>
      <w:marRight w:val="0"/>
      <w:marTop w:val="60"/>
      <w:marBottom w:val="60"/>
      <w:divBdr>
        <w:top w:val="none" w:sz="0" w:space="0" w:color="auto"/>
        <w:left w:val="none" w:sz="0" w:space="0" w:color="auto"/>
        <w:bottom w:val="none" w:sz="0" w:space="0" w:color="auto"/>
        <w:right w:val="none" w:sz="0" w:space="0" w:color="auto"/>
      </w:divBdr>
    </w:div>
    <w:div w:id="270165764">
      <w:marLeft w:val="0"/>
      <w:marRight w:val="0"/>
      <w:marTop w:val="180"/>
      <w:marBottom w:val="180"/>
      <w:divBdr>
        <w:top w:val="none" w:sz="0" w:space="0" w:color="auto"/>
        <w:left w:val="none" w:sz="0" w:space="0" w:color="auto"/>
        <w:bottom w:val="none" w:sz="0" w:space="0" w:color="auto"/>
        <w:right w:val="none" w:sz="0" w:space="0" w:color="auto"/>
      </w:divBdr>
    </w:div>
    <w:div w:id="270284394">
      <w:marLeft w:val="0"/>
      <w:marRight w:val="0"/>
      <w:marTop w:val="0"/>
      <w:marBottom w:val="0"/>
      <w:divBdr>
        <w:top w:val="none" w:sz="0" w:space="0" w:color="auto"/>
        <w:left w:val="none" w:sz="0" w:space="0" w:color="auto"/>
        <w:bottom w:val="none" w:sz="0" w:space="0" w:color="auto"/>
        <w:right w:val="none" w:sz="0" w:space="0" w:color="auto"/>
      </w:divBdr>
    </w:div>
    <w:div w:id="271018581">
      <w:marLeft w:val="0"/>
      <w:marRight w:val="0"/>
      <w:marTop w:val="180"/>
      <w:marBottom w:val="180"/>
      <w:divBdr>
        <w:top w:val="none" w:sz="0" w:space="0" w:color="auto"/>
        <w:left w:val="none" w:sz="0" w:space="0" w:color="auto"/>
        <w:bottom w:val="none" w:sz="0" w:space="0" w:color="auto"/>
        <w:right w:val="none" w:sz="0" w:space="0" w:color="auto"/>
      </w:divBdr>
    </w:div>
    <w:div w:id="271670449">
      <w:marLeft w:val="0"/>
      <w:marRight w:val="0"/>
      <w:marTop w:val="180"/>
      <w:marBottom w:val="180"/>
      <w:divBdr>
        <w:top w:val="none" w:sz="0" w:space="0" w:color="auto"/>
        <w:left w:val="none" w:sz="0" w:space="0" w:color="auto"/>
        <w:bottom w:val="none" w:sz="0" w:space="0" w:color="auto"/>
        <w:right w:val="none" w:sz="0" w:space="0" w:color="auto"/>
      </w:divBdr>
    </w:div>
    <w:div w:id="273942916">
      <w:marLeft w:val="0"/>
      <w:marRight w:val="0"/>
      <w:marTop w:val="180"/>
      <w:marBottom w:val="180"/>
      <w:divBdr>
        <w:top w:val="none" w:sz="0" w:space="0" w:color="auto"/>
        <w:left w:val="none" w:sz="0" w:space="0" w:color="auto"/>
        <w:bottom w:val="none" w:sz="0" w:space="0" w:color="auto"/>
        <w:right w:val="none" w:sz="0" w:space="0" w:color="auto"/>
      </w:divBdr>
    </w:div>
    <w:div w:id="274555771">
      <w:marLeft w:val="0"/>
      <w:marRight w:val="0"/>
      <w:marTop w:val="180"/>
      <w:marBottom w:val="180"/>
      <w:divBdr>
        <w:top w:val="none" w:sz="0" w:space="0" w:color="auto"/>
        <w:left w:val="none" w:sz="0" w:space="0" w:color="auto"/>
        <w:bottom w:val="none" w:sz="0" w:space="0" w:color="auto"/>
        <w:right w:val="none" w:sz="0" w:space="0" w:color="auto"/>
      </w:divBdr>
    </w:div>
    <w:div w:id="275063387">
      <w:marLeft w:val="0"/>
      <w:marRight w:val="0"/>
      <w:marTop w:val="180"/>
      <w:marBottom w:val="180"/>
      <w:divBdr>
        <w:top w:val="none" w:sz="0" w:space="0" w:color="auto"/>
        <w:left w:val="none" w:sz="0" w:space="0" w:color="auto"/>
        <w:bottom w:val="none" w:sz="0" w:space="0" w:color="auto"/>
        <w:right w:val="none" w:sz="0" w:space="0" w:color="auto"/>
      </w:divBdr>
    </w:div>
    <w:div w:id="275527901">
      <w:marLeft w:val="0"/>
      <w:marRight w:val="0"/>
      <w:marTop w:val="0"/>
      <w:marBottom w:val="0"/>
      <w:divBdr>
        <w:top w:val="none" w:sz="0" w:space="0" w:color="auto"/>
        <w:left w:val="none" w:sz="0" w:space="0" w:color="auto"/>
        <w:bottom w:val="none" w:sz="0" w:space="0" w:color="auto"/>
        <w:right w:val="none" w:sz="0" w:space="0" w:color="auto"/>
      </w:divBdr>
      <w:divsChild>
        <w:div w:id="1395156239">
          <w:marLeft w:val="0"/>
          <w:marRight w:val="0"/>
          <w:marTop w:val="0"/>
          <w:marBottom w:val="0"/>
          <w:divBdr>
            <w:top w:val="none" w:sz="0" w:space="0" w:color="auto"/>
            <w:left w:val="none" w:sz="0" w:space="0" w:color="auto"/>
            <w:bottom w:val="none" w:sz="0" w:space="0" w:color="auto"/>
            <w:right w:val="none" w:sz="0" w:space="0" w:color="auto"/>
          </w:divBdr>
          <w:divsChild>
            <w:div w:id="1497619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76258111">
      <w:marLeft w:val="0"/>
      <w:marRight w:val="0"/>
      <w:marTop w:val="0"/>
      <w:marBottom w:val="60"/>
      <w:divBdr>
        <w:top w:val="none" w:sz="0" w:space="0" w:color="auto"/>
        <w:left w:val="none" w:sz="0" w:space="0" w:color="auto"/>
        <w:bottom w:val="none" w:sz="0" w:space="0" w:color="auto"/>
        <w:right w:val="none" w:sz="0" w:space="0" w:color="auto"/>
      </w:divBdr>
    </w:div>
    <w:div w:id="276641720">
      <w:marLeft w:val="0"/>
      <w:marRight w:val="0"/>
      <w:marTop w:val="180"/>
      <w:marBottom w:val="180"/>
      <w:divBdr>
        <w:top w:val="none" w:sz="0" w:space="0" w:color="auto"/>
        <w:left w:val="none" w:sz="0" w:space="0" w:color="auto"/>
        <w:bottom w:val="none" w:sz="0" w:space="0" w:color="auto"/>
        <w:right w:val="none" w:sz="0" w:space="0" w:color="auto"/>
      </w:divBdr>
    </w:div>
    <w:div w:id="276646434">
      <w:marLeft w:val="0"/>
      <w:marRight w:val="0"/>
      <w:marTop w:val="100"/>
      <w:marBottom w:val="100"/>
      <w:divBdr>
        <w:top w:val="none" w:sz="0" w:space="0" w:color="auto"/>
        <w:left w:val="none" w:sz="0" w:space="0" w:color="auto"/>
        <w:bottom w:val="none" w:sz="0" w:space="0" w:color="auto"/>
        <w:right w:val="none" w:sz="0" w:space="0" w:color="auto"/>
      </w:divBdr>
      <w:divsChild>
        <w:div w:id="1388870784">
          <w:marLeft w:val="0"/>
          <w:marRight w:val="0"/>
          <w:marTop w:val="0"/>
          <w:marBottom w:val="0"/>
          <w:divBdr>
            <w:top w:val="none" w:sz="0" w:space="0" w:color="auto"/>
            <w:left w:val="none" w:sz="0" w:space="0" w:color="auto"/>
            <w:bottom w:val="none" w:sz="0" w:space="0" w:color="auto"/>
            <w:right w:val="none" w:sz="0" w:space="0" w:color="auto"/>
          </w:divBdr>
        </w:div>
        <w:div w:id="1962883791">
          <w:marLeft w:val="0"/>
          <w:marRight w:val="0"/>
          <w:marTop w:val="0"/>
          <w:marBottom w:val="0"/>
          <w:divBdr>
            <w:top w:val="none" w:sz="0" w:space="0" w:color="auto"/>
            <w:left w:val="none" w:sz="0" w:space="0" w:color="auto"/>
            <w:bottom w:val="none" w:sz="0" w:space="0" w:color="auto"/>
            <w:right w:val="none" w:sz="0" w:space="0" w:color="auto"/>
          </w:divBdr>
        </w:div>
        <w:div w:id="837303130">
          <w:marLeft w:val="0"/>
          <w:marRight w:val="0"/>
          <w:marTop w:val="0"/>
          <w:marBottom w:val="0"/>
          <w:divBdr>
            <w:top w:val="none" w:sz="0" w:space="0" w:color="auto"/>
            <w:left w:val="none" w:sz="0" w:space="0" w:color="auto"/>
            <w:bottom w:val="none" w:sz="0" w:space="0" w:color="auto"/>
            <w:right w:val="none" w:sz="0" w:space="0" w:color="auto"/>
          </w:divBdr>
        </w:div>
        <w:div w:id="1986930106">
          <w:marLeft w:val="0"/>
          <w:marRight w:val="0"/>
          <w:marTop w:val="0"/>
          <w:marBottom w:val="0"/>
          <w:divBdr>
            <w:top w:val="none" w:sz="0" w:space="0" w:color="auto"/>
            <w:left w:val="none" w:sz="0" w:space="0" w:color="auto"/>
            <w:bottom w:val="none" w:sz="0" w:space="0" w:color="auto"/>
            <w:right w:val="none" w:sz="0" w:space="0" w:color="auto"/>
          </w:divBdr>
        </w:div>
        <w:div w:id="1421752790">
          <w:marLeft w:val="0"/>
          <w:marRight w:val="0"/>
          <w:marTop w:val="0"/>
          <w:marBottom w:val="0"/>
          <w:divBdr>
            <w:top w:val="none" w:sz="0" w:space="0" w:color="auto"/>
            <w:left w:val="none" w:sz="0" w:space="0" w:color="auto"/>
            <w:bottom w:val="none" w:sz="0" w:space="0" w:color="auto"/>
            <w:right w:val="none" w:sz="0" w:space="0" w:color="auto"/>
          </w:divBdr>
        </w:div>
        <w:div w:id="1800563562">
          <w:marLeft w:val="0"/>
          <w:marRight w:val="0"/>
          <w:marTop w:val="0"/>
          <w:marBottom w:val="0"/>
          <w:divBdr>
            <w:top w:val="none" w:sz="0" w:space="0" w:color="auto"/>
            <w:left w:val="none" w:sz="0" w:space="0" w:color="auto"/>
            <w:bottom w:val="none" w:sz="0" w:space="0" w:color="auto"/>
            <w:right w:val="none" w:sz="0" w:space="0" w:color="auto"/>
          </w:divBdr>
        </w:div>
        <w:div w:id="1475487123">
          <w:marLeft w:val="0"/>
          <w:marRight w:val="0"/>
          <w:marTop w:val="0"/>
          <w:marBottom w:val="0"/>
          <w:divBdr>
            <w:top w:val="none" w:sz="0" w:space="0" w:color="auto"/>
            <w:left w:val="none" w:sz="0" w:space="0" w:color="auto"/>
            <w:bottom w:val="none" w:sz="0" w:space="0" w:color="auto"/>
            <w:right w:val="none" w:sz="0" w:space="0" w:color="auto"/>
          </w:divBdr>
        </w:div>
        <w:div w:id="37822732">
          <w:marLeft w:val="0"/>
          <w:marRight w:val="0"/>
          <w:marTop w:val="0"/>
          <w:marBottom w:val="0"/>
          <w:divBdr>
            <w:top w:val="none" w:sz="0" w:space="0" w:color="auto"/>
            <w:left w:val="none" w:sz="0" w:space="0" w:color="auto"/>
            <w:bottom w:val="none" w:sz="0" w:space="0" w:color="auto"/>
            <w:right w:val="none" w:sz="0" w:space="0" w:color="auto"/>
          </w:divBdr>
        </w:div>
        <w:div w:id="1779905915">
          <w:marLeft w:val="0"/>
          <w:marRight w:val="0"/>
          <w:marTop w:val="0"/>
          <w:marBottom w:val="0"/>
          <w:divBdr>
            <w:top w:val="none" w:sz="0" w:space="0" w:color="auto"/>
            <w:left w:val="none" w:sz="0" w:space="0" w:color="auto"/>
            <w:bottom w:val="none" w:sz="0" w:space="0" w:color="auto"/>
            <w:right w:val="none" w:sz="0" w:space="0" w:color="auto"/>
          </w:divBdr>
        </w:div>
        <w:div w:id="1104227090">
          <w:marLeft w:val="0"/>
          <w:marRight w:val="0"/>
          <w:marTop w:val="0"/>
          <w:marBottom w:val="0"/>
          <w:divBdr>
            <w:top w:val="none" w:sz="0" w:space="0" w:color="auto"/>
            <w:left w:val="none" w:sz="0" w:space="0" w:color="auto"/>
            <w:bottom w:val="none" w:sz="0" w:space="0" w:color="auto"/>
            <w:right w:val="none" w:sz="0" w:space="0" w:color="auto"/>
          </w:divBdr>
        </w:div>
        <w:div w:id="1706786467">
          <w:marLeft w:val="0"/>
          <w:marRight w:val="0"/>
          <w:marTop w:val="0"/>
          <w:marBottom w:val="0"/>
          <w:divBdr>
            <w:top w:val="none" w:sz="0" w:space="0" w:color="auto"/>
            <w:left w:val="none" w:sz="0" w:space="0" w:color="auto"/>
            <w:bottom w:val="none" w:sz="0" w:space="0" w:color="auto"/>
            <w:right w:val="none" w:sz="0" w:space="0" w:color="auto"/>
          </w:divBdr>
        </w:div>
        <w:div w:id="1603687974">
          <w:marLeft w:val="0"/>
          <w:marRight w:val="0"/>
          <w:marTop w:val="0"/>
          <w:marBottom w:val="0"/>
          <w:divBdr>
            <w:top w:val="none" w:sz="0" w:space="0" w:color="auto"/>
            <w:left w:val="none" w:sz="0" w:space="0" w:color="auto"/>
            <w:bottom w:val="none" w:sz="0" w:space="0" w:color="auto"/>
            <w:right w:val="none" w:sz="0" w:space="0" w:color="auto"/>
          </w:divBdr>
        </w:div>
        <w:div w:id="522086312">
          <w:marLeft w:val="0"/>
          <w:marRight w:val="0"/>
          <w:marTop w:val="0"/>
          <w:marBottom w:val="0"/>
          <w:divBdr>
            <w:top w:val="none" w:sz="0" w:space="0" w:color="auto"/>
            <w:left w:val="none" w:sz="0" w:space="0" w:color="auto"/>
            <w:bottom w:val="none" w:sz="0" w:space="0" w:color="auto"/>
            <w:right w:val="none" w:sz="0" w:space="0" w:color="auto"/>
          </w:divBdr>
        </w:div>
        <w:div w:id="1029723347">
          <w:marLeft w:val="0"/>
          <w:marRight w:val="0"/>
          <w:marTop w:val="0"/>
          <w:marBottom w:val="0"/>
          <w:divBdr>
            <w:top w:val="none" w:sz="0" w:space="0" w:color="auto"/>
            <w:left w:val="none" w:sz="0" w:space="0" w:color="auto"/>
            <w:bottom w:val="none" w:sz="0" w:space="0" w:color="auto"/>
            <w:right w:val="none" w:sz="0" w:space="0" w:color="auto"/>
          </w:divBdr>
        </w:div>
        <w:div w:id="1147934183">
          <w:marLeft w:val="0"/>
          <w:marRight w:val="0"/>
          <w:marTop w:val="0"/>
          <w:marBottom w:val="0"/>
          <w:divBdr>
            <w:top w:val="none" w:sz="0" w:space="0" w:color="auto"/>
            <w:left w:val="none" w:sz="0" w:space="0" w:color="auto"/>
            <w:bottom w:val="none" w:sz="0" w:space="0" w:color="auto"/>
            <w:right w:val="none" w:sz="0" w:space="0" w:color="auto"/>
          </w:divBdr>
        </w:div>
      </w:divsChild>
    </w:div>
    <w:div w:id="276912406">
      <w:marLeft w:val="0"/>
      <w:marRight w:val="0"/>
      <w:marTop w:val="180"/>
      <w:marBottom w:val="180"/>
      <w:divBdr>
        <w:top w:val="none" w:sz="0" w:space="0" w:color="auto"/>
        <w:left w:val="none" w:sz="0" w:space="0" w:color="auto"/>
        <w:bottom w:val="none" w:sz="0" w:space="0" w:color="auto"/>
        <w:right w:val="none" w:sz="0" w:space="0" w:color="auto"/>
      </w:divBdr>
    </w:div>
    <w:div w:id="277563102">
      <w:marLeft w:val="0"/>
      <w:marRight w:val="0"/>
      <w:marTop w:val="180"/>
      <w:marBottom w:val="180"/>
      <w:divBdr>
        <w:top w:val="none" w:sz="0" w:space="0" w:color="auto"/>
        <w:left w:val="none" w:sz="0" w:space="0" w:color="auto"/>
        <w:bottom w:val="none" w:sz="0" w:space="0" w:color="auto"/>
        <w:right w:val="none" w:sz="0" w:space="0" w:color="auto"/>
      </w:divBdr>
    </w:div>
    <w:div w:id="279605882">
      <w:marLeft w:val="0"/>
      <w:marRight w:val="0"/>
      <w:marTop w:val="0"/>
      <w:marBottom w:val="0"/>
      <w:divBdr>
        <w:top w:val="none" w:sz="0" w:space="0" w:color="auto"/>
        <w:left w:val="none" w:sz="0" w:space="0" w:color="auto"/>
        <w:bottom w:val="none" w:sz="0" w:space="0" w:color="auto"/>
        <w:right w:val="none" w:sz="0" w:space="0" w:color="auto"/>
      </w:divBdr>
    </w:div>
    <w:div w:id="279728283">
      <w:marLeft w:val="0"/>
      <w:marRight w:val="0"/>
      <w:marTop w:val="180"/>
      <w:marBottom w:val="180"/>
      <w:divBdr>
        <w:top w:val="none" w:sz="0" w:space="0" w:color="auto"/>
        <w:left w:val="none" w:sz="0" w:space="0" w:color="auto"/>
        <w:bottom w:val="none" w:sz="0" w:space="0" w:color="auto"/>
        <w:right w:val="none" w:sz="0" w:space="0" w:color="auto"/>
      </w:divBdr>
    </w:div>
    <w:div w:id="279915776">
      <w:marLeft w:val="0"/>
      <w:marRight w:val="0"/>
      <w:marTop w:val="180"/>
      <w:marBottom w:val="180"/>
      <w:divBdr>
        <w:top w:val="none" w:sz="0" w:space="0" w:color="auto"/>
        <w:left w:val="none" w:sz="0" w:space="0" w:color="auto"/>
        <w:bottom w:val="none" w:sz="0" w:space="0" w:color="auto"/>
        <w:right w:val="none" w:sz="0" w:space="0" w:color="auto"/>
      </w:divBdr>
    </w:div>
    <w:div w:id="282002862">
      <w:marLeft w:val="0"/>
      <w:marRight w:val="0"/>
      <w:marTop w:val="180"/>
      <w:marBottom w:val="180"/>
      <w:divBdr>
        <w:top w:val="none" w:sz="0" w:space="0" w:color="auto"/>
        <w:left w:val="none" w:sz="0" w:space="0" w:color="auto"/>
        <w:bottom w:val="none" w:sz="0" w:space="0" w:color="auto"/>
        <w:right w:val="none" w:sz="0" w:space="0" w:color="auto"/>
      </w:divBdr>
    </w:div>
    <w:div w:id="284240023">
      <w:marLeft w:val="0"/>
      <w:marRight w:val="0"/>
      <w:marTop w:val="180"/>
      <w:marBottom w:val="180"/>
      <w:divBdr>
        <w:top w:val="none" w:sz="0" w:space="0" w:color="auto"/>
        <w:left w:val="none" w:sz="0" w:space="0" w:color="auto"/>
        <w:bottom w:val="none" w:sz="0" w:space="0" w:color="auto"/>
        <w:right w:val="none" w:sz="0" w:space="0" w:color="auto"/>
      </w:divBdr>
    </w:div>
    <w:div w:id="284242670">
      <w:marLeft w:val="0"/>
      <w:marRight w:val="0"/>
      <w:marTop w:val="180"/>
      <w:marBottom w:val="60"/>
      <w:divBdr>
        <w:top w:val="none" w:sz="0" w:space="0" w:color="auto"/>
        <w:left w:val="none" w:sz="0" w:space="0" w:color="auto"/>
        <w:bottom w:val="none" w:sz="0" w:space="0" w:color="auto"/>
        <w:right w:val="none" w:sz="0" w:space="0" w:color="auto"/>
      </w:divBdr>
    </w:div>
    <w:div w:id="285628378">
      <w:marLeft w:val="0"/>
      <w:marRight w:val="0"/>
      <w:marTop w:val="60"/>
      <w:marBottom w:val="60"/>
      <w:divBdr>
        <w:top w:val="none" w:sz="0" w:space="0" w:color="auto"/>
        <w:left w:val="none" w:sz="0" w:space="0" w:color="auto"/>
        <w:bottom w:val="none" w:sz="0" w:space="0" w:color="auto"/>
        <w:right w:val="none" w:sz="0" w:space="0" w:color="auto"/>
      </w:divBdr>
    </w:div>
    <w:div w:id="287246413">
      <w:marLeft w:val="0"/>
      <w:marRight w:val="0"/>
      <w:marTop w:val="180"/>
      <w:marBottom w:val="180"/>
      <w:divBdr>
        <w:top w:val="none" w:sz="0" w:space="0" w:color="auto"/>
        <w:left w:val="none" w:sz="0" w:space="0" w:color="auto"/>
        <w:bottom w:val="none" w:sz="0" w:space="0" w:color="auto"/>
        <w:right w:val="none" w:sz="0" w:space="0" w:color="auto"/>
      </w:divBdr>
    </w:div>
    <w:div w:id="287249768">
      <w:marLeft w:val="0"/>
      <w:marRight w:val="0"/>
      <w:marTop w:val="0"/>
      <w:marBottom w:val="0"/>
      <w:divBdr>
        <w:top w:val="none" w:sz="0" w:space="0" w:color="auto"/>
        <w:left w:val="none" w:sz="0" w:space="0" w:color="auto"/>
        <w:bottom w:val="none" w:sz="0" w:space="0" w:color="auto"/>
        <w:right w:val="none" w:sz="0" w:space="0" w:color="auto"/>
      </w:divBdr>
      <w:divsChild>
        <w:div w:id="1669865728">
          <w:marLeft w:val="0"/>
          <w:marRight w:val="0"/>
          <w:marTop w:val="0"/>
          <w:marBottom w:val="180"/>
          <w:divBdr>
            <w:top w:val="none" w:sz="0" w:space="0" w:color="auto"/>
            <w:left w:val="none" w:sz="0" w:space="0" w:color="auto"/>
            <w:bottom w:val="none" w:sz="0" w:space="0" w:color="auto"/>
            <w:right w:val="none" w:sz="0" w:space="0" w:color="auto"/>
          </w:divBdr>
        </w:div>
      </w:divsChild>
    </w:div>
    <w:div w:id="288976967">
      <w:marLeft w:val="0"/>
      <w:marRight w:val="0"/>
      <w:marTop w:val="180"/>
      <w:marBottom w:val="180"/>
      <w:divBdr>
        <w:top w:val="none" w:sz="0" w:space="0" w:color="auto"/>
        <w:left w:val="none" w:sz="0" w:space="0" w:color="auto"/>
        <w:bottom w:val="none" w:sz="0" w:space="0" w:color="auto"/>
        <w:right w:val="none" w:sz="0" w:space="0" w:color="auto"/>
      </w:divBdr>
    </w:div>
    <w:div w:id="289558631">
      <w:marLeft w:val="0"/>
      <w:marRight w:val="0"/>
      <w:marTop w:val="100"/>
      <w:marBottom w:val="60"/>
      <w:divBdr>
        <w:top w:val="none" w:sz="0" w:space="0" w:color="auto"/>
        <w:left w:val="none" w:sz="0" w:space="0" w:color="auto"/>
        <w:bottom w:val="none" w:sz="0" w:space="0" w:color="auto"/>
        <w:right w:val="none" w:sz="0" w:space="0" w:color="auto"/>
      </w:divBdr>
    </w:div>
    <w:div w:id="289869545">
      <w:marLeft w:val="0"/>
      <w:marRight w:val="0"/>
      <w:marTop w:val="180"/>
      <w:marBottom w:val="180"/>
      <w:divBdr>
        <w:top w:val="none" w:sz="0" w:space="0" w:color="auto"/>
        <w:left w:val="none" w:sz="0" w:space="0" w:color="auto"/>
        <w:bottom w:val="none" w:sz="0" w:space="0" w:color="auto"/>
        <w:right w:val="none" w:sz="0" w:space="0" w:color="auto"/>
      </w:divBdr>
    </w:div>
    <w:div w:id="290091326">
      <w:marLeft w:val="0"/>
      <w:marRight w:val="0"/>
      <w:marTop w:val="0"/>
      <w:marBottom w:val="0"/>
      <w:divBdr>
        <w:top w:val="none" w:sz="0" w:space="0" w:color="auto"/>
        <w:left w:val="none" w:sz="0" w:space="0" w:color="auto"/>
        <w:bottom w:val="none" w:sz="0" w:space="0" w:color="auto"/>
        <w:right w:val="none" w:sz="0" w:space="0" w:color="auto"/>
      </w:divBdr>
      <w:divsChild>
        <w:div w:id="1359046253">
          <w:marLeft w:val="0"/>
          <w:marRight w:val="0"/>
          <w:marTop w:val="180"/>
          <w:marBottom w:val="180"/>
          <w:divBdr>
            <w:top w:val="none" w:sz="0" w:space="0" w:color="auto"/>
            <w:left w:val="none" w:sz="0" w:space="0" w:color="auto"/>
            <w:bottom w:val="none" w:sz="0" w:space="0" w:color="auto"/>
            <w:right w:val="none" w:sz="0" w:space="0" w:color="auto"/>
          </w:divBdr>
        </w:div>
      </w:divsChild>
    </w:div>
    <w:div w:id="290283157">
      <w:marLeft w:val="0"/>
      <w:marRight w:val="0"/>
      <w:marTop w:val="0"/>
      <w:marBottom w:val="0"/>
      <w:divBdr>
        <w:top w:val="none" w:sz="0" w:space="0" w:color="auto"/>
        <w:left w:val="none" w:sz="0" w:space="0" w:color="auto"/>
        <w:bottom w:val="none" w:sz="0" w:space="0" w:color="auto"/>
        <w:right w:val="none" w:sz="0" w:space="0" w:color="auto"/>
      </w:divBdr>
      <w:divsChild>
        <w:div w:id="4286445">
          <w:marLeft w:val="0"/>
          <w:marRight w:val="0"/>
          <w:marTop w:val="60"/>
          <w:marBottom w:val="60"/>
          <w:divBdr>
            <w:top w:val="none" w:sz="0" w:space="0" w:color="auto"/>
            <w:left w:val="none" w:sz="0" w:space="0" w:color="auto"/>
            <w:bottom w:val="none" w:sz="0" w:space="0" w:color="auto"/>
            <w:right w:val="none" w:sz="0" w:space="0" w:color="auto"/>
          </w:divBdr>
        </w:div>
      </w:divsChild>
    </w:div>
    <w:div w:id="290525972">
      <w:marLeft w:val="0"/>
      <w:marRight w:val="0"/>
      <w:marTop w:val="180"/>
      <w:marBottom w:val="180"/>
      <w:divBdr>
        <w:top w:val="none" w:sz="0" w:space="0" w:color="auto"/>
        <w:left w:val="none" w:sz="0" w:space="0" w:color="auto"/>
        <w:bottom w:val="none" w:sz="0" w:space="0" w:color="auto"/>
        <w:right w:val="none" w:sz="0" w:space="0" w:color="auto"/>
      </w:divBdr>
    </w:div>
    <w:div w:id="290719817">
      <w:marLeft w:val="0"/>
      <w:marRight w:val="0"/>
      <w:marTop w:val="0"/>
      <w:marBottom w:val="0"/>
      <w:divBdr>
        <w:top w:val="none" w:sz="0" w:space="0" w:color="auto"/>
        <w:left w:val="none" w:sz="0" w:space="0" w:color="auto"/>
        <w:bottom w:val="none" w:sz="0" w:space="0" w:color="auto"/>
        <w:right w:val="none" w:sz="0" w:space="0" w:color="auto"/>
      </w:divBdr>
    </w:div>
    <w:div w:id="291251485">
      <w:marLeft w:val="0"/>
      <w:marRight w:val="0"/>
      <w:marTop w:val="180"/>
      <w:marBottom w:val="180"/>
      <w:divBdr>
        <w:top w:val="none" w:sz="0" w:space="0" w:color="auto"/>
        <w:left w:val="none" w:sz="0" w:space="0" w:color="auto"/>
        <w:bottom w:val="none" w:sz="0" w:space="0" w:color="auto"/>
        <w:right w:val="none" w:sz="0" w:space="0" w:color="auto"/>
      </w:divBdr>
    </w:div>
    <w:div w:id="291788197">
      <w:marLeft w:val="0"/>
      <w:marRight w:val="0"/>
      <w:marTop w:val="0"/>
      <w:marBottom w:val="15"/>
      <w:divBdr>
        <w:top w:val="none" w:sz="0" w:space="0" w:color="auto"/>
        <w:left w:val="none" w:sz="0" w:space="0" w:color="auto"/>
        <w:bottom w:val="none" w:sz="0" w:space="0" w:color="auto"/>
        <w:right w:val="none" w:sz="0" w:space="0" w:color="auto"/>
      </w:divBdr>
    </w:div>
    <w:div w:id="293145508">
      <w:marLeft w:val="0"/>
      <w:marRight w:val="0"/>
      <w:marTop w:val="180"/>
      <w:marBottom w:val="100"/>
      <w:divBdr>
        <w:top w:val="none" w:sz="0" w:space="0" w:color="auto"/>
        <w:left w:val="none" w:sz="0" w:space="0" w:color="auto"/>
        <w:bottom w:val="none" w:sz="0" w:space="0" w:color="auto"/>
        <w:right w:val="none" w:sz="0" w:space="0" w:color="auto"/>
      </w:divBdr>
      <w:divsChild>
        <w:div w:id="1521435680">
          <w:marLeft w:val="0"/>
          <w:marRight w:val="0"/>
          <w:marTop w:val="0"/>
          <w:marBottom w:val="0"/>
          <w:divBdr>
            <w:top w:val="none" w:sz="0" w:space="0" w:color="auto"/>
            <w:left w:val="none" w:sz="0" w:space="0" w:color="auto"/>
            <w:bottom w:val="none" w:sz="0" w:space="0" w:color="auto"/>
            <w:right w:val="none" w:sz="0" w:space="0" w:color="auto"/>
          </w:divBdr>
        </w:div>
        <w:div w:id="218563424">
          <w:marLeft w:val="0"/>
          <w:marRight w:val="0"/>
          <w:marTop w:val="0"/>
          <w:marBottom w:val="0"/>
          <w:divBdr>
            <w:top w:val="none" w:sz="0" w:space="0" w:color="auto"/>
            <w:left w:val="none" w:sz="0" w:space="0" w:color="auto"/>
            <w:bottom w:val="none" w:sz="0" w:space="0" w:color="auto"/>
            <w:right w:val="none" w:sz="0" w:space="0" w:color="auto"/>
          </w:divBdr>
        </w:div>
        <w:div w:id="1887600484">
          <w:marLeft w:val="0"/>
          <w:marRight w:val="0"/>
          <w:marTop w:val="0"/>
          <w:marBottom w:val="0"/>
          <w:divBdr>
            <w:top w:val="none" w:sz="0" w:space="0" w:color="auto"/>
            <w:left w:val="none" w:sz="0" w:space="0" w:color="auto"/>
            <w:bottom w:val="none" w:sz="0" w:space="0" w:color="auto"/>
            <w:right w:val="none" w:sz="0" w:space="0" w:color="auto"/>
          </w:divBdr>
        </w:div>
        <w:div w:id="1380085713">
          <w:marLeft w:val="0"/>
          <w:marRight w:val="0"/>
          <w:marTop w:val="0"/>
          <w:marBottom w:val="0"/>
          <w:divBdr>
            <w:top w:val="none" w:sz="0" w:space="0" w:color="auto"/>
            <w:left w:val="none" w:sz="0" w:space="0" w:color="auto"/>
            <w:bottom w:val="none" w:sz="0" w:space="0" w:color="auto"/>
            <w:right w:val="none" w:sz="0" w:space="0" w:color="auto"/>
          </w:divBdr>
        </w:div>
        <w:div w:id="1464932836">
          <w:marLeft w:val="0"/>
          <w:marRight w:val="0"/>
          <w:marTop w:val="0"/>
          <w:marBottom w:val="0"/>
          <w:divBdr>
            <w:top w:val="none" w:sz="0" w:space="0" w:color="auto"/>
            <w:left w:val="none" w:sz="0" w:space="0" w:color="auto"/>
            <w:bottom w:val="none" w:sz="0" w:space="0" w:color="auto"/>
            <w:right w:val="none" w:sz="0" w:space="0" w:color="auto"/>
          </w:divBdr>
        </w:div>
        <w:div w:id="1375233527">
          <w:marLeft w:val="0"/>
          <w:marRight w:val="0"/>
          <w:marTop w:val="0"/>
          <w:marBottom w:val="0"/>
          <w:divBdr>
            <w:top w:val="none" w:sz="0" w:space="0" w:color="auto"/>
            <w:left w:val="none" w:sz="0" w:space="0" w:color="auto"/>
            <w:bottom w:val="none" w:sz="0" w:space="0" w:color="auto"/>
            <w:right w:val="none" w:sz="0" w:space="0" w:color="auto"/>
          </w:divBdr>
        </w:div>
        <w:div w:id="1275214976">
          <w:marLeft w:val="0"/>
          <w:marRight w:val="0"/>
          <w:marTop w:val="0"/>
          <w:marBottom w:val="0"/>
          <w:divBdr>
            <w:top w:val="none" w:sz="0" w:space="0" w:color="auto"/>
            <w:left w:val="none" w:sz="0" w:space="0" w:color="auto"/>
            <w:bottom w:val="none" w:sz="0" w:space="0" w:color="auto"/>
            <w:right w:val="none" w:sz="0" w:space="0" w:color="auto"/>
          </w:divBdr>
        </w:div>
        <w:div w:id="198975540">
          <w:marLeft w:val="0"/>
          <w:marRight w:val="0"/>
          <w:marTop w:val="0"/>
          <w:marBottom w:val="0"/>
          <w:divBdr>
            <w:top w:val="none" w:sz="0" w:space="0" w:color="auto"/>
            <w:left w:val="none" w:sz="0" w:space="0" w:color="auto"/>
            <w:bottom w:val="none" w:sz="0" w:space="0" w:color="auto"/>
            <w:right w:val="none" w:sz="0" w:space="0" w:color="auto"/>
          </w:divBdr>
        </w:div>
        <w:div w:id="1791510260">
          <w:marLeft w:val="0"/>
          <w:marRight w:val="0"/>
          <w:marTop w:val="0"/>
          <w:marBottom w:val="0"/>
          <w:divBdr>
            <w:top w:val="none" w:sz="0" w:space="0" w:color="auto"/>
            <w:left w:val="none" w:sz="0" w:space="0" w:color="auto"/>
            <w:bottom w:val="none" w:sz="0" w:space="0" w:color="auto"/>
            <w:right w:val="none" w:sz="0" w:space="0" w:color="auto"/>
          </w:divBdr>
        </w:div>
        <w:div w:id="506751523">
          <w:marLeft w:val="0"/>
          <w:marRight w:val="0"/>
          <w:marTop w:val="0"/>
          <w:marBottom w:val="0"/>
          <w:divBdr>
            <w:top w:val="none" w:sz="0" w:space="0" w:color="auto"/>
            <w:left w:val="none" w:sz="0" w:space="0" w:color="auto"/>
            <w:bottom w:val="none" w:sz="0" w:space="0" w:color="auto"/>
            <w:right w:val="none" w:sz="0" w:space="0" w:color="auto"/>
          </w:divBdr>
        </w:div>
      </w:divsChild>
    </w:div>
    <w:div w:id="293490507">
      <w:marLeft w:val="0"/>
      <w:marRight w:val="0"/>
      <w:marTop w:val="180"/>
      <w:marBottom w:val="0"/>
      <w:divBdr>
        <w:top w:val="none" w:sz="0" w:space="0" w:color="auto"/>
        <w:left w:val="none" w:sz="0" w:space="0" w:color="auto"/>
        <w:bottom w:val="none" w:sz="0" w:space="0" w:color="auto"/>
        <w:right w:val="none" w:sz="0" w:space="0" w:color="auto"/>
      </w:divBdr>
    </w:div>
    <w:div w:id="294870183">
      <w:marLeft w:val="0"/>
      <w:marRight w:val="0"/>
      <w:marTop w:val="180"/>
      <w:marBottom w:val="60"/>
      <w:divBdr>
        <w:top w:val="none" w:sz="0" w:space="0" w:color="auto"/>
        <w:left w:val="none" w:sz="0" w:space="0" w:color="auto"/>
        <w:bottom w:val="none" w:sz="0" w:space="0" w:color="auto"/>
        <w:right w:val="none" w:sz="0" w:space="0" w:color="auto"/>
      </w:divBdr>
    </w:div>
    <w:div w:id="296228492">
      <w:marLeft w:val="0"/>
      <w:marRight w:val="0"/>
      <w:marTop w:val="180"/>
      <w:marBottom w:val="180"/>
      <w:divBdr>
        <w:top w:val="none" w:sz="0" w:space="0" w:color="auto"/>
        <w:left w:val="none" w:sz="0" w:space="0" w:color="auto"/>
        <w:bottom w:val="none" w:sz="0" w:space="0" w:color="auto"/>
        <w:right w:val="none" w:sz="0" w:space="0" w:color="auto"/>
      </w:divBdr>
    </w:div>
    <w:div w:id="297882234">
      <w:marLeft w:val="0"/>
      <w:marRight w:val="0"/>
      <w:marTop w:val="60"/>
      <w:marBottom w:val="60"/>
      <w:divBdr>
        <w:top w:val="none" w:sz="0" w:space="0" w:color="auto"/>
        <w:left w:val="none" w:sz="0" w:space="0" w:color="auto"/>
        <w:bottom w:val="none" w:sz="0" w:space="0" w:color="auto"/>
        <w:right w:val="none" w:sz="0" w:space="0" w:color="auto"/>
      </w:divBdr>
    </w:div>
    <w:div w:id="298650195">
      <w:marLeft w:val="0"/>
      <w:marRight w:val="0"/>
      <w:marTop w:val="180"/>
      <w:marBottom w:val="180"/>
      <w:divBdr>
        <w:top w:val="none" w:sz="0" w:space="0" w:color="auto"/>
        <w:left w:val="none" w:sz="0" w:space="0" w:color="auto"/>
        <w:bottom w:val="none" w:sz="0" w:space="0" w:color="auto"/>
        <w:right w:val="none" w:sz="0" w:space="0" w:color="auto"/>
      </w:divBdr>
    </w:div>
    <w:div w:id="299918877">
      <w:marLeft w:val="0"/>
      <w:marRight w:val="0"/>
      <w:marTop w:val="180"/>
      <w:marBottom w:val="180"/>
      <w:divBdr>
        <w:top w:val="none" w:sz="0" w:space="0" w:color="auto"/>
        <w:left w:val="none" w:sz="0" w:space="0" w:color="auto"/>
        <w:bottom w:val="none" w:sz="0" w:space="0" w:color="auto"/>
        <w:right w:val="none" w:sz="0" w:space="0" w:color="auto"/>
      </w:divBdr>
    </w:div>
    <w:div w:id="300424491">
      <w:marLeft w:val="0"/>
      <w:marRight w:val="0"/>
      <w:marTop w:val="180"/>
      <w:marBottom w:val="180"/>
      <w:divBdr>
        <w:top w:val="none" w:sz="0" w:space="0" w:color="auto"/>
        <w:left w:val="none" w:sz="0" w:space="0" w:color="auto"/>
        <w:bottom w:val="none" w:sz="0" w:space="0" w:color="auto"/>
        <w:right w:val="none" w:sz="0" w:space="0" w:color="auto"/>
      </w:divBdr>
    </w:div>
    <w:div w:id="302391168">
      <w:marLeft w:val="0"/>
      <w:marRight w:val="0"/>
      <w:marTop w:val="180"/>
      <w:marBottom w:val="180"/>
      <w:divBdr>
        <w:top w:val="none" w:sz="0" w:space="0" w:color="auto"/>
        <w:left w:val="none" w:sz="0" w:space="0" w:color="auto"/>
        <w:bottom w:val="none" w:sz="0" w:space="0" w:color="auto"/>
        <w:right w:val="none" w:sz="0" w:space="0" w:color="auto"/>
      </w:divBdr>
    </w:div>
    <w:div w:id="302391895">
      <w:marLeft w:val="0"/>
      <w:marRight w:val="0"/>
      <w:marTop w:val="180"/>
      <w:marBottom w:val="180"/>
      <w:divBdr>
        <w:top w:val="none" w:sz="0" w:space="0" w:color="auto"/>
        <w:left w:val="none" w:sz="0" w:space="0" w:color="auto"/>
        <w:bottom w:val="none" w:sz="0" w:space="0" w:color="auto"/>
        <w:right w:val="none" w:sz="0" w:space="0" w:color="auto"/>
      </w:divBdr>
    </w:div>
    <w:div w:id="303778579">
      <w:marLeft w:val="0"/>
      <w:marRight w:val="0"/>
      <w:marTop w:val="180"/>
      <w:marBottom w:val="180"/>
      <w:divBdr>
        <w:top w:val="none" w:sz="0" w:space="0" w:color="auto"/>
        <w:left w:val="none" w:sz="0" w:space="0" w:color="auto"/>
        <w:bottom w:val="none" w:sz="0" w:space="0" w:color="auto"/>
        <w:right w:val="none" w:sz="0" w:space="0" w:color="auto"/>
      </w:divBdr>
    </w:div>
    <w:div w:id="303895629">
      <w:marLeft w:val="0"/>
      <w:marRight w:val="0"/>
      <w:marTop w:val="60"/>
      <w:marBottom w:val="60"/>
      <w:divBdr>
        <w:top w:val="none" w:sz="0" w:space="0" w:color="auto"/>
        <w:left w:val="none" w:sz="0" w:space="0" w:color="auto"/>
        <w:bottom w:val="none" w:sz="0" w:space="0" w:color="auto"/>
        <w:right w:val="none" w:sz="0" w:space="0" w:color="auto"/>
      </w:divBdr>
    </w:div>
    <w:div w:id="304966047">
      <w:marLeft w:val="0"/>
      <w:marRight w:val="0"/>
      <w:marTop w:val="180"/>
      <w:marBottom w:val="60"/>
      <w:divBdr>
        <w:top w:val="none" w:sz="0" w:space="0" w:color="auto"/>
        <w:left w:val="none" w:sz="0" w:space="0" w:color="auto"/>
        <w:bottom w:val="none" w:sz="0" w:space="0" w:color="auto"/>
        <w:right w:val="none" w:sz="0" w:space="0" w:color="auto"/>
      </w:divBdr>
    </w:div>
    <w:div w:id="305011117">
      <w:marLeft w:val="0"/>
      <w:marRight w:val="0"/>
      <w:marTop w:val="180"/>
      <w:marBottom w:val="180"/>
      <w:divBdr>
        <w:top w:val="none" w:sz="0" w:space="0" w:color="auto"/>
        <w:left w:val="none" w:sz="0" w:space="0" w:color="auto"/>
        <w:bottom w:val="none" w:sz="0" w:space="0" w:color="auto"/>
        <w:right w:val="none" w:sz="0" w:space="0" w:color="auto"/>
      </w:divBdr>
    </w:div>
    <w:div w:id="305280961">
      <w:marLeft w:val="0"/>
      <w:marRight w:val="0"/>
      <w:marTop w:val="180"/>
      <w:marBottom w:val="180"/>
      <w:divBdr>
        <w:top w:val="none" w:sz="0" w:space="0" w:color="auto"/>
        <w:left w:val="none" w:sz="0" w:space="0" w:color="auto"/>
        <w:bottom w:val="none" w:sz="0" w:space="0" w:color="auto"/>
        <w:right w:val="none" w:sz="0" w:space="0" w:color="auto"/>
      </w:divBdr>
    </w:div>
    <w:div w:id="306058875">
      <w:marLeft w:val="0"/>
      <w:marRight w:val="0"/>
      <w:marTop w:val="180"/>
      <w:marBottom w:val="180"/>
      <w:divBdr>
        <w:top w:val="none" w:sz="0" w:space="0" w:color="auto"/>
        <w:left w:val="none" w:sz="0" w:space="0" w:color="auto"/>
        <w:bottom w:val="none" w:sz="0" w:space="0" w:color="auto"/>
        <w:right w:val="none" w:sz="0" w:space="0" w:color="auto"/>
      </w:divBdr>
    </w:div>
    <w:div w:id="307251095">
      <w:marLeft w:val="0"/>
      <w:marRight w:val="0"/>
      <w:marTop w:val="180"/>
      <w:marBottom w:val="180"/>
      <w:divBdr>
        <w:top w:val="none" w:sz="0" w:space="0" w:color="auto"/>
        <w:left w:val="none" w:sz="0" w:space="0" w:color="auto"/>
        <w:bottom w:val="none" w:sz="0" w:space="0" w:color="auto"/>
        <w:right w:val="none" w:sz="0" w:space="0" w:color="auto"/>
      </w:divBdr>
    </w:div>
    <w:div w:id="307365754">
      <w:marLeft w:val="0"/>
      <w:marRight w:val="0"/>
      <w:marTop w:val="180"/>
      <w:marBottom w:val="180"/>
      <w:divBdr>
        <w:top w:val="none" w:sz="0" w:space="0" w:color="auto"/>
        <w:left w:val="none" w:sz="0" w:space="0" w:color="auto"/>
        <w:bottom w:val="none" w:sz="0" w:space="0" w:color="auto"/>
        <w:right w:val="none" w:sz="0" w:space="0" w:color="auto"/>
      </w:divBdr>
    </w:div>
    <w:div w:id="307439925">
      <w:marLeft w:val="0"/>
      <w:marRight w:val="0"/>
      <w:marTop w:val="180"/>
      <w:marBottom w:val="180"/>
      <w:divBdr>
        <w:top w:val="none" w:sz="0" w:space="0" w:color="auto"/>
        <w:left w:val="none" w:sz="0" w:space="0" w:color="auto"/>
        <w:bottom w:val="none" w:sz="0" w:space="0" w:color="auto"/>
        <w:right w:val="none" w:sz="0" w:space="0" w:color="auto"/>
      </w:divBdr>
    </w:div>
    <w:div w:id="309291595">
      <w:marLeft w:val="0"/>
      <w:marRight w:val="0"/>
      <w:marTop w:val="60"/>
      <w:marBottom w:val="60"/>
      <w:divBdr>
        <w:top w:val="none" w:sz="0" w:space="0" w:color="auto"/>
        <w:left w:val="none" w:sz="0" w:space="0" w:color="auto"/>
        <w:bottom w:val="none" w:sz="0" w:space="0" w:color="auto"/>
        <w:right w:val="none" w:sz="0" w:space="0" w:color="auto"/>
      </w:divBdr>
    </w:div>
    <w:div w:id="310016717">
      <w:marLeft w:val="0"/>
      <w:marRight w:val="0"/>
      <w:marTop w:val="0"/>
      <w:marBottom w:val="0"/>
      <w:divBdr>
        <w:top w:val="none" w:sz="0" w:space="0" w:color="auto"/>
        <w:left w:val="none" w:sz="0" w:space="0" w:color="auto"/>
        <w:bottom w:val="none" w:sz="0" w:space="0" w:color="auto"/>
        <w:right w:val="none" w:sz="0" w:space="0" w:color="auto"/>
      </w:divBdr>
    </w:div>
    <w:div w:id="310793039">
      <w:marLeft w:val="0"/>
      <w:marRight w:val="0"/>
      <w:marTop w:val="0"/>
      <w:marBottom w:val="0"/>
      <w:divBdr>
        <w:top w:val="none" w:sz="0" w:space="0" w:color="auto"/>
        <w:left w:val="none" w:sz="0" w:space="0" w:color="auto"/>
        <w:bottom w:val="none" w:sz="0" w:space="0" w:color="auto"/>
        <w:right w:val="none" w:sz="0" w:space="0" w:color="auto"/>
      </w:divBdr>
      <w:divsChild>
        <w:div w:id="561867897">
          <w:marLeft w:val="0"/>
          <w:marRight w:val="0"/>
          <w:marTop w:val="0"/>
          <w:marBottom w:val="0"/>
          <w:divBdr>
            <w:top w:val="none" w:sz="0" w:space="0" w:color="auto"/>
            <w:left w:val="none" w:sz="0" w:space="0" w:color="auto"/>
            <w:bottom w:val="none" w:sz="0" w:space="0" w:color="auto"/>
            <w:right w:val="none" w:sz="0" w:space="0" w:color="auto"/>
          </w:divBdr>
          <w:divsChild>
            <w:div w:id="3184641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1177333">
      <w:marLeft w:val="0"/>
      <w:marRight w:val="0"/>
      <w:marTop w:val="0"/>
      <w:marBottom w:val="0"/>
      <w:divBdr>
        <w:top w:val="none" w:sz="0" w:space="0" w:color="auto"/>
        <w:left w:val="none" w:sz="0" w:space="0" w:color="auto"/>
        <w:bottom w:val="none" w:sz="0" w:space="0" w:color="auto"/>
        <w:right w:val="none" w:sz="0" w:space="0" w:color="auto"/>
      </w:divBdr>
      <w:divsChild>
        <w:div w:id="516315540">
          <w:marLeft w:val="0"/>
          <w:marRight w:val="0"/>
          <w:marTop w:val="0"/>
          <w:marBottom w:val="0"/>
          <w:divBdr>
            <w:top w:val="none" w:sz="0" w:space="0" w:color="auto"/>
            <w:left w:val="none" w:sz="0" w:space="0" w:color="auto"/>
            <w:bottom w:val="none" w:sz="0" w:space="0" w:color="auto"/>
            <w:right w:val="none" w:sz="0" w:space="0" w:color="auto"/>
          </w:divBdr>
          <w:divsChild>
            <w:div w:id="1287930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11299940">
      <w:marLeft w:val="0"/>
      <w:marRight w:val="0"/>
      <w:marTop w:val="180"/>
      <w:marBottom w:val="180"/>
      <w:divBdr>
        <w:top w:val="none" w:sz="0" w:space="0" w:color="auto"/>
        <w:left w:val="none" w:sz="0" w:space="0" w:color="auto"/>
        <w:bottom w:val="none" w:sz="0" w:space="0" w:color="auto"/>
        <w:right w:val="none" w:sz="0" w:space="0" w:color="auto"/>
      </w:divBdr>
    </w:div>
    <w:div w:id="311444417">
      <w:marLeft w:val="0"/>
      <w:marRight w:val="0"/>
      <w:marTop w:val="180"/>
      <w:marBottom w:val="180"/>
      <w:divBdr>
        <w:top w:val="none" w:sz="0" w:space="0" w:color="auto"/>
        <w:left w:val="none" w:sz="0" w:space="0" w:color="auto"/>
        <w:bottom w:val="none" w:sz="0" w:space="0" w:color="auto"/>
        <w:right w:val="none" w:sz="0" w:space="0" w:color="auto"/>
      </w:divBdr>
    </w:div>
    <w:div w:id="311565012">
      <w:marLeft w:val="0"/>
      <w:marRight w:val="0"/>
      <w:marTop w:val="180"/>
      <w:marBottom w:val="180"/>
      <w:divBdr>
        <w:top w:val="none" w:sz="0" w:space="0" w:color="auto"/>
        <w:left w:val="none" w:sz="0" w:space="0" w:color="auto"/>
        <w:bottom w:val="none" w:sz="0" w:space="0" w:color="auto"/>
        <w:right w:val="none" w:sz="0" w:space="0" w:color="auto"/>
      </w:divBdr>
    </w:div>
    <w:div w:id="313603143">
      <w:marLeft w:val="0"/>
      <w:marRight w:val="0"/>
      <w:marTop w:val="180"/>
      <w:marBottom w:val="180"/>
      <w:divBdr>
        <w:top w:val="none" w:sz="0" w:space="0" w:color="auto"/>
        <w:left w:val="none" w:sz="0" w:space="0" w:color="auto"/>
        <w:bottom w:val="none" w:sz="0" w:space="0" w:color="auto"/>
        <w:right w:val="none" w:sz="0" w:space="0" w:color="auto"/>
      </w:divBdr>
    </w:div>
    <w:div w:id="313686907">
      <w:marLeft w:val="0"/>
      <w:marRight w:val="0"/>
      <w:marTop w:val="180"/>
      <w:marBottom w:val="180"/>
      <w:divBdr>
        <w:top w:val="none" w:sz="0" w:space="0" w:color="auto"/>
        <w:left w:val="none" w:sz="0" w:space="0" w:color="auto"/>
        <w:bottom w:val="none" w:sz="0" w:space="0" w:color="auto"/>
        <w:right w:val="none" w:sz="0" w:space="0" w:color="auto"/>
      </w:divBdr>
    </w:div>
    <w:div w:id="314189566">
      <w:marLeft w:val="0"/>
      <w:marRight w:val="0"/>
      <w:marTop w:val="180"/>
      <w:marBottom w:val="180"/>
      <w:divBdr>
        <w:top w:val="none" w:sz="0" w:space="0" w:color="auto"/>
        <w:left w:val="none" w:sz="0" w:space="0" w:color="auto"/>
        <w:bottom w:val="none" w:sz="0" w:space="0" w:color="auto"/>
        <w:right w:val="none" w:sz="0" w:space="0" w:color="auto"/>
      </w:divBdr>
    </w:div>
    <w:div w:id="314842753">
      <w:marLeft w:val="0"/>
      <w:marRight w:val="0"/>
      <w:marTop w:val="180"/>
      <w:marBottom w:val="180"/>
      <w:divBdr>
        <w:top w:val="none" w:sz="0" w:space="0" w:color="auto"/>
        <w:left w:val="none" w:sz="0" w:space="0" w:color="auto"/>
        <w:bottom w:val="none" w:sz="0" w:space="0" w:color="auto"/>
        <w:right w:val="none" w:sz="0" w:space="0" w:color="auto"/>
      </w:divBdr>
    </w:div>
    <w:div w:id="315184265">
      <w:marLeft w:val="0"/>
      <w:marRight w:val="0"/>
      <w:marTop w:val="0"/>
      <w:marBottom w:val="0"/>
      <w:divBdr>
        <w:top w:val="none" w:sz="0" w:space="0" w:color="auto"/>
        <w:left w:val="none" w:sz="0" w:space="0" w:color="auto"/>
        <w:bottom w:val="none" w:sz="0" w:space="0" w:color="auto"/>
        <w:right w:val="none" w:sz="0" w:space="0" w:color="auto"/>
      </w:divBdr>
      <w:divsChild>
        <w:div w:id="1172142079">
          <w:marLeft w:val="0"/>
          <w:marRight w:val="0"/>
          <w:marTop w:val="180"/>
          <w:marBottom w:val="180"/>
          <w:divBdr>
            <w:top w:val="none" w:sz="0" w:space="0" w:color="auto"/>
            <w:left w:val="none" w:sz="0" w:space="0" w:color="auto"/>
            <w:bottom w:val="none" w:sz="0" w:space="0" w:color="auto"/>
            <w:right w:val="none" w:sz="0" w:space="0" w:color="auto"/>
          </w:divBdr>
        </w:div>
      </w:divsChild>
    </w:div>
    <w:div w:id="315378050">
      <w:marLeft w:val="0"/>
      <w:marRight w:val="0"/>
      <w:marTop w:val="180"/>
      <w:marBottom w:val="180"/>
      <w:divBdr>
        <w:top w:val="none" w:sz="0" w:space="0" w:color="auto"/>
        <w:left w:val="none" w:sz="0" w:space="0" w:color="auto"/>
        <w:bottom w:val="none" w:sz="0" w:space="0" w:color="auto"/>
        <w:right w:val="none" w:sz="0" w:space="0" w:color="auto"/>
      </w:divBdr>
    </w:div>
    <w:div w:id="316763355">
      <w:marLeft w:val="0"/>
      <w:marRight w:val="0"/>
      <w:marTop w:val="180"/>
      <w:marBottom w:val="180"/>
      <w:divBdr>
        <w:top w:val="none" w:sz="0" w:space="0" w:color="auto"/>
        <w:left w:val="none" w:sz="0" w:space="0" w:color="auto"/>
        <w:bottom w:val="none" w:sz="0" w:space="0" w:color="auto"/>
        <w:right w:val="none" w:sz="0" w:space="0" w:color="auto"/>
      </w:divBdr>
    </w:div>
    <w:div w:id="317348641">
      <w:marLeft w:val="0"/>
      <w:marRight w:val="0"/>
      <w:marTop w:val="0"/>
      <w:marBottom w:val="0"/>
      <w:divBdr>
        <w:top w:val="none" w:sz="0" w:space="0" w:color="auto"/>
        <w:left w:val="none" w:sz="0" w:space="0" w:color="auto"/>
        <w:bottom w:val="none" w:sz="0" w:space="0" w:color="auto"/>
        <w:right w:val="none" w:sz="0" w:space="0" w:color="auto"/>
      </w:divBdr>
    </w:div>
    <w:div w:id="317658570">
      <w:marLeft w:val="0"/>
      <w:marRight w:val="0"/>
      <w:marTop w:val="180"/>
      <w:marBottom w:val="180"/>
      <w:divBdr>
        <w:top w:val="none" w:sz="0" w:space="0" w:color="auto"/>
        <w:left w:val="none" w:sz="0" w:space="0" w:color="auto"/>
        <w:bottom w:val="none" w:sz="0" w:space="0" w:color="auto"/>
        <w:right w:val="none" w:sz="0" w:space="0" w:color="auto"/>
      </w:divBdr>
    </w:div>
    <w:div w:id="319114915">
      <w:marLeft w:val="0"/>
      <w:marRight w:val="0"/>
      <w:marTop w:val="100"/>
      <w:marBottom w:val="60"/>
      <w:divBdr>
        <w:top w:val="none" w:sz="0" w:space="0" w:color="auto"/>
        <w:left w:val="none" w:sz="0" w:space="0" w:color="auto"/>
        <w:bottom w:val="none" w:sz="0" w:space="0" w:color="auto"/>
        <w:right w:val="none" w:sz="0" w:space="0" w:color="auto"/>
      </w:divBdr>
    </w:div>
    <w:div w:id="319816580">
      <w:marLeft w:val="0"/>
      <w:marRight w:val="0"/>
      <w:marTop w:val="180"/>
      <w:marBottom w:val="180"/>
      <w:divBdr>
        <w:top w:val="none" w:sz="0" w:space="0" w:color="auto"/>
        <w:left w:val="none" w:sz="0" w:space="0" w:color="auto"/>
        <w:bottom w:val="none" w:sz="0" w:space="0" w:color="auto"/>
        <w:right w:val="none" w:sz="0" w:space="0" w:color="auto"/>
      </w:divBdr>
    </w:div>
    <w:div w:id="319846149">
      <w:marLeft w:val="0"/>
      <w:marRight w:val="0"/>
      <w:marTop w:val="180"/>
      <w:marBottom w:val="180"/>
      <w:divBdr>
        <w:top w:val="none" w:sz="0" w:space="0" w:color="auto"/>
        <w:left w:val="none" w:sz="0" w:space="0" w:color="auto"/>
        <w:bottom w:val="none" w:sz="0" w:space="0" w:color="auto"/>
        <w:right w:val="none" w:sz="0" w:space="0" w:color="auto"/>
      </w:divBdr>
    </w:div>
    <w:div w:id="320473132">
      <w:marLeft w:val="0"/>
      <w:marRight w:val="0"/>
      <w:marTop w:val="180"/>
      <w:marBottom w:val="60"/>
      <w:divBdr>
        <w:top w:val="none" w:sz="0" w:space="0" w:color="auto"/>
        <w:left w:val="none" w:sz="0" w:space="0" w:color="auto"/>
        <w:bottom w:val="none" w:sz="0" w:space="0" w:color="auto"/>
        <w:right w:val="none" w:sz="0" w:space="0" w:color="auto"/>
      </w:divBdr>
    </w:div>
    <w:div w:id="321786457">
      <w:marLeft w:val="0"/>
      <w:marRight w:val="0"/>
      <w:marTop w:val="180"/>
      <w:marBottom w:val="180"/>
      <w:divBdr>
        <w:top w:val="none" w:sz="0" w:space="0" w:color="auto"/>
        <w:left w:val="none" w:sz="0" w:space="0" w:color="auto"/>
        <w:bottom w:val="none" w:sz="0" w:space="0" w:color="auto"/>
        <w:right w:val="none" w:sz="0" w:space="0" w:color="auto"/>
      </w:divBdr>
    </w:div>
    <w:div w:id="323049856">
      <w:marLeft w:val="0"/>
      <w:marRight w:val="0"/>
      <w:marTop w:val="180"/>
      <w:marBottom w:val="180"/>
      <w:divBdr>
        <w:top w:val="none" w:sz="0" w:space="0" w:color="auto"/>
        <w:left w:val="none" w:sz="0" w:space="0" w:color="auto"/>
        <w:bottom w:val="none" w:sz="0" w:space="0" w:color="auto"/>
        <w:right w:val="none" w:sz="0" w:space="0" w:color="auto"/>
      </w:divBdr>
    </w:div>
    <w:div w:id="323555543">
      <w:marLeft w:val="0"/>
      <w:marRight w:val="0"/>
      <w:marTop w:val="60"/>
      <w:marBottom w:val="60"/>
      <w:divBdr>
        <w:top w:val="none" w:sz="0" w:space="0" w:color="auto"/>
        <w:left w:val="none" w:sz="0" w:space="0" w:color="auto"/>
        <w:bottom w:val="none" w:sz="0" w:space="0" w:color="auto"/>
        <w:right w:val="none" w:sz="0" w:space="0" w:color="auto"/>
      </w:divBdr>
    </w:div>
    <w:div w:id="324086759">
      <w:marLeft w:val="0"/>
      <w:marRight w:val="0"/>
      <w:marTop w:val="60"/>
      <w:marBottom w:val="60"/>
      <w:divBdr>
        <w:top w:val="none" w:sz="0" w:space="0" w:color="auto"/>
        <w:left w:val="none" w:sz="0" w:space="0" w:color="auto"/>
        <w:bottom w:val="none" w:sz="0" w:space="0" w:color="auto"/>
        <w:right w:val="none" w:sz="0" w:space="0" w:color="auto"/>
      </w:divBdr>
    </w:div>
    <w:div w:id="325280544">
      <w:marLeft w:val="0"/>
      <w:marRight w:val="0"/>
      <w:marTop w:val="0"/>
      <w:marBottom w:val="0"/>
      <w:divBdr>
        <w:top w:val="none" w:sz="0" w:space="0" w:color="auto"/>
        <w:left w:val="none" w:sz="0" w:space="0" w:color="auto"/>
        <w:bottom w:val="none" w:sz="0" w:space="0" w:color="auto"/>
        <w:right w:val="none" w:sz="0" w:space="0" w:color="auto"/>
      </w:divBdr>
      <w:divsChild>
        <w:div w:id="1099251877">
          <w:marLeft w:val="0"/>
          <w:marRight w:val="0"/>
          <w:marTop w:val="0"/>
          <w:marBottom w:val="0"/>
          <w:divBdr>
            <w:top w:val="none" w:sz="0" w:space="0" w:color="auto"/>
            <w:left w:val="none" w:sz="0" w:space="0" w:color="auto"/>
            <w:bottom w:val="none" w:sz="0" w:space="0" w:color="auto"/>
            <w:right w:val="none" w:sz="0" w:space="0" w:color="auto"/>
          </w:divBdr>
          <w:divsChild>
            <w:div w:id="11110514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25522263">
      <w:marLeft w:val="0"/>
      <w:marRight w:val="0"/>
      <w:marTop w:val="100"/>
      <w:marBottom w:val="100"/>
      <w:divBdr>
        <w:top w:val="none" w:sz="0" w:space="0" w:color="auto"/>
        <w:left w:val="none" w:sz="0" w:space="0" w:color="auto"/>
        <w:bottom w:val="none" w:sz="0" w:space="0" w:color="auto"/>
        <w:right w:val="none" w:sz="0" w:space="0" w:color="auto"/>
      </w:divBdr>
    </w:div>
    <w:div w:id="326402004">
      <w:marLeft w:val="0"/>
      <w:marRight w:val="0"/>
      <w:marTop w:val="60"/>
      <w:marBottom w:val="60"/>
      <w:divBdr>
        <w:top w:val="none" w:sz="0" w:space="0" w:color="auto"/>
        <w:left w:val="none" w:sz="0" w:space="0" w:color="auto"/>
        <w:bottom w:val="none" w:sz="0" w:space="0" w:color="auto"/>
        <w:right w:val="none" w:sz="0" w:space="0" w:color="auto"/>
      </w:divBdr>
    </w:div>
    <w:div w:id="327288635">
      <w:marLeft w:val="0"/>
      <w:marRight w:val="0"/>
      <w:marTop w:val="180"/>
      <w:marBottom w:val="180"/>
      <w:divBdr>
        <w:top w:val="none" w:sz="0" w:space="0" w:color="auto"/>
        <w:left w:val="none" w:sz="0" w:space="0" w:color="auto"/>
        <w:bottom w:val="none" w:sz="0" w:space="0" w:color="auto"/>
        <w:right w:val="none" w:sz="0" w:space="0" w:color="auto"/>
      </w:divBdr>
    </w:div>
    <w:div w:id="327490690">
      <w:marLeft w:val="0"/>
      <w:marRight w:val="0"/>
      <w:marTop w:val="0"/>
      <w:marBottom w:val="0"/>
      <w:divBdr>
        <w:top w:val="none" w:sz="0" w:space="0" w:color="auto"/>
        <w:left w:val="none" w:sz="0" w:space="0" w:color="auto"/>
        <w:bottom w:val="none" w:sz="0" w:space="0" w:color="auto"/>
        <w:right w:val="none" w:sz="0" w:space="0" w:color="auto"/>
      </w:divBdr>
      <w:divsChild>
        <w:div w:id="692152962">
          <w:marLeft w:val="0"/>
          <w:marRight w:val="0"/>
          <w:marTop w:val="60"/>
          <w:marBottom w:val="60"/>
          <w:divBdr>
            <w:top w:val="none" w:sz="0" w:space="0" w:color="auto"/>
            <w:left w:val="none" w:sz="0" w:space="0" w:color="auto"/>
            <w:bottom w:val="none" w:sz="0" w:space="0" w:color="auto"/>
            <w:right w:val="none" w:sz="0" w:space="0" w:color="auto"/>
          </w:divBdr>
        </w:div>
      </w:divsChild>
    </w:div>
    <w:div w:id="327904089">
      <w:marLeft w:val="0"/>
      <w:marRight w:val="0"/>
      <w:marTop w:val="180"/>
      <w:marBottom w:val="180"/>
      <w:divBdr>
        <w:top w:val="none" w:sz="0" w:space="0" w:color="auto"/>
        <w:left w:val="none" w:sz="0" w:space="0" w:color="auto"/>
        <w:bottom w:val="none" w:sz="0" w:space="0" w:color="auto"/>
        <w:right w:val="none" w:sz="0" w:space="0" w:color="auto"/>
      </w:divBdr>
    </w:div>
    <w:div w:id="329413073">
      <w:marLeft w:val="0"/>
      <w:marRight w:val="0"/>
      <w:marTop w:val="180"/>
      <w:marBottom w:val="180"/>
      <w:divBdr>
        <w:top w:val="none" w:sz="0" w:space="0" w:color="auto"/>
        <w:left w:val="none" w:sz="0" w:space="0" w:color="auto"/>
        <w:bottom w:val="none" w:sz="0" w:space="0" w:color="auto"/>
        <w:right w:val="none" w:sz="0" w:space="0" w:color="auto"/>
      </w:divBdr>
    </w:div>
    <w:div w:id="329603685">
      <w:marLeft w:val="0"/>
      <w:marRight w:val="0"/>
      <w:marTop w:val="60"/>
      <w:marBottom w:val="60"/>
      <w:divBdr>
        <w:top w:val="none" w:sz="0" w:space="0" w:color="auto"/>
        <w:left w:val="none" w:sz="0" w:space="0" w:color="auto"/>
        <w:bottom w:val="none" w:sz="0" w:space="0" w:color="auto"/>
        <w:right w:val="none" w:sz="0" w:space="0" w:color="auto"/>
      </w:divBdr>
    </w:div>
    <w:div w:id="330447677">
      <w:marLeft w:val="0"/>
      <w:marRight w:val="0"/>
      <w:marTop w:val="0"/>
      <w:marBottom w:val="0"/>
      <w:divBdr>
        <w:top w:val="none" w:sz="0" w:space="0" w:color="auto"/>
        <w:left w:val="none" w:sz="0" w:space="0" w:color="auto"/>
        <w:bottom w:val="none" w:sz="0" w:space="0" w:color="auto"/>
        <w:right w:val="none" w:sz="0" w:space="0" w:color="auto"/>
      </w:divBdr>
    </w:div>
    <w:div w:id="331833736">
      <w:marLeft w:val="0"/>
      <w:marRight w:val="0"/>
      <w:marTop w:val="60"/>
      <w:marBottom w:val="60"/>
      <w:divBdr>
        <w:top w:val="none" w:sz="0" w:space="0" w:color="auto"/>
        <w:left w:val="none" w:sz="0" w:space="0" w:color="auto"/>
        <w:bottom w:val="none" w:sz="0" w:space="0" w:color="auto"/>
        <w:right w:val="none" w:sz="0" w:space="0" w:color="auto"/>
      </w:divBdr>
    </w:div>
    <w:div w:id="332993840">
      <w:marLeft w:val="0"/>
      <w:marRight w:val="0"/>
      <w:marTop w:val="180"/>
      <w:marBottom w:val="180"/>
      <w:divBdr>
        <w:top w:val="none" w:sz="0" w:space="0" w:color="auto"/>
        <w:left w:val="none" w:sz="0" w:space="0" w:color="auto"/>
        <w:bottom w:val="none" w:sz="0" w:space="0" w:color="auto"/>
        <w:right w:val="none" w:sz="0" w:space="0" w:color="auto"/>
      </w:divBdr>
    </w:div>
    <w:div w:id="334191964">
      <w:marLeft w:val="0"/>
      <w:marRight w:val="0"/>
      <w:marTop w:val="180"/>
      <w:marBottom w:val="180"/>
      <w:divBdr>
        <w:top w:val="none" w:sz="0" w:space="0" w:color="auto"/>
        <w:left w:val="none" w:sz="0" w:space="0" w:color="auto"/>
        <w:bottom w:val="none" w:sz="0" w:space="0" w:color="auto"/>
        <w:right w:val="none" w:sz="0" w:space="0" w:color="auto"/>
      </w:divBdr>
    </w:div>
    <w:div w:id="334381395">
      <w:marLeft w:val="0"/>
      <w:marRight w:val="0"/>
      <w:marTop w:val="0"/>
      <w:marBottom w:val="0"/>
      <w:divBdr>
        <w:top w:val="none" w:sz="0" w:space="0" w:color="auto"/>
        <w:left w:val="none" w:sz="0" w:space="0" w:color="auto"/>
        <w:bottom w:val="none" w:sz="0" w:space="0" w:color="auto"/>
        <w:right w:val="none" w:sz="0" w:space="0" w:color="auto"/>
      </w:divBdr>
    </w:div>
    <w:div w:id="334692558">
      <w:marLeft w:val="0"/>
      <w:marRight w:val="0"/>
      <w:marTop w:val="180"/>
      <w:marBottom w:val="180"/>
      <w:divBdr>
        <w:top w:val="none" w:sz="0" w:space="0" w:color="auto"/>
        <w:left w:val="none" w:sz="0" w:space="0" w:color="auto"/>
        <w:bottom w:val="none" w:sz="0" w:space="0" w:color="auto"/>
        <w:right w:val="none" w:sz="0" w:space="0" w:color="auto"/>
      </w:divBdr>
    </w:div>
    <w:div w:id="334965427">
      <w:marLeft w:val="0"/>
      <w:marRight w:val="0"/>
      <w:marTop w:val="180"/>
      <w:marBottom w:val="180"/>
      <w:divBdr>
        <w:top w:val="none" w:sz="0" w:space="0" w:color="auto"/>
        <w:left w:val="none" w:sz="0" w:space="0" w:color="auto"/>
        <w:bottom w:val="none" w:sz="0" w:space="0" w:color="auto"/>
        <w:right w:val="none" w:sz="0" w:space="0" w:color="auto"/>
      </w:divBdr>
    </w:div>
    <w:div w:id="337738752">
      <w:marLeft w:val="0"/>
      <w:marRight w:val="0"/>
      <w:marTop w:val="180"/>
      <w:marBottom w:val="0"/>
      <w:divBdr>
        <w:top w:val="none" w:sz="0" w:space="0" w:color="auto"/>
        <w:left w:val="none" w:sz="0" w:space="0" w:color="auto"/>
        <w:bottom w:val="none" w:sz="0" w:space="0" w:color="auto"/>
        <w:right w:val="none" w:sz="0" w:space="0" w:color="auto"/>
      </w:divBdr>
    </w:div>
    <w:div w:id="338239885">
      <w:marLeft w:val="0"/>
      <w:marRight w:val="0"/>
      <w:marTop w:val="60"/>
      <w:marBottom w:val="60"/>
      <w:divBdr>
        <w:top w:val="none" w:sz="0" w:space="0" w:color="auto"/>
        <w:left w:val="none" w:sz="0" w:space="0" w:color="auto"/>
        <w:bottom w:val="none" w:sz="0" w:space="0" w:color="auto"/>
        <w:right w:val="none" w:sz="0" w:space="0" w:color="auto"/>
      </w:divBdr>
    </w:div>
    <w:div w:id="338889405">
      <w:marLeft w:val="0"/>
      <w:marRight w:val="0"/>
      <w:marTop w:val="0"/>
      <w:marBottom w:val="0"/>
      <w:divBdr>
        <w:top w:val="none" w:sz="0" w:space="0" w:color="auto"/>
        <w:left w:val="none" w:sz="0" w:space="0" w:color="auto"/>
        <w:bottom w:val="none" w:sz="0" w:space="0" w:color="auto"/>
        <w:right w:val="none" w:sz="0" w:space="0" w:color="auto"/>
      </w:divBdr>
      <w:divsChild>
        <w:div w:id="2133938662">
          <w:marLeft w:val="0"/>
          <w:marRight w:val="0"/>
          <w:marTop w:val="60"/>
          <w:marBottom w:val="60"/>
          <w:divBdr>
            <w:top w:val="none" w:sz="0" w:space="0" w:color="auto"/>
            <w:left w:val="none" w:sz="0" w:space="0" w:color="auto"/>
            <w:bottom w:val="none" w:sz="0" w:space="0" w:color="auto"/>
            <w:right w:val="none" w:sz="0" w:space="0" w:color="auto"/>
          </w:divBdr>
        </w:div>
      </w:divsChild>
    </w:div>
    <w:div w:id="339046901">
      <w:marLeft w:val="0"/>
      <w:marRight w:val="0"/>
      <w:marTop w:val="0"/>
      <w:marBottom w:val="0"/>
      <w:divBdr>
        <w:top w:val="none" w:sz="0" w:space="0" w:color="auto"/>
        <w:left w:val="none" w:sz="0" w:space="0" w:color="auto"/>
        <w:bottom w:val="none" w:sz="0" w:space="0" w:color="auto"/>
        <w:right w:val="none" w:sz="0" w:space="0" w:color="auto"/>
      </w:divBdr>
      <w:divsChild>
        <w:div w:id="1101493894">
          <w:marLeft w:val="0"/>
          <w:marRight w:val="0"/>
          <w:marTop w:val="180"/>
          <w:marBottom w:val="180"/>
          <w:divBdr>
            <w:top w:val="none" w:sz="0" w:space="0" w:color="auto"/>
            <w:left w:val="none" w:sz="0" w:space="0" w:color="auto"/>
            <w:bottom w:val="none" w:sz="0" w:space="0" w:color="auto"/>
            <w:right w:val="none" w:sz="0" w:space="0" w:color="auto"/>
          </w:divBdr>
        </w:div>
      </w:divsChild>
    </w:div>
    <w:div w:id="339820603">
      <w:marLeft w:val="0"/>
      <w:marRight w:val="0"/>
      <w:marTop w:val="180"/>
      <w:marBottom w:val="180"/>
      <w:divBdr>
        <w:top w:val="none" w:sz="0" w:space="0" w:color="auto"/>
        <w:left w:val="none" w:sz="0" w:space="0" w:color="auto"/>
        <w:bottom w:val="none" w:sz="0" w:space="0" w:color="auto"/>
        <w:right w:val="none" w:sz="0" w:space="0" w:color="auto"/>
      </w:divBdr>
    </w:div>
    <w:div w:id="341057887">
      <w:marLeft w:val="0"/>
      <w:marRight w:val="0"/>
      <w:marTop w:val="0"/>
      <w:marBottom w:val="0"/>
      <w:divBdr>
        <w:top w:val="none" w:sz="0" w:space="0" w:color="auto"/>
        <w:left w:val="none" w:sz="0" w:space="0" w:color="auto"/>
        <w:bottom w:val="none" w:sz="0" w:space="0" w:color="auto"/>
        <w:right w:val="none" w:sz="0" w:space="0" w:color="auto"/>
      </w:divBdr>
      <w:divsChild>
        <w:div w:id="832987707">
          <w:marLeft w:val="0"/>
          <w:marRight w:val="0"/>
          <w:marTop w:val="180"/>
          <w:marBottom w:val="180"/>
          <w:divBdr>
            <w:top w:val="none" w:sz="0" w:space="0" w:color="auto"/>
            <w:left w:val="none" w:sz="0" w:space="0" w:color="auto"/>
            <w:bottom w:val="none" w:sz="0" w:space="0" w:color="auto"/>
            <w:right w:val="none" w:sz="0" w:space="0" w:color="auto"/>
          </w:divBdr>
        </w:div>
      </w:divsChild>
    </w:div>
    <w:div w:id="341128212">
      <w:marLeft w:val="0"/>
      <w:marRight w:val="0"/>
      <w:marTop w:val="180"/>
      <w:marBottom w:val="180"/>
      <w:divBdr>
        <w:top w:val="none" w:sz="0" w:space="0" w:color="auto"/>
        <w:left w:val="none" w:sz="0" w:space="0" w:color="auto"/>
        <w:bottom w:val="none" w:sz="0" w:space="0" w:color="auto"/>
        <w:right w:val="none" w:sz="0" w:space="0" w:color="auto"/>
      </w:divBdr>
    </w:div>
    <w:div w:id="341207922">
      <w:marLeft w:val="0"/>
      <w:marRight w:val="0"/>
      <w:marTop w:val="0"/>
      <w:marBottom w:val="0"/>
      <w:divBdr>
        <w:top w:val="none" w:sz="0" w:space="0" w:color="auto"/>
        <w:left w:val="none" w:sz="0" w:space="0" w:color="auto"/>
        <w:bottom w:val="none" w:sz="0" w:space="0" w:color="auto"/>
        <w:right w:val="none" w:sz="0" w:space="0" w:color="auto"/>
      </w:divBdr>
      <w:divsChild>
        <w:div w:id="1966495744">
          <w:marLeft w:val="0"/>
          <w:marRight w:val="0"/>
          <w:marTop w:val="0"/>
          <w:marBottom w:val="0"/>
          <w:divBdr>
            <w:top w:val="none" w:sz="0" w:space="0" w:color="auto"/>
            <w:left w:val="none" w:sz="0" w:space="0" w:color="auto"/>
            <w:bottom w:val="none" w:sz="0" w:space="0" w:color="auto"/>
            <w:right w:val="none" w:sz="0" w:space="0" w:color="auto"/>
          </w:divBdr>
          <w:divsChild>
            <w:div w:id="14095019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2098647">
      <w:marLeft w:val="0"/>
      <w:marRight w:val="0"/>
      <w:marTop w:val="60"/>
      <w:marBottom w:val="60"/>
      <w:divBdr>
        <w:top w:val="none" w:sz="0" w:space="0" w:color="auto"/>
        <w:left w:val="none" w:sz="0" w:space="0" w:color="auto"/>
        <w:bottom w:val="none" w:sz="0" w:space="0" w:color="auto"/>
        <w:right w:val="none" w:sz="0" w:space="0" w:color="auto"/>
      </w:divBdr>
    </w:div>
    <w:div w:id="343360041">
      <w:marLeft w:val="0"/>
      <w:marRight w:val="0"/>
      <w:marTop w:val="0"/>
      <w:marBottom w:val="0"/>
      <w:divBdr>
        <w:top w:val="none" w:sz="0" w:space="0" w:color="auto"/>
        <w:left w:val="none" w:sz="0" w:space="0" w:color="auto"/>
        <w:bottom w:val="none" w:sz="0" w:space="0" w:color="auto"/>
        <w:right w:val="none" w:sz="0" w:space="0" w:color="auto"/>
      </w:divBdr>
      <w:divsChild>
        <w:div w:id="10569083">
          <w:marLeft w:val="0"/>
          <w:marRight w:val="0"/>
          <w:marTop w:val="180"/>
          <w:marBottom w:val="180"/>
          <w:divBdr>
            <w:top w:val="none" w:sz="0" w:space="0" w:color="auto"/>
            <w:left w:val="none" w:sz="0" w:space="0" w:color="auto"/>
            <w:bottom w:val="none" w:sz="0" w:space="0" w:color="auto"/>
            <w:right w:val="none" w:sz="0" w:space="0" w:color="auto"/>
          </w:divBdr>
        </w:div>
      </w:divsChild>
    </w:div>
    <w:div w:id="344287413">
      <w:marLeft w:val="0"/>
      <w:marRight w:val="0"/>
      <w:marTop w:val="180"/>
      <w:marBottom w:val="180"/>
      <w:divBdr>
        <w:top w:val="none" w:sz="0" w:space="0" w:color="auto"/>
        <w:left w:val="none" w:sz="0" w:space="0" w:color="auto"/>
        <w:bottom w:val="none" w:sz="0" w:space="0" w:color="auto"/>
        <w:right w:val="none" w:sz="0" w:space="0" w:color="auto"/>
      </w:divBdr>
    </w:div>
    <w:div w:id="344526287">
      <w:marLeft w:val="0"/>
      <w:marRight w:val="0"/>
      <w:marTop w:val="60"/>
      <w:marBottom w:val="60"/>
      <w:divBdr>
        <w:top w:val="none" w:sz="0" w:space="0" w:color="auto"/>
        <w:left w:val="none" w:sz="0" w:space="0" w:color="auto"/>
        <w:bottom w:val="none" w:sz="0" w:space="0" w:color="auto"/>
        <w:right w:val="none" w:sz="0" w:space="0" w:color="auto"/>
      </w:divBdr>
    </w:div>
    <w:div w:id="344677656">
      <w:marLeft w:val="0"/>
      <w:marRight w:val="0"/>
      <w:marTop w:val="180"/>
      <w:marBottom w:val="60"/>
      <w:divBdr>
        <w:top w:val="none" w:sz="0" w:space="0" w:color="auto"/>
        <w:left w:val="none" w:sz="0" w:space="0" w:color="auto"/>
        <w:bottom w:val="none" w:sz="0" w:space="0" w:color="auto"/>
        <w:right w:val="none" w:sz="0" w:space="0" w:color="auto"/>
      </w:divBdr>
    </w:div>
    <w:div w:id="345132907">
      <w:marLeft w:val="0"/>
      <w:marRight w:val="0"/>
      <w:marTop w:val="180"/>
      <w:marBottom w:val="180"/>
      <w:divBdr>
        <w:top w:val="none" w:sz="0" w:space="0" w:color="auto"/>
        <w:left w:val="none" w:sz="0" w:space="0" w:color="auto"/>
        <w:bottom w:val="none" w:sz="0" w:space="0" w:color="auto"/>
        <w:right w:val="none" w:sz="0" w:space="0" w:color="auto"/>
      </w:divBdr>
    </w:div>
    <w:div w:id="345324780">
      <w:marLeft w:val="0"/>
      <w:marRight w:val="0"/>
      <w:marTop w:val="0"/>
      <w:marBottom w:val="0"/>
      <w:divBdr>
        <w:top w:val="none" w:sz="0" w:space="0" w:color="auto"/>
        <w:left w:val="none" w:sz="0" w:space="0" w:color="auto"/>
        <w:bottom w:val="none" w:sz="0" w:space="0" w:color="auto"/>
        <w:right w:val="none" w:sz="0" w:space="0" w:color="auto"/>
      </w:divBdr>
      <w:divsChild>
        <w:div w:id="1975718543">
          <w:marLeft w:val="0"/>
          <w:marRight w:val="0"/>
          <w:marTop w:val="0"/>
          <w:marBottom w:val="0"/>
          <w:divBdr>
            <w:top w:val="none" w:sz="0" w:space="0" w:color="auto"/>
            <w:left w:val="none" w:sz="0" w:space="0" w:color="auto"/>
            <w:bottom w:val="none" w:sz="0" w:space="0" w:color="auto"/>
            <w:right w:val="none" w:sz="0" w:space="0" w:color="auto"/>
          </w:divBdr>
          <w:divsChild>
            <w:div w:id="938645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5833475">
      <w:marLeft w:val="0"/>
      <w:marRight w:val="0"/>
      <w:marTop w:val="180"/>
      <w:marBottom w:val="180"/>
      <w:divBdr>
        <w:top w:val="none" w:sz="0" w:space="0" w:color="auto"/>
        <w:left w:val="none" w:sz="0" w:space="0" w:color="auto"/>
        <w:bottom w:val="none" w:sz="0" w:space="0" w:color="auto"/>
        <w:right w:val="none" w:sz="0" w:space="0" w:color="auto"/>
      </w:divBdr>
    </w:div>
    <w:div w:id="348872074">
      <w:marLeft w:val="0"/>
      <w:marRight w:val="0"/>
      <w:marTop w:val="60"/>
      <w:marBottom w:val="60"/>
      <w:divBdr>
        <w:top w:val="none" w:sz="0" w:space="0" w:color="auto"/>
        <w:left w:val="none" w:sz="0" w:space="0" w:color="auto"/>
        <w:bottom w:val="none" w:sz="0" w:space="0" w:color="auto"/>
        <w:right w:val="none" w:sz="0" w:space="0" w:color="auto"/>
      </w:divBdr>
    </w:div>
    <w:div w:id="348875171">
      <w:marLeft w:val="0"/>
      <w:marRight w:val="0"/>
      <w:marTop w:val="180"/>
      <w:marBottom w:val="180"/>
      <w:divBdr>
        <w:top w:val="none" w:sz="0" w:space="0" w:color="auto"/>
        <w:left w:val="none" w:sz="0" w:space="0" w:color="auto"/>
        <w:bottom w:val="none" w:sz="0" w:space="0" w:color="auto"/>
        <w:right w:val="none" w:sz="0" w:space="0" w:color="auto"/>
      </w:divBdr>
    </w:div>
    <w:div w:id="350692632">
      <w:marLeft w:val="0"/>
      <w:marRight w:val="0"/>
      <w:marTop w:val="180"/>
      <w:marBottom w:val="180"/>
      <w:divBdr>
        <w:top w:val="none" w:sz="0" w:space="0" w:color="auto"/>
        <w:left w:val="none" w:sz="0" w:space="0" w:color="auto"/>
        <w:bottom w:val="none" w:sz="0" w:space="0" w:color="auto"/>
        <w:right w:val="none" w:sz="0" w:space="0" w:color="auto"/>
      </w:divBdr>
    </w:div>
    <w:div w:id="350763134">
      <w:marLeft w:val="0"/>
      <w:marRight w:val="0"/>
      <w:marTop w:val="180"/>
      <w:marBottom w:val="180"/>
      <w:divBdr>
        <w:top w:val="none" w:sz="0" w:space="0" w:color="auto"/>
        <w:left w:val="none" w:sz="0" w:space="0" w:color="auto"/>
        <w:bottom w:val="none" w:sz="0" w:space="0" w:color="auto"/>
        <w:right w:val="none" w:sz="0" w:space="0" w:color="auto"/>
      </w:divBdr>
    </w:div>
    <w:div w:id="351608826">
      <w:marLeft w:val="0"/>
      <w:marRight w:val="0"/>
      <w:marTop w:val="180"/>
      <w:marBottom w:val="180"/>
      <w:divBdr>
        <w:top w:val="none" w:sz="0" w:space="0" w:color="auto"/>
        <w:left w:val="none" w:sz="0" w:space="0" w:color="auto"/>
        <w:bottom w:val="none" w:sz="0" w:space="0" w:color="auto"/>
        <w:right w:val="none" w:sz="0" w:space="0" w:color="auto"/>
      </w:divBdr>
    </w:div>
    <w:div w:id="352347676">
      <w:marLeft w:val="0"/>
      <w:marRight w:val="0"/>
      <w:marTop w:val="60"/>
      <w:marBottom w:val="60"/>
      <w:divBdr>
        <w:top w:val="none" w:sz="0" w:space="0" w:color="auto"/>
        <w:left w:val="none" w:sz="0" w:space="0" w:color="auto"/>
        <w:bottom w:val="none" w:sz="0" w:space="0" w:color="auto"/>
        <w:right w:val="none" w:sz="0" w:space="0" w:color="auto"/>
      </w:divBdr>
    </w:div>
    <w:div w:id="353774024">
      <w:marLeft w:val="0"/>
      <w:marRight w:val="0"/>
      <w:marTop w:val="180"/>
      <w:marBottom w:val="180"/>
      <w:divBdr>
        <w:top w:val="none" w:sz="0" w:space="0" w:color="auto"/>
        <w:left w:val="none" w:sz="0" w:space="0" w:color="auto"/>
        <w:bottom w:val="none" w:sz="0" w:space="0" w:color="auto"/>
        <w:right w:val="none" w:sz="0" w:space="0" w:color="auto"/>
      </w:divBdr>
    </w:div>
    <w:div w:id="353842838">
      <w:marLeft w:val="0"/>
      <w:marRight w:val="0"/>
      <w:marTop w:val="180"/>
      <w:marBottom w:val="180"/>
      <w:divBdr>
        <w:top w:val="none" w:sz="0" w:space="0" w:color="auto"/>
        <w:left w:val="none" w:sz="0" w:space="0" w:color="auto"/>
        <w:bottom w:val="none" w:sz="0" w:space="0" w:color="auto"/>
        <w:right w:val="none" w:sz="0" w:space="0" w:color="auto"/>
      </w:divBdr>
    </w:div>
    <w:div w:id="353922872">
      <w:marLeft w:val="0"/>
      <w:marRight w:val="0"/>
      <w:marTop w:val="60"/>
      <w:marBottom w:val="60"/>
      <w:divBdr>
        <w:top w:val="none" w:sz="0" w:space="0" w:color="auto"/>
        <w:left w:val="none" w:sz="0" w:space="0" w:color="auto"/>
        <w:bottom w:val="none" w:sz="0" w:space="0" w:color="auto"/>
        <w:right w:val="none" w:sz="0" w:space="0" w:color="auto"/>
      </w:divBdr>
    </w:div>
    <w:div w:id="356196459">
      <w:marLeft w:val="0"/>
      <w:marRight w:val="0"/>
      <w:marTop w:val="0"/>
      <w:marBottom w:val="0"/>
      <w:divBdr>
        <w:top w:val="none" w:sz="0" w:space="0" w:color="auto"/>
        <w:left w:val="none" w:sz="0" w:space="0" w:color="auto"/>
        <w:bottom w:val="none" w:sz="0" w:space="0" w:color="auto"/>
        <w:right w:val="none" w:sz="0" w:space="0" w:color="auto"/>
      </w:divBdr>
      <w:divsChild>
        <w:div w:id="1084718346">
          <w:marLeft w:val="0"/>
          <w:marRight w:val="0"/>
          <w:marTop w:val="60"/>
          <w:marBottom w:val="60"/>
          <w:divBdr>
            <w:top w:val="none" w:sz="0" w:space="0" w:color="auto"/>
            <w:left w:val="none" w:sz="0" w:space="0" w:color="auto"/>
            <w:bottom w:val="none" w:sz="0" w:space="0" w:color="auto"/>
            <w:right w:val="none" w:sz="0" w:space="0" w:color="auto"/>
          </w:divBdr>
        </w:div>
      </w:divsChild>
    </w:div>
    <w:div w:id="356781315">
      <w:marLeft w:val="0"/>
      <w:marRight w:val="0"/>
      <w:marTop w:val="180"/>
      <w:marBottom w:val="60"/>
      <w:divBdr>
        <w:top w:val="none" w:sz="0" w:space="0" w:color="auto"/>
        <w:left w:val="none" w:sz="0" w:space="0" w:color="auto"/>
        <w:bottom w:val="none" w:sz="0" w:space="0" w:color="auto"/>
        <w:right w:val="none" w:sz="0" w:space="0" w:color="auto"/>
      </w:divBdr>
    </w:div>
    <w:div w:id="357194588">
      <w:marLeft w:val="0"/>
      <w:marRight w:val="0"/>
      <w:marTop w:val="180"/>
      <w:marBottom w:val="180"/>
      <w:divBdr>
        <w:top w:val="none" w:sz="0" w:space="0" w:color="auto"/>
        <w:left w:val="none" w:sz="0" w:space="0" w:color="auto"/>
        <w:bottom w:val="none" w:sz="0" w:space="0" w:color="auto"/>
        <w:right w:val="none" w:sz="0" w:space="0" w:color="auto"/>
      </w:divBdr>
    </w:div>
    <w:div w:id="357389847">
      <w:marLeft w:val="0"/>
      <w:marRight w:val="0"/>
      <w:marTop w:val="180"/>
      <w:marBottom w:val="180"/>
      <w:divBdr>
        <w:top w:val="none" w:sz="0" w:space="0" w:color="auto"/>
        <w:left w:val="none" w:sz="0" w:space="0" w:color="auto"/>
        <w:bottom w:val="none" w:sz="0" w:space="0" w:color="auto"/>
        <w:right w:val="none" w:sz="0" w:space="0" w:color="auto"/>
      </w:divBdr>
    </w:div>
    <w:div w:id="357658877">
      <w:marLeft w:val="0"/>
      <w:marRight w:val="0"/>
      <w:marTop w:val="180"/>
      <w:marBottom w:val="180"/>
      <w:divBdr>
        <w:top w:val="none" w:sz="0" w:space="0" w:color="auto"/>
        <w:left w:val="none" w:sz="0" w:space="0" w:color="auto"/>
        <w:bottom w:val="none" w:sz="0" w:space="0" w:color="auto"/>
        <w:right w:val="none" w:sz="0" w:space="0" w:color="auto"/>
      </w:divBdr>
    </w:div>
    <w:div w:id="359399759">
      <w:marLeft w:val="0"/>
      <w:marRight w:val="0"/>
      <w:marTop w:val="180"/>
      <w:marBottom w:val="180"/>
      <w:divBdr>
        <w:top w:val="none" w:sz="0" w:space="0" w:color="auto"/>
        <w:left w:val="none" w:sz="0" w:space="0" w:color="auto"/>
        <w:bottom w:val="none" w:sz="0" w:space="0" w:color="auto"/>
        <w:right w:val="none" w:sz="0" w:space="0" w:color="auto"/>
      </w:divBdr>
    </w:div>
    <w:div w:id="359864396">
      <w:marLeft w:val="0"/>
      <w:marRight w:val="0"/>
      <w:marTop w:val="180"/>
      <w:marBottom w:val="180"/>
      <w:divBdr>
        <w:top w:val="none" w:sz="0" w:space="0" w:color="auto"/>
        <w:left w:val="none" w:sz="0" w:space="0" w:color="auto"/>
        <w:bottom w:val="none" w:sz="0" w:space="0" w:color="auto"/>
        <w:right w:val="none" w:sz="0" w:space="0" w:color="auto"/>
      </w:divBdr>
    </w:div>
    <w:div w:id="360518073">
      <w:marLeft w:val="0"/>
      <w:marRight w:val="0"/>
      <w:marTop w:val="180"/>
      <w:marBottom w:val="180"/>
      <w:divBdr>
        <w:top w:val="none" w:sz="0" w:space="0" w:color="auto"/>
        <w:left w:val="none" w:sz="0" w:space="0" w:color="auto"/>
        <w:bottom w:val="none" w:sz="0" w:space="0" w:color="auto"/>
        <w:right w:val="none" w:sz="0" w:space="0" w:color="auto"/>
      </w:divBdr>
    </w:div>
    <w:div w:id="360976907">
      <w:marLeft w:val="0"/>
      <w:marRight w:val="0"/>
      <w:marTop w:val="60"/>
      <w:marBottom w:val="60"/>
      <w:divBdr>
        <w:top w:val="none" w:sz="0" w:space="0" w:color="auto"/>
        <w:left w:val="none" w:sz="0" w:space="0" w:color="auto"/>
        <w:bottom w:val="none" w:sz="0" w:space="0" w:color="auto"/>
        <w:right w:val="none" w:sz="0" w:space="0" w:color="auto"/>
      </w:divBdr>
    </w:div>
    <w:div w:id="361519634">
      <w:marLeft w:val="0"/>
      <w:marRight w:val="0"/>
      <w:marTop w:val="180"/>
      <w:marBottom w:val="180"/>
      <w:divBdr>
        <w:top w:val="none" w:sz="0" w:space="0" w:color="auto"/>
        <w:left w:val="none" w:sz="0" w:space="0" w:color="auto"/>
        <w:bottom w:val="none" w:sz="0" w:space="0" w:color="auto"/>
        <w:right w:val="none" w:sz="0" w:space="0" w:color="auto"/>
      </w:divBdr>
    </w:div>
    <w:div w:id="361632370">
      <w:marLeft w:val="0"/>
      <w:marRight w:val="0"/>
      <w:marTop w:val="0"/>
      <w:marBottom w:val="0"/>
      <w:divBdr>
        <w:top w:val="none" w:sz="0" w:space="0" w:color="auto"/>
        <w:left w:val="none" w:sz="0" w:space="0" w:color="auto"/>
        <w:bottom w:val="none" w:sz="0" w:space="0" w:color="auto"/>
        <w:right w:val="none" w:sz="0" w:space="0" w:color="auto"/>
      </w:divBdr>
      <w:divsChild>
        <w:div w:id="1288972501">
          <w:marLeft w:val="0"/>
          <w:marRight w:val="0"/>
          <w:marTop w:val="60"/>
          <w:marBottom w:val="60"/>
          <w:divBdr>
            <w:top w:val="none" w:sz="0" w:space="0" w:color="auto"/>
            <w:left w:val="none" w:sz="0" w:space="0" w:color="auto"/>
            <w:bottom w:val="none" w:sz="0" w:space="0" w:color="auto"/>
            <w:right w:val="none" w:sz="0" w:space="0" w:color="auto"/>
          </w:divBdr>
        </w:div>
      </w:divsChild>
    </w:div>
    <w:div w:id="361785720">
      <w:marLeft w:val="0"/>
      <w:marRight w:val="0"/>
      <w:marTop w:val="180"/>
      <w:marBottom w:val="180"/>
      <w:divBdr>
        <w:top w:val="none" w:sz="0" w:space="0" w:color="auto"/>
        <w:left w:val="none" w:sz="0" w:space="0" w:color="auto"/>
        <w:bottom w:val="none" w:sz="0" w:space="0" w:color="auto"/>
        <w:right w:val="none" w:sz="0" w:space="0" w:color="auto"/>
      </w:divBdr>
    </w:div>
    <w:div w:id="362249592">
      <w:marLeft w:val="0"/>
      <w:marRight w:val="0"/>
      <w:marTop w:val="180"/>
      <w:marBottom w:val="180"/>
      <w:divBdr>
        <w:top w:val="none" w:sz="0" w:space="0" w:color="auto"/>
        <w:left w:val="none" w:sz="0" w:space="0" w:color="auto"/>
        <w:bottom w:val="none" w:sz="0" w:space="0" w:color="auto"/>
        <w:right w:val="none" w:sz="0" w:space="0" w:color="auto"/>
      </w:divBdr>
    </w:div>
    <w:div w:id="362706653">
      <w:marLeft w:val="0"/>
      <w:marRight w:val="0"/>
      <w:marTop w:val="180"/>
      <w:marBottom w:val="180"/>
      <w:divBdr>
        <w:top w:val="none" w:sz="0" w:space="0" w:color="auto"/>
        <w:left w:val="none" w:sz="0" w:space="0" w:color="auto"/>
        <w:bottom w:val="none" w:sz="0" w:space="0" w:color="auto"/>
        <w:right w:val="none" w:sz="0" w:space="0" w:color="auto"/>
      </w:divBdr>
    </w:div>
    <w:div w:id="362754435">
      <w:marLeft w:val="0"/>
      <w:marRight w:val="0"/>
      <w:marTop w:val="180"/>
      <w:marBottom w:val="180"/>
      <w:divBdr>
        <w:top w:val="none" w:sz="0" w:space="0" w:color="auto"/>
        <w:left w:val="none" w:sz="0" w:space="0" w:color="auto"/>
        <w:bottom w:val="none" w:sz="0" w:space="0" w:color="auto"/>
        <w:right w:val="none" w:sz="0" w:space="0" w:color="auto"/>
      </w:divBdr>
    </w:div>
    <w:div w:id="362949793">
      <w:marLeft w:val="0"/>
      <w:marRight w:val="0"/>
      <w:marTop w:val="180"/>
      <w:marBottom w:val="180"/>
      <w:divBdr>
        <w:top w:val="none" w:sz="0" w:space="0" w:color="auto"/>
        <w:left w:val="none" w:sz="0" w:space="0" w:color="auto"/>
        <w:bottom w:val="none" w:sz="0" w:space="0" w:color="auto"/>
        <w:right w:val="none" w:sz="0" w:space="0" w:color="auto"/>
      </w:divBdr>
    </w:div>
    <w:div w:id="363140809">
      <w:marLeft w:val="0"/>
      <w:marRight w:val="0"/>
      <w:marTop w:val="180"/>
      <w:marBottom w:val="180"/>
      <w:divBdr>
        <w:top w:val="none" w:sz="0" w:space="0" w:color="auto"/>
        <w:left w:val="none" w:sz="0" w:space="0" w:color="auto"/>
        <w:bottom w:val="none" w:sz="0" w:space="0" w:color="auto"/>
        <w:right w:val="none" w:sz="0" w:space="0" w:color="auto"/>
      </w:divBdr>
    </w:div>
    <w:div w:id="364331678">
      <w:marLeft w:val="0"/>
      <w:marRight w:val="0"/>
      <w:marTop w:val="60"/>
      <w:marBottom w:val="60"/>
      <w:divBdr>
        <w:top w:val="none" w:sz="0" w:space="0" w:color="auto"/>
        <w:left w:val="none" w:sz="0" w:space="0" w:color="auto"/>
        <w:bottom w:val="none" w:sz="0" w:space="0" w:color="auto"/>
        <w:right w:val="none" w:sz="0" w:space="0" w:color="auto"/>
      </w:divBdr>
    </w:div>
    <w:div w:id="366103705">
      <w:marLeft w:val="0"/>
      <w:marRight w:val="0"/>
      <w:marTop w:val="180"/>
      <w:marBottom w:val="60"/>
      <w:divBdr>
        <w:top w:val="none" w:sz="0" w:space="0" w:color="auto"/>
        <w:left w:val="none" w:sz="0" w:space="0" w:color="auto"/>
        <w:bottom w:val="none" w:sz="0" w:space="0" w:color="auto"/>
        <w:right w:val="none" w:sz="0" w:space="0" w:color="auto"/>
      </w:divBdr>
    </w:div>
    <w:div w:id="366486177">
      <w:marLeft w:val="0"/>
      <w:marRight w:val="0"/>
      <w:marTop w:val="180"/>
      <w:marBottom w:val="180"/>
      <w:divBdr>
        <w:top w:val="none" w:sz="0" w:space="0" w:color="auto"/>
        <w:left w:val="none" w:sz="0" w:space="0" w:color="auto"/>
        <w:bottom w:val="none" w:sz="0" w:space="0" w:color="auto"/>
        <w:right w:val="none" w:sz="0" w:space="0" w:color="auto"/>
      </w:divBdr>
    </w:div>
    <w:div w:id="368921584">
      <w:marLeft w:val="0"/>
      <w:marRight w:val="0"/>
      <w:marTop w:val="0"/>
      <w:marBottom w:val="0"/>
      <w:divBdr>
        <w:top w:val="none" w:sz="0" w:space="0" w:color="auto"/>
        <w:left w:val="none" w:sz="0" w:space="0" w:color="auto"/>
        <w:bottom w:val="none" w:sz="0" w:space="0" w:color="auto"/>
        <w:right w:val="none" w:sz="0" w:space="0" w:color="auto"/>
      </w:divBdr>
    </w:div>
    <w:div w:id="369036985">
      <w:marLeft w:val="0"/>
      <w:marRight w:val="0"/>
      <w:marTop w:val="180"/>
      <w:marBottom w:val="180"/>
      <w:divBdr>
        <w:top w:val="none" w:sz="0" w:space="0" w:color="auto"/>
        <w:left w:val="none" w:sz="0" w:space="0" w:color="auto"/>
        <w:bottom w:val="none" w:sz="0" w:space="0" w:color="auto"/>
        <w:right w:val="none" w:sz="0" w:space="0" w:color="auto"/>
      </w:divBdr>
    </w:div>
    <w:div w:id="369762518">
      <w:marLeft w:val="0"/>
      <w:marRight w:val="0"/>
      <w:marTop w:val="180"/>
      <w:marBottom w:val="180"/>
      <w:divBdr>
        <w:top w:val="none" w:sz="0" w:space="0" w:color="auto"/>
        <w:left w:val="none" w:sz="0" w:space="0" w:color="auto"/>
        <w:bottom w:val="none" w:sz="0" w:space="0" w:color="auto"/>
        <w:right w:val="none" w:sz="0" w:space="0" w:color="auto"/>
      </w:divBdr>
    </w:div>
    <w:div w:id="369915622">
      <w:marLeft w:val="0"/>
      <w:marRight w:val="0"/>
      <w:marTop w:val="180"/>
      <w:marBottom w:val="60"/>
      <w:divBdr>
        <w:top w:val="none" w:sz="0" w:space="0" w:color="auto"/>
        <w:left w:val="none" w:sz="0" w:space="0" w:color="auto"/>
        <w:bottom w:val="none" w:sz="0" w:space="0" w:color="auto"/>
        <w:right w:val="none" w:sz="0" w:space="0" w:color="auto"/>
      </w:divBdr>
    </w:div>
    <w:div w:id="371810906">
      <w:marLeft w:val="0"/>
      <w:marRight w:val="0"/>
      <w:marTop w:val="180"/>
      <w:marBottom w:val="180"/>
      <w:divBdr>
        <w:top w:val="none" w:sz="0" w:space="0" w:color="auto"/>
        <w:left w:val="none" w:sz="0" w:space="0" w:color="auto"/>
        <w:bottom w:val="none" w:sz="0" w:space="0" w:color="auto"/>
        <w:right w:val="none" w:sz="0" w:space="0" w:color="auto"/>
      </w:divBdr>
    </w:div>
    <w:div w:id="372534296">
      <w:marLeft w:val="0"/>
      <w:marRight w:val="0"/>
      <w:marTop w:val="180"/>
      <w:marBottom w:val="180"/>
      <w:divBdr>
        <w:top w:val="none" w:sz="0" w:space="0" w:color="auto"/>
        <w:left w:val="none" w:sz="0" w:space="0" w:color="auto"/>
        <w:bottom w:val="none" w:sz="0" w:space="0" w:color="auto"/>
        <w:right w:val="none" w:sz="0" w:space="0" w:color="auto"/>
      </w:divBdr>
    </w:div>
    <w:div w:id="374893506">
      <w:marLeft w:val="0"/>
      <w:marRight w:val="0"/>
      <w:marTop w:val="0"/>
      <w:marBottom w:val="0"/>
      <w:divBdr>
        <w:top w:val="none" w:sz="0" w:space="0" w:color="auto"/>
        <w:left w:val="none" w:sz="0" w:space="0" w:color="auto"/>
        <w:bottom w:val="none" w:sz="0" w:space="0" w:color="auto"/>
        <w:right w:val="none" w:sz="0" w:space="0" w:color="auto"/>
      </w:divBdr>
      <w:divsChild>
        <w:div w:id="789591521">
          <w:marLeft w:val="0"/>
          <w:marRight w:val="0"/>
          <w:marTop w:val="0"/>
          <w:marBottom w:val="0"/>
          <w:divBdr>
            <w:top w:val="none" w:sz="0" w:space="0" w:color="auto"/>
            <w:left w:val="none" w:sz="0" w:space="0" w:color="auto"/>
            <w:bottom w:val="none" w:sz="0" w:space="0" w:color="auto"/>
            <w:right w:val="none" w:sz="0" w:space="0" w:color="auto"/>
          </w:divBdr>
          <w:divsChild>
            <w:div w:id="20524606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6468666">
      <w:marLeft w:val="0"/>
      <w:marRight w:val="0"/>
      <w:marTop w:val="180"/>
      <w:marBottom w:val="180"/>
      <w:divBdr>
        <w:top w:val="none" w:sz="0" w:space="0" w:color="auto"/>
        <w:left w:val="none" w:sz="0" w:space="0" w:color="auto"/>
        <w:bottom w:val="none" w:sz="0" w:space="0" w:color="auto"/>
        <w:right w:val="none" w:sz="0" w:space="0" w:color="auto"/>
      </w:divBdr>
    </w:div>
    <w:div w:id="376591964">
      <w:marLeft w:val="0"/>
      <w:marRight w:val="0"/>
      <w:marTop w:val="180"/>
      <w:marBottom w:val="180"/>
      <w:divBdr>
        <w:top w:val="none" w:sz="0" w:space="0" w:color="auto"/>
        <w:left w:val="none" w:sz="0" w:space="0" w:color="auto"/>
        <w:bottom w:val="none" w:sz="0" w:space="0" w:color="auto"/>
        <w:right w:val="none" w:sz="0" w:space="0" w:color="auto"/>
      </w:divBdr>
    </w:div>
    <w:div w:id="377126194">
      <w:marLeft w:val="0"/>
      <w:marRight w:val="0"/>
      <w:marTop w:val="180"/>
      <w:marBottom w:val="0"/>
      <w:divBdr>
        <w:top w:val="none" w:sz="0" w:space="0" w:color="auto"/>
        <w:left w:val="none" w:sz="0" w:space="0" w:color="auto"/>
        <w:bottom w:val="none" w:sz="0" w:space="0" w:color="auto"/>
        <w:right w:val="none" w:sz="0" w:space="0" w:color="auto"/>
      </w:divBdr>
    </w:div>
    <w:div w:id="377701866">
      <w:marLeft w:val="0"/>
      <w:marRight w:val="0"/>
      <w:marTop w:val="220"/>
      <w:marBottom w:val="180"/>
      <w:divBdr>
        <w:top w:val="none" w:sz="0" w:space="0" w:color="auto"/>
        <w:left w:val="none" w:sz="0" w:space="0" w:color="auto"/>
        <w:bottom w:val="none" w:sz="0" w:space="0" w:color="auto"/>
        <w:right w:val="none" w:sz="0" w:space="0" w:color="auto"/>
      </w:divBdr>
    </w:div>
    <w:div w:id="378281857">
      <w:marLeft w:val="0"/>
      <w:marRight w:val="0"/>
      <w:marTop w:val="180"/>
      <w:marBottom w:val="180"/>
      <w:divBdr>
        <w:top w:val="none" w:sz="0" w:space="0" w:color="auto"/>
        <w:left w:val="none" w:sz="0" w:space="0" w:color="auto"/>
        <w:bottom w:val="none" w:sz="0" w:space="0" w:color="auto"/>
        <w:right w:val="none" w:sz="0" w:space="0" w:color="auto"/>
      </w:divBdr>
    </w:div>
    <w:div w:id="379742419">
      <w:marLeft w:val="0"/>
      <w:marRight w:val="0"/>
      <w:marTop w:val="0"/>
      <w:marBottom w:val="0"/>
      <w:divBdr>
        <w:top w:val="none" w:sz="0" w:space="0" w:color="auto"/>
        <w:left w:val="none" w:sz="0" w:space="0" w:color="auto"/>
        <w:bottom w:val="none" w:sz="0" w:space="0" w:color="auto"/>
        <w:right w:val="none" w:sz="0" w:space="0" w:color="auto"/>
      </w:divBdr>
      <w:divsChild>
        <w:div w:id="207644266">
          <w:marLeft w:val="0"/>
          <w:marRight w:val="0"/>
          <w:marTop w:val="60"/>
          <w:marBottom w:val="60"/>
          <w:divBdr>
            <w:top w:val="none" w:sz="0" w:space="0" w:color="auto"/>
            <w:left w:val="none" w:sz="0" w:space="0" w:color="auto"/>
            <w:bottom w:val="none" w:sz="0" w:space="0" w:color="auto"/>
            <w:right w:val="none" w:sz="0" w:space="0" w:color="auto"/>
          </w:divBdr>
        </w:div>
      </w:divsChild>
    </w:div>
    <w:div w:id="380442412">
      <w:marLeft w:val="0"/>
      <w:marRight w:val="0"/>
      <w:marTop w:val="60"/>
      <w:marBottom w:val="60"/>
      <w:divBdr>
        <w:top w:val="none" w:sz="0" w:space="0" w:color="auto"/>
        <w:left w:val="none" w:sz="0" w:space="0" w:color="auto"/>
        <w:bottom w:val="none" w:sz="0" w:space="0" w:color="auto"/>
        <w:right w:val="none" w:sz="0" w:space="0" w:color="auto"/>
      </w:divBdr>
    </w:div>
    <w:div w:id="380521603">
      <w:marLeft w:val="0"/>
      <w:marRight w:val="0"/>
      <w:marTop w:val="180"/>
      <w:marBottom w:val="0"/>
      <w:divBdr>
        <w:top w:val="none" w:sz="0" w:space="0" w:color="auto"/>
        <w:left w:val="none" w:sz="0" w:space="0" w:color="auto"/>
        <w:bottom w:val="none" w:sz="0" w:space="0" w:color="auto"/>
        <w:right w:val="none" w:sz="0" w:space="0" w:color="auto"/>
      </w:divBdr>
    </w:div>
    <w:div w:id="380715429">
      <w:marLeft w:val="0"/>
      <w:marRight w:val="0"/>
      <w:marTop w:val="180"/>
      <w:marBottom w:val="180"/>
      <w:divBdr>
        <w:top w:val="none" w:sz="0" w:space="0" w:color="auto"/>
        <w:left w:val="none" w:sz="0" w:space="0" w:color="auto"/>
        <w:bottom w:val="none" w:sz="0" w:space="0" w:color="auto"/>
        <w:right w:val="none" w:sz="0" w:space="0" w:color="auto"/>
      </w:divBdr>
    </w:div>
    <w:div w:id="380980849">
      <w:marLeft w:val="0"/>
      <w:marRight w:val="0"/>
      <w:marTop w:val="0"/>
      <w:marBottom w:val="0"/>
      <w:divBdr>
        <w:top w:val="none" w:sz="0" w:space="0" w:color="auto"/>
        <w:left w:val="none" w:sz="0" w:space="0" w:color="auto"/>
        <w:bottom w:val="none" w:sz="0" w:space="0" w:color="auto"/>
        <w:right w:val="none" w:sz="0" w:space="0" w:color="auto"/>
      </w:divBdr>
      <w:divsChild>
        <w:div w:id="1474252432">
          <w:marLeft w:val="0"/>
          <w:marRight w:val="0"/>
          <w:marTop w:val="60"/>
          <w:marBottom w:val="60"/>
          <w:divBdr>
            <w:top w:val="none" w:sz="0" w:space="0" w:color="auto"/>
            <w:left w:val="none" w:sz="0" w:space="0" w:color="auto"/>
            <w:bottom w:val="none" w:sz="0" w:space="0" w:color="auto"/>
            <w:right w:val="none" w:sz="0" w:space="0" w:color="auto"/>
          </w:divBdr>
        </w:div>
      </w:divsChild>
    </w:div>
    <w:div w:id="381100881">
      <w:marLeft w:val="0"/>
      <w:marRight w:val="0"/>
      <w:marTop w:val="0"/>
      <w:marBottom w:val="0"/>
      <w:divBdr>
        <w:top w:val="none" w:sz="0" w:space="0" w:color="auto"/>
        <w:left w:val="none" w:sz="0" w:space="0" w:color="auto"/>
        <w:bottom w:val="none" w:sz="0" w:space="0" w:color="auto"/>
        <w:right w:val="none" w:sz="0" w:space="0" w:color="auto"/>
      </w:divBdr>
      <w:divsChild>
        <w:div w:id="12340036">
          <w:marLeft w:val="0"/>
          <w:marRight w:val="0"/>
          <w:marTop w:val="0"/>
          <w:marBottom w:val="0"/>
          <w:divBdr>
            <w:top w:val="none" w:sz="0" w:space="0" w:color="auto"/>
            <w:left w:val="none" w:sz="0" w:space="0" w:color="auto"/>
            <w:bottom w:val="none" w:sz="0" w:space="0" w:color="auto"/>
            <w:right w:val="none" w:sz="0" w:space="0" w:color="auto"/>
          </w:divBdr>
          <w:divsChild>
            <w:div w:id="12022838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2943151">
      <w:marLeft w:val="0"/>
      <w:marRight w:val="0"/>
      <w:marTop w:val="180"/>
      <w:marBottom w:val="180"/>
      <w:divBdr>
        <w:top w:val="none" w:sz="0" w:space="0" w:color="auto"/>
        <w:left w:val="none" w:sz="0" w:space="0" w:color="auto"/>
        <w:bottom w:val="none" w:sz="0" w:space="0" w:color="auto"/>
        <w:right w:val="none" w:sz="0" w:space="0" w:color="auto"/>
      </w:divBdr>
    </w:div>
    <w:div w:id="385109053">
      <w:marLeft w:val="0"/>
      <w:marRight w:val="0"/>
      <w:marTop w:val="0"/>
      <w:marBottom w:val="0"/>
      <w:divBdr>
        <w:top w:val="none" w:sz="0" w:space="0" w:color="auto"/>
        <w:left w:val="none" w:sz="0" w:space="0" w:color="auto"/>
        <w:bottom w:val="none" w:sz="0" w:space="0" w:color="auto"/>
        <w:right w:val="none" w:sz="0" w:space="0" w:color="auto"/>
      </w:divBdr>
      <w:divsChild>
        <w:div w:id="521016726">
          <w:marLeft w:val="0"/>
          <w:marRight w:val="0"/>
          <w:marTop w:val="0"/>
          <w:marBottom w:val="0"/>
          <w:divBdr>
            <w:top w:val="none" w:sz="0" w:space="0" w:color="auto"/>
            <w:left w:val="none" w:sz="0" w:space="0" w:color="auto"/>
            <w:bottom w:val="none" w:sz="0" w:space="0" w:color="auto"/>
            <w:right w:val="none" w:sz="0" w:space="0" w:color="auto"/>
          </w:divBdr>
          <w:divsChild>
            <w:div w:id="13236581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5373570">
      <w:marLeft w:val="0"/>
      <w:marRight w:val="0"/>
      <w:marTop w:val="180"/>
      <w:marBottom w:val="180"/>
      <w:divBdr>
        <w:top w:val="none" w:sz="0" w:space="0" w:color="auto"/>
        <w:left w:val="none" w:sz="0" w:space="0" w:color="auto"/>
        <w:bottom w:val="none" w:sz="0" w:space="0" w:color="auto"/>
        <w:right w:val="none" w:sz="0" w:space="0" w:color="auto"/>
      </w:divBdr>
    </w:div>
    <w:div w:id="385836347">
      <w:marLeft w:val="0"/>
      <w:marRight w:val="0"/>
      <w:marTop w:val="180"/>
      <w:marBottom w:val="180"/>
      <w:divBdr>
        <w:top w:val="none" w:sz="0" w:space="0" w:color="auto"/>
        <w:left w:val="none" w:sz="0" w:space="0" w:color="auto"/>
        <w:bottom w:val="none" w:sz="0" w:space="0" w:color="auto"/>
        <w:right w:val="none" w:sz="0" w:space="0" w:color="auto"/>
      </w:divBdr>
    </w:div>
    <w:div w:id="386296053">
      <w:marLeft w:val="0"/>
      <w:marRight w:val="0"/>
      <w:marTop w:val="60"/>
      <w:marBottom w:val="60"/>
      <w:divBdr>
        <w:top w:val="none" w:sz="0" w:space="0" w:color="auto"/>
        <w:left w:val="none" w:sz="0" w:space="0" w:color="auto"/>
        <w:bottom w:val="none" w:sz="0" w:space="0" w:color="auto"/>
        <w:right w:val="none" w:sz="0" w:space="0" w:color="auto"/>
      </w:divBdr>
    </w:div>
    <w:div w:id="386880488">
      <w:marLeft w:val="0"/>
      <w:marRight w:val="0"/>
      <w:marTop w:val="180"/>
      <w:marBottom w:val="180"/>
      <w:divBdr>
        <w:top w:val="none" w:sz="0" w:space="0" w:color="auto"/>
        <w:left w:val="none" w:sz="0" w:space="0" w:color="auto"/>
        <w:bottom w:val="none" w:sz="0" w:space="0" w:color="auto"/>
        <w:right w:val="none" w:sz="0" w:space="0" w:color="auto"/>
      </w:divBdr>
    </w:div>
    <w:div w:id="387068860">
      <w:marLeft w:val="0"/>
      <w:marRight w:val="0"/>
      <w:marTop w:val="60"/>
      <w:marBottom w:val="60"/>
      <w:divBdr>
        <w:top w:val="none" w:sz="0" w:space="0" w:color="auto"/>
        <w:left w:val="none" w:sz="0" w:space="0" w:color="auto"/>
        <w:bottom w:val="none" w:sz="0" w:space="0" w:color="auto"/>
        <w:right w:val="none" w:sz="0" w:space="0" w:color="auto"/>
      </w:divBdr>
    </w:div>
    <w:div w:id="388770971">
      <w:marLeft w:val="0"/>
      <w:marRight w:val="0"/>
      <w:marTop w:val="60"/>
      <w:marBottom w:val="60"/>
      <w:divBdr>
        <w:top w:val="none" w:sz="0" w:space="0" w:color="auto"/>
        <w:left w:val="none" w:sz="0" w:space="0" w:color="auto"/>
        <w:bottom w:val="none" w:sz="0" w:space="0" w:color="auto"/>
        <w:right w:val="none" w:sz="0" w:space="0" w:color="auto"/>
      </w:divBdr>
    </w:div>
    <w:div w:id="389689546">
      <w:marLeft w:val="0"/>
      <w:marRight w:val="0"/>
      <w:marTop w:val="180"/>
      <w:marBottom w:val="180"/>
      <w:divBdr>
        <w:top w:val="none" w:sz="0" w:space="0" w:color="auto"/>
        <w:left w:val="none" w:sz="0" w:space="0" w:color="auto"/>
        <w:bottom w:val="none" w:sz="0" w:space="0" w:color="auto"/>
        <w:right w:val="none" w:sz="0" w:space="0" w:color="auto"/>
      </w:divBdr>
    </w:div>
    <w:div w:id="391973695">
      <w:marLeft w:val="0"/>
      <w:marRight w:val="0"/>
      <w:marTop w:val="180"/>
      <w:marBottom w:val="180"/>
      <w:divBdr>
        <w:top w:val="none" w:sz="0" w:space="0" w:color="auto"/>
        <w:left w:val="none" w:sz="0" w:space="0" w:color="auto"/>
        <w:bottom w:val="none" w:sz="0" w:space="0" w:color="auto"/>
        <w:right w:val="none" w:sz="0" w:space="0" w:color="auto"/>
      </w:divBdr>
    </w:div>
    <w:div w:id="392002125">
      <w:marLeft w:val="0"/>
      <w:marRight w:val="0"/>
      <w:marTop w:val="180"/>
      <w:marBottom w:val="180"/>
      <w:divBdr>
        <w:top w:val="none" w:sz="0" w:space="0" w:color="auto"/>
        <w:left w:val="none" w:sz="0" w:space="0" w:color="auto"/>
        <w:bottom w:val="none" w:sz="0" w:space="0" w:color="auto"/>
        <w:right w:val="none" w:sz="0" w:space="0" w:color="auto"/>
      </w:divBdr>
    </w:div>
    <w:div w:id="392051062">
      <w:marLeft w:val="0"/>
      <w:marRight w:val="0"/>
      <w:marTop w:val="180"/>
      <w:marBottom w:val="180"/>
      <w:divBdr>
        <w:top w:val="none" w:sz="0" w:space="0" w:color="auto"/>
        <w:left w:val="none" w:sz="0" w:space="0" w:color="auto"/>
        <w:bottom w:val="none" w:sz="0" w:space="0" w:color="auto"/>
        <w:right w:val="none" w:sz="0" w:space="0" w:color="auto"/>
      </w:divBdr>
    </w:div>
    <w:div w:id="393284134">
      <w:marLeft w:val="0"/>
      <w:marRight w:val="0"/>
      <w:marTop w:val="180"/>
      <w:marBottom w:val="180"/>
      <w:divBdr>
        <w:top w:val="none" w:sz="0" w:space="0" w:color="auto"/>
        <w:left w:val="none" w:sz="0" w:space="0" w:color="auto"/>
        <w:bottom w:val="none" w:sz="0" w:space="0" w:color="auto"/>
        <w:right w:val="none" w:sz="0" w:space="0" w:color="auto"/>
      </w:divBdr>
    </w:div>
    <w:div w:id="395472075">
      <w:marLeft w:val="0"/>
      <w:marRight w:val="0"/>
      <w:marTop w:val="180"/>
      <w:marBottom w:val="180"/>
      <w:divBdr>
        <w:top w:val="none" w:sz="0" w:space="0" w:color="auto"/>
        <w:left w:val="none" w:sz="0" w:space="0" w:color="auto"/>
        <w:bottom w:val="none" w:sz="0" w:space="0" w:color="auto"/>
        <w:right w:val="none" w:sz="0" w:space="0" w:color="auto"/>
      </w:divBdr>
    </w:div>
    <w:div w:id="395473566">
      <w:marLeft w:val="0"/>
      <w:marRight w:val="0"/>
      <w:marTop w:val="180"/>
      <w:marBottom w:val="180"/>
      <w:divBdr>
        <w:top w:val="none" w:sz="0" w:space="0" w:color="auto"/>
        <w:left w:val="none" w:sz="0" w:space="0" w:color="auto"/>
        <w:bottom w:val="none" w:sz="0" w:space="0" w:color="auto"/>
        <w:right w:val="none" w:sz="0" w:space="0" w:color="auto"/>
      </w:divBdr>
    </w:div>
    <w:div w:id="395520089">
      <w:marLeft w:val="0"/>
      <w:marRight w:val="0"/>
      <w:marTop w:val="0"/>
      <w:marBottom w:val="0"/>
      <w:divBdr>
        <w:top w:val="none" w:sz="0" w:space="0" w:color="auto"/>
        <w:left w:val="none" w:sz="0" w:space="0" w:color="auto"/>
        <w:bottom w:val="none" w:sz="0" w:space="0" w:color="auto"/>
        <w:right w:val="none" w:sz="0" w:space="0" w:color="auto"/>
      </w:divBdr>
      <w:divsChild>
        <w:div w:id="1242175217">
          <w:marLeft w:val="0"/>
          <w:marRight w:val="0"/>
          <w:marTop w:val="180"/>
          <w:marBottom w:val="180"/>
          <w:divBdr>
            <w:top w:val="none" w:sz="0" w:space="0" w:color="auto"/>
            <w:left w:val="none" w:sz="0" w:space="0" w:color="auto"/>
            <w:bottom w:val="none" w:sz="0" w:space="0" w:color="auto"/>
            <w:right w:val="none" w:sz="0" w:space="0" w:color="auto"/>
          </w:divBdr>
        </w:div>
      </w:divsChild>
    </w:div>
    <w:div w:id="395592225">
      <w:marLeft w:val="0"/>
      <w:marRight w:val="0"/>
      <w:marTop w:val="60"/>
      <w:marBottom w:val="0"/>
      <w:divBdr>
        <w:top w:val="none" w:sz="0" w:space="0" w:color="auto"/>
        <w:left w:val="none" w:sz="0" w:space="0" w:color="auto"/>
        <w:bottom w:val="none" w:sz="0" w:space="0" w:color="auto"/>
        <w:right w:val="none" w:sz="0" w:space="0" w:color="auto"/>
      </w:divBdr>
    </w:div>
    <w:div w:id="396169310">
      <w:marLeft w:val="0"/>
      <w:marRight w:val="0"/>
      <w:marTop w:val="180"/>
      <w:marBottom w:val="180"/>
      <w:divBdr>
        <w:top w:val="none" w:sz="0" w:space="0" w:color="auto"/>
        <w:left w:val="none" w:sz="0" w:space="0" w:color="auto"/>
        <w:bottom w:val="none" w:sz="0" w:space="0" w:color="auto"/>
        <w:right w:val="none" w:sz="0" w:space="0" w:color="auto"/>
      </w:divBdr>
    </w:div>
    <w:div w:id="396517633">
      <w:marLeft w:val="0"/>
      <w:marRight w:val="0"/>
      <w:marTop w:val="180"/>
      <w:marBottom w:val="180"/>
      <w:divBdr>
        <w:top w:val="none" w:sz="0" w:space="0" w:color="auto"/>
        <w:left w:val="none" w:sz="0" w:space="0" w:color="auto"/>
        <w:bottom w:val="none" w:sz="0" w:space="0" w:color="auto"/>
        <w:right w:val="none" w:sz="0" w:space="0" w:color="auto"/>
      </w:divBdr>
    </w:div>
    <w:div w:id="397017895">
      <w:marLeft w:val="0"/>
      <w:marRight w:val="0"/>
      <w:marTop w:val="0"/>
      <w:marBottom w:val="0"/>
      <w:divBdr>
        <w:top w:val="none" w:sz="0" w:space="0" w:color="auto"/>
        <w:left w:val="none" w:sz="0" w:space="0" w:color="auto"/>
        <w:bottom w:val="none" w:sz="0" w:space="0" w:color="auto"/>
        <w:right w:val="none" w:sz="0" w:space="0" w:color="auto"/>
      </w:divBdr>
    </w:div>
    <w:div w:id="398939701">
      <w:marLeft w:val="0"/>
      <w:marRight w:val="0"/>
      <w:marTop w:val="180"/>
      <w:marBottom w:val="180"/>
      <w:divBdr>
        <w:top w:val="none" w:sz="0" w:space="0" w:color="auto"/>
        <w:left w:val="none" w:sz="0" w:space="0" w:color="auto"/>
        <w:bottom w:val="none" w:sz="0" w:space="0" w:color="auto"/>
        <w:right w:val="none" w:sz="0" w:space="0" w:color="auto"/>
      </w:divBdr>
    </w:div>
    <w:div w:id="399597760">
      <w:marLeft w:val="0"/>
      <w:marRight w:val="0"/>
      <w:marTop w:val="0"/>
      <w:marBottom w:val="0"/>
      <w:divBdr>
        <w:top w:val="none" w:sz="0" w:space="0" w:color="auto"/>
        <w:left w:val="none" w:sz="0" w:space="0" w:color="auto"/>
        <w:bottom w:val="none" w:sz="0" w:space="0" w:color="auto"/>
        <w:right w:val="none" w:sz="0" w:space="0" w:color="auto"/>
      </w:divBdr>
    </w:div>
    <w:div w:id="400101796">
      <w:marLeft w:val="0"/>
      <w:marRight w:val="0"/>
      <w:marTop w:val="0"/>
      <w:marBottom w:val="0"/>
      <w:divBdr>
        <w:top w:val="none" w:sz="0" w:space="0" w:color="auto"/>
        <w:left w:val="none" w:sz="0" w:space="0" w:color="auto"/>
        <w:bottom w:val="none" w:sz="0" w:space="0" w:color="auto"/>
        <w:right w:val="none" w:sz="0" w:space="0" w:color="auto"/>
      </w:divBdr>
      <w:divsChild>
        <w:div w:id="1924336117">
          <w:marLeft w:val="0"/>
          <w:marRight w:val="0"/>
          <w:marTop w:val="0"/>
          <w:marBottom w:val="0"/>
          <w:divBdr>
            <w:top w:val="none" w:sz="0" w:space="0" w:color="auto"/>
            <w:left w:val="none" w:sz="0" w:space="0" w:color="auto"/>
            <w:bottom w:val="none" w:sz="0" w:space="0" w:color="auto"/>
            <w:right w:val="none" w:sz="0" w:space="0" w:color="auto"/>
          </w:divBdr>
          <w:divsChild>
            <w:div w:id="11494457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0562045">
      <w:marLeft w:val="0"/>
      <w:marRight w:val="0"/>
      <w:marTop w:val="180"/>
      <w:marBottom w:val="180"/>
      <w:divBdr>
        <w:top w:val="none" w:sz="0" w:space="0" w:color="auto"/>
        <w:left w:val="none" w:sz="0" w:space="0" w:color="auto"/>
        <w:bottom w:val="none" w:sz="0" w:space="0" w:color="auto"/>
        <w:right w:val="none" w:sz="0" w:space="0" w:color="auto"/>
      </w:divBdr>
    </w:div>
    <w:div w:id="400757612">
      <w:marLeft w:val="0"/>
      <w:marRight w:val="0"/>
      <w:marTop w:val="180"/>
      <w:marBottom w:val="180"/>
      <w:divBdr>
        <w:top w:val="none" w:sz="0" w:space="0" w:color="auto"/>
        <w:left w:val="none" w:sz="0" w:space="0" w:color="auto"/>
        <w:bottom w:val="none" w:sz="0" w:space="0" w:color="auto"/>
        <w:right w:val="none" w:sz="0" w:space="0" w:color="auto"/>
      </w:divBdr>
    </w:div>
    <w:div w:id="401099375">
      <w:marLeft w:val="0"/>
      <w:marRight w:val="0"/>
      <w:marTop w:val="180"/>
      <w:marBottom w:val="180"/>
      <w:divBdr>
        <w:top w:val="none" w:sz="0" w:space="0" w:color="auto"/>
        <w:left w:val="none" w:sz="0" w:space="0" w:color="auto"/>
        <w:bottom w:val="none" w:sz="0" w:space="0" w:color="auto"/>
        <w:right w:val="none" w:sz="0" w:space="0" w:color="auto"/>
      </w:divBdr>
    </w:div>
    <w:div w:id="401870541">
      <w:marLeft w:val="0"/>
      <w:marRight w:val="0"/>
      <w:marTop w:val="0"/>
      <w:marBottom w:val="0"/>
      <w:divBdr>
        <w:top w:val="none" w:sz="0" w:space="0" w:color="auto"/>
        <w:left w:val="none" w:sz="0" w:space="0" w:color="auto"/>
        <w:bottom w:val="none" w:sz="0" w:space="0" w:color="auto"/>
        <w:right w:val="none" w:sz="0" w:space="0" w:color="auto"/>
      </w:divBdr>
      <w:divsChild>
        <w:div w:id="957106619">
          <w:marLeft w:val="0"/>
          <w:marRight w:val="0"/>
          <w:marTop w:val="0"/>
          <w:marBottom w:val="0"/>
          <w:divBdr>
            <w:top w:val="none" w:sz="0" w:space="0" w:color="auto"/>
            <w:left w:val="none" w:sz="0" w:space="0" w:color="auto"/>
            <w:bottom w:val="none" w:sz="0" w:space="0" w:color="auto"/>
            <w:right w:val="none" w:sz="0" w:space="0" w:color="auto"/>
          </w:divBdr>
          <w:divsChild>
            <w:div w:id="20649089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01871823">
      <w:marLeft w:val="0"/>
      <w:marRight w:val="0"/>
      <w:marTop w:val="180"/>
      <w:marBottom w:val="180"/>
      <w:divBdr>
        <w:top w:val="none" w:sz="0" w:space="0" w:color="auto"/>
        <w:left w:val="none" w:sz="0" w:space="0" w:color="auto"/>
        <w:bottom w:val="none" w:sz="0" w:space="0" w:color="auto"/>
        <w:right w:val="none" w:sz="0" w:space="0" w:color="auto"/>
      </w:divBdr>
    </w:div>
    <w:div w:id="402220378">
      <w:marLeft w:val="0"/>
      <w:marRight w:val="0"/>
      <w:marTop w:val="180"/>
      <w:marBottom w:val="180"/>
      <w:divBdr>
        <w:top w:val="none" w:sz="0" w:space="0" w:color="auto"/>
        <w:left w:val="none" w:sz="0" w:space="0" w:color="auto"/>
        <w:bottom w:val="none" w:sz="0" w:space="0" w:color="auto"/>
        <w:right w:val="none" w:sz="0" w:space="0" w:color="auto"/>
      </w:divBdr>
    </w:div>
    <w:div w:id="402220782">
      <w:marLeft w:val="0"/>
      <w:marRight w:val="0"/>
      <w:marTop w:val="180"/>
      <w:marBottom w:val="180"/>
      <w:divBdr>
        <w:top w:val="none" w:sz="0" w:space="0" w:color="auto"/>
        <w:left w:val="none" w:sz="0" w:space="0" w:color="auto"/>
        <w:bottom w:val="none" w:sz="0" w:space="0" w:color="auto"/>
        <w:right w:val="none" w:sz="0" w:space="0" w:color="auto"/>
      </w:divBdr>
    </w:div>
    <w:div w:id="402995359">
      <w:marLeft w:val="0"/>
      <w:marRight w:val="0"/>
      <w:marTop w:val="60"/>
      <w:marBottom w:val="60"/>
      <w:divBdr>
        <w:top w:val="none" w:sz="0" w:space="0" w:color="auto"/>
        <w:left w:val="none" w:sz="0" w:space="0" w:color="auto"/>
        <w:bottom w:val="none" w:sz="0" w:space="0" w:color="auto"/>
        <w:right w:val="none" w:sz="0" w:space="0" w:color="auto"/>
      </w:divBdr>
    </w:div>
    <w:div w:id="403530236">
      <w:marLeft w:val="0"/>
      <w:marRight w:val="0"/>
      <w:marTop w:val="100"/>
      <w:marBottom w:val="100"/>
      <w:divBdr>
        <w:top w:val="none" w:sz="0" w:space="0" w:color="auto"/>
        <w:left w:val="none" w:sz="0" w:space="0" w:color="auto"/>
        <w:bottom w:val="none" w:sz="0" w:space="0" w:color="auto"/>
        <w:right w:val="none" w:sz="0" w:space="0" w:color="auto"/>
      </w:divBdr>
    </w:div>
    <w:div w:id="404836187">
      <w:marLeft w:val="0"/>
      <w:marRight w:val="0"/>
      <w:marTop w:val="60"/>
      <w:marBottom w:val="60"/>
      <w:divBdr>
        <w:top w:val="none" w:sz="0" w:space="0" w:color="auto"/>
        <w:left w:val="none" w:sz="0" w:space="0" w:color="auto"/>
        <w:bottom w:val="none" w:sz="0" w:space="0" w:color="auto"/>
        <w:right w:val="none" w:sz="0" w:space="0" w:color="auto"/>
      </w:divBdr>
    </w:div>
    <w:div w:id="406537330">
      <w:marLeft w:val="0"/>
      <w:marRight w:val="0"/>
      <w:marTop w:val="180"/>
      <w:marBottom w:val="60"/>
      <w:divBdr>
        <w:top w:val="none" w:sz="0" w:space="0" w:color="auto"/>
        <w:left w:val="none" w:sz="0" w:space="0" w:color="auto"/>
        <w:bottom w:val="none" w:sz="0" w:space="0" w:color="auto"/>
        <w:right w:val="none" w:sz="0" w:space="0" w:color="auto"/>
      </w:divBdr>
    </w:div>
    <w:div w:id="409083108">
      <w:marLeft w:val="0"/>
      <w:marRight w:val="0"/>
      <w:marTop w:val="180"/>
      <w:marBottom w:val="180"/>
      <w:divBdr>
        <w:top w:val="none" w:sz="0" w:space="0" w:color="auto"/>
        <w:left w:val="none" w:sz="0" w:space="0" w:color="auto"/>
        <w:bottom w:val="none" w:sz="0" w:space="0" w:color="auto"/>
        <w:right w:val="none" w:sz="0" w:space="0" w:color="auto"/>
      </w:divBdr>
    </w:div>
    <w:div w:id="411242651">
      <w:marLeft w:val="0"/>
      <w:marRight w:val="0"/>
      <w:marTop w:val="60"/>
      <w:marBottom w:val="60"/>
      <w:divBdr>
        <w:top w:val="none" w:sz="0" w:space="0" w:color="auto"/>
        <w:left w:val="none" w:sz="0" w:space="0" w:color="auto"/>
        <w:bottom w:val="none" w:sz="0" w:space="0" w:color="auto"/>
        <w:right w:val="none" w:sz="0" w:space="0" w:color="auto"/>
      </w:divBdr>
    </w:div>
    <w:div w:id="411243324">
      <w:marLeft w:val="0"/>
      <w:marRight w:val="0"/>
      <w:marTop w:val="180"/>
      <w:marBottom w:val="180"/>
      <w:divBdr>
        <w:top w:val="none" w:sz="0" w:space="0" w:color="auto"/>
        <w:left w:val="none" w:sz="0" w:space="0" w:color="auto"/>
        <w:bottom w:val="none" w:sz="0" w:space="0" w:color="auto"/>
        <w:right w:val="none" w:sz="0" w:space="0" w:color="auto"/>
      </w:divBdr>
    </w:div>
    <w:div w:id="412892632">
      <w:marLeft w:val="0"/>
      <w:marRight w:val="0"/>
      <w:marTop w:val="180"/>
      <w:marBottom w:val="180"/>
      <w:divBdr>
        <w:top w:val="none" w:sz="0" w:space="0" w:color="auto"/>
        <w:left w:val="none" w:sz="0" w:space="0" w:color="auto"/>
        <w:bottom w:val="none" w:sz="0" w:space="0" w:color="auto"/>
        <w:right w:val="none" w:sz="0" w:space="0" w:color="auto"/>
      </w:divBdr>
    </w:div>
    <w:div w:id="412895710">
      <w:marLeft w:val="0"/>
      <w:marRight w:val="0"/>
      <w:marTop w:val="60"/>
      <w:marBottom w:val="60"/>
      <w:divBdr>
        <w:top w:val="none" w:sz="0" w:space="0" w:color="auto"/>
        <w:left w:val="none" w:sz="0" w:space="0" w:color="auto"/>
        <w:bottom w:val="none" w:sz="0" w:space="0" w:color="auto"/>
        <w:right w:val="none" w:sz="0" w:space="0" w:color="auto"/>
      </w:divBdr>
    </w:div>
    <w:div w:id="413550989">
      <w:marLeft w:val="0"/>
      <w:marRight w:val="0"/>
      <w:marTop w:val="60"/>
      <w:marBottom w:val="60"/>
      <w:divBdr>
        <w:top w:val="none" w:sz="0" w:space="0" w:color="auto"/>
        <w:left w:val="none" w:sz="0" w:space="0" w:color="auto"/>
        <w:bottom w:val="none" w:sz="0" w:space="0" w:color="auto"/>
        <w:right w:val="none" w:sz="0" w:space="0" w:color="auto"/>
      </w:divBdr>
    </w:div>
    <w:div w:id="414515693">
      <w:marLeft w:val="0"/>
      <w:marRight w:val="0"/>
      <w:marTop w:val="180"/>
      <w:marBottom w:val="180"/>
      <w:divBdr>
        <w:top w:val="none" w:sz="0" w:space="0" w:color="auto"/>
        <w:left w:val="none" w:sz="0" w:space="0" w:color="auto"/>
        <w:bottom w:val="none" w:sz="0" w:space="0" w:color="auto"/>
        <w:right w:val="none" w:sz="0" w:space="0" w:color="auto"/>
      </w:divBdr>
    </w:div>
    <w:div w:id="415131219">
      <w:marLeft w:val="0"/>
      <w:marRight w:val="0"/>
      <w:marTop w:val="0"/>
      <w:marBottom w:val="0"/>
      <w:divBdr>
        <w:top w:val="none" w:sz="0" w:space="0" w:color="auto"/>
        <w:left w:val="none" w:sz="0" w:space="0" w:color="auto"/>
        <w:bottom w:val="none" w:sz="0" w:space="0" w:color="auto"/>
        <w:right w:val="none" w:sz="0" w:space="0" w:color="auto"/>
      </w:divBdr>
      <w:divsChild>
        <w:div w:id="760100538">
          <w:marLeft w:val="0"/>
          <w:marRight w:val="0"/>
          <w:marTop w:val="180"/>
          <w:marBottom w:val="180"/>
          <w:divBdr>
            <w:top w:val="none" w:sz="0" w:space="0" w:color="auto"/>
            <w:left w:val="none" w:sz="0" w:space="0" w:color="auto"/>
            <w:bottom w:val="none" w:sz="0" w:space="0" w:color="auto"/>
            <w:right w:val="none" w:sz="0" w:space="0" w:color="auto"/>
          </w:divBdr>
        </w:div>
      </w:divsChild>
    </w:div>
    <w:div w:id="415975696">
      <w:marLeft w:val="0"/>
      <w:marRight w:val="0"/>
      <w:marTop w:val="180"/>
      <w:marBottom w:val="180"/>
      <w:divBdr>
        <w:top w:val="none" w:sz="0" w:space="0" w:color="auto"/>
        <w:left w:val="none" w:sz="0" w:space="0" w:color="auto"/>
        <w:bottom w:val="none" w:sz="0" w:space="0" w:color="auto"/>
        <w:right w:val="none" w:sz="0" w:space="0" w:color="auto"/>
      </w:divBdr>
    </w:div>
    <w:div w:id="417101823">
      <w:marLeft w:val="0"/>
      <w:marRight w:val="0"/>
      <w:marTop w:val="180"/>
      <w:marBottom w:val="180"/>
      <w:divBdr>
        <w:top w:val="none" w:sz="0" w:space="0" w:color="auto"/>
        <w:left w:val="none" w:sz="0" w:space="0" w:color="auto"/>
        <w:bottom w:val="none" w:sz="0" w:space="0" w:color="auto"/>
        <w:right w:val="none" w:sz="0" w:space="0" w:color="auto"/>
      </w:divBdr>
    </w:div>
    <w:div w:id="418791473">
      <w:marLeft w:val="0"/>
      <w:marRight w:val="0"/>
      <w:marTop w:val="60"/>
      <w:marBottom w:val="60"/>
      <w:divBdr>
        <w:top w:val="none" w:sz="0" w:space="0" w:color="auto"/>
        <w:left w:val="none" w:sz="0" w:space="0" w:color="auto"/>
        <w:bottom w:val="none" w:sz="0" w:space="0" w:color="auto"/>
        <w:right w:val="none" w:sz="0" w:space="0" w:color="auto"/>
      </w:divBdr>
    </w:div>
    <w:div w:id="418797327">
      <w:marLeft w:val="0"/>
      <w:marRight w:val="0"/>
      <w:marTop w:val="180"/>
      <w:marBottom w:val="180"/>
      <w:divBdr>
        <w:top w:val="none" w:sz="0" w:space="0" w:color="auto"/>
        <w:left w:val="none" w:sz="0" w:space="0" w:color="auto"/>
        <w:bottom w:val="none" w:sz="0" w:space="0" w:color="auto"/>
        <w:right w:val="none" w:sz="0" w:space="0" w:color="auto"/>
      </w:divBdr>
    </w:div>
    <w:div w:id="419253570">
      <w:marLeft w:val="0"/>
      <w:marRight w:val="0"/>
      <w:marTop w:val="180"/>
      <w:marBottom w:val="180"/>
      <w:divBdr>
        <w:top w:val="none" w:sz="0" w:space="0" w:color="auto"/>
        <w:left w:val="none" w:sz="0" w:space="0" w:color="auto"/>
        <w:bottom w:val="none" w:sz="0" w:space="0" w:color="auto"/>
        <w:right w:val="none" w:sz="0" w:space="0" w:color="auto"/>
      </w:divBdr>
    </w:div>
    <w:div w:id="419375849">
      <w:marLeft w:val="0"/>
      <w:marRight w:val="0"/>
      <w:marTop w:val="180"/>
      <w:marBottom w:val="180"/>
      <w:divBdr>
        <w:top w:val="none" w:sz="0" w:space="0" w:color="auto"/>
        <w:left w:val="none" w:sz="0" w:space="0" w:color="auto"/>
        <w:bottom w:val="none" w:sz="0" w:space="0" w:color="auto"/>
        <w:right w:val="none" w:sz="0" w:space="0" w:color="auto"/>
      </w:divBdr>
    </w:div>
    <w:div w:id="419563468">
      <w:marLeft w:val="0"/>
      <w:marRight w:val="0"/>
      <w:marTop w:val="180"/>
      <w:marBottom w:val="180"/>
      <w:divBdr>
        <w:top w:val="none" w:sz="0" w:space="0" w:color="auto"/>
        <w:left w:val="none" w:sz="0" w:space="0" w:color="auto"/>
        <w:bottom w:val="none" w:sz="0" w:space="0" w:color="auto"/>
        <w:right w:val="none" w:sz="0" w:space="0" w:color="auto"/>
      </w:divBdr>
    </w:div>
    <w:div w:id="421337968">
      <w:marLeft w:val="0"/>
      <w:marRight w:val="0"/>
      <w:marTop w:val="180"/>
      <w:marBottom w:val="180"/>
      <w:divBdr>
        <w:top w:val="none" w:sz="0" w:space="0" w:color="auto"/>
        <w:left w:val="none" w:sz="0" w:space="0" w:color="auto"/>
        <w:bottom w:val="none" w:sz="0" w:space="0" w:color="auto"/>
        <w:right w:val="none" w:sz="0" w:space="0" w:color="auto"/>
      </w:divBdr>
    </w:div>
    <w:div w:id="421606188">
      <w:marLeft w:val="0"/>
      <w:marRight w:val="0"/>
      <w:marTop w:val="180"/>
      <w:marBottom w:val="60"/>
      <w:divBdr>
        <w:top w:val="none" w:sz="0" w:space="0" w:color="auto"/>
        <w:left w:val="none" w:sz="0" w:space="0" w:color="auto"/>
        <w:bottom w:val="none" w:sz="0" w:space="0" w:color="auto"/>
        <w:right w:val="none" w:sz="0" w:space="0" w:color="auto"/>
      </w:divBdr>
    </w:div>
    <w:div w:id="422531587">
      <w:marLeft w:val="0"/>
      <w:marRight w:val="0"/>
      <w:marTop w:val="0"/>
      <w:marBottom w:val="0"/>
      <w:divBdr>
        <w:top w:val="none" w:sz="0" w:space="0" w:color="auto"/>
        <w:left w:val="none" w:sz="0" w:space="0" w:color="auto"/>
        <w:bottom w:val="none" w:sz="0" w:space="0" w:color="auto"/>
        <w:right w:val="none" w:sz="0" w:space="0" w:color="auto"/>
      </w:divBdr>
      <w:divsChild>
        <w:div w:id="943926402">
          <w:marLeft w:val="0"/>
          <w:marRight w:val="0"/>
          <w:marTop w:val="60"/>
          <w:marBottom w:val="60"/>
          <w:divBdr>
            <w:top w:val="none" w:sz="0" w:space="0" w:color="auto"/>
            <w:left w:val="none" w:sz="0" w:space="0" w:color="auto"/>
            <w:bottom w:val="none" w:sz="0" w:space="0" w:color="auto"/>
            <w:right w:val="none" w:sz="0" w:space="0" w:color="auto"/>
          </w:divBdr>
        </w:div>
      </w:divsChild>
    </w:div>
    <w:div w:id="424345817">
      <w:marLeft w:val="0"/>
      <w:marRight w:val="0"/>
      <w:marTop w:val="180"/>
      <w:marBottom w:val="180"/>
      <w:divBdr>
        <w:top w:val="none" w:sz="0" w:space="0" w:color="auto"/>
        <w:left w:val="none" w:sz="0" w:space="0" w:color="auto"/>
        <w:bottom w:val="none" w:sz="0" w:space="0" w:color="auto"/>
        <w:right w:val="none" w:sz="0" w:space="0" w:color="auto"/>
      </w:divBdr>
    </w:div>
    <w:div w:id="424493853">
      <w:marLeft w:val="0"/>
      <w:marRight w:val="0"/>
      <w:marTop w:val="180"/>
      <w:marBottom w:val="60"/>
      <w:divBdr>
        <w:top w:val="none" w:sz="0" w:space="0" w:color="auto"/>
        <w:left w:val="none" w:sz="0" w:space="0" w:color="auto"/>
        <w:bottom w:val="none" w:sz="0" w:space="0" w:color="auto"/>
        <w:right w:val="none" w:sz="0" w:space="0" w:color="auto"/>
      </w:divBdr>
    </w:div>
    <w:div w:id="424807918">
      <w:marLeft w:val="0"/>
      <w:marRight w:val="0"/>
      <w:marTop w:val="180"/>
      <w:marBottom w:val="180"/>
      <w:divBdr>
        <w:top w:val="none" w:sz="0" w:space="0" w:color="auto"/>
        <w:left w:val="none" w:sz="0" w:space="0" w:color="auto"/>
        <w:bottom w:val="none" w:sz="0" w:space="0" w:color="auto"/>
        <w:right w:val="none" w:sz="0" w:space="0" w:color="auto"/>
      </w:divBdr>
    </w:div>
    <w:div w:id="427237334">
      <w:marLeft w:val="0"/>
      <w:marRight w:val="0"/>
      <w:marTop w:val="60"/>
      <w:marBottom w:val="60"/>
      <w:divBdr>
        <w:top w:val="none" w:sz="0" w:space="0" w:color="auto"/>
        <w:left w:val="none" w:sz="0" w:space="0" w:color="auto"/>
        <w:bottom w:val="none" w:sz="0" w:space="0" w:color="auto"/>
        <w:right w:val="none" w:sz="0" w:space="0" w:color="auto"/>
      </w:divBdr>
    </w:div>
    <w:div w:id="428474939">
      <w:marLeft w:val="0"/>
      <w:marRight w:val="0"/>
      <w:marTop w:val="0"/>
      <w:marBottom w:val="0"/>
      <w:divBdr>
        <w:top w:val="none" w:sz="0" w:space="0" w:color="auto"/>
        <w:left w:val="none" w:sz="0" w:space="0" w:color="auto"/>
        <w:bottom w:val="none" w:sz="0" w:space="0" w:color="auto"/>
        <w:right w:val="none" w:sz="0" w:space="0" w:color="auto"/>
      </w:divBdr>
    </w:div>
    <w:div w:id="429743818">
      <w:marLeft w:val="0"/>
      <w:marRight w:val="0"/>
      <w:marTop w:val="180"/>
      <w:marBottom w:val="180"/>
      <w:divBdr>
        <w:top w:val="none" w:sz="0" w:space="0" w:color="auto"/>
        <w:left w:val="none" w:sz="0" w:space="0" w:color="auto"/>
        <w:bottom w:val="none" w:sz="0" w:space="0" w:color="auto"/>
        <w:right w:val="none" w:sz="0" w:space="0" w:color="auto"/>
      </w:divBdr>
    </w:div>
    <w:div w:id="431435909">
      <w:marLeft w:val="0"/>
      <w:marRight w:val="0"/>
      <w:marTop w:val="180"/>
      <w:marBottom w:val="180"/>
      <w:divBdr>
        <w:top w:val="none" w:sz="0" w:space="0" w:color="auto"/>
        <w:left w:val="none" w:sz="0" w:space="0" w:color="auto"/>
        <w:bottom w:val="none" w:sz="0" w:space="0" w:color="auto"/>
        <w:right w:val="none" w:sz="0" w:space="0" w:color="auto"/>
      </w:divBdr>
    </w:div>
    <w:div w:id="433289825">
      <w:marLeft w:val="0"/>
      <w:marRight w:val="0"/>
      <w:marTop w:val="180"/>
      <w:marBottom w:val="180"/>
      <w:divBdr>
        <w:top w:val="none" w:sz="0" w:space="0" w:color="auto"/>
        <w:left w:val="none" w:sz="0" w:space="0" w:color="auto"/>
        <w:bottom w:val="none" w:sz="0" w:space="0" w:color="auto"/>
        <w:right w:val="none" w:sz="0" w:space="0" w:color="auto"/>
      </w:divBdr>
    </w:div>
    <w:div w:id="433984517">
      <w:marLeft w:val="0"/>
      <w:marRight w:val="0"/>
      <w:marTop w:val="180"/>
      <w:marBottom w:val="180"/>
      <w:divBdr>
        <w:top w:val="none" w:sz="0" w:space="0" w:color="auto"/>
        <w:left w:val="none" w:sz="0" w:space="0" w:color="auto"/>
        <w:bottom w:val="none" w:sz="0" w:space="0" w:color="auto"/>
        <w:right w:val="none" w:sz="0" w:space="0" w:color="auto"/>
      </w:divBdr>
    </w:div>
    <w:div w:id="434638790">
      <w:marLeft w:val="0"/>
      <w:marRight w:val="0"/>
      <w:marTop w:val="60"/>
      <w:marBottom w:val="60"/>
      <w:divBdr>
        <w:top w:val="none" w:sz="0" w:space="0" w:color="auto"/>
        <w:left w:val="none" w:sz="0" w:space="0" w:color="auto"/>
        <w:bottom w:val="none" w:sz="0" w:space="0" w:color="auto"/>
        <w:right w:val="none" w:sz="0" w:space="0" w:color="auto"/>
      </w:divBdr>
    </w:div>
    <w:div w:id="437261626">
      <w:marLeft w:val="0"/>
      <w:marRight w:val="0"/>
      <w:marTop w:val="60"/>
      <w:marBottom w:val="60"/>
      <w:divBdr>
        <w:top w:val="none" w:sz="0" w:space="0" w:color="auto"/>
        <w:left w:val="none" w:sz="0" w:space="0" w:color="auto"/>
        <w:bottom w:val="none" w:sz="0" w:space="0" w:color="auto"/>
        <w:right w:val="none" w:sz="0" w:space="0" w:color="auto"/>
      </w:divBdr>
    </w:div>
    <w:div w:id="439685739">
      <w:marLeft w:val="0"/>
      <w:marRight w:val="0"/>
      <w:marTop w:val="180"/>
      <w:marBottom w:val="180"/>
      <w:divBdr>
        <w:top w:val="none" w:sz="0" w:space="0" w:color="auto"/>
        <w:left w:val="none" w:sz="0" w:space="0" w:color="auto"/>
        <w:bottom w:val="none" w:sz="0" w:space="0" w:color="auto"/>
        <w:right w:val="none" w:sz="0" w:space="0" w:color="auto"/>
      </w:divBdr>
    </w:div>
    <w:div w:id="440882346">
      <w:marLeft w:val="0"/>
      <w:marRight w:val="0"/>
      <w:marTop w:val="60"/>
      <w:marBottom w:val="60"/>
      <w:divBdr>
        <w:top w:val="none" w:sz="0" w:space="0" w:color="auto"/>
        <w:left w:val="none" w:sz="0" w:space="0" w:color="auto"/>
        <w:bottom w:val="none" w:sz="0" w:space="0" w:color="auto"/>
        <w:right w:val="none" w:sz="0" w:space="0" w:color="auto"/>
      </w:divBdr>
      <w:divsChild>
        <w:div w:id="190462656">
          <w:marLeft w:val="0"/>
          <w:marRight w:val="0"/>
          <w:marTop w:val="0"/>
          <w:marBottom w:val="0"/>
          <w:divBdr>
            <w:top w:val="none" w:sz="0" w:space="0" w:color="auto"/>
            <w:left w:val="none" w:sz="0" w:space="0" w:color="auto"/>
            <w:bottom w:val="none" w:sz="0" w:space="0" w:color="auto"/>
            <w:right w:val="none" w:sz="0" w:space="0" w:color="auto"/>
          </w:divBdr>
        </w:div>
      </w:divsChild>
    </w:div>
    <w:div w:id="441459755">
      <w:marLeft w:val="0"/>
      <w:marRight w:val="0"/>
      <w:marTop w:val="180"/>
      <w:marBottom w:val="180"/>
      <w:divBdr>
        <w:top w:val="none" w:sz="0" w:space="0" w:color="auto"/>
        <w:left w:val="none" w:sz="0" w:space="0" w:color="auto"/>
        <w:bottom w:val="none" w:sz="0" w:space="0" w:color="auto"/>
        <w:right w:val="none" w:sz="0" w:space="0" w:color="auto"/>
      </w:divBdr>
    </w:div>
    <w:div w:id="441614199">
      <w:marLeft w:val="0"/>
      <w:marRight w:val="0"/>
      <w:marTop w:val="60"/>
      <w:marBottom w:val="60"/>
      <w:divBdr>
        <w:top w:val="none" w:sz="0" w:space="0" w:color="auto"/>
        <w:left w:val="none" w:sz="0" w:space="0" w:color="auto"/>
        <w:bottom w:val="none" w:sz="0" w:space="0" w:color="auto"/>
        <w:right w:val="none" w:sz="0" w:space="0" w:color="auto"/>
      </w:divBdr>
    </w:div>
    <w:div w:id="442653776">
      <w:marLeft w:val="0"/>
      <w:marRight w:val="0"/>
      <w:marTop w:val="180"/>
      <w:marBottom w:val="180"/>
      <w:divBdr>
        <w:top w:val="none" w:sz="0" w:space="0" w:color="auto"/>
        <w:left w:val="none" w:sz="0" w:space="0" w:color="auto"/>
        <w:bottom w:val="none" w:sz="0" w:space="0" w:color="auto"/>
        <w:right w:val="none" w:sz="0" w:space="0" w:color="auto"/>
      </w:divBdr>
    </w:div>
    <w:div w:id="444155951">
      <w:marLeft w:val="0"/>
      <w:marRight w:val="0"/>
      <w:marTop w:val="180"/>
      <w:marBottom w:val="180"/>
      <w:divBdr>
        <w:top w:val="none" w:sz="0" w:space="0" w:color="auto"/>
        <w:left w:val="none" w:sz="0" w:space="0" w:color="auto"/>
        <w:bottom w:val="none" w:sz="0" w:space="0" w:color="auto"/>
        <w:right w:val="none" w:sz="0" w:space="0" w:color="auto"/>
      </w:divBdr>
    </w:div>
    <w:div w:id="444542250">
      <w:marLeft w:val="0"/>
      <w:marRight w:val="0"/>
      <w:marTop w:val="180"/>
      <w:marBottom w:val="180"/>
      <w:divBdr>
        <w:top w:val="none" w:sz="0" w:space="0" w:color="auto"/>
        <w:left w:val="none" w:sz="0" w:space="0" w:color="auto"/>
        <w:bottom w:val="none" w:sz="0" w:space="0" w:color="auto"/>
        <w:right w:val="none" w:sz="0" w:space="0" w:color="auto"/>
      </w:divBdr>
    </w:div>
    <w:div w:id="444662035">
      <w:marLeft w:val="0"/>
      <w:marRight w:val="0"/>
      <w:marTop w:val="180"/>
      <w:marBottom w:val="180"/>
      <w:divBdr>
        <w:top w:val="none" w:sz="0" w:space="0" w:color="auto"/>
        <w:left w:val="none" w:sz="0" w:space="0" w:color="auto"/>
        <w:bottom w:val="none" w:sz="0" w:space="0" w:color="auto"/>
        <w:right w:val="none" w:sz="0" w:space="0" w:color="auto"/>
      </w:divBdr>
    </w:div>
    <w:div w:id="445004803">
      <w:marLeft w:val="0"/>
      <w:marRight w:val="0"/>
      <w:marTop w:val="180"/>
      <w:marBottom w:val="180"/>
      <w:divBdr>
        <w:top w:val="none" w:sz="0" w:space="0" w:color="auto"/>
        <w:left w:val="none" w:sz="0" w:space="0" w:color="auto"/>
        <w:bottom w:val="none" w:sz="0" w:space="0" w:color="auto"/>
        <w:right w:val="none" w:sz="0" w:space="0" w:color="auto"/>
      </w:divBdr>
    </w:div>
    <w:div w:id="445779661">
      <w:marLeft w:val="0"/>
      <w:marRight w:val="0"/>
      <w:marTop w:val="0"/>
      <w:marBottom w:val="0"/>
      <w:divBdr>
        <w:top w:val="none" w:sz="0" w:space="0" w:color="auto"/>
        <w:left w:val="none" w:sz="0" w:space="0" w:color="auto"/>
        <w:bottom w:val="none" w:sz="0" w:space="0" w:color="auto"/>
        <w:right w:val="none" w:sz="0" w:space="0" w:color="auto"/>
      </w:divBdr>
    </w:div>
    <w:div w:id="447547261">
      <w:marLeft w:val="0"/>
      <w:marRight w:val="0"/>
      <w:marTop w:val="180"/>
      <w:marBottom w:val="180"/>
      <w:divBdr>
        <w:top w:val="none" w:sz="0" w:space="0" w:color="auto"/>
        <w:left w:val="none" w:sz="0" w:space="0" w:color="auto"/>
        <w:bottom w:val="none" w:sz="0" w:space="0" w:color="auto"/>
        <w:right w:val="none" w:sz="0" w:space="0" w:color="auto"/>
      </w:divBdr>
    </w:div>
    <w:div w:id="447699549">
      <w:marLeft w:val="0"/>
      <w:marRight w:val="0"/>
      <w:marTop w:val="60"/>
      <w:marBottom w:val="60"/>
      <w:divBdr>
        <w:top w:val="none" w:sz="0" w:space="0" w:color="auto"/>
        <w:left w:val="none" w:sz="0" w:space="0" w:color="auto"/>
        <w:bottom w:val="none" w:sz="0" w:space="0" w:color="auto"/>
        <w:right w:val="none" w:sz="0" w:space="0" w:color="auto"/>
      </w:divBdr>
    </w:div>
    <w:div w:id="447967894">
      <w:marLeft w:val="0"/>
      <w:marRight w:val="0"/>
      <w:marTop w:val="0"/>
      <w:marBottom w:val="0"/>
      <w:divBdr>
        <w:top w:val="none" w:sz="0" w:space="0" w:color="auto"/>
        <w:left w:val="none" w:sz="0" w:space="0" w:color="auto"/>
        <w:bottom w:val="none" w:sz="0" w:space="0" w:color="auto"/>
        <w:right w:val="none" w:sz="0" w:space="0" w:color="auto"/>
      </w:divBdr>
      <w:divsChild>
        <w:div w:id="1566641093">
          <w:marLeft w:val="0"/>
          <w:marRight w:val="0"/>
          <w:marTop w:val="60"/>
          <w:marBottom w:val="60"/>
          <w:divBdr>
            <w:top w:val="none" w:sz="0" w:space="0" w:color="auto"/>
            <w:left w:val="none" w:sz="0" w:space="0" w:color="auto"/>
            <w:bottom w:val="none" w:sz="0" w:space="0" w:color="auto"/>
            <w:right w:val="none" w:sz="0" w:space="0" w:color="auto"/>
          </w:divBdr>
        </w:div>
      </w:divsChild>
    </w:div>
    <w:div w:id="450705616">
      <w:marLeft w:val="0"/>
      <w:marRight w:val="0"/>
      <w:marTop w:val="180"/>
      <w:marBottom w:val="180"/>
      <w:divBdr>
        <w:top w:val="none" w:sz="0" w:space="0" w:color="auto"/>
        <w:left w:val="none" w:sz="0" w:space="0" w:color="auto"/>
        <w:bottom w:val="none" w:sz="0" w:space="0" w:color="auto"/>
        <w:right w:val="none" w:sz="0" w:space="0" w:color="auto"/>
      </w:divBdr>
    </w:div>
    <w:div w:id="451049911">
      <w:marLeft w:val="0"/>
      <w:marRight w:val="0"/>
      <w:marTop w:val="180"/>
      <w:marBottom w:val="180"/>
      <w:divBdr>
        <w:top w:val="none" w:sz="0" w:space="0" w:color="auto"/>
        <w:left w:val="none" w:sz="0" w:space="0" w:color="auto"/>
        <w:bottom w:val="none" w:sz="0" w:space="0" w:color="auto"/>
        <w:right w:val="none" w:sz="0" w:space="0" w:color="auto"/>
      </w:divBdr>
    </w:div>
    <w:div w:id="452335717">
      <w:marLeft w:val="0"/>
      <w:marRight w:val="0"/>
      <w:marTop w:val="60"/>
      <w:marBottom w:val="60"/>
      <w:divBdr>
        <w:top w:val="none" w:sz="0" w:space="0" w:color="auto"/>
        <w:left w:val="none" w:sz="0" w:space="0" w:color="auto"/>
        <w:bottom w:val="none" w:sz="0" w:space="0" w:color="auto"/>
        <w:right w:val="none" w:sz="0" w:space="0" w:color="auto"/>
      </w:divBdr>
    </w:div>
    <w:div w:id="452674927">
      <w:marLeft w:val="0"/>
      <w:marRight w:val="0"/>
      <w:marTop w:val="0"/>
      <w:marBottom w:val="0"/>
      <w:divBdr>
        <w:top w:val="none" w:sz="0" w:space="0" w:color="auto"/>
        <w:left w:val="none" w:sz="0" w:space="0" w:color="auto"/>
        <w:bottom w:val="none" w:sz="0" w:space="0" w:color="auto"/>
        <w:right w:val="none" w:sz="0" w:space="0" w:color="auto"/>
      </w:divBdr>
      <w:divsChild>
        <w:div w:id="683940760">
          <w:marLeft w:val="0"/>
          <w:marRight w:val="0"/>
          <w:marTop w:val="0"/>
          <w:marBottom w:val="0"/>
          <w:divBdr>
            <w:top w:val="none" w:sz="0" w:space="0" w:color="auto"/>
            <w:left w:val="none" w:sz="0" w:space="0" w:color="auto"/>
            <w:bottom w:val="none" w:sz="0" w:space="0" w:color="auto"/>
            <w:right w:val="none" w:sz="0" w:space="0" w:color="auto"/>
          </w:divBdr>
          <w:divsChild>
            <w:div w:id="227149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53256074">
      <w:marLeft w:val="0"/>
      <w:marRight w:val="0"/>
      <w:marTop w:val="0"/>
      <w:marBottom w:val="0"/>
      <w:divBdr>
        <w:top w:val="none" w:sz="0" w:space="0" w:color="auto"/>
        <w:left w:val="none" w:sz="0" w:space="0" w:color="auto"/>
        <w:bottom w:val="none" w:sz="0" w:space="0" w:color="auto"/>
        <w:right w:val="none" w:sz="0" w:space="0" w:color="auto"/>
      </w:divBdr>
    </w:div>
    <w:div w:id="454179761">
      <w:marLeft w:val="0"/>
      <w:marRight w:val="0"/>
      <w:marTop w:val="60"/>
      <w:marBottom w:val="60"/>
      <w:divBdr>
        <w:top w:val="none" w:sz="0" w:space="0" w:color="auto"/>
        <w:left w:val="none" w:sz="0" w:space="0" w:color="auto"/>
        <w:bottom w:val="none" w:sz="0" w:space="0" w:color="auto"/>
        <w:right w:val="none" w:sz="0" w:space="0" w:color="auto"/>
      </w:divBdr>
    </w:div>
    <w:div w:id="455031330">
      <w:marLeft w:val="0"/>
      <w:marRight w:val="0"/>
      <w:marTop w:val="180"/>
      <w:marBottom w:val="180"/>
      <w:divBdr>
        <w:top w:val="none" w:sz="0" w:space="0" w:color="auto"/>
        <w:left w:val="none" w:sz="0" w:space="0" w:color="auto"/>
        <w:bottom w:val="none" w:sz="0" w:space="0" w:color="auto"/>
        <w:right w:val="none" w:sz="0" w:space="0" w:color="auto"/>
      </w:divBdr>
    </w:div>
    <w:div w:id="459614204">
      <w:marLeft w:val="0"/>
      <w:marRight w:val="0"/>
      <w:marTop w:val="0"/>
      <w:marBottom w:val="0"/>
      <w:divBdr>
        <w:top w:val="none" w:sz="0" w:space="0" w:color="auto"/>
        <w:left w:val="none" w:sz="0" w:space="0" w:color="auto"/>
        <w:bottom w:val="none" w:sz="0" w:space="0" w:color="auto"/>
        <w:right w:val="none" w:sz="0" w:space="0" w:color="auto"/>
      </w:divBdr>
      <w:divsChild>
        <w:div w:id="1734500232">
          <w:marLeft w:val="0"/>
          <w:marRight w:val="0"/>
          <w:marTop w:val="60"/>
          <w:marBottom w:val="60"/>
          <w:divBdr>
            <w:top w:val="none" w:sz="0" w:space="0" w:color="auto"/>
            <w:left w:val="none" w:sz="0" w:space="0" w:color="auto"/>
            <w:bottom w:val="none" w:sz="0" w:space="0" w:color="auto"/>
            <w:right w:val="none" w:sz="0" w:space="0" w:color="auto"/>
          </w:divBdr>
        </w:div>
      </w:divsChild>
    </w:div>
    <w:div w:id="460617421">
      <w:marLeft w:val="0"/>
      <w:marRight w:val="0"/>
      <w:marTop w:val="180"/>
      <w:marBottom w:val="180"/>
      <w:divBdr>
        <w:top w:val="none" w:sz="0" w:space="0" w:color="auto"/>
        <w:left w:val="none" w:sz="0" w:space="0" w:color="auto"/>
        <w:bottom w:val="none" w:sz="0" w:space="0" w:color="auto"/>
        <w:right w:val="none" w:sz="0" w:space="0" w:color="auto"/>
      </w:divBdr>
    </w:div>
    <w:div w:id="460656217">
      <w:marLeft w:val="0"/>
      <w:marRight w:val="0"/>
      <w:marTop w:val="60"/>
      <w:marBottom w:val="60"/>
      <w:divBdr>
        <w:top w:val="none" w:sz="0" w:space="0" w:color="auto"/>
        <w:left w:val="none" w:sz="0" w:space="0" w:color="auto"/>
        <w:bottom w:val="none" w:sz="0" w:space="0" w:color="auto"/>
        <w:right w:val="none" w:sz="0" w:space="0" w:color="auto"/>
      </w:divBdr>
    </w:div>
    <w:div w:id="463355419">
      <w:marLeft w:val="0"/>
      <w:marRight w:val="0"/>
      <w:marTop w:val="100"/>
      <w:marBottom w:val="100"/>
      <w:divBdr>
        <w:top w:val="none" w:sz="0" w:space="0" w:color="auto"/>
        <w:left w:val="none" w:sz="0" w:space="0" w:color="auto"/>
        <w:bottom w:val="none" w:sz="0" w:space="0" w:color="auto"/>
        <w:right w:val="none" w:sz="0" w:space="0" w:color="auto"/>
      </w:divBdr>
      <w:divsChild>
        <w:div w:id="851258413">
          <w:marLeft w:val="0"/>
          <w:marRight w:val="0"/>
          <w:marTop w:val="0"/>
          <w:marBottom w:val="0"/>
          <w:divBdr>
            <w:top w:val="none" w:sz="0" w:space="0" w:color="auto"/>
            <w:left w:val="none" w:sz="0" w:space="0" w:color="auto"/>
            <w:bottom w:val="none" w:sz="0" w:space="0" w:color="auto"/>
            <w:right w:val="none" w:sz="0" w:space="0" w:color="auto"/>
          </w:divBdr>
        </w:div>
        <w:div w:id="1141121846">
          <w:marLeft w:val="0"/>
          <w:marRight w:val="0"/>
          <w:marTop w:val="0"/>
          <w:marBottom w:val="0"/>
          <w:divBdr>
            <w:top w:val="none" w:sz="0" w:space="0" w:color="auto"/>
            <w:left w:val="none" w:sz="0" w:space="0" w:color="auto"/>
            <w:bottom w:val="none" w:sz="0" w:space="0" w:color="auto"/>
            <w:right w:val="none" w:sz="0" w:space="0" w:color="auto"/>
          </w:divBdr>
        </w:div>
      </w:divsChild>
    </w:div>
    <w:div w:id="464347643">
      <w:marLeft w:val="0"/>
      <w:marRight w:val="0"/>
      <w:marTop w:val="180"/>
      <w:marBottom w:val="180"/>
      <w:divBdr>
        <w:top w:val="none" w:sz="0" w:space="0" w:color="auto"/>
        <w:left w:val="none" w:sz="0" w:space="0" w:color="auto"/>
        <w:bottom w:val="none" w:sz="0" w:space="0" w:color="auto"/>
        <w:right w:val="none" w:sz="0" w:space="0" w:color="auto"/>
      </w:divBdr>
    </w:div>
    <w:div w:id="464587856">
      <w:marLeft w:val="0"/>
      <w:marRight w:val="0"/>
      <w:marTop w:val="180"/>
      <w:marBottom w:val="180"/>
      <w:divBdr>
        <w:top w:val="none" w:sz="0" w:space="0" w:color="auto"/>
        <w:left w:val="none" w:sz="0" w:space="0" w:color="auto"/>
        <w:bottom w:val="none" w:sz="0" w:space="0" w:color="auto"/>
        <w:right w:val="none" w:sz="0" w:space="0" w:color="auto"/>
      </w:divBdr>
    </w:div>
    <w:div w:id="473068150">
      <w:marLeft w:val="0"/>
      <w:marRight w:val="0"/>
      <w:marTop w:val="180"/>
      <w:marBottom w:val="180"/>
      <w:divBdr>
        <w:top w:val="none" w:sz="0" w:space="0" w:color="auto"/>
        <w:left w:val="none" w:sz="0" w:space="0" w:color="auto"/>
        <w:bottom w:val="none" w:sz="0" w:space="0" w:color="auto"/>
        <w:right w:val="none" w:sz="0" w:space="0" w:color="auto"/>
      </w:divBdr>
    </w:div>
    <w:div w:id="474108228">
      <w:marLeft w:val="0"/>
      <w:marRight w:val="0"/>
      <w:marTop w:val="60"/>
      <w:marBottom w:val="60"/>
      <w:divBdr>
        <w:top w:val="none" w:sz="0" w:space="0" w:color="auto"/>
        <w:left w:val="none" w:sz="0" w:space="0" w:color="auto"/>
        <w:bottom w:val="none" w:sz="0" w:space="0" w:color="auto"/>
        <w:right w:val="none" w:sz="0" w:space="0" w:color="auto"/>
      </w:divBdr>
    </w:div>
    <w:div w:id="476727344">
      <w:marLeft w:val="0"/>
      <w:marRight w:val="0"/>
      <w:marTop w:val="240"/>
      <w:marBottom w:val="180"/>
      <w:divBdr>
        <w:top w:val="none" w:sz="0" w:space="0" w:color="auto"/>
        <w:left w:val="none" w:sz="0" w:space="0" w:color="auto"/>
        <w:bottom w:val="none" w:sz="0" w:space="0" w:color="auto"/>
        <w:right w:val="none" w:sz="0" w:space="0" w:color="auto"/>
      </w:divBdr>
    </w:div>
    <w:div w:id="485246780">
      <w:marLeft w:val="0"/>
      <w:marRight w:val="0"/>
      <w:marTop w:val="0"/>
      <w:marBottom w:val="0"/>
      <w:divBdr>
        <w:top w:val="none" w:sz="0" w:space="0" w:color="auto"/>
        <w:left w:val="none" w:sz="0" w:space="0" w:color="auto"/>
        <w:bottom w:val="none" w:sz="0" w:space="0" w:color="auto"/>
        <w:right w:val="none" w:sz="0" w:space="0" w:color="auto"/>
      </w:divBdr>
      <w:divsChild>
        <w:div w:id="1294409454">
          <w:marLeft w:val="0"/>
          <w:marRight w:val="0"/>
          <w:marTop w:val="60"/>
          <w:marBottom w:val="60"/>
          <w:divBdr>
            <w:top w:val="none" w:sz="0" w:space="0" w:color="auto"/>
            <w:left w:val="none" w:sz="0" w:space="0" w:color="auto"/>
            <w:bottom w:val="none" w:sz="0" w:space="0" w:color="auto"/>
            <w:right w:val="none" w:sz="0" w:space="0" w:color="auto"/>
          </w:divBdr>
        </w:div>
      </w:divsChild>
    </w:div>
    <w:div w:id="486676170">
      <w:marLeft w:val="0"/>
      <w:marRight w:val="0"/>
      <w:marTop w:val="60"/>
      <w:marBottom w:val="60"/>
      <w:divBdr>
        <w:top w:val="none" w:sz="0" w:space="0" w:color="auto"/>
        <w:left w:val="none" w:sz="0" w:space="0" w:color="auto"/>
        <w:bottom w:val="none" w:sz="0" w:space="0" w:color="auto"/>
        <w:right w:val="none" w:sz="0" w:space="0" w:color="auto"/>
      </w:divBdr>
    </w:div>
    <w:div w:id="486749767">
      <w:marLeft w:val="0"/>
      <w:marRight w:val="0"/>
      <w:marTop w:val="180"/>
      <w:marBottom w:val="180"/>
      <w:divBdr>
        <w:top w:val="none" w:sz="0" w:space="0" w:color="auto"/>
        <w:left w:val="none" w:sz="0" w:space="0" w:color="auto"/>
        <w:bottom w:val="none" w:sz="0" w:space="0" w:color="auto"/>
        <w:right w:val="none" w:sz="0" w:space="0" w:color="auto"/>
      </w:divBdr>
    </w:div>
    <w:div w:id="487021161">
      <w:marLeft w:val="0"/>
      <w:marRight w:val="0"/>
      <w:marTop w:val="60"/>
      <w:marBottom w:val="60"/>
      <w:divBdr>
        <w:top w:val="none" w:sz="0" w:space="0" w:color="auto"/>
        <w:left w:val="none" w:sz="0" w:space="0" w:color="auto"/>
        <w:bottom w:val="none" w:sz="0" w:space="0" w:color="auto"/>
        <w:right w:val="none" w:sz="0" w:space="0" w:color="auto"/>
      </w:divBdr>
    </w:div>
    <w:div w:id="488205652">
      <w:marLeft w:val="0"/>
      <w:marRight w:val="0"/>
      <w:marTop w:val="180"/>
      <w:marBottom w:val="180"/>
      <w:divBdr>
        <w:top w:val="none" w:sz="0" w:space="0" w:color="auto"/>
        <w:left w:val="none" w:sz="0" w:space="0" w:color="auto"/>
        <w:bottom w:val="none" w:sz="0" w:space="0" w:color="auto"/>
        <w:right w:val="none" w:sz="0" w:space="0" w:color="auto"/>
      </w:divBdr>
    </w:div>
    <w:div w:id="488863017">
      <w:marLeft w:val="0"/>
      <w:marRight w:val="0"/>
      <w:marTop w:val="180"/>
      <w:marBottom w:val="180"/>
      <w:divBdr>
        <w:top w:val="none" w:sz="0" w:space="0" w:color="auto"/>
        <w:left w:val="none" w:sz="0" w:space="0" w:color="auto"/>
        <w:bottom w:val="none" w:sz="0" w:space="0" w:color="auto"/>
        <w:right w:val="none" w:sz="0" w:space="0" w:color="auto"/>
      </w:divBdr>
    </w:div>
    <w:div w:id="490370570">
      <w:marLeft w:val="0"/>
      <w:marRight w:val="0"/>
      <w:marTop w:val="180"/>
      <w:marBottom w:val="60"/>
      <w:divBdr>
        <w:top w:val="none" w:sz="0" w:space="0" w:color="auto"/>
        <w:left w:val="none" w:sz="0" w:space="0" w:color="auto"/>
        <w:bottom w:val="none" w:sz="0" w:space="0" w:color="auto"/>
        <w:right w:val="none" w:sz="0" w:space="0" w:color="auto"/>
      </w:divBdr>
    </w:div>
    <w:div w:id="491333055">
      <w:marLeft w:val="0"/>
      <w:marRight w:val="0"/>
      <w:marTop w:val="180"/>
      <w:marBottom w:val="180"/>
      <w:divBdr>
        <w:top w:val="none" w:sz="0" w:space="0" w:color="auto"/>
        <w:left w:val="none" w:sz="0" w:space="0" w:color="auto"/>
        <w:bottom w:val="none" w:sz="0" w:space="0" w:color="auto"/>
        <w:right w:val="none" w:sz="0" w:space="0" w:color="auto"/>
      </w:divBdr>
    </w:div>
    <w:div w:id="492070394">
      <w:marLeft w:val="0"/>
      <w:marRight w:val="0"/>
      <w:marTop w:val="180"/>
      <w:marBottom w:val="180"/>
      <w:divBdr>
        <w:top w:val="none" w:sz="0" w:space="0" w:color="auto"/>
        <w:left w:val="none" w:sz="0" w:space="0" w:color="auto"/>
        <w:bottom w:val="none" w:sz="0" w:space="0" w:color="auto"/>
        <w:right w:val="none" w:sz="0" w:space="0" w:color="auto"/>
      </w:divBdr>
    </w:div>
    <w:div w:id="492647341">
      <w:marLeft w:val="0"/>
      <w:marRight w:val="0"/>
      <w:marTop w:val="180"/>
      <w:marBottom w:val="180"/>
      <w:divBdr>
        <w:top w:val="none" w:sz="0" w:space="0" w:color="auto"/>
        <w:left w:val="none" w:sz="0" w:space="0" w:color="auto"/>
        <w:bottom w:val="none" w:sz="0" w:space="0" w:color="auto"/>
        <w:right w:val="none" w:sz="0" w:space="0" w:color="auto"/>
      </w:divBdr>
    </w:div>
    <w:div w:id="493297742">
      <w:marLeft w:val="0"/>
      <w:marRight w:val="0"/>
      <w:marTop w:val="180"/>
      <w:marBottom w:val="180"/>
      <w:divBdr>
        <w:top w:val="none" w:sz="0" w:space="0" w:color="auto"/>
        <w:left w:val="none" w:sz="0" w:space="0" w:color="auto"/>
        <w:bottom w:val="none" w:sz="0" w:space="0" w:color="auto"/>
        <w:right w:val="none" w:sz="0" w:space="0" w:color="auto"/>
      </w:divBdr>
    </w:div>
    <w:div w:id="494224835">
      <w:marLeft w:val="0"/>
      <w:marRight w:val="0"/>
      <w:marTop w:val="180"/>
      <w:marBottom w:val="180"/>
      <w:divBdr>
        <w:top w:val="none" w:sz="0" w:space="0" w:color="auto"/>
        <w:left w:val="none" w:sz="0" w:space="0" w:color="auto"/>
        <w:bottom w:val="none" w:sz="0" w:space="0" w:color="auto"/>
        <w:right w:val="none" w:sz="0" w:space="0" w:color="auto"/>
      </w:divBdr>
    </w:div>
    <w:div w:id="494496882">
      <w:marLeft w:val="0"/>
      <w:marRight w:val="0"/>
      <w:marTop w:val="0"/>
      <w:marBottom w:val="0"/>
      <w:divBdr>
        <w:top w:val="none" w:sz="0" w:space="0" w:color="auto"/>
        <w:left w:val="none" w:sz="0" w:space="0" w:color="auto"/>
        <w:bottom w:val="none" w:sz="0" w:space="0" w:color="auto"/>
        <w:right w:val="none" w:sz="0" w:space="0" w:color="auto"/>
      </w:divBdr>
      <w:divsChild>
        <w:div w:id="1003358963">
          <w:marLeft w:val="0"/>
          <w:marRight w:val="0"/>
          <w:marTop w:val="0"/>
          <w:marBottom w:val="0"/>
          <w:divBdr>
            <w:top w:val="none" w:sz="0" w:space="0" w:color="auto"/>
            <w:left w:val="none" w:sz="0" w:space="0" w:color="auto"/>
            <w:bottom w:val="none" w:sz="0" w:space="0" w:color="auto"/>
            <w:right w:val="none" w:sz="0" w:space="0" w:color="auto"/>
          </w:divBdr>
          <w:divsChild>
            <w:div w:id="19658880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95190770">
      <w:marLeft w:val="0"/>
      <w:marRight w:val="0"/>
      <w:marTop w:val="180"/>
      <w:marBottom w:val="180"/>
      <w:divBdr>
        <w:top w:val="none" w:sz="0" w:space="0" w:color="auto"/>
        <w:left w:val="none" w:sz="0" w:space="0" w:color="auto"/>
        <w:bottom w:val="none" w:sz="0" w:space="0" w:color="auto"/>
        <w:right w:val="none" w:sz="0" w:space="0" w:color="auto"/>
      </w:divBdr>
    </w:div>
    <w:div w:id="495461415">
      <w:marLeft w:val="0"/>
      <w:marRight w:val="0"/>
      <w:marTop w:val="180"/>
      <w:marBottom w:val="180"/>
      <w:divBdr>
        <w:top w:val="none" w:sz="0" w:space="0" w:color="auto"/>
        <w:left w:val="none" w:sz="0" w:space="0" w:color="auto"/>
        <w:bottom w:val="none" w:sz="0" w:space="0" w:color="auto"/>
        <w:right w:val="none" w:sz="0" w:space="0" w:color="auto"/>
      </w:divBdr>
    </w:div>
    <w:div w:id="498228825">
      <w:marLeft w:val="0"/>
      <w:marRight w:val="0"/>
      <w:marTop w:val="100"/>
      <w:marBottom w:val="100"/>
      <w:divBdr>
        <w:top w:val="none" w:sz="0" w:space="0" w:color="auto"/>
        <w:left w:val="none" w:sz="0" w:space="0" w:color="auto"/>
        <w:bottom w:val="none" w:sz="0" w:space="0" w:color="auto"/>
        <w:right w:val="none" w:sz="0" w:space="0" w:color="auto"/>
      </w:divBdr>
      <w:divsChild>
        <w:div w:id="1457603811">
          <w:marLeft w:val="0"/>
          <w:marRight w:val="0"/>
          <w:marTop w:val="0"/>
          <w:marBottom w:val="0"/>
          <w:divBdr>
            <w:top w:val="none" w:sz="0" w:space="0" w:color="auto"/>
            <w:left w:val="none" w:sz="0" w:space="0" w:color="auto"/>
            <w:bottom w:val="none" w:sz="0" w:space="0" w:color="auto"/>
            <w:right w:val="none" w:sz="0" w:space="0" w:color="auto"/>
          </w:divBdr>
        </w:div>
        <w:div w:id="1705448403">
          <w:marLeft w:val="0"/>
          <w:marRight w:val="0"/>
          <w:marTop w:val="0"/>
          <w:marBottom w:val="0"/>
          <w:divBdr>
            <w:top w:val="none" w:sz="0" w:space="0" w:color="auto"/>
            <w:left w:val="none" w:sz="0" w:space="0" w:color="auto"/>
            <w:bottom w:val="none" w:sz="0" w:space="0" w:color="auto"/>
            <w:right w:val="none" w:sz="0" w:space="0" w:color="auto"/>
          </w:divBdr>
        </w:div>
      </w:divsChild>
    </w:div>
    <w:div w:id="498496862">
      <w:marLeft w:val="0"/>
      <w:marRight w:val="0"/>
      <w:marTop w:val="180"/>
      <w:marBottom w:val="180"/>
      <w:divBdr>
        <w:top w:val="none" w:sz="0" w:space="0" w:color="auto"/>
        <w:left w:val="none" w:sz="0" w:space="0" w:color="auto"/>
        <w:bottom w:val="none" w:sz="0" w:space="0" w:color="auto"/>
        <w:right w:val="none" w:sz="0" w:space="0" w:color="auto"/>
      </w:divBdr>
    </w:div>
    <w:div w:id="500704923">
      <w:marLeft w:val="0"/>
      <w:marRight w:val="0"/>
      <w:marTop w:val="0"/>
      <w:marBottom w:val="0"/>
      <w:divBdr>
        <w:top w:val="none" w:sz="0" w:space="0" w:color="auto"/>
        <w:left w:val="none" w:sz="0" w:space="0" w:color="auto"/>
        <w:bottom w:val="none" w:sz="0" w:space="0" w:color="auto"/>
        <w:right w:val="none" w:sz="0" w:space="0" w:color="auto"/>
      </w:divBdr>
    </w:div>
    <w:div w:id="500971176">
      <w:marLeft w:val="0"/>
      <w:marRight w:val="0"/>
      <w:marTop w:val="180"/>
      <w:marBottom w:val="180"/>
      <w:divBdr>
        <w:top w:val="none" w:sz="0" w:space="0" w:color="auto"/>
        <w:left w:val="none" w:sz="0" w:space="0" w:color="auto"/>
        <w:bottom w:val="none" w:sz="0" w:space="0" w:color="auto"/>
        <w:right w:val="none" w:sz="0" w:space="0" w:color="auto"/>
      </w:divBdr>
    </w:div>
    <w:div w:id="501050452">
      <w:marLeft w:val="0"/>
      <w:marRight w:val="0"/>
      <w:marTop w:val="180"/>
      <w:marBottom w:val="180"/>
      <w:divBdr>
        <w:top w:val="none" w:sz="0" w:space="0" w:color="auto"/>
        <w:left w:val="none" w:sz="0" w:space="0" w:color="auto"/>
        <w:bottom w:val="none" w:sz="0" w:space="0" w:color="auto"/>
        <w:right w:val="none" w:sz="0" w:space="0" w:color="auto"/>
      </w:divBdr>
    </w:div>
    <w:div w:id="502280224">
      <w:marLeft w:val="0"/>
      <w:marRight w:val="0"/>
      <w:marTop w:val="180"/>
      <w:marBottom w:val="60"/>
      <w:divBdr>
        <w:top w:val="none" w:sz="0" w:space="0" w:color="auto"/>
        <w:left w:val="none" w:sz="0" w:space="0" w:color="auto"/>
        <w:bottom w:val="none" w:sz="0" w:space="0" w:color="auto"/>
        <w:right w:val="none" w:sz="0" w:space="0" w:color="auto"/>
      </w:divBdr>
    </w:div>
    <w:div w:id="503978092">
      <w:marLeft w:val="0"/>
      <w:marRight w:val="0"/>
      <w:marTop w:val="180"/>
      <w:marBottom w:val="180"/>
      <w:divBdr>
        <w:top w:val="none" w:sz="0" w:space="0" w:color="auto"/>
        <w:left w:val="none" w:sz="0" w:space="0" w:color="auto"/>
        <w:bottom w:val="none" w:sz="0" w:space="0" w:color="auto"/>
        <w:right w:val="none" w:sz="0" w:space="0" w:color="auto"/>
      </w:divBdr>
    </w:div>
    <w:div w:id="504169790">
      <w:marLeft w:val="0"/>
      <w:marRight w:val="0"/>
      <w:marTop w:val="180"/>
      <w:marBottom w:val="180"/>
      <w:divBdr>
        <w:top w:val="none" w:sz="0" w:space="0" w:color="auto"/>
        <w:left w:val="none" w:sz="0" w:space="0" w:color="auto"/>
        <w:bottom w:val="none" w:sz="0" w:space="0" w:color="auto"/>
        <w:right w:val="none" w:sz="0" w:space="0" w:color="auto"/>
      </w:divBdr>
    </w:div>
    <w:div w:id="505287429">
      <w:marLeft w:val="0"/>
      <w:marRight w:val="0"/>
      <w:marTop w:val="180"/>
      <w:marBottom w:val="180"/>
      <w:divBdr>
        <w:top w:val="none" w:sz="0" w:space="0" w:color="auto"/>
        <w:left w:val="none" w:sz="0" w:space="0" w:color="auto"/>
        <w:bottom w:val="none" w:sz="0" w:space="0" w:color="auto"/>
        <w:right w:val="none" w:sz="0" w:space="0" w:color="auto"/>
      </w:divBdr>
    </w:div>
    <w:div w:id="505634251">
      <w:marLeft w:val="0"/>
      <w:marRight w:val="0"/>
      <w:marTop w:val="180"/>
      <w:marBottom w:val="0"/>
      <w:divBdr>
        <w:top w:val="none" w:sz="0" w:space="0" w:color="auto"/>
        <w:left w:val="none" w:sz="0" w:space="0" w:color="auto"/>
        <w:bottom w:val="none" w:sz="0" w:space="0" w:color="auto"/>
        <w:right w:val="none" w:sz="0" w:space="0" w:color="auto"/>
      </w:divBdr>
    </w:div>
    <w:div w:id="505636898">
      <w:marLeft w:val="0"/>
      <w:marRight w:val="0"/>
      <w:marTop w:val="240"/>
      <w:marBottom w:val="180"/>
      <w:divBdr>
        <w:top w:val="none" w:sz="0" w:space="0" w:color="auto"/>
        <w:left w:val="none" w:sz="0" w:space="0" w:color="auto"/>
        <w:bottom w:val="none" w:sz="0" w:space="0" w:color="auto"/>
        <w:right w:val="none" w:sz="0" w:space="0" w:color="auto"/>
      </w:divBdr>
    </w:div>
    <w:div w:id="506559213">
      <w:marLeft w:val="0"/>
      <w:marRight w:val="0"/>
      <w:marTop w:val="0"/>
      <w:marBottom w:val="0"/>
      <w:divBdr>
        <w:top w:val="none" w:sz="0" w:space="0" w:color="auto"/>
        <w:left w:val="none" w:sz="0" w:space="0" w:color="auto"/>
        <w:bottom w:val="none" w:sz="0" w:space="0" w:color="auto"/>
        <w:right w:val="none" w:sz="0" w:space="0" w:color="auto"/>
      </w:divBdr>
      <w:divsChild>
        <w:div w:id="1838496983">
          <w:marLeft w:val="0"/>
          <w:marRight w:val="0"/>
          <w:marTop w:val="0"/>
          <w:marBottom w:val="0"/>
          <w:divBdr>
            <w:top w:val="none" w:sz="0" w:space="0" w:color="auto"/>
            <w:left w:val="none" w:sz="0" w:space="0" w:color="auto"/>
            <w:bottom w:val="none" w:sz="0" w:space="0" w:color="auto"/>
            <w:right w:val="none" w:sz="0" w:space="0" w:color="auto"/>
          </w:divBdr>
          <w:divsChild>
            <w:div w:id="58630872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06946895">
      <w:marLeft w:val="0"/>
      <w:marRight w:val="0"/>
      <w:marTop w:val="60"/>
      <w:marBottom w:val="60"/>
      <w:divBdr>
        <w:top w:val="none" w:sz="0" w:space="0" w:color="auto"/>
        <w:left w:val="none" w:sz="0" w:space="0" w:color="auto"/>
        <w:bottom w:val="none" w:sz="0" w:space="0" w:color="auto"/>
        <w:right w:val="none" w:sz="0" w:space="0" w:color="auto"/>
      </w:divBdr>
    </w:div>
    <w:div w:id="507253451">
      <w:marLeft w:val="0"/>
      <w:marRight w:val="0"/>
      <w:marTop w:val="180"/>
      <w:marBottom w:val="160"/>
      <w:divBdr>
        <w:top w:val="none" w:sz="0" w:space="0" w:color="auto"/>
        <w:left w:val="none" w:sz="0" w:space="0" w:color="auto"/>
        <w:bottom w:val="none" w:sz="0" w:space="0" w:color="auto"/>
        <w:right w:val="none" w:sz="0" w:space="0" w:color="auto"/>
      </w:divBdr>
    </w:div>
    <w:div w:id="507255226">
      <w:marLeft w:val="0"/>
      <w:marRight w:val="0"/>
      <w:marTop w:val="180"/>
      <w:marBottom w:val="180"/>
      <w:divBdr>
        <w:top w:val="none" w:sz="0" w:space="0" w:color="auto"/>
        <w:left w:val="none" w:sz="0" w:space="0" w:color="auto"/>
        <w:bottom w:val="none" w:sz="0" w:space="0" w:color="auto"/>
        <w:right w:val="none" w:sz="0" w:space="0" w:color="auto"/>
      </w:divBdr>
    </w:div>
    <w:div w:id="507603898">
      <w:marLeft w:val="0"/>
      <w:marRight w:val="0"/>
      <w:marTop w:val="180"/>
      <w:marBottom w:val="180"/>
      <w:divBdr>
        <w:top w:val="none" w:sz="0" w:space="0" w:color="auto"/>
        <w:left w:val="none" w:sz="0" w:space="0" w:color="auto"/>
        <w:bottom w:val="none" w:sz="0" w:space="0" w:color="auto"/>
        <w:right w:val="none" w:sz="0" w:space="0" w:color="auto"/>
      </w:divBdr>
    </w:div>
    <w:div w:id="508984811">
      <w:marLeft w:val="0"/>
      <w:marRight w:val="0"/>
      <w:marTop w:val="0"/>
      <w:marBottom w:val="0"/>
      <w:divBdr>
        <w:top w:val="none" w:sz="0" w:space="0" w:color="auto"/>
        <w:left w:val="none" w:sz="0" w:space="0" w:color="auto"/>
        <w:bottom w:val="none" w:sz="0" w:space="0" w:color="auto"/>
        <w:right w:val="none" w:sz="0" w:space="0" w:color="auto"/>
      </w:divBdr>
    </w:div>
    <w:div w:id="510753184">
      <w:marLeft w:val="0"/>
      <w:marRight w:val="0"/>
      <w:marTop w:val="180"/>
      <w:marBottom w:val="180"/>
      <w:divBdr>
        <w:top w:val="none" w:sz="0" w:space="0" w:color="auto"/>
        <w:left w:val="none" w:sz="0" w:space="0" w:color="auto"/>
        <w:bottom w:val="none" w:sz="0" w:space="0" w:color="auto"/>
        <w:right w:val="none" w:sz="0" w:space="0" w:color="auto"/>
      </w:divBdr>
    </w:div>
    <w:div w:id="511339646">
      <w:marLeft w:val="0"/>
      <w:marRight w:val="0"/>
      <w:marTop w:val="60"/>
      <w:marBottom w:val="60"/>
      <w:divBdr>
        <w:top w:val="none" w:sz="0" w:space="0" w:color="auto"/>
        <w:left w:val="none" w:sz="0" w:space="0" w:color="auto"/>
        <w:bottom w:val="none" w:sz="0" w:space="0" w:color="auto"/>
        <w:right w:val="none" w:sz="0" w:space="0" w:color="auto"/>
      </w:divBdr>
    </w:div>
    <w:div w:id="512691798">
      <w:marLeft w:val="0"/>
      <w:marRight w:val="0"/>
      <w:marTop w:val="180"/>
      <w:marBottom w:val="60"/>
      <w:divBdr>
        <w:top w:val="none" w:sz="0" w:space="0" w:color="auto"/>
        <w:left w:val="none" w:sz="0" w:space="0" w:color="auto"/>
        <w:bottom w:val="none" w:sz="0" w:space="0" w:color="auto"/>
        <w:right w:val="none" w:sz="0" w:space="0" w:color="auto"/>
      </w:divBdr>
    </w:div>
    <w:div w:id="512720551">
      <w:marLeft w:val="0"/>
      <w:marRight w:val="0"/>
      <w:marTop w:val="60"/>
      <w:marBottom w:val="60"/>
      <w:divBdr>
        <w:top w:val="none" w:sz="0" w:space="0" w:color="auto"/>
        <w:left w:val="none" w:sz="0" w:space="0" w:color="auto"/>
        <w:bottom w:val="none" w:sz="0" w:space="0" w:color="auto"/>
        <w:right w:val="none" w:sz="0" w:space="0" w:color="auto"/>
      </w:divBdr>
    </w:div>
    <w:div w:id="512843749">
      <w:marLeft w:val="0"/>
      <w:marRight w:val="0"/>
      <w:marTop w:val="180"/>
      <w:marBottom w:val="180"/>
      <w:divBdr>
        <w:top w:val="none" w:sz="0" w:space="0" w:color="auto"/>
        <w:left w:val="none" w:sz="0" w:space="0" w:color="auto"/>
        <w:bottom w:val="none" w:sz="0" w:space="0" w:color="auto"/>
        <w:right w:val="none" w:sz="0" w:space="0" w:color="auto"/>
      </w:divBdr>
    </w:div>
    <w:div w:id="513375009">
      <w:marLeft w:val="0"/>
      <w:marRight w:val="0"/>
      <w:marTop w:val="180"/>
      <w:marBottom w:val="180"/>
      <w:divBdr>
        <w:top w:val="none" w:sz="0" w:space="0" w:color="auto"/>
        <w:left w:val="none" w:sz="0" w:space="0" w:color="auto"/>
        <w:bottom w:val="none" w:sz="0" w:space="0" w:color="auto"/>
        <w:right w:val="none" w:sz="0" w:space="0" w:color="auto"/>
      </w:divBdr>
    </w:div>
    <w:div w:id="513422518">
      <w:marLeft w:val="0"/>
      <w:marRight w:val="0"/>
      <w:marTop w:val="60"/>
      <w:marBottom w:val="60"/>
      <w:divBdr>
        <w:top w:val="none" w:sz="0" w:space="0" w:color="auto"/>
        <w:left w:val="none" w:sz="0" w:space="0" w:color="auto"/>
        <w:bottom w:val="none" w:sz="0" w:space="0" w:color="auto"/>
        <w:right w:val="none" w:sz="0" w:space="0" w:color="auto"/>
      </w:divBdr>
    </w:div>
    <w:div w:id="513544189">
      <w:marLeft w:val="0"/>
      <w:marRight w:val="0"/>
      <w:marTop w:val="0"/>
      <w:marBottom w:val="0"/>
      <w:divBdr>
        <w:top w:val="none" w:sz="0" w:space="0" w:color="auto"/>
        <w:left w:val="none" w:sz="0" w:space="0" w:color="auto"/>
        <w:bottom w:val="none" w:sz="0" w:space="0" w:color="auto"/>
        <w:right w:val="none" w:sz="0" w:space="0" w:color="auto"/>
      </w:divBdr>
    </w:div>
    <w:div w:id="514732234">
      <w:marLeft w:val="0"/>
      <w:marRight w:val="0"/>
      <w:marTop w:val="180"/>
      <w:marBottom w:val="180"/>
      <w:divBdr>
        <w:top w:val="none" w:sz="0" w:space="0" w:color="auto"/>
        <w:left w:val="none" w:sz="0" w:space="0" w:color="auto"/>
        <w:bottom w:val="none" w:sz="0" w:space="0" w:color="auto"/>
        <w:right w:val="none" w:sz="0" w:space="0" w:color="auto"/>
      </w:divBdr>
    </w:div>
    <w:div w:id="515728805">
      <w:marLeft w:val="0"/>
      <w:marRight w:val="0"/>
      <w:marTop w:val="60"/>
      <w:marBottom w:val="60"/>
      <w:divBdr>
        <w:top w:val="none" w:sz="0" w:space="0" w:color="auto"/>
        <w:left w:val="none" w:sz="0" w:space="0" w:color="auto"/>
        <w:bottom w:val="none" w:sz="0" w:space="0" w:color="auto"/>
        <w:right w:val="none" w:sz="0" w:space="0" w:color="auto"/>
      </w:divBdr>
    </w:div>
    <w:div w:id="518587074">
      <w:marLeft w:val="0"/>
      <w:marRight w:val="0"/>
      <w:marTop w:val="100"/>
      <w:marBottom w:val="100"/>
      <w:divBdr>
        <w:top w:val="none" w:sz="0" w:space="0" w:color="auto"/>
        <w:left w:val="none" w:sz="0" w:space="0" w:color="auto"/>
        <w:bottom w:val="none" w:sz="0" w:space="0" w:color="auto"/>
        <w:right w:val="none" w:sz="0" w:space="0" w:color="auto"/>
      </w:divBdr>
    </w:div>
    <w:div w:id="520515996">
      <w:marLeft w:val="0"/>
      <w:marRight w:val="0"/>
      <w:marTop w:val="180"/>
      <w:marBottom w:val="180"/>
      <w:divBdr>
        <w:top w:val="none" w:sz="0" w:space="0" w:color="auto"/>
        <w:left w:val="none" w:sz="0" w:space="0" w:color="auto"/>
        <w:bottom w:val="none" w:sz="0" w:space="0" w:color="auto"/>
        <w:right w:val="none" w:sz="0" w:space="0" w:color="auto"/>
      </w:divBdr>
    </w:div>
    <w:div w:id="520516049">
      <w:marLeft w:val="0"/>
      <w:marRight w:val="0"/>
      <w:marTop w:val="180"/>
      <w:marBottom w:val="180"/>
      <w:divBdr>
        <w:top w:val="none" w:sz="0" w:space="0" w:color="auto"/>
        <w:left w:val="none" w:sz="0" w:space="0" w:color="auto"/>
        <w:bottom w:val="none" w:sz="0" w:space="0" w:color="auto"/>
        <w:right w:val="none" w:sz="0" w:space="0" w:color="auto"/>
      </w:divBdr>
    </w:div>
    <w:div w:id="521474726">
      <w:marLeft w:val="0"/>
      <w:marRight w:val="0"/>
      <w:marTop w:val="180"/>
      <w:marBottom w:val="60"/>
      <w:divBdr>
        <w:top w:val="none" w:sz="0" w:space="0" w:color="auto"/>
        <w:left w:val="none" w:sz="0" w:space="0" w:color="auto"/>
        <w:bottom w:val="none" w:sz="0" w:space="0" w:color="auto"/>
        <w:right w:val="none" w:sz="0" w:space="0" w:color="auto"/>
      </w:divBdr>
    </w:div>
    <w:div w:id="521745625">
      <w:marLeft w:val="0"/>
      <w:marRight w:val="0"/>
      <w:marTop w:val="0"/>
      <w:marBottom w:val="0"/>
      <w:divBdr>
        <w:top w:val="none" w:sz="0" w:space="0" w:color="auto"/>
        <w:left w:val="none" w:sz="0" w:space="0" w:color="auto"/>
        <w:bottom w:val="none" w:sz="0" w:space="0" w:color="auto"/>
        <w:right w:val="none" w:sz="0" w:space="0" w:color="auto"/>
      </w:divBdr>
    </w:div>
    <w:div w:id="522593188">
      <w:marLeft w:val="0"/>
      <w:marRight w:val="0"/>
      <w:marTop w:val="180"/>
      <w:marBottom w:val="180"/>
      <w:divBdr>
        <w:top w:val="none" w:sz="0" w:space="0" w:color="auto"/>
        <w:left w:val="none" w:sz="0" w:space="0" w:color="auto"/>
        <w:bottom w:val="none" w:sz="0" w:space="0" w:color="auto"/>
        <w:right w:val="none" w:sz="0" w:space="0" w:color="auto"/>
      </w:divBdr>
    </w:div>
    <w:div w:id="522594718">
      <w:marLeft w:val="0"/>
      <w:marRight w:val="0"/>
      <w:marTop w:val="0"/>
      <w:marBottom w:val="0"/>
      <w:divBdr>
        <w:top w:val="none" w:sz="0" w:space="0" w:color="auto"/>
        <w:left w:val="none" w:sz="0" w:space="0" w:color="auto"/>
        <w:bottom w:val="none" w:sz="0" w:space="0" w:color="auto"/>
        <w:right w:val="none" w:sz="0" w:space="0" w:color="auto"/>
      </w:divBdr>
    </w:div>
    <w:div w:id="523442821">
      <w:marLeft w:val="0"/>
      <w:marRight w:val="0"/>
      <w:marTop w:val="0"/>
      <w:marBottom w:val="0"/>
      <w:divBdr>
        <w:top w:val="none" w:sz="0" w:space="0" w:color="auto"/>
        <w:left w:val="none" w:sz="0" w:space="0" w:color="auto"/>
        <w:bottom w:val="none" w:sz="0" w:space="0" w:color="auto"/>
        <w:right w:val="none" w:sz="0" w:space="0" w:color="auto"/>
      </w:divBdr>
      <w:divsChild>
        <w:div w:id="1207915950">
          <w:marLeft w:val="0"/>
          <w:marRight w:val="0"/>
          <w:marTop w:val="0"/>
          <w:marBottom w:val="0"/>
          <w:divBdr>
            <w:top w:val="none" w:sz="0" w:space="0" w:color="auto"/>
            <w:left w:val="none" w:sz="0" w:space="0" w:color="auto"/>
            <w:bottom w:val="none" w:sz="0" w:space="0" w:color="auto"/>
            <w:right w:val="none" w:sz="0" w:space="0" w:color="auto"/>
          </w:divBdr>
          <w:divsChild>
            <w:div w:id="15474485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4176278">
      <w:marLeft w:val="0"/>
      <w:marRight w:val="0"/>
      <w:marTop w:val="180"/>
      <w:marBottom w:val="180"/>
      <w:divBdr>
        <w:top w:val="none" w:sz="0" w:space="0" w:color="auto"/>
        <w:left w:val="none" w:sz="0" w:space="0" w:color="auto"/>
        <w:bottom w:val="none" w:sz="0" w:space="0" w:color="auto"/>
        <w:right w:val="none" w:sz="0" w:space="0" w:color="auto"/>
      </w:divBdr>
    </w:div>
    <w:div w:id="524560408">
      <w:marLeft w:val="0"/>
      <w:marRight w:val="0"/>
      <w:marTop w:val="180"/>
      <w:marBottom w:val="180"/>
      <w:divBdr>
        <w:top w:val="none" w:sz="0" w:space="0" w:color="auto"/>
        <w:left w:val="none" w:sz="0" w:space="0" w:color="auto"/>
        <w:bottom w:val="none" w:sz="0" w:space="0" w:color="auto"/>
        <w:right w:val="none" w:sz="0" w:space="0" w:color="auto"/>
      </w:divBdr>
    </w:div>
    <w:div w:id="524640284">
      <w:marLeft w:val="0"/>
      <w:marRight w:val="0"/>
      <w:marTop w:val="180"/>
      <w:marBottom w:val="180"/>
      <w:divBdr>
        <w:top w:val="none" w:sz="0" w:space="0" w:color="auto"/>
        <w:left w:val="none" w:sz="0" w:space="0" w:color="auto"/>
        <w:bottom w:val="none" w:sz="0" w:space="0" w:color="auto"/>
        <w:right w:val="none" w:sz="0" w:space="0" w:color="auto"/>
      </w:divBdr>
    </w:div>
    <w:div w:id="524707251">
      <w:marLeft w:val="0"/>
      <w:marRight w:val="0"/>
      <w:marTop w:val="180"/>
      <w:marBottom w:val="180"/>
      <w:divBdr>
        <w:top w:val="none" w:sz="0" w:space="0" w:color="auto"/>
        <w:left w:val="none" w:sz="0" w:space="0" w:color="auto"/>
        <w:bottom w:val="none" w:sz="0" w:space="0" w:color="auto"/>
        <w:right w:val="none" w:sz="0" w:space="0" w:color="auto"/>
      </w:divBdr>
    </w:div>
    <w:div w:id="525799265">
      <w:marLeft w:val="0"/>
      <w:marRight w:val="0"/>
      <w:marTop w:val="180"/>
      <w:marBottom w:val="180"/>
      <w:divBdr>
        <w:top w:val="none" w:sz="0" w:space="0" w:color="auto"/>
        <w:left w:val="none" w:sz="0" w:space="0" w:color="auto"/>
        <w:bottom w:val="none" w:sz="0" w:space="0" w:color="auto"/>
        <w:right w:val="none" w:sz="0" w:space="0" w:color="auto"/>
      </w:divBdr>
    </w:div>
    <w:div w:id="527448225">
      <w:marLeft w:val="0"/>
      <w:marRight w:val="0"/>
      <w:marTop w:val="60"/>
      <w:marBottom w:val="60"/>
      <w:divBdr>
        <w:top w:val="none" w:sz="0" w:space="0" w:color="auto"/>
        <w:left w:val="none" w:sz="0" w:space="0" w:color="auto"/>
        <w:bottom w:val="none" w:sz="0" w:space="0" w:color="auto"/>
        <w:right w:val="none" w:sz="0" w:space="0" w:color="auto"/>
      </w:divBdr>
    </w:div>
    <w:div w:id="527453683">
      <w:marLeft w:val="0"/>
      <w:marRight w:val="0"/>
      <w:marTop w:val="0"/>
      <w:marBottom w:val="0"/>
      <w:divBdr>
        <w:top w:val="none" w:sz="0" w:space="0" w:color="auto"/>
        <w:left w:val="none" w:sz="0" w:space="0" w:color="auto"/>
        <w:bottom w:val="none" w:sz="0" w:space="0" w:color="auto"/>
        <w:right w:val="none" w:sz="0" w:space="0" w:color="auto"/>
      </w:divBdr>
      <w:divsChild>
        <w:div w:id="2136020224">
          <w:marLeft w:val="0"/>
          <w:marRight w:val="0"/>
          <w:marTop w:val="0"/>
          <w:marBottom w:val="0"/>
          <w:divBdr>
            <w:top w:val="none" w:sz="0" w:space="0" w:color="auto"/>
            <w:left w:val="none" w:sz="0" w:space="0" w:color="auto"/>
            <w:bottom w:val="none" w:sz="0" w:space="0" w:color="auto"/>
            <w:right w:val="none" w:sz="0" w:space="0" w:color="auto"/>
          </w:divBdr>
          <w:divsChild>
            <w:div w:id="14350519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8760723">
      <w:marLeft w:val="0"/>
      <w:marRight w:val="0"/>
      <w:marTop w:val="180"/>
      <w:marBottom w:val="180"/>
      <w:divBdr>
        <w:top w:val="none" w:sz="0" w:space="0" w:color="auto"/>
        <w:left w:val="none" w:sz="0" w:space="0" w:color="auto"/>
        <w:bottom w:val="none" w:sz="0" w:space="0" w:color="auto"/>
        <w:right w:val="none" w:sz="0" w:space="0" w:color="auto"/>
      </w:divBdr>
    </w:div>
    <w:div w:id="529686360">
      <w:marLeft w:val="0"/>
      <w:marRight w:val="0"/>
      <w:marTop w:val="180"/>
      <w:marBottom w:val="180"/>
      <w:divBdr>
        <w:top w:val="none" w:sz="0" w:space="0" w:color="auto"/>
        <w:left w:val="none" w:sz="0" w:space="0" w:color="auto"/>
        <w:bottom w:val="none" w:sz="0" w:space="0" w:color="auto"/>
        <w:right w:val="none" w:sz="0" w:space="0" w:color="auto"/>
      </w:divBdr>
    </w:div>
    <w:div w:id="530269823">
      <w:marLeft w:val="0"/>
      <w:marRight w:val="0"/>
      <w:marTop w:val="180"/>
      <w:marBottom w:val="180"/>
      <w:divBdr>
        <w:top w:val="none" w:sz="0" w:space="0" w:color="auto"/>
        <w:left w:val="none" w:sz="0" w:space="0" w:color="auto"/>
        <w:bottom w:val="none" w:sz="0" w:space="0" w:color="auto"/>
        <w:right w:val="none" w:sz="0" w:space="0" w:color="auto"/>
      </w:divBdr>
    </w:div>
    <w:div w:id="530538785">
      <w:marLeft w:val="0"/>
      <w:marRight w:val="0"/>
      <w:marTop w:val="0"/>
      <w:marBottom w:val="0"/>
      <w:divBdr>
        <w:top w:val="none" w:sz="0" w:space="0" w:color="auto"/>
        <w:left w:val="none" w:sz="0" w:space="0" w:color="auto"/>
        <w:bottom w:val="none" w:sz="0" w:space="0" w:color="auto"/>
        <w:right w:val="none" w:sz="0" w:space="0" w:color="auto"/>
      </w:divBdr>
    </w:div>
    <w:div w:id="530649993">
      <w:marLeft w:val="0"/>
      <w:marRight w:val="0"/>
      <w:marTop w:val="100"/>
      <w:marBottom w:val="100"/>
      <w:divBdr>
        <w:top w:val="none" w:sz="0" w:space="0" w:color="auto"/>
        <w:left w:val="none" w:sz="0" w:space="0" w:color="auto"/>
        <w:bottom w:val="none" w:sz="0" w:space="0" w:color="auto"/>
        <w:right w:val="none" w:sz="0" w:space="0" w:color="auto"/>
      </w:divBdr>
    </w:div>
    <w:div w:id="530800696">
      <w:marLeft w:val="0"/>
      <w:marRight w:val="0"/>
      <w:marTop w:val="180"/>
      <w:marBottom w:val="180"/>
      <w:divBdr>
        <w:top w:val="none" w:sz="0" w:space="0" w:color="auto"/>
        <w:left w:val="none" w:sz="0" w:space="0" w:color="auto"/>
        <w:bottom w:val="none" w:sz="0" w:space="0" w:color="auto"/>
        <w:right w:val="none" w:sz="0" w:space="0" w:color="auto"/>
      </w:divBdr>
    </w:div>
    <w:div w:id="531383841">
      <w:marLeft w:val="0"/>
      <w:marRight w:val="0"/>
      <w:marTop w:val="0"/>
      <w:marBottom w:val="0"/>
      <w:divBdr>
        <w:top w:val="none" w:sz="0" w:space="0" w:color="auto"/>
        <w:left w:val="none" w:sz="0" w:space="0" w:color="auto"/>
        <w:bottom w:val="none" w:sz="0" w:space="0" w:color="auto"/>
        <w:right w:val="none" w:sz="0" w:space="0" w:color="auto"/>
      </w:divBdr>
      <w:divsChild>
        <w:div w:id="328607911">
          <w:marLeft w:val="0"/>
          <w:marRight w:val="0"/>
          <w:marTop w:val="0"/>
          <w:marBottom w:val="0"/>
          <w:divBdr>
            <w:top w:val="none" w:sz="0" w:space="0" w:color="auto"/>
            <w:left w:val="none" w:sz="0" w:space="0" w:color="auto"/>
            <w:bottom w:val="none" w:sz="0" w:space="0" w:color="auto"/>
            <w:right w:val="none" w:sz="0" w:space="0" w:color="auto"/>
          </w:divBdr>
          <w:divsChild>
            <w:div w:id="891601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31918418">
      <w:marLeft w:val="0"/>
      <w:marRight w:val="0"/>
      <w:marTop w:val="180"/>
      <w:marBottom w:val="180"/>
      <w:divBdr>
        <w:top w:val="none" w:sz="0" w:space="0" w:color="auto"/>
        <w:left w:val="none" w:sz="0" w:space="0" w:color="auto"/>
        <w:bottom w:val="none" w:sz="0" w:space="0" w:color="auto"/>
        <w:right w:val="none" w:sz="0" w:space="0" w:color="auto"/>
      </w:divBdr>
    </w:div>
    <w:div w:id="532112571">
      <w:marLeft w:val="0"/>
      <w:marRight w:val="0"/>
      <w:marTop w:val="0"/>
      <w:marBottom w:val="0"/>
      <w:divBdr>
        <w:top w:val="none" w:sz="0" w:space="0" w:color="auto"/>
        <w:left w:val="none" w:sz="0" w:space="0" w:color="auto"/>
        <w:bottom w:val="none" w:sz="0" w:space="0" w:color="auto"/>
        <w:right w:val="none" w:sz="0" w:space="0" w:color="auto"/>
      </w:divBdr>
      <w:divsChild>
        <w:div w:id="31417582">
          <w:marLeft w:val="0"/>
          <w:marRight w:val="0"/>
          <w:marTop w:val="60"/>
          <w:marBottom w:val="60"/>
          <w:divBdr>
            <w:top w:val="none" w:sz="0" w:space="0" w:color="auto"/>
            <w:left w:val="none" w:sz="0" w:space="0" w:color="auto"/>
            <w:bottom w:val="none" w:sz="0" w:space="0" w:color="auto"/>
            <w:right w:val="none" w:sz="0" w:space="0" w:color="auto"/>
          </w:divBdr>
        </w:div>
      </w:divsChild>
    </w:div>
    <w:div w:id="533227879">
      <w:marLeft w:val="0"/>
      <w:marRight w:val="0"/>
      <w:marTop w:val="0"/>
      <w:marBottom w:val="0"/>
      <w:divBdr>
        <w:top w:val="none" w:sz="0" w:space="0" w:color="auto"/>
        <w:left w:val="none" w:sz="0" w:space="0" w:color="auto"/>
        <w:bottom w:val="none" w:sz="0" w:space="0" w:color="auto"/>
        <w:right w:val="none" w:sz="0" w:space="0" w:color="auto"/>
      </w:divBdr>
    </w:div>
    <w:div w:id="533352924">
      <w:marLeft w:val="0"/>
      <w:marRight w:val="0"/>
      <w:marTop w:val="0"/>
      <w:marBottom w:val="0"/>
      <w:divBdr>
        <w:top w:val="none" w:sz="0" w:space="0" w:color="auto"/>
        <w:left w:val="none" w:sz="0" w:space="0" w:color="auto"/>
        <w:bottom w:val="none" w:sz="0" w:space="0" w:color="auto"/>
        <w:right w:val="none" w:sz="0" w:space="0" w:color="auto"/>
      </w:divBdr>
      <w:divsChild>
        <w:div w:id="1864368212">
          <w:marLeft w:val="0"/>
          <w:marRight w:val="0"/>
          <w:marTop w:val="60"/>
          <w:marBottom w:val="60"/>
          <w:divBdr>
            <w:top w:val="none" w:sz="0" w:space="0" w:color="auto"/>
            <w:left w:val="none" w:sz="0" w:space="0" w:color="auto"/>
            <w:bottom w:val="none" w:sz="0" w:space="0" w:color="auto"/>
            <w:right w:val="none" w:sz="0" w:space="0" w:color="auto"/>
          </w:divBdr>
        </w:div>
      </w:divsChild>
    </w:div>
    <w:div w:id="533659650">
      <w:marLeft w:val="0"/>
      <w:marRight w:val="0"/>
      <w:marTop w:val="180"/>
      <w:marBottom w:val="180"/>
      <w:divBdr>
        <w:top w:val="none" w:sz="0" w:space="0" w:color="auto"/>
        <w:left w:val="none" w:sz="0" w:space="0" w:color="auto"/>
        <w:bottom w:val="none" w:sz="0" w:space="0" w:color="auto"/>
        <w:right w:val="none" w:sz="0" w:space="0" w:color="auto"/>
      </w:divBdr>
    </w:div>
    <w:div w:id="533731776">
      <w:marLeft w:val="0"/>
      <w:marRight w:val="0"/>
      <w:marTop w:val="60"/>
      <w:marBottom w:val="60"/>
      <w:divBdr>
        <w:top w:val="none" w:sz="0" w:space="0" w:color="auto"/>
        <w:left w:val="none" w:sz="0" w:space="0" w:color="auto"/>
        <w:bottom w:val="none" w:sz="0" w:space="0" w:color="auto"/>
        <w:right w:val="none" w:sz="0" w:space="0" w:color="auto"/>
      </w:divBdr>
    </w:div>
    <w:div w:id="534729631">
      <w:marLeft w:val="0"/>
      <w:marRight w:val="0"/>
      <w:marTop w:val="180"/>
      <w:marBottom w:val="180"/>
      <w:divBdr>
        <w:top w:val="none" w:sz="0" w:space="0" w:color="auto"/>
        <w:left w:val="none" w:sz="0" w:space="0" w:color="auto"/>
        <w:bottom w:val="none" w:sz="0" w:space="0" w:color="auto"/>
        <w:right w:val="none" w:sz="0" w:space="0" w:color="auto"/>
      </w:divBdr>
    </w:div>
    <w:div w:id="537282330">
      <w:marLeft w:val="0"/>
      <w:marRight w:val="0"/>
      <w:marTop w:val="180"/>
      <w:marBottom w:val="180"/>
      <w:divBdr>
        <w:top w:val="none" w:sz="0" w:space="0" w:color="auto"/>
        <w:left w:val="none" w:sz="0" w:space="0" w:color="auto"/>
        <w:bottom w:val="none" w:sz="0" w:space="0" w:color="auto"/>
        <w:right w:val="none" w:sz="0" w:space="0" w:color="auto"/>
      </w:divBdr>
    </w:div>
    <w:div w:id="537789376">
      <w:marLeft w:val="0"/>
      <w:marRight w:val="0"/>
      <w:marTop w:val="60"/>
      <w:marBottom w:val="60"/>
      <w:divBdr>
        <w:top w:val="none" w:sz="0" w:space="0" w:color="auto"/>
        <w:left w:val="none" w:sz="0" w:space="0" w:color="auto"/>
        <w:bottom w:val="none" w:sz="0" w:space="0" w:color="auto"/>
        <w:right w:val="none" w:sz="0" w:space="0" w:color="auto"/>
      </w:divBdr>
    </w:div>
    <w:div w:id="539560152">
      <w:marLeft w:val="0"/>
      <w:marRight w:val="0"/>
      <w:marTop w:val="180"/>
      <w:marBottom w:val="180"/>
      <w:divBdr>
        <w:top w:val="none" w:sz="0" w:space="0" w:color="auto"/>
        <w:left w:val="none" w:sz="0" w:space="0" w:color="auto"/>
        <w:bottom w:val="none" w:sz="0" w:space="0" w:color="auto"/>
        <w:right w:val="none" w:sz="0" w:space="0" w:color="auto"/>
      </w:divBdr>
    </w:div>
    <w:div w:id="541404467">
      <w:marLeft w:val="0"/>
      <w:marRight w:val="0"/>
      <w:marTop w:val="0"/>
      <w:marBottom w:val="0"/>
      <w:divBdr>
        <w:top w:val="none" w:sz="0" w:space="0" w:color="auto"/>
        <w:left w:val="none" w:sz="0" w:space="0" w:color="auto"/>
        <w:bottom w:val="none" w:sz="0" w:space="0" w:color="auto"/>
        <w:right w:val="none" w:sz="0" w:space="0" w:color="auto"/>
      </w:divBdr>
      <w:divsChild>
        <w:div w:id="900288208">
          <w:marLeft w:val="0"/>
          <w:marRight w:val="0"/>
          <w:marTop w:val="0"/>
          <w:marBottom w:val="0"/>
          <w:divBdr>
            <w:top w:val="none" w:sz="0" w:space="0" w:color="auto"/>
            <w:left w:val="none" w:sz="0" w:space="0" w:color="auto"/>
            <w:bottom w:val="none" w:sz="0" w:space="0" w:color="auto"/>
            <w:right w:val="none" w:sz="0" w:space="0" w:color="auto"/>
          </w:divBdr>
          <w:divsChild>
            <w:div w:id="2148589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2207288">
      <w:marLeft w:val="0"/>
      <w:marRight w:val="0"/>
      <w:marTop w:val="60"/>
      <w:marBottom w:val="60"/>
      <w:divBdr>
        <w:top w:val="none" w:sz="0" w:space="0" w:color="auto"/>
        <w:left w:val="none" w:sz="0" w:space="0" w:color="auto"/>
        <w:bottom w:val="none" w:sz="0" w:space="0" w:color="auto"/>
        <w:right w:val="none" w:sz="0" w:space="0" w:color="auto"/>
      </w:divBdr>
    </w:div>
    <w:div w:id="542256416">
      <w:marLeft w:val="0"/>
      <w:marRight w:val="0"/>
      <w:marTop w:val="180"/>
      <w:marBottom w:val="180"/>
      <w:divBdr>
        <w:top w:val="none" w:sz="0" w:space="0" w:color="auto"/>
        <w:left w:val="none" w:sz="0" w:space="0" w:color="auto"/>
        <w:bottom w:val="none" w:sz="0" w:space="0" w:color="auto"/>
        <w:right w:val="none" w:sz="0" w:space="0" w:color="auto"/>
      </w:divBdr>
    </w:div>
    <w:div w:id="542669880">
      <w:marLeft w:val="0"/>
      <w:marRight w:val="0"/>
      <w:marTop w:val="0"/>
      <w:marBottom w:val="0"/>
      <w:divBdr>
        <w:top w:val="none" w:sz="0" w:space="0" w:color="auto"/>
        <w:left w:val="none" w:sz="0" w:space="0" w:color="auto"/>
        <w:bottom w:val="none" w:sz="0" w:space="0" w:color="auto"/>
        <w:right w:val="none" w:sz="0" w:space="0" w:color="auto"/>
      </w:divBdr>
      <w:divsChild>
        <w:div w:id="348681749">
          <w:marLeft w:val="0"/>
          <w:marRight w:val="0"/>
          <w:marTop w:val="0"/>
          <w:marBottom w:val="0"/>
          <w:divBdr>
            <w:top w:val="none" w:sz="0" w:space="0" w:color="auto"/>
            <w:left w:val="none" w:sz="0" w:space="0" w:color="auto"/>
            <w:bottom w:val="none" w:sz="0" w:space="0" w:color="auto"/>
            <w:right w:val="none" w:sz="0" w:space="0" w:color="auto"/>
          </w:divBdr>
          <w:divsChild>
            <w:div w:id="934436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2863403">
      <w:marLeft w:val="0"/>
      <w:marRight w:val="0"/>
      <w:marTop w:val="180"/>
      <w:marBottom w:val="180"/>
      <w:divBdr>
        <w:top w:val="none" w:sz="0" w:space="0" w:color="auto"/>
        <w:left w:val="none" w:sz="0" w:space="0" w:color="auto"/>
        <w:bottom w:val="none" w:sz="0" w:space="0" w:color="auto"/>
        <w:right w:val="none" w:sz="0" w:space="0" w:color="auto"/>
      </w:divBdr>
    </w:div>
    <w:div w:id="543717859">
      <w:marLeft w:val="0"/>
      <w:marRight w:val="0"/>
      <w:marTop w:val="180"/>
      <w:marBottom w:val="180"/>
      <w:divBdr>
        <w:top w:val="none" w:sz="0" w:space="0" w:color="auto"/>
        <w:left w:val="none" w:sz="0" w:space="0" w:color="auto"/>
        <w:bottom w:val="none" w:sz="0" w:space="0" w:color="auto"/>
        <w:right w:val="none" w:sz="0" w:space="0" w:color="auto"/>
      </w:divBdr>
    </w:div>
    <w:div w:id="544098807">
      <w:marLeft w:val="0"/>
      <w:marRight w:val="0"/>
      <w:marTop w:val="60"/>
      <w:marBottom w:val="60"/>
      <w:divBdr>
        <w:top w:val="none" w:sz="0" w:space="0" w:color="auto"/>
        <w:left w:val="none" w:sz="0" w:space="0" w:color="auto"/>
        <w:bottom w:val="none" w:sz="0" w:space="0" w:color="auto"/>
        <w:right w:val="none" w:sz="0" w:space="0" w:color="auto"/>
      </w:divBdr>
    </w:div>
    <w:div w:id="544290356">
      <w:marLeft w:val="0"/>
      <w:marRight w:val="0"/>
      <w:marTop w:val="100"/>
      <w:marBottom w:val="100"/>
      <w:divBdr>
        <w:top w:val="none" w:sz="0" w:space="0" w:color="auto"/>
        <w:left w:val="none" w:sz="0" w:space="0" w:color="auto"/>
        <w:bottom w:val="none" w:sz="0" w:space="0" w:color="auto"/>
        <w:right w:val="none" w:sz="0" w:space="0" w:color="auto"/>
      </w:divBdr>
      <w:divsChild>
        <w:div w:id="1864898025">
          <w:marLeft w:val="0"/>
          <w:marRight w:val="0"/>
          <w:marTop w:val="0"/>
          <w:marBottom w:val="0"/>
          <w:divBdr>
            <w:top w:val="none" w:sz="0" w:space="0" w:color="auto"/>
            <w:left w:val="none" w:sz="0" w:space="0" w:color="auto"/>
            <w:bottom w:val="none" w:sz="0" w:space="0" w:color="auto"/>
            <w:right w:val="none" w:sz="0" w:space="0" w:color="auto"/>
          </w:divBdr>
        </w:div>
        <w:div w:id="149374049">
          <w:marLeft w:val="0"/>
          <w:marRight w:val="0"/>
          <w:marTop w:val="0"/>
          <w:marBottom w:val="0"/>
          <w:divBdr>
            <w:top w:val="none" w:sz="0" w:space="0" w:color="auto"/>
            <w:left w:val="none" w:sz="0" w:space="0" w:color="auto"/>
            <w:bottom w:val="none" w:sz="0" w:space="0" w:color="auto"/>
            <w:right w:val="none" w:sz="0" w:space="0" w:color="auto"/>
          </w:divBdr>
        </w:div>
        <w:div w:id="1279143170">
          <w:marLeft w:val="0"/>
          <w:marRight w:val="0"/>
          <w:marTop w:val="0"/>
          <w:marBottom w:val="0"/>
          <w:divBdr>
            <w:top w:val="none" w:sz="0" w:space="0" w:color="auto"/>
            <w:left w:val="none" w:sz="0" w:space="0" w:color="auto"/>
            <w:bottom w:val="none" w:sz="0" w:space="0" w:color="auto"/>
            <w:right w:val="none" w:sz="0" w:space="0" w:color="auto"/>
          </w:divBdr>
        </w:div>
      </w:divsChild>
    </w:div>
    <w:div w:id="545220927">
      <w:marLeft w:val="0"/>
      <w:marRight w:val="0"/>
      <w:marTop w:val="180"/>
      <w:marBottom w:val="180"/>
      <w:divBdr>
        <w:top w:val="none" w:sz="0" w:space="0" w:color="auto"/>
        <w:left w:val="none" w:sz="0" w:space="0" w:color="auto"/>
        <w:bottom w:val="none" w:sz="0" w:space="0" w:color="auto"/>
        <w:right w:val="none" w:sz="0" w:space="0" w:color="auto"/>
      </w:divBdr>
    </w:div>
    <w:div w:id="546845205">
      <w:marLeft w:val="0"/>
      <w:marRight w:val="0"/>
      <w:marTop w:val="0"/>
      <w:marBottom w:val="0"/>
      <w:divBdr>
        <w:top w:val="none" w:sz="0" w:space="0" w:color="auto"/>
        <w:left w:val="none" w:sz="0" w:space="0" w:color="auto"/>
        <w:bottom w:val="none" w:sz="0" w:space="0" w:color="auto"/>
        <w:right w:val="none" w:sz="0" w:space="0" w:color="auto"/>
      </w:divBdr>
      <w:divsChild>
        <w:div w:id="632029802">
          <w:marLeft w:val="0"/>
          <w:marRight w:val="0"/>
          <w:marTop w:val="60"/>
          <w:marBottom w:val="60"/>
          <w:divBdr>
            <w:top w:val="none" w:sz="0" w:space="0" w:color="auto"/>
            <w:left w:val="none" w:sz="0" w:space="0" w:color="auto"/>
            <w:bottom w:val="none" w:sz="0" w:space="0" w:color="auto"/>
            <w:right w:val="none" w:sz="0" w:space="0" w:color="auto"/>
          </w:divBdr>
        </w:div>
      </w:divsChild>
    </w:div>
    <w:div w:id="546914076">
      <w:marLeft w:val="0"/>
      <w:marRight w:val="0"/>
      <w:marTop w:val="180"/>
      <w:marBottom w:val="180"/>
      <w:divBdr>
        <w:top w:val="none" w:sz="0" w:space="0" w:color="auto"/>
        <w:left w:val="none" w:sz="0" w:space="0" w:color="auto"/>
        <w:bottom w:val="none" w:sz="0" w:space="0" w:color="auto"/>
        <w:right w:val="none" w:sz="0" w:space="0" w:color="auto"/>
      </w:divBdr>
    </w:div>
    <w:div w:id="547298891">
      <w:marLeft w:val="0"/>
      <w:marRight w:val="0"/>
      <w:marTop w:val="0"/>
      <w:marBottom w:val="0"/>
      <w:divBdr>
        <w:top w:val="none" w:sz="0" w:space="0" w:color="auto"/>
        <w:left w:val="none" w:sz="0" w:space="0" w:color="auto"/>
        <w:bottom w:val="none" w:sz="0" w:space="0" w:color="auto"/>
        <w:right w:val="none" w:sz="0" w:space="0" w:color="auto"/>
      </w:divBdr>
    </w:div>
    <w:div w:id="547575493">
      <w:marLeft w:val="0"/>
      <w:marRight w:val="0"/>
      <w:marTop w:val="180"/>
      <w:marBottom w:val="180"/>
      <w:divBdr>
        <w:top w:val="none" w:sz="0" w:space="0" w:color="auto"/>
        <w:left w:val="none" w:sz="0" w:space="0" w:color="auto"/>
        <w:bottom w:val="none" w:sz="0" w:space="0" w:color="auto"/>
        <w:right w:val="none" w:sz="0" w:space="0" w:color="auto"/>
      </w:divBdr>
    </w:div>
    <w:div w:id="548340570">
      <w:marLeft w:val="0"/>
      <w:marRight w:val="0"/>
      <w:marTop w:val="60"/>
      <w:marBottom w:val="60"/>
      <w:divBdr>
        <w:top w:val="none" w:sz="0" w:space="0" w:color="auto"/>
        <w:left w:val="none" w:sz="0" w:space="0" w:color="auto"/>
        <w:bottom w:val="none" w:sz="0" w:space="0" w:color="auto"/>
        <w:right w:val="none" w:sz="0" w:space="0" w:color="auto"/>
      </w:divBdr>
    </w:div>
    <w:div w:id="548611672">
      <w:marLeft w:val="0"/>
      <w:marRight w:val="0"/>
      <w:marTop w:val="0"/>
      <w:marBottom w:val="0"/>
      <w:divBdr>
        <w:top w:val="none" w:sz="0" w:space="0" w:color="auto"/>
        <w:left w:val="none" w:sz="0" w:space="0" w:color="auto"/>
        <w:bottom w:val="none" w:sz="0" w:space="0" w:color="auto"/>
        <w:right w:val="none" w:sz="0" w:space="0" w:color="auto"/>
      </w:divBdr>
      <w:divsChild>
        <w:div w:id="1992825345">
          <w:marLeft w:val="0"/>
          <w:marRight w:val="0"/>
          <w:marTop w:val="0"/>
          <w:marBottom w:val="0"/>
          <w:divBdr>
            <w:top w:val="none" w:sz="0" w:space="0" w:color="auto"/>
            <w:left w:val="none" w:sz="0" w:space="0" w:color="auto"/>
            <w:bottom w:val="none" w:sz="0" w:space="0" w:color="auto"/>
            <w:right w:val="none" w:sz="0" w:space="0" w:color="auto"/>
          </w:divBdr>
          <w:divsChild>
            <w:div w:id="7573342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8883990">
      <w:marLeft w:val="0"/>
      <w:marRight w:val="0"/>
      <w:marTop w:val="60"/>
      <w:marBottom w:val="60"/>
      <w:divBdr>
        <w:top w:val="none" w:sz="0" w:space="0" w:color="auto"/>
        <w:left w:val="none" w:sz="0" w:space="0" w:color="auto"/>
        <w:bottom w:val="none" w:sz="0" w:space="0" w:color="auto"/>
        <w:right w:val="none" w:sz="0" w:space="0" w:color="auto"/>
      </w:divBdr>
    </w:div>
    <w:div w:id="550193018">
      <w:marLeft w:val="0"/>
      <w:marRight w:val="0"/>
      <w:marTop w:val="180"/>
      <w:marBottom w:val="180"/>
      <w:divBdr>
        <w:top w:val="none" w:sz="0" w:space="0" w:color="auto"/>
        <w:left w:val="none" w:sz="0" w:space="0" w:color="auto"/>
        <w:bottom w:val="none" w:sz="0" w:space="0" w:color="auto"/>
        <w:right w:val="none" w:sz="0" w:space="0" w:color="auto"/>
      </w:divBdr>
    </w:div>
    <w:div w:id="550383809">
      <w:marLeft w:val="0"/>
      <w:marRight w:val="0"/>
      <w:marTop w:val="60"/>
      <w:marBottom w:val="60"/>
      <w:divBdr>
        <w:top w:val="none" w:sz="0" w:space="0" w:color="auto"/>
        <w:left w:val="none" w:sz="0" w:space="0" w:color="auto"/>
        <w:bottom w:val="none" w:sz="0" w:space="0" w:color="auto"/>
        <w:right w:val="none" w:sz="0" w:space="0" w:color="auto"/>
      </w:divBdr>
    </w:div>
    <w:div w:id="552081628">
      <w:marLeft w:val="0"/>
      <w:marRight w:val="0"/>
      <w:marTop w:val="0"/>
      <w:marBottom w:val="0"/>
      <w:divBdr>
        <w:top w:val="none" w:sz="0" w:space="0" w:color="auto"/>
        <w:left w:val="none" w:sz="0" w:space="0" w:color="auto"/>
        <w:bottom w:val="none" w:sz="0" w:space="0" w:color="auto"/>
        <w:right w:val="none" w:sz="0" w:space="0" w:color="auto"/>
      </w:divBdr>
      <w:divsChild>
        <w:div w:id="1267154699">
          <w:marLeft w:val="0"/>
          <w:marRight w:val="0"/>
          <w:marTop w:val="0"/>
          <w:marBottom w:val="0"/>
          <w:divBdr>
            <w:top w:val="none" w:sz="0" w:space="0" w:color="auto"/>
            <w:left w:val="none" w:sz="0" w:space="0" w:color="auto"/>
            <w:bottom w:val="none" w:sz="0" w:space="0" w:color="auto"/>
            <w:right w:val="none" w:sz="0" w:space="0" w:color="auto"/>
          </w:divBdr>
          <w:divsChild>
            <w:div w:id="16240709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3200094">
      <w:marLeft w:val="0"/>
      <w:marRight w:val="0"/>
      <w:marTop w:val="0"/>
      <w:marBottom w:val="0"/>
      <w:divBdr>
        <w:top w:val="none" w:sz="0" w:space="0" w:color="auto"/>
        <w:left w:val="none" w:sz="0" w:space="0" w:color="auto"/>
        <w:bottom w:val="none" w:sz="0" w:space="0" w:color="auto"/>
        <w:right w:val="none" w:sz="0" w:space="0" w:color="auto"/>
      </w:divBdr>
    </w:div>
    <w:div w:id="555430663">
      <w:marLeft w:val="0"/>
      <w:marRight w:val="0"/>
      <w:marTop w:val="180"/>
      <w:marBottom w:val="180"/>
      <w:divBdr>
        <w:top w:val="none" w:sz="0" w:space="0" w:color="auto"/>
        <w:left w:val="none" w:sz="0" w:space="0" w:color="auto"/>
        <w:bottom w:val="none" w:sz="0" w:space="0" w:color="auto"/>
        <w:right w:val="none" w:sz="0" w:space="0" w:color="auto"/>
      </w:divBdr>
    </w:div>
    <w:div w:id="555552329">
      <w:marLeft w:val="0"/>
      <w:marRight w:val="0"/>
      <w:marTop w:val="100"/>
      <w:marBottom w:val="100"/>
      <w:divBdr>
        <w:top w:val="none" w:sz="0" w:space="0" w:color="auto"/>
        <w:left w:val="none" w:sz="0" w:space="0" w:color="auto"/>
        <w:bottom w:val="none" w:sz="0" w:space="0" w:color="auto"/>
        <w:right w:val="none" w:sz="0" w:space="0" w:color="auto"/>
      </w:divBdr>
      <w:divsChild>
        <w:div w:id="814687472">
          <w:marLeft w:val="0"/>
          <w:marRight w:val="0"/>
          <w:marTop w:val="0"/>
          <w:marBottom w:val="0"/>
          <w:divBdr>
            <w:top w:val="none" w:sz="0" w:space="0" w:color="auto"/>
            <w:left w:val="none" w:sz="0" w:space="0" w:color="auto"/>
            <w:bottom w:val="none" w:sz="0" w:space="0" w:color="auto"/>
            <w:right w:val="none" w:sz="0" w:space="0" w:color="auto"/>
          </w:divBdr>
        </w:div>
      </w:divsChild>
    </w:div>
    <w:div w:id="555705021">
      <w:marLeft w:val="0"/>
      <w:marRight w:val="0"/>
      <w:marTop w:val="0"/>
      <w:marBottom w:val="0"/>
      <w:divBdr>
        <w:top w:val="none" w:sz="0" w:space="0" w:color="auto"/>
        <w:left w:val="none" w:sz="0" w:space="0" w:color="auto"/>
        <w:bottom w:val="none" w:sz="0" w:space="0" w:color="auto"/>
        <w:right w:val="none" w:sz="0" w:space="0" w:color="auto"/>
      </w:divBdr>
      <w:divsChild>
        <w:div w:id="1309238440">
          <w:marLeft w:val="0"/>
          <w:marRight w:val="0"/>
          <w:marTop w:val="0"/>
          <w:marBottom w:val="0"/>
          <w:divBdr>
            <w:top w:val="none" w:sz="0" w:space="0" w:color="auto"/>
            <w:left w:val="none" w:sz="0" w:space="0" w:color="auto"/>
            <w:bottom w:val="none" w:sz="0" w:space="0" w:color="auto"/>
            <w:right w:val="none" w:sz="0" w:space="0" w:color="auto"/>
          </w:divBdr>
          <w:divsChild>
            <w:div w:id="8791683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7009511">
      <w:marLeft w:val="0"/>
      <w:marRight w:val="0"/>
      <w:marTop w:val="180"/>
      <w:marBottom w:val="60"/>
      <w:divBdr>
        <w:top w:val="none" w:sz="0" w:space="0" w:color="auto"/>
        <w:left w:val="none" w:sz="0" w:space="0" w:color="auto"/>
        <w:bottom w:val="none" w:sz="0" w:space="0" w:color="auto"/>
        <w:right w:val="none" w:sz="0" w:space="0" w:color="auto"/>
      </w:divBdr>
    </w:div>
    <w:div w:id="557129699">
      <w:marLeft w:val="0"/>
      <w:marRight w:val="0"/>
      <w:marTop w:val="60"/>
      <w:marBottom w:val="60"/>
      <w:divBdr>
        <w:top w:val="none" w:sz="0" w:space="0" w:color="auto"/>
        <w:left w:val="none" w:sz="0" w:space="0" w:color="auto"/>
        <w:bottom w:val="none" w:sz="0" w:space="0" w:color="auto"/>
        <w:right w:val="none" w:sz="0" w:space="0" w:color="auto"/>
      </w:divBdr>
    </w:div>
    <w:div w:id="557785314">
      <w:marLeft w:val="0"/>
      <w:marRight w:val="0"/>
      <w:marTop w:val="180"/>
      <w:marBottom w:val="180"/>
      <w:divBdr>
        <w:top w:val="none" w:sz="0" w:space="0" w:color="auto"/>
        <w:left w:val="none" w:sz="0" w:space="0" w:color="auto"/>
        <w:bottom w:val="none" w:sz="0" w:space="0" w:color="auto"/>
        <w:right w:val="none" w:sz="0" w:space="0" w:color="auto"/>
      </w:divBdr>
    </w:div>
    <w:div w:id="558126068">
      <w:marLeft w:val="0"/>
      <w:marRight w:val="0"/>
      <w:marTop w:val="180"/>
      <w:marBottom w:val="180"/>
      <w:divBdr>
        <w:top w:val="none" w:sz="0" w:space="0" w:color="auto"/>
        <w:left w:val="none" w:sz="0" w:space="0" w:color="auto"/>
        <w:bottom w:val="none" w:sz="0" w:space="0" w:color="auto"/>
        <w:right w:val="none" w:sz="0" w:space="0" w:color="auto"/>
      </w:divBdr>
    </w:div>
    <w:div w:id="558202382">
      <w:marLeft w:val="0"/>
      <w:marRight w:val="0"/>
      <w:marTop w:val="180"/>
      <w:marBottom w:val="60"/>
      <w:divBdr>
        <w:top w:val="none" w:sz="0" w:space="0" w:color="auto"/>
        <w:left w:val="none" w:sz="0" w:space="0" w:color="auto"/>
        <w:bottom w:val="none" w:sz="0" w:space="0" w:color="auto"/>
        <w:right w:val="none" w:sz="0" w:space="0" w:color="auto"/>
      </w:divBdr>
    </w:div>
    <w:div w:id="558367353">
      <w:marLeft w:val="0"/>
      <w:marRight w:val="0"/>
      <w:marTop w:val="0"/>
      <w:marBottom w:val="0"/>
      <w:divBdr>
        <w:top w:val="none" w:sz="0" w:space="0" w:color="auto"/>
        <w:left w:val="none" w:sz="0" w:space="0" w:color="auto"/>
        <w:bottom w:val="none" w:sz="0" w:space="0" w:color="auto"/>
        <w:right w:val="none" w:sz="0" w:space="0" w:color="auto"/>
      </w:divBdr>
      <w:divsChild>
        <w:div w:id="1139612511">
          <w:marLeft w:val="0"/>
          <w:marRight w:val="0"/>
          <w:marTop w:val="0"/>
          <w:marBottom w:val="0"/>
          <w:divBdr>
            <w:top w:val="none" w:sz="0" w:space="0" w:color="auto"/>
            <w:left w:val="none" w:sz="0" w:space="0" w:color="auto"/>
            <w:bottom w:val="none" w:sz="0" w:space="0" w:color="auto"/>
            <w:right w:val="none" w:sz="0" w:space="0" w:color="auto"/>
          </w:divBdr>
          <w:divsChild>
            <w:div w:id="3054303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8905010">
      <w:marLeft w:val="0"/>
      <w:marRight w:val="0"/>
      <w:marTop w:val="100"/>
      <w:marBottom w:val="100"/>
      <w:divBdr>
        <w:top w:val="none" w:sz="0" w:space="0" w:color="auto"/>
        <w:left w:val="none" w:sz="0" w:space="0" w:color="auto"/>
        <w:bottom w:val="none" w:sz="0" w:space="0" w:color="auto"/>
        <w:right w:val="none" w:sz="0" w:space="0" w:color="auto"/>
      </w:divBdr>
    </w:div>
    <w:div w:id="559486335">
      <w:marLeft w:val="0"/>
      <w:marRight w:val="0"/>
      <w:marTop w:val="0"/>
      <w:marBottom w:val="0"/>
      <w:divBdr>
        <w:top w:val="none" w:sz="0" w:space="0" w:color="auto"/>
        <w:left w:val="none" w:sz="0" w:space="0" w:color="auto"/>
        <w:bottom w:val="none" w:sz="0" w:space="0" w:color="auto"/>
        <w:right w:val="none" w:sz="0" w:space="0" w:color="auto"/>
      </w:divBdr>
      <w:divsChild>
        <w:div w:id="1251237395">
          <w:marLeft w:val="0"/>
          <w:marRight w:val="0"/>
          <w:marTop w:val="0"/>
          <w:marBottom w:val="0"/>
          <w:divBdr>
            <w:top w:val="none" w:sz="0" w:space="0" w:color="auto"/>
            <w:left w:val="none" w:sz="0" w:space="0" w:color="auto"/>
            <w:bottom w:val="none" w:sz="0" w:space="0" w:color="auto"/>
            <w:right w:val="none" w:sz="0" w:space="0" w:color="auto"/>
          </w:divBdr>
          <w:divsChild>
            <w:div w:id="1467579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9948217">
      <w:marLeft w:val="0"/>
      <w:marRight w:val="0"/>
      <w:marTop w:val="0"/>
      <w:marBottom w:val="0"/>
      <w:divBdr>
        <w:top w:val="none" w:sz="0" w:space="0" w:color="auto"/>
        <w:left w:val="none" w:sz="0" w:space="0" w:color="auto"/>
        <w:bottom w:val="none" w:sz="0" w:space="0" w:color="auto"/>
        <w:right w:val="none" w:sz="0" w:space="0" w:color="auto"/>
      </w:divBdr>
      <w:divsChild>
        <w:div w:id="272400277">
          <w:marLeft w:val="0"/>
          <w:marRight w:val="0"/>
          <w:marTop w:val="60"/>
          <w:marBottom w:val="60"/>
          <w:divBdr>
            <w:top w:val="none" w:sz="0" w:space="0" w:color="auto"/>
            <w:left w:val="none" w:sz="0" w:space="0" w:color="auto"/>
            <w:bottom w:val="none" w:sz="0" w:space="0" w:color="auto"/>
            <w:right w:val="none" w:sz="0" w:space="0" w:color="auto"/>
          </w:divBdr>
        </w:div>
      </w:divsChild>
    </w:div>
    <w:div w:id="560792891">
      <w:marLeft w:val="0"/>
      <w:marRight w:val="0"/>
      <w:marTop w:val="180"/>
      <w:marBottom w:val="180"/>
      <w:divBdr>
        <w:top w:val="none" w:sz="0" w:space="0" w:color="auto"/>
        <w:left w:val="none" w:sz="0" w:space="0" w:color="auto"/>
        <w:bottom w:val="none" w:sz="0" w:space="0" w:color="auto"/>
        <w:right w:val="none" w:sz="0" w:space="0" w:color="auto"/>
      </w:divBdr>
    </w:div>
    <w:div w:id="564994371">
      <w:marLeft w:val="0"/>
      <w:marRight w:val="0"/>
      <w:marTop w:val="180"/>
      <w:marBottom w:val="180"/>
      <w:divBdr>
        <w:top w:val="none" w:sz="0" w:space="0" w:color="auto"/>
        <w:left w:val="none" w:sz="0" w:space="0" w:color="auto"/>
        <w:bottom w:val="none" w:sz="0" w:space="0" w:color="auto"/>
        <w:right w:val="none" w:sz="0" w:space="0" w:color="auto"/>
      </w:divBdr>
    </w:div>
    <w:div w:id="566110484">
      <w:marLeft w:val="0"/>
      <w:marRight w:val="0"/>
      <w:marTop w:val="100"/>
      <w:marBottom w:val="100"/>
      <w:divBdr>
        <w:top w:val="none" w:sz="0" w:space="0" w:color="auto"/>
        <w:left w:val="none" w:sz="0" w:space="0" w:color="auto"/>
        <w:bottom w:val="none" w:sz="0" w:space="0" w:color="auto"/>
        <w:right w:val="none" w:sz="0" w:space="0" w:color="auto"/>
      </w:divBdr>
      <w:divsChild>
        <w:div w:id="392311966">
          <w:marLeft w:val="0"/>
          <w:marRight w:val="0"/>
          <w:marTop w:val="0"/>
          <w:marBottom w:val="0"/>
          <w:divBdr>
            <w:top w:val="none" w:sz="0" w:space="0" w:color="auto"/>
            <w:left w:val="none" w:sz="0" w:space="0" w:color="auto"/>
            <w:bottom w:val="none" w:sz="0" w:space="0" w:color="auto"/>
            <w:right w:val="none" w:sz="0" w:space="0" w:color="auto"/>
          </w:divBdr>
        </w:div>
        <w:div w:id="616763392">
          <w:marLeft w:val="0"/>
          <w:marRight w:val="0"/>
          <w:marTop w:val="0"/>
          <w:marBottom w:val="0"/>
          <w:divBdr>
            <w:top w:val="none" w:sz="0" w:space="0" w:color="auto"/>
            <w:left w:val="none" w:sz="0" w:space="0" w:color="auto"/>
            <w:bottom w:val="none" w:sz="0" w:space="0" w:color="auto"/>
            <w:right w:val="none" w:sz="0" w:space="0" w:color="auto"/>
          </w:divBdr>
        </w:div>
      </w:divsChild>
    </w:div>
    <w:div w:id="567036142">
      <w:marLeft w:val="0"/>
      <w:marRight w:val="0"/>
      <w:marTop w:val="180"/>
      <w:marBottom w:val="180"/>
      <w:divBdr>
        <w:top w:val="none" w:sz="0" w:space="0" w:color="auto"/>
        <w:left w:val="none" w:sz="0" w:space="0" w:color="auto"/>
        <w:bottom w:val="none" w:sz="0" w:space="0" w:color="auto"/>
        <w:right w:val="none" w:sz="0" w:space="0" w:color="auto"/>
      </w:divBdr>
    </w:div>
    <w:div w:id="567691409">
      <w:marLeft w:val="0"/>
      <w:marRight w:val="0"/>
      <w:marTop w:val="180"/>
      <w:marBottom w:val="180"/>
      <w:divBdr>
        <w:top w:val="none" w:sz="0" w:space="0" w:color="auto"/>
        <w:left w:val="none" w:sz="0" w:space="0" w:color="auto"/>
        <w:bottom w:val="none" w:sz="0" w:space="0" w:color="auto"/>
        <w:right w:val="none" w:sz="0" w:space="0" w:color="auto"/>
      </w:divBdr>
    </w:div>
    <w:div w:id="568343845">
      <w:marLeft w:val="0"/>
      <w:marRight w:val="0"/>
      <w:marTop w:val="180"/>
      <w:marBottom w:val="180"/>
      <w:divBdr>
        <w:top w:val="none" w:sz="0" w:space="0" w:color="auto"/>
        <w:left w:val="none" w:sz="0" w:space="0" w:color="auto"/>
        <w:bottom w:val="none" w:sz="0" w:space="0" w:color="auto"/>
        <w:right w:val="none" w:sz="0" w:space="0" w:color="auto"/>
      </w:divBdr>
    </w:div>
    <w:div w:id="569313393">
      <w:marLeft w:val="0"/>
      <w:marRight w:val="0"/>
      <w:marTop w:val="180"/>
      <w:marBottom w:val="180"/>
      <w:divBdr>
        <w:top w:val="none" w:sz="0" w:space="0" w:color="auto"/>
        <w:left w:val="none" w:sz="0" w:space="0" w:color="auto"/>
        <w:bottom w:val="none" w:sz="0" w:space="0" w:color="auto"/>
        <w:right w:val="none" w:sz="0" w:space="0" w:color="auto"/>
      </w:divBdr>
    </w:div>
    <w:div w:id="569463339">
      <w:marLeft w:val="0"/>
      <w:marRight w:val="0"/>
      <w:marTop w:val="60"/>
      <w:marBottom w:val="60"/>
      <w:divBdr>
        <w:top w:val="none" w:sz="0" w:space="0" w:color="auto"/>
        <w:left w:val="none" w:sz="0" w:space="0" w:color="auto"/>
        <w:bottom w:val="none" w:sz="0" w:space="0" w:color="auto"/>
        <w:right w:val="none" w:sz="0" w:space="0" w:color="auto"/>
      </w:divBdr>
    </w:div>
    <w:div w:id="570046603">
      <w:marLeft w:val="0"/>
      <w:marRight w:val="0"/>
      <w:marTop w:val="180"/>
      <w:marBottom w:val="180"/>
      <w:divBdr>
        <w:top w:val="none" w:sz="0" w:space="0" w:color="auto"/>
        <w:left w:val="none" w:sz="0" w:space="0" w:color="auto"/>
        <w:bottom w:val="none" w:sz="0" w:space="0" w:color="auto"/>
        <w:right w:val="none" w:sz="0" w:space="0" w:color="auto"/>
      </w:divBdr>
    </w:div>
    <w:div w:id="570426910">
      <w:marLeft w:val="0"/>
      <w:marRight w:val="0"/>
      <w:marTop w:val="0"/>
      <w:marBottom w:val="0"/>
      <w:divBdr>
        <w:top w:val="none" w:sz="0" w:space="0" w:color="auto"/>
        <w:left w:val="none" w:sz="0" w:space="0" w:color="auto"/>
        <w:bottom w:val="none" w:sz="0" w:space="0" w:color="auto"/>
        <w:right w:val="none" w:sz="0" w:space="0" w:color="auto"/>
      </w:divBdr>
      <w:divsChild>
        <w:div w:id="1540043096">
          <w:marLeft w:val="0"/>
          <w:marRight w:val="0"/>
          <w:marTop w:val="0"/>
          <w:marBottom w:val="0"/>
          <w:divBdr>
            <w:top w:val="none" w:sz="0" w:space="0" w:color="auto"/>
            <w:left w:val="none" w:sz="0" w:space="0" w:color="auto"/>
            <w:bottom w:val="none" w:sz="0" w:space="0" w:color="auto"/>
            <w:right w:val="none" w:sz="0" w:space="0" w:color="auto"/>
          </w:divBdr>
          <w:divsChild>
            <w:div w:id="8999028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0501940">
      <w:marLeft w:val="0"/>
      <w:marRight w:val="0"/>
      <w:marTop w:val="0"/>
      <w:marBottom w:val="0"/>
      <w:divBdr>
        <w:top w:val="none" w:sz="0" w:space="0" w:color="auto"/>
        <w:left w:val="none" w:sz="0" w:space="0" w:color="auto"/>
        <w:bottom w:val="none" w:sz="0" w:space="0" w:color="auto"/>
        <w:right w:val="none" w:sz="0" w:space="0" w:color="auto"/>
      </w:divBdr>
    </w:div>
    <w:div w:id="571505210">
      <w:marLeft w:val="0"/>
      <w:marRight w:val="0"/>
      <w:marTop w:val="100"/>
      <w:marBottom w:val="100"/>
      <w:divBdr>
        <w:top w:val="none" w:sz="0" w:space="0" w:color="auto"/>
        <w:left w:val="none" w:sz="0" w:space="0" w:color="auto"/>
        <w:bottom w:val="none" w:sz="0" w:space="0" w:color="auto"/>
        <w:right w:val="none" w:sz="0" w:space="0" w:color="auto"/>
      </w:divBdr>
    </w:div>
    <w:div w:id="571543379">
      <w:marLeft w:val="0"/>
      <w:marRight w:val="0"/>
      <w:marTop w:val="0"/>
      <w:marBottom w:val="0"/>
      <w:divBdr>
        <w:top w:val="none" w:sz="0" w:space="0" w:color="auto"/>
        <w:left w:val="none" w:sz="0" w:space="0" w:color="auto"/>
        <w:bottom w:val="none" w:sz="0" w:space="0" w:color="auto"/>
        <w:right w:val="none" w:sz="0" w:space="0" w:color="auto"/>
      </w:divBdr>
      <w:divsChild>
        <w:div w:id="897057259">
          <w:marLeft w:val="0"/>
          <w:marRight w:val="0"/>
          <w:marTop w:val="0"/>
          <w:marBottom w:val="0"/>
          <w:divBdr>
            <w:top w:val="none" w:sz="0" w:space="0" w:color="auto"/>
            <w:left w:val="none" w:sz="0" w:space="0" w:color="auto"/>
            <w:bottom w:val="none" w:sz="0" w:space="0" w:color="auto"/>
            <w:right w:val="none" w:sz="0" w:space="0" w:color="auto"/>
          </w:divBdr>
          <w:divsChild>
            <w:div w:id="21426478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1620811">
      <w:marLeft w:val="0"/>
      <w:marRight w:val="0"/>
      <w:marTop w:val="180"/>
      <w:marBottom w:val="180"/>
      <w:divBdr>
        <w:top w:val="none" w:sz="0" w:space="0" w:color="auto"/>
        <w:left w:val="none" w:sz="0" w:space="0" w:color="auto"/>
        <w:bottom w:val="none" w:sz="0" w:space="0" w:color="auto"/>
        <w:right w:val="none" w:sz="0" w:space="0" w:color="auto"/>
      </w:divBdr>
    </w:div>
    <w:div w:id="572541923">
      <w:marLeft w:val="0"/>
      <w:marRight w:val="0"/>
      <w:marTop w:val="180"/>
      <w:marBottom w:val="180"/>
      <w:divBdr>
        <w:top w:val="none" w:sz="0" w:space="0" w:color="auto"/>
        <w:left w:val="none" w:sz="0" w:space="0" w:color="auto"/>
        <w:bottom w:val="none" w:sz="0" w:space="0" w:color="auto"/>
        <w:right w:val="none" w:sz="0" w:space="0" w:color="auto"/>
      </w:divBdr>
    </w:div>
    <w:div w:id="577399262">
      <w:marLeft w:val="0"/>
      <w:marRight w:val="0"/>
      <w:marTop w:val="180"/>
      <w:marBottom w:val="180"/>
      <w:divBdr>
        <w:top w:val="none" w:sz="0" w:space="0" w:color="auto"/>
        <w:left w:val="none" w:sz="0" w:space="0" w:color="auto"/>
        <w:bottom w:val="none" w:sz="0" w:space="0" w:color="auto"/>
        <w:right w:val="none" w:sz="0" w:space="0" w:color="auto"/>
      </w:divBdr>
    </w:div>
    <w:div w:id="578447534">
      <w:marLeft w:val="0"/>
      <w:marRight w:val="0"/>
      <w:marTop w:val="180"/>
      <w:marBottom w:val="180"/>
      <w:divBdr>
        <w:top w:val="none" w:sz="0" w:space="0" w:color="auto"/>
        <w:left w:val="none" w:sz="0" w:space="0" w:color="auto"/>
        <w:bottom w:val="none" w:sz="0" w:space="0" w:color="auto"/>
        <w:right w:val="none" w:sz="0" w:space="0" w:color="auto"/>
      </w:divBdr>
    </w:div>
    <w:div w:id="579829602">
      <w:marLeft w:val="0"/>
      <w:marRight w:val="0"/>
      <w:marTop w:val="0"/>
      <w:marBottom w:val="0"/>
      <w:divBdr>
        <w:top w:val="none" w:sz="0" w:space="0" w:color="auto"/>
        <w:left w:val="none" w:sz="0" w:space="0" w:color="auto"/>
        <w:bottom w:val="none" w:sz="0" w:space="0" w:color="auto"/>
        <w:right w:val="none" w:sz="0" w:space="0" w:color="auto"/>
      </w:divBdr>
      <w:divsChild>
        <w:div w:id="540094441">
          <w:marLeft w:val="0"/>
          <w:marRight w:val="0"/>
          <w:marTop w:val="0"/>
          <w:marBottom w:val="0"/>
          <w:divBdr>
            <w:top w:val="none" w:sz="0" w:space="0" w:color="auto"/>
            <w:left w:val="none" w:sz="0" w:space="0" w:color="auto"/>
            <w:bottom w:val="none" w:sz="0" w:space="0" w:color="auto"/>
            <w:right w:val="none" w:sz="0" w:space="0" w:color="auto"/>
          </w:divBdr>
          <w:divsChild>
            <w:div w:id="10272901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0872247">
      <w:marLeft w:val="0"/>
      <w:marRight w:val="0"/>
      <w:marTop w:val="180"/>
      <w:marBottom w:val="180"/>
      <w:divBdr>
        <w:top w:val="none" w:sz="0" w:space="0" w:color="auto"/>
        <w:left w:val="none" w:sz="0" w:space="0" w:color="auto"/>
        <w:bottom w:val="none" w:sz="0" w:space="0" w:color="auto"/>
        <w:right w:val="none" w:sz="0" w:space="0" w:color="auto"/>
      </w:divBdr>
    </w:div>
    <w:div w:id="581648469">
      <w:marLeft w:val="0"/>
      <w:marRight w:val="0"/>
      <w:marTop w:val="0"/>
      <w:marBottom w:val="0"/>
      <w:divBdr>
        <w:top w:val="none" w:sz="0" w:space="0" w:color="auto"/>
        <w:left w:val="none" w:sz="0" w:space="0" w:color="auto"/>
        <w:bottom w:val="none" w:sz="0" w:space="0" w:color="auto"/>
        <w:right w:val="none" w:sz="0" w:space="0" w:color="auto"/>
      </w:divBdr>
    </w:div>
    <w:div w:id="581986709">
      <w:marLeft w:val="0"/>
      <w:marRight w:val="0"/>
      <w:marTop w:val="180"/>
      <w:marBottom w:val="180"/>
      <w:divBdr>
        <w:top w:val="none" w:sz="0" w:space="0" w:color="auto"/>
        <w:left w:val="none" w:sz="0" w:space="0" w:color="auto"/>
        <w:bottom w:val="none" w:sz="0" w:space="0" w:color="auto"/>
        <w:right w:val="none" w:sz="0" w:space="0" w:color="auto"/>
      </w:divBdr>
    </w:div>
    <w:div w:id="581989772">
      <w:marLeft w:val="0"/>
      <w:marRight w:val="0"/>
      <w:marTop w:val="180"/>
      <w:marBottom w:val="180"/>
      <w:divBdr>
        <w:top w:val="none" w:sz="0" w:space="0" w:color="auto"/>
        <w:left w:val="none" w:sz="0" w:space="0" w:color="auto"/>
        <w:bottom w:val="none" w:sz="0" w:space="0" w:color="auto"/>
        <w:right w:val="none" w:sz="0" w:space="0" w:color="auto"/>
      </w:divBdr>
    </w:div>
    <w:div w:id="582833038">
      <w:marLeft w:val="0"/>
      <w:marRight w:val="0"/>
      <w:marTop w:val="60"/>
      <w:marBottom w:val="60"/>
      <w:divBdr>
        <w:top w:val="none" w:sz="0" w:space="0" w:color="auto"/>
        <w:left w:val="none" w:sz="0" w:space="0" w:color="auto"/>
        <w:bottom w:val="none" w:sz="0" w:space="0" w:color="auto"/>
        <w:right w:val="none" w:sz="0" w:space="0" w:color="auto"/>
      </w:divBdr>
    </w:div>
    <w:div w:id="583026102">
      <w:marLeft w:val="0"/>
      <w:marRight w:val="0"/>
      <w:marTop w:val="60"/>
      <w:marBottom w:val="60"/>
      <w:divBdr>
        <w:top w:val="none" w:sz="0" w:space="0" w:color="auto"/>
        <w:left w:val="none" w:sz="0" w:space="0" w:color="auto"/>
        <w:bottom w:val="none" w:sz="0" w:space="0" w:color="auto"/>
        <w:right w:val="none" w:sz="0" w:space="0" w:color="auto"/>
      </w:divBdr>
    </w:div>
    <w:div w:id="583689952">
      <w:marLeft w:val="0"/>
      <w:marRight w:val="0"/>
      <w:marTop w:val="100"/>
      <w:marBottom w:val="100"/>
      <w:divBdr>
        <w:top w:val="none" w:sz="0" w:space="0" w:color="auto"/>
        <w:left w:val="none" w:sz="0" w:space="0" w:color="auto"/>
        <w:bottom w:val="none" w:sz="0" w:space="0" w:color="auto"/>
        <w:right w:val="none" w:sz="0" w:space="0" w:color="auto"/>
      </w:divBdr>
    </w:div>
    <w:div w:id="584070847">
      <w:marLeft w:val="0"/>
      <w:marRight w:val="0"/>
      <w:marTop w:val="180"/>
      <w:marBottom w:val="180"/>
      <w:divBdr>
        <w:top w:val="none" w:sz="0" w:space="0" w:color="auto"/>
        <w:left w:val="none" w:sz="0" w:space="0" w:color="auto"/>
        <w:bottom w:val="none" w:sz="0" w:space="0" w:color="auto"/>
        <w:right w:val="none" w:sz="0" w:space="0" w:color="auto"/>
      </w:divBdr>
    </w:div>
    <w:div w:id="584924783">
      <w:marLeft w:val="0"/>
      <w:marRight w:val="0"/>
      <w:marTop w:val="240"/>
      <w:marBottom w:val="180"/>
      <w:divBdr>
        <w:top w:val="none" w:sz="0" w:space="0" w:color="auto"/>
        <w:left w:val="none" w:sz="0" w:space="0" w:color="auto"/>
        <w:bottom w:val="none" w:sz="0" w:space="0" w:color="auto"/>
        <w:right w:val="none" w:sz="0" w:space="0" w:color="auto"/>
      </w:divBdr>
    </w:div>
    <w:div w:id="584999526">
      <w:marLeft w:val="0"/>
      <w:marRight w:val="0"/>
      <w:marTop w:val="0"/>
      <w:marBottom w:val="0"/>
      <w:divBdr>
        <w:top w:val="none" w:sz="0" w:space="0" w:color="auto"/>
        <w:left w:val="none" w:sz="0" w:space="0" w:color="auto"/>
        <w:bottom w:val="none" w:sz="0" w:space="0" w:color="auto"/>
        <w:right w:val="none" w:sz="0" w:space="0" w:color="auto"/>
      </w:divBdr>
    </w:div>
    <w:div w:id="586689497">
      <w:marLeft w:val="0"/>
      <w:marRight w:val="0"/>
      <w:marTop w:val="180"/>
      <w:marBottom w:val="180"/>
      <w:divBdr>
        <w:top w:val="none" w:sz="0" w:space="0" w:color="auto"/>
        <w:left w:val="none" w:sz="0" w:space="0" w:color="auto"/>
        <w:bottom w:val="none" w:sz="0" w:space="0" w:color="auto"/>
        <w:right w:val="none" w:sz="0" w:space="0" w:color="auto"/>
      </w:divBdr>
    </w:div>
    <w:div w:id="586697771">
      <w:marLeft w:val="0"/>
      <w:marRight w:val="0"/>
      <w:marTop w:val="180"/>
      <w:marBottom w:val="60"/>
      <w:divBdr>
        <w:top w:val="none" w:sz="0" w:space="0" w:color="auto"/>
        <w:left w:val="none" w:sz="0" w:space="0" w:color="auto"/>
        <w:bottom w:val="none" w:sz="0" w:space="0" w:color="auto"/>
        <w:right w:val="none" w:sz="0" w:space="0" w:color="auto"/>
      </w:divBdr>
    </w:div>
    <w:div w:id="587159791">
      <w:marLeft w:val="0"/>
      <w:marRight w:val="0"/>
      <w:marTop w:val="0"/>
      <w:marBottom w:val="0"/>
      <w:divBdr>
        <w:top w:val="none" w:sz="0" w:space="0" w:color="auto"/>
        <w:left w:val="none" w:sz="0" w:space="0" w:color="auto"/>
        <w:bottom w:val="none" w:sz="0" w:space="0" w:color="auto"/>
        <w:right w:val="none" w:sz="0" w:space="0" w:color="auto"/>
      </w:divBdr>
      <w:divsChild>
        <w:div w:id="1528712845">
          <w:marLeft w:val="0"/>
          <w:marRight w:val="0"/>
          <w:marTop w:val="0"/>
          <w:marBottom w:val="0"/>
          <w:divBdr>
            <w:top w:val="none" w:sz="0" w:space="0" w:color="auto"/>
            <w:left w:val="none" w:sz="0" w:space="0" w:color="auto"/>
            <w:bottom w:val="none" w:sz="0" w:space="0" w:color="auto"/>
            <w:right w:val="none" w:sz="0" w:space="0" w:color="auto"/>
          </w:divBdr>
          <w:divsChild>
            <w:div w:id="6169826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7617164">
      <w:marLeft w:val="0"/>
      <w:marRight w:val="0"/>
      <w:marTop w:val="180"/>
      <w:marBottom w:val="60"/>
      <w:divBdr>
        <w:top w:val="none" w:sz="0" w:space="0" w:color="auto"/>
        <w:left w:val="none" w:sz="0" w:space="0" w:color="auto"/>
        <w:bottom w:val="none" w:sz="0" w:space="0" w:color="auto"/>
        <w:right w:val="none" w:sz="0" w:space="0" w:color="auto"/>
      </w:divBdr>
    </w:div>
    <w:div w:id="588807453">
      <w:marLeft w:val="0"/>
      <w:marRight w:val="0"/>
      <w:marTop w:val="180"/>
      <w:marBottom w:val="180"/>
      <w:divBdr>
        <w:top w:val="none" w:sz="0" w:space="0" w:color="auto"/>
        <w:left w:val="none" w:sz="0" w:space="0" w:color="auto"/>
        <w:bottom w:val="none" w:sz="0" w:space="0" w:color="auto"/>
        <w:right w:val="none" w:sz="0" w:space="0" w:color="auto"/>
      </w:divBdr>
    </w:div>
    <w:div w:id="593829623">
      <w:marLeft w:val="0"/>
      <w:marRight w:val="0"/>
      <w:marTop w:val="0"/>
      <w:marBottom w:val="0"/>
      <w:divBdr>
        <w:top w:val="none" w:sz="0" w:space="0" w:color="auto"/>
        <w:left w:val="none" w:sz="0" w:space="0" w:color="auto"/>
        <w:bottom w:val="none" w:sz="0" w:space="0" w:color="auto"/>
        <w:right w:val="none" w:sz="0" w:space="0" w:color="auto"/>
      </w:divBdr>
    </w:div>
    <w:div w:id="593978343">
      <w:marLeft w:val="0"/>
      <w:marRight w:val="0"/>
      <w:marTop w:val="60"/>
      <w:marBottom w:val="60"/>
      <w:divBdr>
        <w:top w:val="none" w:sz="0" w:space="0" w:color="auto"/>
        <w:left w:val="none" w:sz="0" w:space="0" w:color="auto"/>
        <w:bottom w:val="none" w:sz="0" w:space="0" w:color="auto"/>
        <w:right w:val="none" w:sz="0" w:space="0" w:color="auto"/>
      </w:divBdr>
    </w:div>
    <w:div w:id="594478667">
      <w:marLeft w:val="0"/>
      <w:marRight w:val="0"/>
      <w:marTop w:val="0"/>
      <w:marBottom w:val="0"/>
      <w:divBdr>
        <w:top w:val="none" w:sz="0" w:space="0" w:color="auto"/>
        <w:left w:val="none" w:sz="0" w:space="0" w:color="auto"/>
        <w:bottom w:val="none" w:sz="0" w:space="0" w:color="auto"/>
        <w:right w:val="none" w:sz="0" w:space="0" w:color="auto"/>
      </w:divBdr>
    </w:div>
    <w:div w:id="594822086">
      <w:marLeft w:val="0"/>
      <w:marRight w:val="0"/>
      <w:marTop w:val="0"/>
      <w:marBottom w:val="0"/>
      <w:divBdr>
        <w:top w:val="none" w:sz="0" w:space="0" w:color="auto"/>
        <w:left w:val="none" w:sz="0" w:space="0" w:color="auto"/>
        <w:bottom w:val="none" w:sz="0" w:space="0" w:color="auto"/>
        <w:right w:val="none" w:sz="0" w:space="0" w:color="auto"/>
      </w:divBdr>
      <w:divsChild>
        <w:div w:id="492838715">
          <w:marLeft w:val="0"/>
          <w:marRight w:val="0"/>
          <w:marTop w:val="0"/>
          <w:marBottom w:val="0"/>
          <w:divBdr>
            <w:top w:val="none" w:sz="0" w:space="0" w:color="auto"/>
            <w:left w:val="none" w:sz="0" w:space="0" w:color="auto"/>
            <w:bottom w:val="none" w:sz="0" w:space="0" w:color="auto"/>
            <w:right w:val="none" w:sz="0" w:space="0" w:color="auto"/>
          </w:divBdr>
          <w:divsChild>
            <w:div w:id="15193478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4898583">
      <w:marLeft w:val="0"/>
      <w:marRight w:val="0"/>
      <w:marTop w:val="180"/>
      <w:marBottom w:val="180"/>
      <w:divBdr>
        <w:top w:val="none" w:sz="0" w:space="0" w:color="auto"/>
        <w:left w:val="none" w:sz="0" w:space="0" w:color="auto"/>
        <w:bottom w:val="none" w:sz="0" w:space="0" w:color="auto"/>
        <w:right w:val="none" w:sz="0" w:space="0" w:color="auto"/>
      </w:divBdr>
    </w:div>
    <w:div w:id="595021468">
      <w:marLeft w:val="0"/>
      <w:marRight w:val="0"/>
      <w:marTop w:val="180"/>
      <w:marBottom w:val="180"/>
      <w:divBdr>
        <w:top w:val="none" w:sz="0" w:space="0" w:color="auto"/>
        <w:left w:val="none" w:sz="0" w:space="0" w:color="auto"/>
        <w:bottom w:val="none" w:sz="0" w:space="0" w:color="auto"/>
        <w:right w:val="none" w:sz="0" w:space="0" w:color="auto"/>
      </w:divBdr>
    </w:div>
    <w:div w:id="595409660">
      <w:marLeft w:val="0"/>
      <w:marRight w:val="0"/>
      <w:marTop w:val="0"/>
      <w:marBottom w:val="0"/>
      <w:divBdr>
        <w:top w:val="none" w:sz="0" w:space="0" w:color="auto"/>
        <w:left w:val="none" w:sz="0" w:space="0" w:color="auto"/>
        <w:bottom w:val="none" w:sz="0" w:space="0" w:color="auto"/>
        <w:right w:val="none" w:sz="0" w:space="0" w:color="auto"/>
      </w:divBdr>
    </w:div>
    <w:div w:id="595748019">
      <w:marLeft w:val="0"/>
      <w:marRight w:val="0"/>
      <w:marTop w:val="180"/>
      <w:marBottom w:val="180"/>
      <w:divBdr>
        <w:top w:val="none" w:sz="0" w:space="0" w:color="auto"/>
        <w:left w:val="none" w:sz="0" w:space="0" w:color="auto"/>
        <w:bottom w:val="none" w:sz="0" w:space="0" w:color="auto"/>
        <w:right w:val="none" w:sz="0" w:space="0" w:color="auto"/>
      </w:divBdr>
    </w:div>
    <w:div w:id="596061191">
      <w:marLeft w:val="0"/>
      <w:marRight w:val="0"/>
      <w:marTop w:val="180"/>
      <w:marBottom w:val="180"/>
      <w:divBdr>
        <w:top w:val="none" w:sz="0" w:space="0" w:color="auto"/>
        <w:left w:val="none" w:sz="0" w:space="0" w:color="auto"/>
        <w:bottom w:val="none" w:sz="0" w:space="0" w:color="auto"/>
        <w:right w:val="none" w:sz="0" w:space="0" w:color="auto"/>
      </w:divBdr>
    </w:div>
    <w:div w:id="596601150">
      <w:marLeft w:val="0"/>
      <w:marRight w:val="0"/>
      <w:marTop w:val="180"/>
      <w:marBottom w:val="180"/>
      <w:divBdr>
        <w:top w:val="none" w:sz="0" w:space="0" w:color="auto"/>
        <w:left w:val="none" w:sz="0" w:space="0" w:color="auto"/>
        <w:bottom w:val="none" w:sz="0" w:space="0" w:color="auto"/>
        <w:right w:val="none" w:sz="0" w:space="0" w:color="auto"/>
      </w:divBdr>
    </w:div>
    <w:div w:id="597372030">
      <w:marLeft w:val="0"/>
      <w:marRight w:val="0"/>
      <w:marTop w:val="180"/>
      <w:marBottom w:val="60"/>
      <w:divBdr>
        <w:top w:val="none" w:sz="0" w:space="0" w:color="auto"/>
        <w:left w:val="none" w:sz="0" w:space="0" w:color="auto"/>
        <w:bottom w:val="none" w:sz="0" w:space="0" w:color="auto"/>
        <w:right w:val="none" w:sz="0" w:space="0" w:color="auto"/>
      </w:divBdr>
    </w:div>
    <w:div w:id="597718323">
      <w:marLeft w:val="0"/>
      <w:marRight w:val="0"/>
      <w:marTop w:val="184"/>
      <w:marBottom w:val="0"/>
      <w:divBdr>
        <w:top w:val="none" w:sz="0" w:space="0" w:color="auto"/>
        <w:left w:val="none" w:sz="0" w:space="0" w:color="auto"/>
        <w:bottom w:val="none" w:sz="0" w:space="0" w:color="auto"/>
        <w:right w:val="none" w:sz="0" w:space="0" w:color="auto"/>
      </w:divBdr>
    </w:div>
    <w:div w:id="597831530">
      <w:marLeft w:val="0"/>
      <w:marRight w:val="0"/>
      <w:marTop w:val="0"/>
      <w:marBottom w:val="0"/>
      <w:divBdr>
        <w:top w:val="none" w:sz="0" w:space="0" w:color="auto"/>
        <w:left w:val="none" w:sz="0" w:space="0" w:color="auto"/>
        <w:bottom w:val="none" w:sz="0" w:space="0" w:color="auto"/>
        <w:right w:val="none" w:sz="0" w:space="0" w:color="auto"/>
      </w:divBdr>
      <w:divsChild>
        <w:div w:id="1024286974">
          <w:marLeft w:val="0"/>
          <w:marRight w:val="0"/>
          <w:marTop w:val="0"/>
          <w:marBottom w:val="0"/>
          <w:divBdr>
            <w:top w:val="none" w:sz="0" w:space="0" w:color="auto"/>
            <w:left w:val="none" w:sz="0" w:space="0" w:color="auto"/>
            <w:bottom w:val="none" w:sz="0" w:space="0" w:color="auto"/>
            <w:right w:val="none" w:sz="0" w:space="0" w:color="auto"/>
          </w:divBdr>
          <w:divsChild>
            <w:div w:id="8693452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8410383">
      <w:marLeft w:val="0"/>
      <w:marRight w:val="0"/>
      <w:marTop w:val="180"/>
      <w:marBottom w:val="180"/>
      <w:divBdr>
        <w:top w:val="none" w:sz="0" w:space="0" w:color="auto"/>
        <w:left w:val="none" w:sz="0" w:space="0" w:color="auto"/>
        <w:bottom w:val="none" w:sz="0" w:space="0" w:color="auto"/>
        <w:right w:val="none" w:sz="0" w:space="0" w:color="auto"/>
      </w:divBdr>
    </w:div>
    <w:div w:id="599530382">
      <w:marLeft w:val="0"/>
      <w:marRight w:val="0"/>
      <w:marTop w:val="0"/>
      <w:marBottom w:val="0"/>
      <w:divBdr>
        <w:top w:val="none" w:sz="0" w:space="0" w:color="auto"/>
        <w:left w:val="none" w:sz="0" w:space="0" w:color="auto"/>
        <w:bottom w:val="none" w:sz="0" w:space="0" w:color="auto"/>
        <w:right w:val="none" w:sz="0" w:space="0" w:color="auto"/>
      </w:divBdr>
      <w:divsChild>
        <w:div w:id="1139689898">
          <w:marLeft w:val="0"/>
          <w:marRight w:val="0"/>
          <w:marTop w:val="0"/>
          <w:marBottom w:val="0"/>
          <w:divBdr>
            <w:top w:val="none" w:sz="0" w:space="0" w:color="auto"/>
            <w:left w:val="none" w:sz="0" w:space="0" w:color="auto"/>
            <w:bottom w:val="none" w:sz="0" w:space="0" w:color="auto"/>
            <w:right w:val="none" w:sz="0" w:space="0" w:color="auto"/>
          </w:divBdr>
          <w:divsChild>
            <w:div w:id="2250657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9727076">
      <w:marLeft w:val="0"/>
      <w:marRight w:val="0"/>
      <w:marTop w:val="100"/>
      <w:marBottom w:val="100"/>
      <w:divBdr>
        <w:top w:val="none" w:sz="0" w:space="0" w:color="auto"/>
        <w:left w:val="none" w:sz="0" w:space="0" w:color="auto"/>
        <w:bottom w:val="none" w:sz="0" w:space="0" w:color="auto"/>
        <w:right w:val="none" w:sz="0" w:space="0" w:color="auto"/>
      </w:divBdr>
    </w:div>
    <w:div w:id="599877938">
      <w:marLeft w:val="0"/>
      <w:marRight w:val="0"/>
      <w:marTop w:val="60"/>
      <w:marBottom w:val="60"/>
      <w:divBdr>
        <w:top w:val="none" w:sz="0" w:space="0" w:color="auto"/>
        <w:left w:val="none" w:sz="0" w:space="0" w:color="auto"/>
        <w:bottom w:val="none" w:sz="0" w:space="0" w:color="auto"/>
        <w:right w:val="none" w:sz="0" w:space="0" w:color="auto"/>
      </w:divBdr>
    </w:div>
    <w:div w:id="600333396">
      <w:marLeft w:val="0"/>
      <w:marRight w:val="0"/>
      <w:marTop w:val="180"/>
      <w:marBottom w:val="180"/>
      <w:divBdr>
        <w:top w:val="none" w:sz="0" w:space="0" w:color="auto"/>
        <w:left w:val="none" w:sz="0" w:space="0" w:color="auto"/>
        <w:bottom w:val="none" w:sz="0" w:space="0" w:color="auto"/>
        <w:right w:val="none" w:sz="0" w:space="0" w:color="auto"/>
      </w:divBdr>
    </w:div>
    <w:div w:id="600337972">
      <w:marLeft w:val="0"/>
      <w:marRight w:val="0"/>
      <w:marTop w:val="60"/>
      <w:marBottom w:val="60"/>
      <w:divBdr>
        <w:top w:val="none" w:sz="0" w:space="0" w:color="auto"/>
        <w:left w:val="none" w:sz="0" w:space="0" w:color="auto"/>
        <w:bottom w:val="none" w:sz="0" w:space="0" w:color="auto"/>
        <w:right w:val="none" w:sz="0" w:space="0" w:color="auto"/>
      </w:divBdr>
    </w:div>
    <w:div w:id="601374433">
      <w:marLeft w:val="0"/>
      <w:marRight w:val="0"/>
      <w:marTop w:val="180"/>
      <w:marBottom w:val="180"/>
      <w:divBdr>
        <w:top w:val="none" w:sz="0" w:space="0" w:color="auto"/>
        <w:left w:val="none" w:sz="0" w:space="0" w:color="auto"/>
        <w:bottom w:val="none" w:sz="0" w:space="0" w:color="auto"/>
        <w:right w:val="none" w:sz="0" w:space="0" w:color="auto"/>
      </w:divBdr>
    </w:div>
    <w:div w:id="601452520">
      <w:marLeft w:val="0"/>
      <w:marRight w:val="0"/>
      <w:marTop w:val="0"/>
      <w:marBottom w:val="0"/>
      <w:divBdr>
        <w:top w:val="none" w:sz="0" w:space="0" w:color="auto"/>
        <w:left w:val="none" w:sz="0" w:space="0" w:color="auto"/>
        <w:bottom w:val="none" w:sz="0" w:space="0" w:color="auto"/>
        <w:right w:val="none" w:sz="0" w:space="0" w:color="auto"/>
      </w:divBdr>
      <w:divsChild>
        <w:div w:id="1942638241">
          <w:marLeft w:val="0"/>
          <w:marRight w:val="0"/>
          <w:marTop w:val="0"/>
          <w:marBottom w:val="0"/>
          <w:divBdr>
            <w:top w:val="none" w:sz="0" w:space="0" w:color="auto"/>
            <w:left w:val="none" w:sz="0" w:space="0" w:color="auto"/>
            <w:bottom w:val="none" w:sz="0" w:space="0" w:color="auto"/>
            <w:right w:val="none" w:sz="0" w:space="0" w:color="auto"/>
          </w:divBdr>
          <w:divsChild>
            <w:div w:id="4121195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1691267">
      <w:marLeft w:val="0"/>
      <w:marRight w:val="0"/>
      <w:marTop w:val="180"/>
      <w:marBottom w:val="180"/>
      <w:divBdr>
        <w:top w:val="none" w:sz="0" w:space="0" w:color="auto"/>
        <w:left w:val="none" w:sz="0" w:space="0" w:color="auto"/>
        <w:bottom w:val="none" w:sz="0" w:space="0" w:color="auto"/>
        <w:right w:val="none" w:sz="0" w:space="0" w:color="auto"/>
      </w:divBdr>
    </w:div>
    <w:div w:id="602154483">
      <w:marLeft w:val="0"/>
      <w:marRight w:val="0"/>
      <w:marTop w:val="180"/>
      <w:marBottom w:val="60"/>
      <w:divBdr>
        <w:top w:val="none" w:sz="0" w:space="0" w:color="auto"/>
        <w:left w:val="none" w:sz="0" w:space="0" w:color="auto"/>
        <w:bottom w:val="none" w:sz="0" w:space="0" w:color="auto"/>
        <w:right w:val="none" w:sz="0" w:space="0" w:color="auto"/>
      </w:divBdr>
    </w:div>
    <w:div w:id="602805672">
      <w:marLeft w:val="0"/>
      <w:marRight w:val="0"/>
      <w:marTop w:val="60"/>
      <w:marBottom w:val="60"/>
      <w:divBdr>
        <w:top w:val="none" w:sz="0" w:space="0" w:color="auto"/>
        <w:left w:val="none" w:sz="0" w:space="0" w:color="auto"/>
        <w:bottom w:val="none" w:sz="0" w:space="0" w:color="auto"/>
        <w:right w:val="none" w:sz="0" w:space="0" w:color="auto"/>
      </w:divBdr>
    </w:div>
    <w:div w:id="603809401">
      <w:marLeft w:val="0"/>
      <w:marRight w:val="0"/>
      <w:marTop w:val="0"/>
      <w:marBottom w:val="0"/>
      <w:divBdr>
        <w:top w:val="none" w:sz="0" w:space="0" w:color="auto"/>
        <w:left w:val="none" w:sz="0" w:space="0" w:color="auto"/>
        <w:bottom w:val="none" w:sz="0" w:space="0" w:color="auto"/>
        <w:right w:val="none" w:sz="0" w:space="0" w:color="auto"/>
      </w:divBdr>
      <w:divsChild>
        <w:div w:id="2063824001">
          <w:marLeft w:val="0"/>
          <w:marRight w:val="0"/>
          <w:marTop w:val="0"/>
          <w:marBottom w:val="0"/>
          <w:divBdr>
            <w:top w:val="none" w:sz="0" w:space="0" w:color="auto"/>
            <w:left w:val="none" w:sz="0" w:space="0" w:color="auto"/>
            <w:bottom w:val="none" w:sz="0" w:space="0" w:color="auto"/>
            <w:right w:val="none" w:sz="0" w:space="0" w:color="auto"/>
          </w:divBdr>
          <w:divsChild>
            <w:div w:id="16737975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03997788">
      <w:marLeft w:val="0"/>
      <w:marRight w:val="0"/>
      <w:marTop w:val="180"/>
      <w:marBottom w:val="180"/>
      <w:divBdr>
        <w:top w:val="none" w:sz="0" w:space="0" w:color="auto"/>
        <w:left w:val="none" w:sz="0" w:space="0" w:color="auto"/>
        <w:bottom w:val="none" w:sz="0" w:space="0" w:color="auto"/>
        <w:right w:val="none" w:sz="0" w:space="0" w:color="auto"/>
      </w:divBdr>
    </w:div>
    <w:div w:id="604113363">
      <w:marLeft w:val="0"/>
      <w:marRight w:val="0"/>
      <w:marTop w:val="180"/>
      <w:marBottom w:val="180"/>
      <w:divBdr>
        <w:top w:val="none" w:sz="0" w:space="0" w:color="auto"/>
        <w:left w:val="none" w:sz="0" w:space="0" w:color="auto"/>
        <w:bottom w:val="none" w:sz="0" w:space="0" w:color="auto"/>
        <w:right w:val="none" w:sz="0" w:space="0" w:color="auto"/>
      </w:divBdr>
    </w:div>
    <w:div w:id="606473691">
      <w:marLeft w:val="0"/>
      <w:marRight w:val="0"/>
      <w:marTop w:val="60"/>
      <w:marBottom w:val="60"/>
      <w:divBdr>
        <w:top w:val="none" w:sz="0" w:space="0" w:color="auto"/>
        <w:left w:val="none" w:sz="0" w:space="0" w:color="auto"/>
        <w:bottom w:val="none" w:sz="0" w:space="0" w:color="auto"/>
        <w:right w:val="none" w:sz="0" w:space="0" w:color="auto"/>
      </w:divBdr>
    </w:div>
    <w:div w:id="607398263">
      <w:marLeft w:val="0"/>
      <w:marRight w:val="0"/>
      <w:marTop w:val="180"/>
      <w:marBottom w:val="180"/>
      <w:divBdr>
        <w:top w:val="none" w:sz="0" w:space="0" w:color="auto"/>
        <w:left w:val="none" w:sz="0" w:space="0" w:color="auto"/>
        <w:bottom w:val="none" w:sz="0" w:space="0" w:color="auto"/>
        <w:right w:val="none" w:sz="0" w:space="0" w:color="auto"/>
      </w:divBdr>
    </w:div>
    <w:div w:id="608661269">
      <w:marLeft w:val="0"/>
      <w:marRight w:val="0"/>
      <w:marTop w:val="180"/>
      <w:marBottom w:val="180"/>
      <w:divBdr>
        <w:top w:val="none" w:sz="0" w:space="0" w:color="auto"/>
        <w:left w:val="none" w:sz="0" w:space="0" w:color="auto"/>
        <w:bottom w:val="none" w:sz="0" w:space="0" w:color="auto"/>
        <w:right w:val="none" w:sz="0" w:space="0" w:color="auto"/>
      </w:divBdr>
    </w:div>
    <w:div w:id="609161514">
      <w:marLeft w:val="0"/>
      <w:marRight w:val="0"/>
      <w:marTop w:val="180"/>
      <w:marBottom w:val="180"/>
      <w:divBdr>
        <w:top w:val="none" w:sz="0" w:space="0" w:color="auto"/>
        <w:left w:val="none" w:sz="0" w:space="0" w:color="auto"/>
        <w:bottom w:val="none" w:sz="0" w:space="0" w:color="auto"/>
        <w:right w:val="none" w:sz="0" w:space="0" w:color="auto"/>
      </w:divBdr>
    </w:div>
    <w:div w:id="609361757">
      <w:marLeft w:val="0"/>
      <w:marRight w:val="0"/>
      <w:marTop w:val="180"/>
      <w:marBottom w:val="180"/>
      <w:divBdr>
        <w:top w:val="none" w:sz="0" w:space="0" w:color="auto"/>
        <w:left w:val="none" w:sz="0" w:space="0" w:color="auto"/>
        <w:bottom w:val="none" w:sz="0" w:space="0" w:color="auto"/>
        <w:right w:val="none" w:sz="0" w:space="0" w:color="auto"/>
      </w:divBdr>
    </w:div>
    <w:div w:id="609700412">
      <w:marLeft w:val="0"/>
      <w:marRight w:val="0"/>
      <w:marTop w:val="180"/>
      <w:marBottom w:val="180"/>
      <w:divBdr>
        <w:top w:val="none" w:sz="0" w:space="0" w:color="auto"/>
        <w:left w:val="none" w:sz="0" w:space="0" w:color="auto"/>
        <w:bottom w:val="none" w:sz="0" w:space="0" w:color="auto"/>
        <w:right w:val="none" w:sz="0" w:space="0" w:color="auto"/>
      </w:divBdr>
    </w:div>
    <w:div w:id="611598806">
      <w:marLeft w:val="0"/>
      <w:marRight w:val="0"/>
      <w:marTop w:val="0"/>
      <w:marBottom w:val="0"/>
      <w:divBdr>
        <w:top w:val="none" w:sz="0" w:space="0" w:color="auto"/>
        <w:left w:val="none" w:sz="0" w:space="0" w:color="auto"/>
        <w:bottom w:val="none" w:sz="0" w:space="0" w:color="auto"/>
        <w:right w:val="none" w:sz="0" w:space="0" w:color="auto"/>
      </w:divBdr>
      <w:divsChild>
        <w:div w:id="843396447">
          <w:marLeft w:val="0"/>
          <w:marRight w:val="0"/>
          <w:marTop w:val="0"/>
          <w:marBottom w:val="0"/>
          <w:divBdr>
            <w:top w:val="none" w:sz="0" w:space="0" w:color="auto"/>
            <w:left w:val="none" w:sz="0" w:space="0" w:color="auto"/>
            <w:bottom w:val="none" w:sz="0" w:space="0" w:color="auto"/>
            <w:right w:val="none" w:sz="0" w:space="0" w:color="auto"/>
          </w:divBdr>
          <w:divsChild>
            <w:div w:id="2900648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2984396">
      <w:marLeft w:val="0"/>
      <w:marRight w:val="0"/>
      <w:marTop w:val="100"/>
      <w:marBottom w:val="100"/>
      <w:divBdr>
        <w:top w:val="none" w:sz="0" w:space="0" w:color="auto"/>
        <w:left w:val="none" w:sz="0" w:space="0" w:color="auto"/>
        <w:bottom w:val="none" w:sz="0" w:space="0" w:color="auto"/>
        <w:right w:val="none" w:sz="0" w:space="0" w:color="auto"/>
      </w:divBdr>
    </w:div>
    <w:div w:id="614020098">
      <w:marLeft w:val="0"/>
      <w:marRight w:val="0"/>
      <w:marTop w:val="100"/>
      <w:marBottom w:val="100"/>
      <w:divBdr>
        <w:top w:val="none" w:sz="0" w:space="0" w:color="auto"/>
        <w:left w:val="none" w:sz="0" w:space="0" w:color="auto"/>
        <w:bottom w:val="none" w:sz="0" w:space="0" w:color="auto"/>
        <w:right w:val="none" w:sz="0" w:space="0" w:color="auto"/>
      </w:divBdr>
    </w:div>
    <w:div w:id="614482785">
      <w:marLeft w:val="0"/>
      <w:marRight w:val="0"/>
      <w:marTop w:val="180"/>
      <w:marBottom w:val="180"/>
      <w:divBdr>
        <w:top w:val="none" w:sz="0" w:space="0" w:color="auto"/>
        <w:left w:val="none" w:sz="0" w:space="0" w:color="auto"/>
        <w:bottom w:val="none" w:sz="0" w:space="0" w:color="auto"/>
        <w:right w:val="none" w:sz="0" w:space="0" w:color="auto"/>
      </w:divBdr>
    </w:div>
    <w:div w:id="614560564">
      <w:marLeft w:val="0"/>
      <w:marRight w:val="0"/>
      <w:marTop w:val="180"/>
      <w:marBottom w:val="180"/>
      <w:divBdr>
        <w:top w:val="none" w:sz="0" w:space="0" w:color="auto"/>
        <w:left w:val="none" w:sz="0" w:space="0" w:color="auto"/>
        <w:bottom w:val="none" w:sz="0" w:space="0" w:color="auto"/>
        <w:right w:val="none" w:sz="0" w:space="0" w:color="auto"/>
      </w:divBdr>
    </w:div>
    <w:div w:id="615915880">
      <w:marLeft w:val="0"/>
      <w:marRight w:val="0"/>
      <w:marTop w:val="180"/>
      <w:marBottom w:val="180"/>
      <w:divBdr>
        <w:top w:val="none" w:sz="0" w:space="0" w:color="auto"/>
        <w:left w:val="none" w:sz="0" w:space="0" w:color="auto"/>
        <w:bottom w:val="none" w:sz="0" w:space="0" w:color="auto"/>
        <w:right w:val="none" w:sz="0" w:space="0" w:color="auto"/>
      </w:divBdr>
    </w:div>
    <w:div w:id="616258734">
      <w:marLeft w:val="0"/>
      <w:marRight w:val="0"/>
      <w:marTop w:val="180"/>
      <w:marBottom w:val="180"/>
      <w:divBdr>
        <w:top w:val="none" w:sz="0" w:space="0" w:color="auto"/>
        <w:left w:val="none" w:sz="0" w:space="0" w:color="auto"/>
        <w:bottom w:val="none" w:sz="0" w:space="0" w:color="auto"/>
        <w:right w:val="none" w:sz="0" w:space="0" w:color="auto"/>
      </w:divBdr>
    </w:div>
    <w:div w:id="616570264">
      <w:marLeft w:val="0"/>
      <w:marRight w:val="0"/>
      <w:marTop w:val="180"/>
      <w:marBottom w:val="180"/>
      <w:divBdr>
        <w:top w:val="none" w:sz="0" w:space="0" w:color="auto"/>
        <w:left w:val="none" w:sz="0" w:space="0" w:color="auto"/>
        <w:bottom w:val="none" w:sz="0" w:space="0" w:color="auto"/>
        <w:right w:val="none" w:sz="0" w:space="0" w:color="auto"/>
      </w:divBdr>
    </w:div>
    <w:div w:id="617029533">
      <w:marLeft w:val="0"/>
      <w:marRight w:val="0"/>
      <w:marTop w:val="0"/>
      <w:marBottom w:val="0"/>
      <w:divBdr>
        <w:top w:val="none" w:sz="0" w:space="0" w:color="auto"/>
        <w:left w:val="none" w:sz="0" w:space="0" w:color="auto"/>
        <w:bottom w:val="none" w:sz="0" w:space="0" w:color="auto"/>
        <w:right w:val="none" w:sz="0" w:space="0" w:color="auto"/>
      </w:divBdr>
      <w:divsChild>
        <w:div w:id="1191645303">
          <w:marLeft w:val="0"/>
          <w:marRight w:val="0"/>
          <w:marTop w:val="60"/>
          <w:marBottom w:val="60"/>
          <w:divBdr>
            <w:top w:val="none" w:sz="0" w:space="0" w:color="auto"/>
            <w:left w:val="none" w:sz="0" w:space="0" w:color="auto"/>
            <w:bottom w:val="none" w:sz="0" w:space="0" w:color="auto"/>
            <w:right w:val="none" w:sz="0" w:space="0" w:color="auto"/>
          </w:divBdr>
        </w:div>
      </w:divsChild>
    </w:div>
    <w:div w:id="618226637">
      <w:marLeft w:val="0"/>
      <w:marRight w:val="0"/>
      <w:marTop w:val="180"/>
      <w:marBottom w:val="180"/>
      <w:divBdr>
        <w:top w:val="none" w:sz="0" w:space="0" w:color="auto"/>
        <w:left w:val="none" w:sz="0" w:space="0" w:color="auto"/>
        <w:bottom w:val="none" w:sz="0" w:space="0" w:color="auto"/>
        <w:right w:val="none" w:sz="0" w:space="0" w:color="auto"/>
      </w:divBdr>
    </w:div>
    <w:div w:id="618537855">
      <w:marLeft w:val="0"/>
      <w:marRight w:val="0"/>
      <w:marTop w:val="0"/>
      <w:marBottom w:val="0"/>
      <w:divBdr>
        <w:top w:val="none" w:sz="0" w:space="0" w:color="auto"/>
        <w:left w:val="none" w:sz="0" w:space="0" w:color="auto"/>
        <w:bottom w:val="none" w:sz="0" w:space="0" w:color="auto"/>
        <w:right w:val="none" w:sz="0" w:space="0" w:color="auto"/>
      </w:divBdr>
      <w:divsChild>
        <w:div w:id="35354229">
          <w:marLeft w:val="0"/>
          <w:marRight w:val="0"/>
          <w:marTop w:val="0"/>
          <w:marBottom w:val="0"/>
          <w:divBdr>
            <w:top w:val="none" w:sz="0" w:space="0" w:color="auto"/>
            <w:left w:val="none" w:sz="0" w:space="0" w:color="auto"/>
            <w:bottom w:val="none" w:sz="0" w:space="0" w:color="auto"/>
            <w:right w:val="none" w:sz="0" w:space="0" w:color="auto"/>
          </w:divBdr>
          <w:divsChild>
            <w:div w:id="12613741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9267933">
      <w:marLeft w:val="0"/>
      <w:marRight w:val="0"/>
      <w:marTop w:val="60"/>
      <w:marBottom w:val="60"/>
      <w:divBdr>
        <w:top w:val="none" w:sz="0" w:space="0" w:color="auto"/>
        <w:left w:val="none" w:sz="0" w:space="0" w:color="auto"/>
        <w:bottom w:val="none" w:sz="0" w:space="0" w:color="auto"/>
        <w:right w:val="none" w:sz="0" w:space="0" w:color="auto"/>
      </w:divBdr>
    </w:div>
    <w:div w:id="619383387">
      <w:marLeft w:val="0"/>
      <w:marRight w:val="0"/>
      <w:marTop w:val="180"/>
      <w:marBottom w:val="180"/>
      <w:divBdr>
        <w:top w:val="none" w:sz="0" w:space="0" w:color="auto"/>
        <w:left w:val="none" w:sz="0" w:space="0" w:color="auto"/>
        <w:bottom w:val="none" w:sz="0" w:space="0" w:color="auto"/>
        <w:right w:val="none" w:sz="0" w:space="0" w:color="auto"/>
      </w:divBdr>
    </w:div>
    <w:div w:id="620041164">
      <w:marLeft w:val="0"/>
      <w:marRight w:val="0"/>
      <w:marTop w:val="0"/>
      <w:marBottom w:val="0"/>
      <w:divBdr>
        <w:top w:val="none" w:sz="0" w:space="0" w:color="auto"/>
        <w:left w:val="none" w:sz="0" w:space="0" w:color="auto"/>
        <w:bottom w:val="none" w:sz="0" w:space="0" w:color="auto"/>
        <w:right w:val="none" w:sz="0" w:space="0" w:color="auto"/>
      </w:divBdr>
      <w:divsChild>
        <w:div w:id="1461151699">
          <w:marLeft w:val="0"/>
          <w:marRight w:val="0"/>
          <w:marTop w:val="0"/>
          <w:marBottom w:val="0"/>
          <w:divBdr>
            <w:top w:val="none" w:sz="0" w:space="0" w:color="auto"/>
            <w:left w:val="none" w:sz="0" w:space="0" w:color="auto"/>
            <w:bottom w:val="none" w:sz="0" w:space="0" w:color="auto"/>
            <w:right w:val="none" w:sz="0" w:space="0" w:color="auto"/>
          </w:divBdr>
          <w:divsChild>
            <w:div w:id="19032495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0066546">
      <w:marLeft w:val="0"/>
      <w:marRight w:val="0"/>
      <w:marTop w:val="0"/>
      <w:marBottom w:val="0"/>
      <w:divBdr>
        <w:top w:val="none" w:sz="0" w:space="0" w:color="auto"/>
        <w:left w:val="none" w:sz="0" w:space="0" w:color="auto"/>
        <w:bottom w:val="none" w:sz="0" w:space="0" w:color="auto"/>
        <w:right w:val="none" w:sz="0" w:space="0" w:color="auto"/>
      </w:divBdr>
      <w:divsChild>
        <w:div w:id="1910114289">
          <w:marLeft w:val="0"/>
          <w:marRight w:val="0"/>
          <w:marTop w:val="0"/>
          <w:marBottom w:val="0"/>
          <w:divBdr>
            <w:top w:val="none" w:sz="0" w:space="0" w:color="auto"/>
            <w:left w:val="none" w:sz="0" w:space="0" w:color="auto"/>
            <w:bottom w:val="none" w:sz="0" w:space="0" w:color="auto"/>
            <w:right w:val="none" w:sz="0" w:space="0" w:color="auto"/>
          </w:divBdr>
          <w:divsChild>
            <w:div w:id="17002737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0109022">
      <w:marLeft w:val="0"/>
      <w:marRight w:val="0"/>
      <w:marTop w:val="180"/>
      <w:marBottom w:val="180"/>
      <w:divBdr>
        <w:top w:val="none" w:sz="0" w:space="0" w:color="auto"/>
        <w:left w:val="none" w:sz="0" w:space="0" w:color="auto"/>
        <w:bottom w:val="none" w:sz="0" w:space="0" w:color="auto"/>
        <w:right w:val="none" w:sz="0" w:space="0" w:color="auto"/>
      </w:divBdr>
    </w:div>
    <w:div w:id="621156813">
      <w:marLeft w:val="0"/>
      <w:marRight w:val="0"/>
      <w:marTop w:val="180"/>
      <w:marBottom w:val="180"/>
      <w:divBdr>
        <w:top w:val="none" w:sz="0" w:space="0" w:color="auto"/>
        <w:left w:val="none" w:sz="0" w:space="0" w:color="auto"/>
        <w:bottom w:val="none" w:sz="0" w:space="0" w:color="auto"/>
        <w:right w:val="none" w:sz="0" w:space="0" w:color="auto"/>
      </w:divBdr>
    </w:div>
    <w:div w:id="621377072">
      <w:marLeft w:val="0"/>
      <w:marRight w:val="0"/>
      <w:marTop w:val="180"/>
      <w:marBottom w:val="180"/>
      <w:divBdr>
        <w:top w:val="none" w:sz="0" w:space="0" w:color="auto"/>
        <w:left w:val="none" w:sz="0" w:space="0" w:color="auto"/>
        <w:bottom w:val="none" w:sz="0" w:space="0" w:color="auto"/>
        <w:right w:val="none" w:sz="0" w:space="0" w:color="auto"/>
      </w:divBdr>
    </w:div>
    <w:div w:id="621612207">
      <w:marLeft w:val="0"/>
      <w:marRight w:val="0"/>
      <w:marTop w:val="180"/>
      <w:marBottom w:val="180"/>
      <w:divBdr>
        <w:top w:val="none" w:sz="0" w:space="0" w:color="auto"/>
        <w:left w:val="none" w:sz="0" w:space="0" w:color="auto"/>
        <w:bottom w:val="none" w:sz="0" w:space="0" w:color="auto"/>
        <w:right w:val="none" w:sz="0" w:space="0" w:color="auto"/>
      </w:divBdr>
    </w:div>
    <w:div w:id="621889457">
      <w:marLeft w:val="0"/>
      <w:marRight w:val="0"/>
      <w:marTop w:val="0"/>
      <w:marBottom w:val="0"/>
      <w:divBdr>
        <w:top w:val="none" w:sz="0" w:space="0" w:color="auto"/>
        <w:left w:val="none" w:sz="0" w:space="0" w:color="auto"/>
        <w:bottom w:val="none" w:sz="0" w:space="0" w:color="auto"/>
        <w:right w:val="none" w:sz="0" w:space="0" w:color="auto"/>
      </w:divBdr>
      <w:divsChild>
        <w:div w:id="1997151378">
          <w:marLeft w:val="0"/>
          <w:marRight w:val="0"/>
          <w:marTop w:val="0"/>
          <w:marBottom w:val="0"/>
          <w:divBdr>
            <w:top w:val="none" w:sz="0" w:space="0" w:color="auto"/>
            <w:left w:val="none" w:sz="0" w:space="0" w:color="auto"/>
            <w:bottom w:val="none" w:sz="0" w:space="0" w:color="auto"/>
            <w:right w:val="none" w:sz="0" w:space="0" w:color="auto"/>
          </w:divBdr>
          <w:divsChild>
            <w:div w:id="21309272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2469354">
      <w:marLeft w:val="0"/>
      <w:marRight w:val="0"/>
      <w:marTop w:val="180"/>
      <w:marBottom w:val="180"/>
      <w:divBdr>
        <w:top w:val="none" w:sz="0" w:space="0" w:color="auto"/>
        <w:left w:val="none" w:sz="0" w:space="0" w:color="auto"/>
        <w:bottom w:val="none" w:sz="0" w:space="0" w:color="auto"/>
        <w:right w:val="none" w:sz="0" w:space="0" w:color="auto"/>
      </w:divBdr>
    </w:div>
    <w:div w:id="622728751">
      <w:marLeft w:val="0"/>
      <w:marRight w:val="0"/>
      <w:marTop w:val="180"/>
      <w:marBottom w:val="0"/>
      <w:divBdr>
        <w:top w:val="none" w:sz="0" w:space="0" w:color="auto"/>
        <w:left w:val="none" w:sz="0" w:space="0" w:color="auto"/>
        <w:bottom w:val="none" w:sz="0" w:space="0" w:color="auto"/>
        <w:right w:val="none" w:sz="0" w:space="0" w:color="auto"/>
      </w:divBdr>
    </w:div>
    <w:div w:id="623270971">
      <w:marLeft w:val="0"/>
      <w:marRight w:val="0"/>
      <w:marTop w:val="180"/>
      <w:marBottom w:val="180"/>
      <w:divBdr>
        <w:top w:val="none" w:sz="0" w:space="0" w:color="auto"/>
        <w:left w:val="none" w:sz="0" w:space="0" w:color="auto"/>
        <w:bottom w:val="none" w:sz="0" w:space="0" w:color="auto"/>
        <w:right w:val="none" w:sz="0" w:space="0" w:color="auto"/>
      </w:divBdr>
    </w:div>
    <w:div w:id="625889176">
      <w:marLeft w:val="0"/>
      <w:marRight w:val="0"/>
      <w:marTop w:val="60"/>
      <w:marBottom w:val="60"/>
      <w:divBdr>
        <w:top w:val="none" w:sz="0" w:space="0" w:color="auto"/>
        <w:left w:val="none" w:sz="0" w:space="0" w:color="auto"/>
        <w:bottom w:val="none" w:sz="0" w:space="0" w:color="auto"/>
        <w:right w:val="none" w:sz="0" w:space="0" w:color="auto"/>
      </w:divBdr>
    </w:div>
    <w:div w:id="625889708">
      <w:marLeft w:val="0"/>
      <w:marRight w:val="0"/>
      <w:marTop w:val="0"/>
      <w:marBottom w:val="0"/>
      <w:divBdr>
        <w:top w:val="none" w:sz="0" w:space="0" w:color="auto"/>
        <w:left w:val="none" w:sz="0" w:space="0" w:color="auto"/>
        <w:bottom w:val="none" w:sz="0" w:space="0" w:color="auto"/>
        <w:right w:val="none" w:sz="0" w:space="0" w:color="auto"/>
      </w:divBdr>
      <w:divsChild>
        <w:div w:id="260918465">
          <w:marLeft w:val="0"/>
          <w:marRight w:val="0"/>
          <w:marTop w:val="0"/>
          <w:marBottom w:val="0"/>
          <w:divBdr>
            <w:top w:val="none" w:sz="0" w:space="0" w:color="auto"/>
            <w:left w:val="none" w:sz="0" w:space="0" w:color="auto"/>
            <w:bottom w:val="none" w:sz="0" w:space="0" w:color="auto"/>
            <w:right w:val="none" w:sz="0" w:space="0" w:color="auto"/>
          </w:divBdr>
          <w:divsChild>
            <w:div w:id="20607862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27053989">
      <w:marLeft w:val="0"/>
      <w:marRight w:val="0"/>
      <w:marTop w:val="180"/>
      <w:marBottom w:val="180"/>
      <w:divBdr>
        <w:top w:val="none" w:sz="0" w:space="0" w:color="auto"/>
        <w:left w:val="none" w:sz="0" w:space="0" w:color="auto"/>
        <w:bottom w:val="none" w:sz="0" w:space="0" w:color="auto"/>
        <w:right w:val="none" w:sz="0" w:space="0" w:color="auto"/>
      </w:divBdr>
    </w:div>
    <w:div w:id="631062927">
      <w:marLeft w:val="0"/>
      <w:marRight w:val="0"/>
      <w:marTop w:val="0"/>
      <w:marBottom w:val="0"/>
      <w:divBdr>
        <w:top w:val="none" w:sz="0" w:space="0" w:color="auto"/>
        <w:left w:val="none" w:sz="0" w:space="0" w:color="auto"/>
        <w:bottom w:val="none" w:sz="0" w:space="0" w:color="auto"/>
        <w:right w:val="none" w:sz="0" w:space="0" w:color="auto"/>
      </w:divBdr>
      <w:divsChild>
        <w:div w:id="1199009527">
          <w:marLeft w:val="0"/>
          <w:marRight w:val="0"/>
          <w:marTop w:val="0"/>
          <w:marBottom w:val="0"/>
          <w:divBdr>
            <w:top w:val="none" w:sz="0" w:space="0" w:color="auto"/>
            <w:left w:val="none" w:sz="0" w:space="0" w:color="auto"/>
            <w:bottom w:val="none" w:sz="0" w:space="0" w:color="auto"/>
            <w:right w:val="none" w:sz="0" w:space="0" w:color="auto"/>
          </w:divBdr>
          <w:divsChild>
            <w:div w:id="17381618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2833109">
      <w:marLeft w:val="0"/>
      <w:marRight w:val="0"/>
      <w:marTop w:val="180"/>
      <w:marBottom w:val="180"/>
      <w:divBdr>
        <w:top w:val="none" w:sz="0" w:space="0" w:color="auto"/>
        <w:left w:val="none" w:sz="0" w:space="0" w:color="auto"/>
        <w:bottom w:val="none" w:sz="0" w:space="0" w:color="auto"/>
        <w:right w:val="none" w:sz="0" w:space="0" w:color="auto"/>
      </w:divBdr>
    </w:div>
    <w:div w:id="633754245">
      <w:marLeft w:val="0"/>
      <w:marRight w:val="0"/>
      <w:marTop w:val="240"/>
      <w:marBottom w:val="240"/>
      <w:divBdr>
        <w:top w:val="none" w:sz="0" w:space="0" w:color="auto"/>
        <w:left w:val="none" w:sz="0" w:space="0" w:color="auto"/>
        <w:bottom w:val="none" w:sz="0" w:space="0" w:color="auto"/>
        <w:right w:val="none" w:sz="0" w:space="0" w:color="auto"/>
      </w:divBdr>
    </w:div>
    <w:div w:id="634137385">
      <w:marLeft w:val="0"/>
      <w:marRight w:val="0"/>
      <w:marTop w:val="180"/>
      <w:marBottom w:val="180"/>
      <w:divBdr>
        <w:top w:val="none" w:sz="0" w:space="0" w:color="auto"/>
        <w:left w:val="none" w:sz="0" w:space="0" w:color="auto"/>
        <w:bottom w:val="none" w:sz="0" w:space="0" w:color="auto"/>
        <w:right w:val="none" w:sz="0" w:space="0" w:color="auto"/>
      </w:divBdr>
    </w:div>
    <w:div w:id="634143294">
      <w:marLeft w:val="0"/>
      <w:marRight w:val="0"/>
      <w:marTop w:val="180"/>
      <w:marBottom w:val="180"/>
      <w:divBdr>
        <w:top w:val="none" w:sz="0" w:space="0" w:color="auto"/>
        <w:left w:val="none" w:sz="0" w:space="0" w:color="auto"/>
        <w:bottom w:val="none" w:sz="0" w:space="0" w:color="auto"/>
        <w:right w:val="none" w:sz="0" w:space="0" w:color="auto"/>
      </w:divBdr>
    </w:div>
    <w:div w:id="635069831">
      <w:marLeft w:val="0"/>
      <w:marRight w:val="0"/>
      <w:marTop w:val="60"/>
      <w:marBottom w:val="60"/>
      <w:divBdr>
        <w:top w:val="none" w:sz="0" w:space="0" w:color="auto"/>
        <w:left w:val="none" w:sz="0" w:space="0" w:color="auto"/>
        <w:bottom w:val="none" w:sz="0" w:space="0" w:color="auto"/>
        <w:right w:val="none" w:sz="0" w:space="0" w:color="auto"/>
      </w:divBdr>
    </w:div>
    <w:div w:id="635641998">
      <w:marLeft w:val="0"/>
      <w:marRight w:val="0"/>
      <w:marTop w:val="60"/>
      <w:marBottom w:val="60"/>
      <w:divBdr>
        <w:top w:val="none" w:sz="0" w:space="0" w:color="auto"/>
        <w:left w:val="none" w:sz="0" w:space="0" w:color="auto"/>
        <w:bottom w:val="none" w:sz="0" w:space="0" w:color="auto"/>
        <w:right w:val="none" w:sz="0" w:space="0" w:color="auto"/>
      </w:divBdr>
    </w:div>
    <w:div w:id="636107427">
      <w:marLeft w:val="0"/>
      <w:marRight w:val="0"/>
      <w:marTop w:val="180"/>
      <w:marBottom w:val="180"/>
      <w:divBdr>
        <w:top w:val="none" w:sz="0" w:space="0" w:color="auto"/>
        <w:left w:val="none" w:sz="0" w:space="0" w:color="auto"/>
        <w:bottom w:val="none" w:sz="0" w:space="0" w:color="auto"/>
        <w:right w:val="none" w:sz="0" w:space="0" w:color="auto"/>
      </w:divBdr>
    </w:div>
    <w:div w:id="636180203">
      <w:marLeft w:val="0"/>
      <w:marRight w:val="0"/>
      <w:marTop w:val="180"/>
      <w:marBottom w:val="180"/>
      <w:divBdr>
        <w:top w:val="none" w:sz="0" w:space="0" w:color="auto"/>
        <w:left w:val="none" w:sz="0" w:space="0" w:color="auto"/>
        <w:bottom w:val="none" w:sz="0" w:space="0" w:color="auto"/>
        <w:right w:val="none" w:sz="0" w:space="0" w:color="auto"/>
      </w:divBdr>
    </w:div>
    <w:div w:id="637148220">
      <w:marLeft w:val="0"/>
      <w:marRight w:val="0"/>
      <w:marTop w:val="0"/>
      <w:marBottom w:val="0"/>
      <w:divBdr>
        <w:top w:val="none" w:sz="0" w:space="0" w:color="auto"/>
        <w:left w:val="none" w:sz="0" w:space="0" w:color="auto"/>
        <w:bottom w:val="none" w:sz="0" w:space="0" w:color="auto"/>
        <w:right w:val="none" w:sz="0" w:space="0" w:color="auto"/>
      </w:divBdr>
    </w:div>
    <w:div w:id="637296141">
      <w:marLeft w:val="0"/>
      <w:marRight w:val="0"/>
      <w:marTop w:val="180"/>
      <w:marBottom w:val="180"/>
      <w:divBdr>
        <w:top w:val="none" w:sz="0" w:space="0" w:color="auto"/>
        <w:left w:val="none" w:sz="0" w:space="0" w:color="auto"/>
        <w:bottom w:val="none" w:sz="0" w:space="0" w:color="auto"/>
        <w:right w:val="none" w:sz="0" w:space="0" w:color="auto"/>
      </w:divBdr>
    </w:div>
    <w:div w:id="637303261">
      <w:marLeft w:val="0"/>
      <w:marRight w:val="0"/>
      <w:marTop w:val="0"/>
      <w:marBottom w:val="0"/>
      <w:divBdr>
        <w:top w:val="none" w:sz="0" w:space="0" w:color="auto"/>
        <w:left w:val="none" w:sz="0" w:space="0" w:color="auto"/>
        <w:bottom w:val="none" w:sz="0" w:space="0" w:color="auto"/>
        <w:right w:val="none" w:sz="0" w:space="0" w:color="auto"/>
      </w:divBdr>
      <w:divsChild>
        <w:div w:id="1981031230">
          <w:marLeft w:val="0"/>
          <w:marRight w:val="0"/>
          <w:marTop w:val="180"/>
          <w:marBottom w:val="180"/>
          <w:divBdr>
            <w:top w:val="none" w:sz="0" w:space="0" w:color="auto"/>
            <w:left w:val="none" w:sz="0" w:space="0" w:color="auto"/>
            <w:bottom w:val="none" w:sz="0" w:space="0" w:color="auto"/>
            <w:right w:val="none" w:sz="0" w:space="0" w:color="auto"/>
          </w:divBdr>
        </w:div>
      </w:divsChild>
    </w:div>
    <w:div w:id="638458500">
      <w:marLeft w:val="0"/>
      <w:marRight w:val="0"/>
      <w:marTop w:val="180"/>
      <w:marBottom w:val="180"/>
      <w:divBdr>
        <w:top w:val="none" w:sz="0" w:space="0" w:color="auto"/>
        <w:left w:val="none" w:sz="0" w:space="0" w:color="auto"/>
        <w:bottom w:val="none" w:sz="0" w:space="0" w:color="auto"/>
        <w:right w:val="none" w:sz="0" w:space="0" w:color="auto"/>
      </w:divBdr>
    </w:div>
    <w:div w:id="639310528">
      <w:marLeft w:val="0"/>
      <w:marRight w:val="0"/>
      <w:marTop w:val="0"/>
      <w:marBottom w:val="0"/>
      <w:divBdr>
        <w:top w:val="none" w:sz="0" w:space="0" w:color="auto"/>
        <w:left w:val="none" w:sz="0" w:space="0" w:color="auto"/>
        <w:bottom w:val="none" w:sz="0" w:space="0" w:color="auto"/>
        <w:right w:val="none" w:sz="0" w:space="0" w:color="auto"/>
      </w:divBdr>
      <w:divsChild>
        <w:div w:id="807435370">
          <w:marLeft w:val="0"/>
          <w:marRight w:val="0"/>
          <w:marTop w:val="180"/>
          <w:marBottom w:val="180"/>
          <w:divBdr>
            <w:top w:val="none" w:sz="0" w:space="0" w:color="auto"/>
            <w:left w:val="none" w:sz="0" w:space="0" w:color="auto"/>
            <w:bottom w:val="none" w:sz="0" w:space="0" w:color="auto"/>
            <w:right w:val="none" w:sz="0" w:space="0" w:color="auto"/>
          </w:divBdr>
        </w:div>
      </w:divsChild>
    </w:div>
    <w:div w:id="640840679">
      <w:marLeft w:val="0"/>
      <w:marRight w:val="0"/>
      <w:marTop w:val="0"/>
      <w:marBottom w:val="0"/>
      <w:divBdr>
        <w:top w:val="none" w:sz="0" w:space="0" w:color="auto"/>
        <w:left w:val="none" w:sz="0" w:space="0" w:color="auto"/>
        <w:bottom w:val="none" w:sz="0" w:space="0" w:color="auto"/>
        <w:right w:val="none" w:sz="0" w:space="0" w:color="auto"/>
      </w:divBdr>
      <w:divsChild>
        <w:div w:id="1030717109">
          <w:marLeft w:val="0"/>
          <w:marRight w:val="0"/>
          <w:marTop w:val="180"/>
          <w:marBottom w:val="180"/>
          <w:divBdr>
            <w:top w:val="none" w:sz="0" w:space="0" w:color="auto"/>
            <w:left w:val="none" w:sz="0" w:space="0" w:color="auto"/>
            <w:bottom w:val="none" w:sz="0" w:space="0" w:color="auto"/>
            <w:right w:val="none" w:sz="0" w:space="0" w:color="auto"/>
          </w:divBdr>
        </w:div>
      </w:divsChild>
    </w:div>
    <w:div w:id="642196265">
      <w:marLeft w:val="0"/>
      <w:marRight w:val="0"/>
      <w:marTop w:val="0"/>
      <w:marBottom w:val="0"/>
      <w:divBdr>
        <w:top w:val="none" w:sz="0" w:space="0" w:color="auto"/>
        <w:left w:val="none" w:sz="0" w:space="0" w:color="auto"/>
        <w:bottom w:val="none" w:sz="0" w:space="0" w:color="auto"/>
        <w:right w:val="none" w:sz="0" w:space="0" w:color="auto"/>
      </w:divBdr>
    </w:div>
    <w:div w:id="644969455">
      <w:marLeft w:val="0"/>
      <w:marRight w:val="0"/>
      <w:marTop w:val="60"/>
      <w:marBottom w:val="60"/>
      <w:divBdr>
        <w:top w:val="none" w:sz="0" w:space="0" w:color="auto"/>
        <w:left w:val="none" w:sz="0" w:space="0" w:color="auto"/>
        <w:bottom w:val="none" w:sz="0" w:space="0" w:color="auto"/>
        <w:right w:val="none" w:sz="0" w:space="0" w:color="auto"/>
      </w:divBdr>
      <w:divsChild>
        <w:div w:id="1405178518">
          <w:marLeft w:val="0"/>
          <w:marRight w:val="0"/>
          <w:marTop w:val="0"/>
          <w:marBottom w:val="0"/>
          <w:divBdr>
            <w:top w:val="none" w:sz="0" w:space="0" w:color="auto"/>
            <w:left w:val="none" w:sz="0" w:space="0" w:color="auto"/>
            <w:bottom w:val="none" w:sz="0" w:space="0" w:color="auto"/>
            <w:right w:val="none" w:sz="0" w:space="0" w:color="auto"/>
          </w:divBdr>
        </w:div>
        <w:div w:id="1806699101">
          <w:marLeft w:val="0"/>
          <w:marRight w:val="0"/>
          <w:marTop w:val="0"/>
          <w:marBottom w:val="0"/>
          <w:divBdr>
            <w:top w:val="none" w:sz="0" w:space="0" w:color="auto"/>
            <w:left w:val="none" w:sz="0" w:space="0" w:color="auto"/>
            <w:bottom w:val="none" w:sz="0" w:space="0" w:color="auto"/>
            <w:right w:val="none" w:sz="0" w:space="0" w:color="auto"/>
          </w:divBdr>
        </w:div>
        <w:div w:id="634481297">
          <w:marLeft w:val="0"/>
          <w:marRight w:val="0"/>
          <w:marTop w:val="0"/>
          <w:marBottom w:val="0"/>
          <w:divBdr>
            <w:top w:val="none" w:sz="0" w:space="0" w:color="auto"/>
            <w:left w:val="none" w:sz="0" w:space="0" w:color="auto"/>
            <w:bottom w:val="none" w:sz="0" w:space="0" w:color="auto"/>
            <w:right w:val="none" w:sz="0" w:space="0" w:color="auto"/>
          </w:divBdr>
        </w:div>
        <w:div w:id="1896502869">
          <w:marLeft w:val="0"/>
          <w:marRight w:val="0"/>
          <w:marTop w:val="0"/>
          <w:marBottom w:val="0"/>
          <w:divBdr>
            <w:top w:val="none" w:sz="0" w:space="0" w:color="auto"/>
            <w:left w:val="none" w:sz="0" w:space="0" w:color="auto"/>
            <w:bottom w:val="none" w:sz="0" w:space="0" w:color="auto"/>
            <w:right w:val="none" w:sz="0" w:space="0" w:color="auto"/>
          </w:divBdr>
        </w:div>
        <w:div w:id="248540856">
          <w:marLeft w:val="0"/>
          <w:marRight w:val="0"/>
          <w:marTop w:val="0"/>
          <w:marBottom w:val="0"/>
          <w:divBdr>
            <w:top w:val="none" w:sz="0" w:space="0" w:color="auto"/>
            <w:left w:val="none" w:sz="0" w:space="0" w:color="auto"/>
            <w:bottom w:val="none" w:sz="0" w:space="0" w:color="auto"/>
            <w:right w:val="none" w:sz="0" w:space="0" w:color="auto"/>
          </w:divBdr>
        </w:div>
        <w:div w:id="641928207">
          <w:marLeft w:val="0"/>
          <w:marRight w:val="0"/>
          <w:marTop w:val="0"/>
          <w:marBottom w:val="0"/>
          <w:divBdr>
            <w:top w:val="none" w:sz="0" w:space="0" w:color="auto"/>
            <w:left w:val="none" w:sz="0" w:space="0" w:color="auto"/>
            <w:bottom w:val="none" w:sz="0" w:space="0" w:color="auto"/>
            <w:right w:val="none" w:sz="0" w:space="0" w:color="auto"/>
          </w:divBdr>
        </w:div>
        <w:div w:id="785736859">
          <w:marLeft w:val="0"/>
          <w:marRight w:val="0"/>
          <w:marTop w:val="0"/>
          <w:marBottom w:val="0"/>
          <w:divBdr>
            <w:top w:val="none" w:sz="0" w:space="0" w:color="auto"/>
            <w:left w:val="none" w:sz="0" w:space="0" w:color="auto"/>
            <w:bottom w:val="none" w:sz="0" w:space="0" w:color="auto"/>
            <w:right w:val="none" w:sz="0" w:space="0" w:color="auto"/>
          </w:divBdr>
        </w:div>
        <w:div w:id="892810639">
          <w:marLeft w:val="0"/>
          <w:marRight w:val="0"/>
          <w:marTop w:val="0"/>
          <w:marBottom w:val="0"/>
          <w:divBdr>
            <w:top w:val="none" w:sz="0" w:space="0" w:color="auto"/>
            <w:left w:val="none" w:sz="0" w:space="0" w:color="auto"/>
            <w:bottom w:val="none" w:sz="0" w:space="0" w:color="auto"/>
            <w:right w:val="none" w:sz="0" w:space="0" w:color="auto"/>
          </w:divBdr>
        </w:div>
        <w:div w:id="1308130134">
          <w:marLeft w:val="0"/>
          <w:marRight w:val="0"/>
          <w:marTop w:val="0"/>
          <w:marBottom w:val="0"/>
          <w:divBdr>
            <w:top w:val="none" w:sz="0" w:space="0" w:color="auto"/>
            <w:left w:val="none" w:sz="0" w:space="0" w:color="auto"/>
            <w:bottom w:val="none" w:sz="0" w:space="0" w:color="auto"/>
            <w:right w:val="none" w:sz="0" w:space="0" w:color="auto"/>
          </w:divBdr>
        </w:div>
      </w:divsChild>
    </w:div>
    <w:div w:id="647788459">
      <w:marLeft w:val="0"/>
      <w:marRight w:val="0"/>
      <w:marTop w:val="60"/>
      <w:marBottom w:val="60"/>
      <w:divBdr>
        <w:top w:val="none" w:sz="0" w:space="0" w:color="auto"/>
        <w:left w:val="none" w:sz="0" w:space="0" w:color="auto"/>
        <w:bottom w:val="none" w:sz="0" w:space="0" w:color="auto"/>
        <w:right w:val="none" w:sz="0" w:space="0" w:color="auto"/>
      </w:divBdr>
    </w:div>
    <w:div w:id="648486604">
      <w:marLeft w:val="0"/>
      <w:marRight w:val="0"/>
      <w:marTop w:val="180"/>
      <w:marBottom w:val="180"/>
      <w:divBdr>
        <w:top w:val="none" w:sz="0" w:space="0" w:color="auto"/>
        <w:left w:val="none" w:sz="0" w:space="0" w:color="auto"/>
        <w:bottom w:val="none" w:sz="0" w:space="0" w:color="auto"/>
        <w:right w:val="none" w:sz="0" w:space="0" w:color="auto"/>
      </w:divBdr>
    </w:div>
    <w:div w:id="649945949">
      <w:marLeft w:val="0"/>
      <w:marRight w:val="0"/>
      <w:marTop w:val="180"/>
      <w:marBottom w:val="180"/>
      <w:divBdr>
        <w:top w:val="none" w:sz="0" w:space="0" w:color="auto"/>
        <w:left w:val="none" w:sz="0" w:space="0" w:color="auto"/>
        <w:bottom w:val="none" w:sz="0" w:space="0" w:color="auto"/>
        <w:right w:val="none" w:sz="0" w:space="0" w:color="auto"/>
      </w:divBdr>
    </w:div>
    <w:div w:id="649947098">
      <w:marLeft w:val="0"/>
      <w:marRight w:val="0"/>
      <w:marTop w:val="180"/>
      <w:marBottom w:val="180"/>
      <w:divBdr>
        <w:top w:val="none" w:sz="0" w:space="0" w:color="auto"/>
        <w:left w:val="none" w:sz="0" w:space="0" w:color="auto"/>
        <w:bottom w:val="none" w:sz="0" w:space="0" w:color="auto"/>
        <w:right w:val="none" w:sz="0" w:space="0" w:color="auto"/>
      </w:divBdr>
    </w:div>
    <w:div w:id="649990977">
      <w:marLeft w:val="0"/>
      <w:marRight w:val="0"/>
      <w:marTop w:val="180"/>
      <w:marBottom w:val="180"/>
      <w:divBdr>
        <w:top w:val="none" w:sz="0" w:space="0" w:color="auto"/>
        <w:left w:val="none" w:sz="0" w:space="0" w:color="auto"/>
        <w:bottom w:val="none" w:sz="0" w:space="0" w:color="auto"/>
        <w:right w:val="none" w:sz="0" w:space="0" w:color="auto"/>
      </w:divBdr>
    </w:div>
    <w:div w:id="650445763">
      <w:marLeft w:val="0"/>
      <w:marRight w:val="0"/>
      <w:marTop w:val="180"/>
      <w:marBottom w:val="180"/>
      <w:divBdr>
        <w:top w:val="none" w:sz="0" w:space="0" w:color="auto"/>
        <w:left w:val="none" w:sz="0" w:space="0" w:color="auto"/>
        <w:bottom w:val="none" w:sz="0" w:space="0" w:color="auto"/>
        <w:right w:val="none" w:sz="0" w:space="0" w:color="auto"/>
      </w:divBdr>
    </w:div>
    <w:div w:id="651183166">
      <w:marLeft w:val="0"/>
      <w:marRight w:val="0"/>
      <w:marTop w:val="180"/>
      <w:marBottom w:val="180"/>
      <w:divBdr>
        <w:top w:val="none" w:sz="0" w:space="0" w:color="auto"/>
        <w:left w:val="none" w:sz="0" w:space="0" w:color="auto"/>
        <w:bottom w:val="none" w:sz="0" w:space="0" w:color="auto"/>
        <w:right w:val="none" w:sz="0" w:space="0" w:color="auto"/>
      </w:divBdr>
    </w:div>
    <w:div w:id="651829959">
      <w:marLeft w:val="0"/>
      <w:marRight w:val="0"/>
      <w:marTop w:val="180"/>
      <w:marBottom w:val="180"/>
      <w:divBdr>
        <w:top w:val="none" w:sz="0" w:space="0" w:color="auto"/>
        <w:left w:val="none" w:sz="0" w:space="0" w:color="auto"/>
        <w:bottom w:val="none" w:sz="0" w:space="0" w:color="auto"/>
        <w:right w:val="none" w:sz="0" w:space="0" w:color="auto"/>
      </w:divBdr>
    </w:div>
    <w:div w:id="652030163">
      <w:marLeft w:val="0"/>
      <w:marRight w:val="0"/>
      <w:marTop w:val="180"/>
      <w:marBottom w:val="180"/>
      <w:divBdr>
        <w:top w:val="none" w:sz="0" w:space="0" w:color="auto"/>
        <w:left w:val="none" w:sz="0" w:space="0" w:color="auto"/>
        <w:bottom w:val="none" w:sz="0" w:space="0" w:color="auto"/>
        <w:right w:val="none" w:sz="0" w:space="0" w:color="auto"/>
      </w:divBdr>
    </w:div>
    <w:div w:id="652685475">
      <w:marLeft w:val="0"/>
      <w:marRight w:val="0"/>
      <w:marTop w:val="180"/>
      <w:marBottom w:val="180"/>
      <w:divBdr>
        <w:top w:val="none" w:sz="0" w:space="0" w:color="auto"/>
        <w:left w:val="none" w:sz="0" w:space="0" w:color="auto"/>
        <w:bottom w:val="none" w:sz="0" w:space="0" w:color="auto"/>
        <w:right w:val="none" w:sz="0" w:space="0" w:color="auto"/>
      </w:divBdr>
    </w:div>
    <w:div w:id="656038837">
      <w:marLeft w:val="0"/>
      <w:marRight w:val="0"/>
      <w:marTop w:val="180"/>
      <w:marBottom w:val="180"/>
      <w:divBdr>
        <w:top w:val="none" w:sz="0" w:space="0" w:color="auto"/>
        <w:left w:val="none" w:sz="0" w:space="0" w:color="auto"/>
        <w:bottom w:val="none" w:sz="0" w:space="0" w:color="auto"/>
        <w:right w:val="none" w:sz="0" w:space="0" w:color="auto"/>
      </w:divBdr>
    </w:div>
    <w:div w:id="657154472">
      <w:marLeft w:val="0"/>
      <w:marRight w:val="0"/>
      <w:marTop w:val="60"/>
      <w:marBottom w:val="60"/>
      <w:divBdr>
        <w:top w:val="none" w:sz="0" w:space="0" w:color="auto"/>
        <w:left w:val="none" w:sz="0" w:space="0" w:color="auto"/>
        <w:bottom w:val="none" w:sz="0" w:space="0" w:color="auto"/>
        <w:right w:val="none" w:sz="0" w:space="0" w:color="auto"/>
      </w:divBdr>
    </w:div>
    <w:div w:id="657223193">
      <w:marLeft w:val="0"/>
      <w:marRight w:val="0"/>
      <w:marTop w:val="180"/>
      <w:marBottom w:val="180"/>
      <w:divBdr>
        <w:top w:val="none" w:sz="0" w:space="0" w:color="auto"/>
        <w:left w:val="none" w:sz="0" w:space="0" w:color="auto"/>
        <w:bottom w:val="none" w:sz="0" w:space="0" w:color="auto"/>
        <w:right w:val="none" w:sz="0" w:space="0" w:color="auto"/>
      </w:divBdr>
    </w:div>
    <w:div w:id="659777463">
      <w:marLeft w:val="0"/>
      <w:marRight w:val="0"/>
      <w:marTop w:val="60"/>
      <w:marBottom w:val="60"/>
      <w:divBdr>
        <w:top w:val="none" w:sz="0" w:space="0" w:color="auto"/>
        <w:left w:val="none" w:sz="0" w:space="0" w:color="auto"/>
        <w:bottom w:val="none" w:sz="0" w:space="0" w:color="auto"/>
        <w:right w:val="none" w:sz="0" w:space="0" w:color="auto"/>
      </w:divBdr>
    </w:div>
    <w:div w:id="661128550">
      <w:marLeft w:val="0"/>
      <w:marRight w:val="0"/>
      <w:marTop w:val="180"/>
      <w:marBottom w:val="180"/>
      <w:divBdr>
        <w:top w:val="none" w:sz="0" w:space="0" w:color="auto"/>
        <w:left w:val="none" w:sz="0" w:space="0" w:color="auto"/>
        <w:bottom w:val="none" w:sz="0" w:space="0" w:color="auto"/>
        <w:right w:val="none" w:sz="0" w:space="0" w:color="auto"/>
      </w:divBdr>
    </w:div>
    <w:div w:id="662317116">
      <w:marLeft w:val="0"/>
      <w:marRight w:val="0"/>
      <w:marTop w:val="180"/>
      <w:marBottom w:val="180"/>
      <w:divBdr>
        <w:top w:val="none" w:sz="0" w:space="0" w:color="auto"/>
        <w:left w:val="none" w:sz="0" w:space="0" w:color="auto"/>
        <w:bottom w:val="none" w:sz="0" w:space="0" w:color="auto"/>
        <w:right w:val="none" w:sz="0" w:space="0" w:color="auto"/>
      </w:divBdr>
    </w:div>
    <w:div w:id="662857461">
      <w:marLeft w:val="0"/>
      <w:marRight w:val="0"/>
      <w:marTop w:val="180"/>
      <w:marBottom w:val="180"/>
      <w:divBdr>
        <w:top w:val="none" w:sz="0" w:space="0" w:color="auto"/>
        <w:left w:val="none" w:sz="0" w:space="0" w:color="auto"/>
        <w:bottom w:val="none" w:sz="0" w:space="0" w:color="auto"/>
        <w:right w:val="none" w:sz="0" w:space="0" w:color="auto"/>
      </w:divBdr>
    </w:div>
    <w:div w:id="663120700">
      <w:marLeft w:val="0"/>
      <w:marRight w:val="0"/>
      <w:marTop w:val="0"/>
      <w:marBottom w:val="0"/>
      <w:divBdr>
        <w:top w:val="none" w:sz="0" w:space="0" w:color="auto"/>
        <w:left w:val="none" w:sz="0" w:space="0" w:color="auto"/>
        <w:bottom w:val="none" w:sz="0" w:space="0" w:color="auto"/>
        <w:right w:val="none" w:sz="0" w:space="0" w:color="auto"/>
      </w:divBdr>
      <w:divsChild>
        <w:div w:id="1183471163">
          <w:marLeft w:val="0"/>
          <w:marRight w:val="0"/>
          <w:marTop w:val="60"/>
          <w:marBottom w:val="60"/>
          <w:divBdr>
            <w:top w:val="none" w:sz="0" w:space="0" w:color="auto"/>
            <w:left w:val="none" w:sz="0" w:space="0" w:color="auto"/>
            <w:bottom w:val="none" w:sz="0" w:space="0" w:color="auto"/>
            <w:right w:val="none" w:sz="0" w:space="0" w:color="auto"/>
          </w:divBdr>
        </w:div>
      </w:divsChild>
    </w:div>
    <w:div w:id="663514507">
      <w:marLeft w:val="0"/>
      <w:marRight w:val="0"/>
      <w:marTop w:val="0"/>
      <w:marBottom w:val="0"/>
      <w:divBdr>
        <w:top w:val="none" w:sz="0" w:space="0" w:color="auto"/>
        <w:left w:val="none" w:sz="0" w:space="0" w:color="auto"/>
        <w:bottom w:val="none" w:sz="0" w:space="0" w:color="auto"/>
        <w:right w:val="none" w:sz="0" w:space="0" w:color="auto"/>
      </w:divBdr>
      <w:divsChild>
        <w:div w:id="640886544">
          <w:marLeft w:val="0"/>
          <w:marRight w:val="0"/>
          <w:marTop w:val="60"/>
          <w:marBottom w:val="60"/>
          <w:divBdr>
            <w:top w:val="none" w:sz="0" w:space="0" w:color="auto"/>
            <w:left w:val="none" w:sz="0" w:space="0" w:color="auto"/>
            <w:bottom w:val="none" w:sz="0" w:space="0" w:color="auto"/>
            <w:right w:val="none" w:sz="0" w:space="0" w:color="auto"/>
          </w:divBdr>
        </w:div>
      </w:divsChild>
    </w:div>
    <w:div w:id="664674307">
      <w:marLeft w:val="0"/>
      <w:marRight w:val="0"/>
      <w:marTop w:val="60"/>
      <w:marBottom w:val="100"/>
      <w:divBdr>
        <w:top w:val="none" w:sz="0" w:space="0" w:color="auto"/>
        <w:left w:val="none" w:sz="0" w:space="0" w:color="auto"/>
        <w:bottom w:val="none" w:sz="0" w:space="0" w:color="auto"/>
        <w:right w:val="none" w:sz="0" w:space="0" w:color="auto"/>
      </w:divBdr>
      <w:divsChild>
        <w:div w:id="62028755">
          <w:marLeft w:val="0"/>
          <w:marRight w:val="0"/>
          <w:marTop w:val="0"/>
          <w:marBottom w:val="0"/>
          <w:divBdr>
            <w:top w:val="none" w:sz="0" w:space="0" w:color="auto"/>
            <w:left w:val="none" w:sz="0" w:space="0" w:color="auto"/>
            <w:bottom w:val="none" w:sz="0" w:space="0" w:color="auto"/>
            <w:right w:val="none" w:sz="0" w:space="0" w:color="auto"/>
          </w:divBdr>
        </w:div>
      </w:divsChild>
    </w:div>
    <w:div w:id="665133694">
      <w:marLeft w:val="0"/>
      <w:marRight w:val="0"/>
      <w:marTop w:val="180"/>
      <w:marBottom w:val="180"/>
      <w:divBdr>
        <w:top w:val="none" w:sz="0" w:space="0" w:color="auto"/>
        <w:left w:val="none" w:sz="0" w:space="0" w:color="auto"/>
        <w:bottom w:val="none" w:sz="0" w:space="0" w:color="auto"/>
        <w:right w:val="none" w:sz="0" w:space="0" w:color="auto"/>
      </w:divBdr>
    </w:div>
    <w:div w:id="666254813">
      <w:marLeft w:val="0"/>
      <w:marRight w:val="0"/>
      <w:marTop w:val="180"/>
      <w:marBottom w:val="180"/>
      <w:divBdr>
        <w:top w:val="none" w:sz="0" w:space="0" w:color="auto"/>
        <w:left w:val="none" w:sz="0" w:space="0" w:color="auto"/>
        <w:bottom w:val="none" w:sz="0" w:space="0" w:color="auto"/>
        <w:right w:val="none" w:sz="0" w:space="0" w:color="auto"/>
      </w:divBdr>
    </w:div>
    <w:div w:id="666592797">
      <w:marLeft w:val="0"/>
      <w:marRight w:val="0"/>
      <w:marTop w:val="0"/>
      <w:marBottom w:val="0"/>
      <w:divBdr>
        <w:top w:val="none" w:sz="0" w:space="0" w:color="auto"/>
        <w:left w:val="none" w:sz="0" w:space="0" w:color="auto"/>
        <w:bottom w:val="none" w:sz="0" w:space="0" w:color="auto"/>
        <w:right w:val="none" w:sz="0" w:space="0" w:color="auto"/>
      </w:divBdr>
    </w:div>
    <w:div w:id="667288207">
      <w:marLeft w:val="0"/>
      <w:marRight w:val="0"/>
      <w:marTop w:val="180"/>
      <w:marBottom w:val="180"/>
      <w:divBdr>
        <w:top w:val="none" w:sz="0" w:space="0" w:color="auto"/>
        <w:left w:val="none" w:sz="0" w:space="0" w:color="auto"/>
        <w:bottom w:val="none" w:sz="0" w:space="0" w:color="auto"/>
        <w:right w:val="none" w:sz="0" w:space="0" w:color="auto"/>
      </w:divBdr>
    </w:div>
    <w:div w:id="667951693">
      <w:marLeft w:val="0"/>
      <w:marRight w:val="0"/>
      <w:marTop w:val="180"/>
      <w:marBottom w:val="180"/>
      <w:divBdr>
        <w:top w:val="none" w:sz="0" w:space="0" w:color="auto"/>
        <w:left w:val="none" w:sz="0" w:space="0" w:color="auto"/>
        <w:bottom w:val="none" w:sz="0" w:space="0" w:color="auto"/>
        <w:right w:val="none" w:sz="0" w:space="0" w:color="auto"/>
      </w:divBdr>
    </w:div>
    <w:div w:id="668336748">
      <w:marLeft w:val="0"/>
      <w:marRight w:val="0"/>
      <w:marTop w:val="180"/>
      <w:marBottom w:val="180"/>
      <w:divBdr>
        <w:top w:val="none" w:sz="0" w:space="0" w:color="auto"/>
        <w:left w:val="none" w:sz="0" w:space="0" w:color="auto"/>
        <w:bottom w:val="none" w:sz="0" w:space="0" w:color="auto"/>
        <w:right w:val="none" w:sz="0" w:space="0" w:color="auto"/>
      </w:divBdr>
    </w:div>
    <w:div w:id="670259666">
      <w:marLeft w:val="0"/>
      <w:marRight w:val="0"/>
      <w:marTop w:val="60"/>
      <w:marBottom w:val="60"/>
      <w:divBdr>
        <w:top w:val="none" w:sz="0" w:space="0" w:color="auto"/>
        <w:left w:val="none" w:sz="0" w:space="0" w:color="auto"/>
        <w:bottom w:val="none" w:sz="0" w:space="0" w:color="auto"/>
        <w:right w:val="none" w:sz="0" w:space="0" w:color="auto"/>
      </w:divBdr>
    </w:div>
    <w:div w:id="670644090">
      <w:marLeft w:val="0"/>
      <w:marRight w:val="0"/>
      <w:marTop w:val="180"/>
      <w:marBottom w:val="180"/>
      <w:divBdr>
        <w:top w:val="none" w:sz="0" w:space="0" w:color="auto"/>
        <w:left w:val="none" w:sz="0" w:space="0" w:color="auto"/>
        <w:bottom w:val="none" w:sz="0" w:space="0" w:color="auto"/>
        <w:right w:val="none" w:sz="0" w:space="0" w:color="auto"/>
      </w:divBdr>
    </w:div>
    <w:div w:id="672143530">
      <w:marLeft w:val="0"/>
      <w:marRight w:val="0"/>
      <w:marTop w:val="180"/>
      <w:marBottom w:val="180"/>
      <w:divBdr>
        <w:top w:val="none" w:sz="0" w:space="0" w:color="auto"/>
        <w:left w:val="none" w:sz="0" w:space="0" w:color="auto"/>
        <w:bottom w:val="none" w:sz="0" w:space="0" w:color="auto"/>
        <w:right w:val="none" w:sz="0" w:space="0" w:color="auto"/>
      </w:divBdr>
    </w:div>
    <w:div w:id="676613806">
      <w:marLeft w:val="0"/>
      <w:marRight w:val="0"/>
      <w:marTop w:val="180"/>
      <w:marBottom w:val="180"/>
      <w:divBdr>
        <w:top w:val="none" w:sz="0" w:space="0" w:color="auto"/>
        <w:left w:val="none" w:sz="0" w:space="0" w:color="auto"/>
        <w:bottom w:val="none" w:sz="0" w:space="0" w:color="auto"/>
        <w:right w:val="none" w:sz="0" w:space="0" w:color="auto"/>
      </w:divBdr>
    </w:div>
    <w:div w:id="677737781">
      <w:marLeft w:val="0"/>
      <w:marRight w:val="0"/>
      <w:marTop w:val="0"/>
      <w:marBottom w:val="0"/>
      <w:divBdr>
        <w:top w:val="none" w:sz="0" w:space="0" w:color="auto"/>
        <w:left w:val="none" w:sz="0" w:space="0" w:color="auto"/>
        <w:bottom w:val="none" w:sz="0" w:space="0" w:color="auto"/>
        <w:right w:val="none" w:sz="0" w:space="0" w:color="auto"/>
      </w:divBdr>
      <w:divsChild>
        <w:div w:id="1207327484">
          <w:marLeft w:val="0"/>
          <w:marRight w:val="0"/>
          <w:marTop w:val="0"/>
          <w:marBottom w:val="0"/>
          <w:divBdr>
            <w:top w:val="none" w:sz="0" w:space="0" w:color="auto"/>
            <w:left w:val="none" w:sz="0" w:space="0" w:color="auto"/>
            <w:bottom w:val="none" w:sz="0" w:space="0" w:color="auto"/>
            <w:right w:val="none" w:sz="0" w:space="0" w:color="auto"/>
          </w:divBdr>
          <w:divsChild>
            <w:div w:id="20702304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78889253">
      <w:marLeft w:val="0"/>
      <w:marRight w:val="0"/>
      <w:marTop w:val="180"/>
      <w:marBottom w:val="60"/>
      <w:divBdr>
        <w:top w:val="none" w:sz="0" w:space="0" w:color="auto"/>
        <w:left w:val="none" w:sz="0" w:space="0" w:color="auto"/>
        <w:bottom w:val="none" w:sz="0" w:space="0" w:color="auto"/>
        <w:right w:val="none" w:sz="0" w:space="0" w:color="auto"/>
      </w:divBdr>
    </w:div>
    <w:div w:id="679821739">
      <w:marLeft w:val="0"/>
      <w:marRight w:val="0"/>
      <w:marTop w:val="0"/>
      <w:marBottom w:val="0"/>
      <w:divBdr>
        <w:top w:val="none" w:sz="0" w:space="0" w:color="auto"/>
        <w:left w:val="none" w:sz="0" w:space="0" w:color="auto"/>
        <w:bottom w:val="none" w:sz="0" w:space="0" w:color="auto"/>
        <w:right w:val="none" w:sz="0" w:space="0" w:color="auto"/>
      </w:divBdr>
      <w:divsChild>
        <w:div w:id="2121606071">
          <w:marLeft w:val="0"/>
          <w:marRight w:val="0"/>
          <w:marTop w:val="0"/>
          <w:marBottom w:val="0"/>
          <w:divBdr>
            <w:top w:val="none" w:sz="0" w:space="0" w:color="auto"/>
            <w:left w:val="none" w:sz="0" w:space="0" w:color="auto"/>
            <w:bottom w:val="none" w:sz="0" w:space="0" w:color="auto"/>
            <w:right w:val="none" w:sz="0" w:space="0" w:color="auto"/>
          </w:divBdr>
          <w:divsChild>
            <w:div w:id="9101963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0548227">
      <w:marLeft w:val="0"/>
      <w:marRight w:val="0"/>
      <w:marTop w:val="180"/>
      <w:marBottom w:val="180"/>
      <w:divBdr>
        <w:top w:val="none" w:sz="0" w:space="0" w:color="auto"/>
        <w:left w:val="none" w:sz="0" w:space="0" w:color="auto"/>
        <w:bottom w:val="none" w:sz="0" w:space="0" w:color="auto"/>
        <w:right w:val="none" w:sz="0" w:space="0" w:color="auto"/>
      </w:divBdr>
    </w:div>
    <w:div w:id="680857566">
      <w:marLeft w:val="0"/>
      <w:marRight w:val="0"/>
      <w:marTop w:val="0"/>
      <w:marBottom w:val="0"/>
      <w:divBdr>
        <w:top w:val="none" w:sz="0" w:space="0" w:color="auto"/>
        <w:left w:val="none" w:sz="0" w:space="0" w:color="auto"/>
        <w:bottom w:val="none" w:sz="0" w:space="0" w:color="auto"/>
        <w:right w:val="none" w:sz="0" w:space="0" w:color="auto"/>
      </w:divBdr>
      <w:divsChild>
        <w:div w:id="1420102164">
          <w:marLeft w:val="0"/>
          <w:marRight w:val="0"/>
          <w:marTop w:val="0"/>
          <w:marBottom w:val="0"/>
          <w:divBdr>
            <w:top w:val="none" w:sz="0" w:space="0" w:color="auto"/>
            <w:left w:val="none" w:sz="0" w:space="0" w:color="auto"/>
            <w:bottom w:val="none" w:sz="0" w:space="0" w:color="auto"/>
            <w:right w:val="none" w:sz="0" w:space="0" w:color="auto"/>
          </w:divBdr>
          <w:divsChild>
            <w:div w:id="10638669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0859272">
      <w:marLeft w:val="0"/>
      <w:marRight w:val="0"/>
      <w:marTop w:val="0"/>
      <w:marBottom w:val="0"/>
      <w:divBdr>
        <w:top w:val="none" w:sz="0" w:space="0" w:color="auto"/>
        <w:left w:val="none" w:sz="0" w:space="0" w:color="auto"/>
        <w:bottom w:val="none" w:sz="0" w:space="0" w:color="auto"/>
        <w:right w:val="none" w:sz="0" w:space="0" w:color="auto"/>
      </w:divBdr>
      <w:divsChild>
        <w:div w:id="1101030878">
          <w:marLeft w:val="0"/>
          <w:marRight w:val="0"/>
          <w:marTop w:val="0"/>
          <w:marBottom w:val="0"/>
          <w:divBdr>
            <w:top w:val="none" w:sz="0" w:space="0" w:color="auto"/>
            <w:left w:val="none" w:sz="0" w:space="0" w:color="auto"/>
            <w:bottom w:val="none" w:sz="0" w:space="0" w:color="auto"/>
            <w:right w:val="none" w:sz="0" w:space="0" w:color="auto"/>
          </w:divBdr>
          <w:divsChild>
            <w:div w:id="10468317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2319498">
      <w:marLeft w:val="0"/>
      <w:marRight w:val="0"/>
      <w:marTop w:val="180"/>
      <w:marBottom w:val="180"/>
      <w:divBdr>
        <w:top w:val="none" w:sz="0" w:space="0" w:color="auto"/>
        <w:left w:val="none" w:sz="0" w:space="0" w:color="auto"/>
        <w:bottom w:val="none" w:sz="0" w:space="0" w:color="auto"/>
        <w:right w:val="none" w:sz="0" w:space="0" w:color="auto"/>
      </w:divBdr>
    </w:div>
    <w:div w:id="682515837">
      <w:marLeft w:val="0"/>
      <w:marRight w:val="0"/>
      <w:marTop w:val="180"/>
      <w:marBottom w:val="180"/>
      <w:divBdr>
        <w:top w:val="none" w:sz="0" w:space="0" w:color="auto"/>
        <w:left w:val="none" w:sz="0" w:space="0" w:color="auto"/>
        <w:bottom w:val="none" w:sz="0" w:space="0" w:color="auto"/>
        <w:right w:val="none" w:sz="0" w:space="0" w:color="auto"/>
      </w:divBdr>
    </w:div>
    <w:div w:id="683557749">
      <w:marLeft w:val="0"/>
      <w:marRight w:val="0"/>
      <w:marTop w:val="0"/>
      <w:marBottom w:val="0"/>
      <w:divBdr>
        <w:top w:val="none" w:sz="0" w:space="0" w:color="auto"/>
        <w:left w:val="none" w:sz="0" w:space="0" w:color="auto"/>
        <w:bottom w:val="none" w:sz="0" w:space="0" w:color="auto"/>
        <w:right w:val="none" w:sz="0" w:space="0" w:color="auto"/>
      </w:divBdr>
      <w:divsChild>
        <w:div w:id="330792750">
          <w:marLeft w:val="0"/>
          <w:marRight w:val="0"/>
          <w:marTop w:val="60"/>
          <w:marBottom w:val="60"/>
          <w:divBdr>
            <w:top w:val="none" w:sz="0" w:space="0" w:color="auto"/>
            <w:left w:val="none" w:sz="0" w:space="0" w:color="auto"/>
            <w:bottom w:val="none" w:sz="0" w:space="0" w:color="auto"/>
            <w:right w:val="none" w:sz="0" w:space="0" w:color="auto"/>
          </w:divBdr>
        </w:div>
      </w:divsChild>
    </w:div>
    <w:div w:id="684869487">
      <w:marLeft w:val="0"/>
      <w:marRight w:val="0"/>
      <w:marTop w:val="180"/>
      <w:marBottom w:val="180"/>
      <w:divBdr>
        <w:top w:val="none" w:sz="0" w:space="0" w:color="auto"/>
        <w:left w:val="none" w:sz="0" w:space="0" w:color="auto"/>
        <w:bottom w:val="none" w:sz="0" w:space="0" w:color="auto"/>
        <w:right w:val="none" w:sz="0" w:space="0" w:color="auto"/>
      </w:divBdr>
    </w:div>
    <w:div w:id="685600699">
      <w:marLeft w:val="0"/>
      <w:marRight w:val="0"/>
      <w:marTop w:val="180"/>
      <w:marBottom w:val="180"/>
      <w:divBdr>
        <w:top w:val="none" w:sz="0" w:space="0" w:color="auto"/>
        <w:left w:val="none" w:sz="0" w:space="0" w:color="auto"/>
        <w:bottom w:val="none" w:sz="0" w:space="0" w:color="auto"/>
        <w:right w:val="none" w:sz="0" w:space="0" w:color="auto"/>
      </w:divBdr>
    </w:div>
    <w:div w:id="685786802">
      <w:marLeft w:val="0"/>
      <w:marRight w:val="0"/>
      <w:marTop w:val="180"/>
      <w:marBottom w:val="180"/>
      <w:divBdr>
        <w:top w:val="none" w:sz="0" w:space="0" w:color="auto"/>
        <w:left w:val="none" w:sz="0" w:space="0" w:color="auto"/>
        <w:bottom w:val="none" w:sz="0" w:space="0" w:color="auto"/>
        <w:right w:val="none" w:sz="0" w:space="0" w:color="auto"/>
      </w:divBdr>
    </w:div>
    <w:div w:id="687366931">
      <w:marLeft w:val="0"/>
      <w:marRight w:val="0"/>
      <w:marTop w:val="180"/>
      <w:marBottom w:val="180"/>
      <w:divBdr>
        <w:top w:val="none" w:sz="0" w:space="0" w:color="auto"/>
        <w:left w:val="none" w:sz="0" w:space="0" w:color="auto"/>
        <w:bottom w:val="none" w:sz="0" w:space="0" w:color="auto"/>
        <w:right w:val="none" w:sz="0" w:space="0" w:color="auto"/>
      </w:divBdr>
    </w:div>
    <w:div w:id="687412872">
      <w:marLeft w:val="0"/>
      <w:marRight w:val="0"/>
      <w:marTop w:val="180"/>
      <w:marBottom w:val="180"/>
      <w:divBdr>
        <w:top w:val="none" w:sz="0" w:space="0" w:color="auto"/>
        <w:left w:val="none" w:sz="0" w:space="0" w:color="auto"/>
        <w:bottom w:val="none" w:sz="0" w:space="0" w:color="auto"/>
        <w:right w:val="none" w:sz="0" w:space="0" w:color="auto"/>
      </w:divBdr>
    </w:div>
    <w:div w:id="688482911">
      <w:marLeft w:val="0"/>
      <w:marRight w:val="0"/>
      <w:marTop w:val="0"/>
      <w:marBottom w:val="0"/>
      <w:divBdr>
        <w:top w:val="none" w:sz="0" w:space="0" w:color="auto"/>
        <w:left w:val="none" w:sz="0" w:space="0" w:color="auto"/>
        <w:bottom w:val="none" w:sz="0" w:space="0" w:color="auto"/>
        <w:right w:val="none" w:sz="0" w:space="0" w:color="auto"/>
      </w:divBdr>
    </w:div>
    <w:div w:id="688681677">
      <w:marLeft w:val="0"/>
      <w:marRight w:val="0"/>
      <w:marTop w:val="180"/>
      <w:marBottom w:val="180"/>
      <w:divBdr>
        <w:top w:val="none" w:sz="0" w:space="0" w:color="auto"/>
        <w:left w:val="none" w:sz="0" w:space="0" w:color="auto"/>
        <w:bottom w:val="none" w:sz="0" w:space="0" w:color="auto"/>
        <w:right w:val="none" w:sz="0" w:space="0" w:color="auto"/>
      </w:divBdr>
    </w:div>
    <w:div w:id="689335499">
      <w:marLeft w:val="0"/>
      <w:marRight w:val="0"/>
      <w:marTop w:val="60"/>
      <w:marBottom w:val="60"/>
      <w:divBdr>
        <w:top w:val="none" w:sz="0" w:space="0" w:color="auto"/>
        <w:left w:val="none" w:sz="0" w:space="0" w:color="auto"/>
        <w:bottom w:val="none" w:sz="0" w:space="0" w:color="auto"/>
        <w:right w:val="none" w:sz="0" w:space="0" w:color="auto"/>
      </w:divBdr>
    </w:div>
    <w:div w:id="689989154">
      <w:marLeft w:val="0"/>
      <w:marRight w:val="0"/>
      <w:marTop w:val="100"/>
      <w:marBottom w:val="60"/>
      <w:divBdr>
        <w:top w:val="none" w:sz="0" w:space="0" w:color="auto"/>
        <w:left w:val="none" w:sz="0" w:space="0" w:color="auto"/>
        <w:bottom w:val="none" w:sz="0" w:space="0" w:color="auto"/>
        <w:right w:val="none" w:sz="0" w:space="0" w:color="auto"/>
      </w:divBdr>
    </w:div>
    <w:div w:id="690684064">
      <w:marLeft w:val="0"/>
      <w:marRight w:val="0"/>
      <w:marTop w:val="0"/>
      <w:marBottom w:val="0"/>
      <w:divBdr>
        <w:top w:val="none" w:sz="0" w:space="0" w:color="auto"/>
        <w:left w:val="none" w:sz="0" w:space="0" w:color="auto"/>
        <w:bottom w:val="none" w:sz="0" w:space="0" w:color="auto"/>
        <w:right w:val="none" w:sz="0" w:space="0" w:color="auto"/>
      </w:divBdr>
      <w:divsChild>
        <w:div w:id="1957298394">
          <w:marLeft w:val="0"/>
          <w:marRight w:val="0"/>
          <w:marTop w:val="60"/>
          <w:marBottom w:val="60"/>
          <w:divBdr>
            <w:top w:val="none" w:sz="0" w:space="0" w:color="auto"/>
            <w:left w:val="none" w:sz="0" w:space="0" w:color="auto"/>
            <w:bottom w:val="none" w:sz="0" w:space="0" w:color="auto"/>
            <w:right w:val="none" w:sz="0" w:space="0" w:color="auto"/>
          </w:divBdr>
        </w:div>
      </w:divsChild>
    </w:div>
    <w:div w:id="690912684">
      <w:marLeft w:val="0"/>
      <w:marRight w:val="0"/>
      <w:marTop w:val="180"/>
      <w:marBottom w:val="180"/>
      <w:divBdr>
        <w:top w:val="none" w:sz="0" w:space="0" w:color="auto"/>
        <w:left w:val="none" w:sz="0" w:space="0" w:color="auto"/>
        <w:bottom w:val="none" w:sz="0" w:space="0" w:color="auto"/>
        <w:right w:val="none" w:sz="0" w:space="0" w:color="auto"/>
      </w:divBdr>
    </w:div>
    <w:div w:id="692265870">
      <w:marLeft w:val="0"/>
      <w:marRight w:val="0"/>
      <w:marTop w:val="180"/>
      <w:marBottom w:val="180"/>
      <w:divBdr>
        <w:top w:val="none" w:sz="0" w:space="0" w:color="auto"/>
        <w:left w:val="none" w:sz="0" w:space="0" w:color="auto"/>
        <w:bottom w:val="none" w:sz="0" w:space="0" w:color="auto"/>
        <w:right w:val="none" w:sz="0" w:space="0" w:color="auto"/>
      </w:divBdr>
    </w:div>
    <w:div w:id="692998398">
      <w:marLeft w:val="0"/>
      <w:marRight w:val="0"/>
      <w:marTop w:val="180"/>
      <w:marBottom w:val="180"/>
      <w:divBdr>
        <w:top w:val="none" w:sz="0" w:space="0" w:color="auto"/>
        <w:left w:val="none" w:sz="0" w:space="0" w:color="auto"/>
        <w:bottom w:val="none" w:sz="0" w:space="0" w:color="auto"/>
        <w:right w:val="none" w:sz="0" w:space="0" w:color="auto"/>
      </w:divBdr>
    </w:div>
    <w:div w:id="693267434">
      <w:marLeft w:val="0"/>
      <w:marRight w:val="0"/>
      <w:marTop w:val="180"/>
      <w:marBottom w:val="180"/>
      <w:divBdr>
        <w:top w:val="none" w:sz="0" w:space="0" w:color="auto"/>
        <w:left w:val="none" w:sz="0" w:space="0" w:color="auto"/>
        <w:bottom w:val="none" w:sz="0" w:space="0" w:color="auto"/>
        <w:right w:val="none" w:sz="0" w:space="0" w:color="auto"/>
      </w:divBdr>
    </w:div>
    <w:div w:id="694578059">
      <w:marLeft w:val="0"/>
      <w:marRight w:val="0"/>
      <w:marTop w:val="120"/>
      <w:marBottom w:val="100"/>
      <w:divBdr>
        <w:top w:val="none" w:sz="0" w:space="0" w:color="auto"/>
        <w:left w:val="none" w:sz="0" w:space="0" w:color="auto"/>
        <w:bottom w:val="none" w:sz="0" w:space="0" w:color="auto"/>
        <w:right w:val="none" w:sz="0" w:space="0" w:color="auto"/>
      </w:divBdr>
      <w:divsChild>
        <w:div w:id="1081758443">
          <w:marLeft w:val="0"/>
          <w:marRight w:val="0"/>
          <w:marTop w:val="0"/>
          <w:marBottom w:val="0"/>
          <w:divBdr>
            <w:top w:val="none" w:sz="0" w:space="0" w:color="auto"/>
            <w:left w:val="none" w:sz="0" w:space="0" w:color="auto"/>
            <w:bottom w:val="none" w:sz="0" w:space="0" w:color="auto"/>
            <w:right w:val="none" w:sz="0" w:space="0" w:color="auto"/>
          </w:divBdr>
        </w:div>
      </w:divsChild>
    </w:div>
    <w:div w:id="695278648">
      <w:marLeft w:val="0"/>
      <w:marRight w:val="0"/>
      <w:marTop w:val="180"/>
      <w:marBottom w:val="180"/>
      <w:divBdr>
        <w:top w:val="none" w:sz="0" w:space="0" w:color="auto"/>
        <w:left w:val="none" w:sz="0" w:space="0" w:color="auto"/>
        <w:bottom w:val="none" w:sz="0" w:space="0" w:color="auto"/>
        <w:right w:val="none" w:sz="0" w:space="0" w:color="auto"/>
      </w:divBdr>
    </w:div>
    <w:div w:id="696127590">
      <w:marLeft w:val="0"/>
      <w:marRight w:val="0"/>
      <w:marTop w:val="60"/>
      <w:marBottom w:val="60"/>
      <w:divBdr>
        <w:top w:val="none" w:sz="0" w:space="0" w:color="auto"/>
        <w:left w:val="none" w:sz="0" w:space="0" w:color="auto"/>
        <w:bottom w:val="none" w:sz="0" w:space="0" w:color="auto"/>
        <w:right w:val="none" w:sz="0" w:space="0" w:color="auto"/>
      </w:divBdr>
    </w:div>
    <w:div w:id="696737296">
      <w:marLeft w:val="0"/>
      <w:marRight w:val="0"/>
      <w:marTop w:val="180"/>
      <w:marBottom w:val="180"/>
      <w:divBdr>
        <w:top w:val="none" w:sz="0" w:space="0" w:color="auto"/>
        <w:left w:val="none" w:sz="0" w:space="0" w:color="auto"/>
        <w:bottom w:val="none" w:sz="0" w:space="0" w:color="auto"/>
        <w:right w:val="none" w:sz="0" w:space="0" w:color="auto"/>
      </w:divBdr>
    </w:div>
    <w:div w:id="696739711">
      <w:marLeft w:val="0"/>
      <w:marRight w:val="0"/>
      <w:marTop w:val="180"/>
      <w:marBottom w:val="180"/>
      <w:divBdr>
        <w:top w:val="none" w:sz="0" w:space="0" w:color="auto"/>
        <w:left w:val="none" w:sz="0" w:space="0" w:color="auto"/>
        <w:bottom w:val="none" w:sz="0" w:space="0" w:color="auto"/>
        <w:right w:val="none" w:sz="0" w:space="0" w:color="auto"/>
      </w:divBdr>
    </w:div>
    <w:div w:id="696850391">
      <w:marLeft w:val="0"/>
      <w:marRight w:val="0"/>
      <w:marTop w:val="180"/>
      <w:marBottom w:val="180"/>
      <w:divBdr>
        <w:top w:val="none" w:sz="0" w:space="0" w:color="auto"/>
        <w:left w:val="none" w:sz="0" w:space="0" w:color="auto"/>
        <w:bottom w:val="none" w:sz="0" w:space="0" w:color="auto"/>
        <w:right w:val="none" w:sz="0" w:space="0" w:color="auto"/>
      </w:divBdr>
    </w:div>
    <w:div w:id="697050513">
      <w:marLeft w:val="0"/>
      <w:marRight w:val="0"/>
      <w:marTop w:val="180"/>
      <w:marBottom w:val="180"/>
      <w:divBdr>
        <w:top w:val="none" w:sz="0" w:space="0" w:color="auto"/>
        <w:left w:val="none" w:sz="0" w:space="0" w:color="auto"/>
        <w:bottom w:val="none" w:sz="0" w:space="0" w:color="auto"/>
        <w:right w:val="none" w:sz="0" w:space="0" w:color="auto"/>
      </w:divBdr>
    </w:div>
    <w:div w:id="697127610">
      <w:marLeft w:val="0"/>
      <w:marRight w:val="0"/>
      <w:marTop w:val="180"/>
      <w:marBottom w:val="180"/>
      <w:divBdr>
        <w:top w:val="none" w:sz="0" w:space="0" w:color="auto"/>
        <w:left w:val="none" w:sz="0" w:space="0" w:color="auto"/>
        <w:bottom w:val="none" w:sz="0" w:space="0" w:color="auto"/>
        <w:right w:val="none" w:sz="0" w:space="0" w:color="auto"/>
      </w:divBdr>
    </w:div>
    <w:div w:id="697239808">
      <w:marLeft w:val="0"/>
      <w:marRight w:val="0"/>
      <w:marTop w:val="180"/>
      <w:marBottom w:val="180"/>
      <w:divBdr>
        <w:top w:val="none" w:sz="0" w:space="0" w:color="auto"/>
        <w:left w:val="none" w:sz="0" w:space="0" w:color="auto"/>
        <w:bottom w:val="none" w:sz="0" w:space="0" w:color="auto"/>
        <w:right w:val="none" w:sz="0" w:space="0" w:color="auto"/>
      </w:divBdr>
    </w:div>
    <w:div w:id="697779331">
      <w:marLeft w:val="0"/>
      <w:marRight w:val="0"/>
      <w:marTop w:val="0"/>
      <w:marBottom w:val="0"/>
      <w:divBdr>
        <w:top w:val="none" w:sz="0" w:space="0" w:color="auto"/>
        <w:left w:val="none" w:sz="0" w:space="0" w:color="auto"/>
        <w:bottom w:val="none" w:sz="0" w:space="0" w:color="auto"/>
        <w:right w:val="none" w:sz="0" w:space="0" w:color="auto"/>
      </w:divBdr>
      <w:divsChild>
        <w:div w:id="732196686">
          <w:marLeft w:val="0"/>
          <w:marRight w:val="0"/>
          <w:marTop w:val="180"/>
          <w:marBottom w:val="180"/>
          <w:divBdr>
            <w:top w:val="none" w:sz="0" w:space="0" w:color="auto"/>
            <w:left w:val="none" w:sz="0" w:space="0" w:color="auto"/>
            <w:bottom w:val="none" w:sz="0" w:space="0" w:color="auto"/>
            <w:right w:val="none" w:sz="0" w:space="0" w:color="auto"/>
          </w:divBdr>
        </w:div>
      </w:divsChild>
    </w:div>
    <w:div w:id="698579592">
      <w:marLeft w:val="0"/>
      <w:marRight w:val="0"/>
      <w:marTop w:val="180"/>
      <w:marBottom w:val="60"/>
      <w:divBdr>
        <w:top w:val="none" w:sz="0" w:space="0" w:color="auto"/>
        <w:left w:val="none" w:sz="0" w:space="0" w:color="auto"/>
        <w:bottom w:val="none" w:sz="0" w:space="0" w:color="auto"/>
        <w:right w:val="none" w:sz="0" w:space="0" w:color="auto"/>
      </w:divBdr>
    </w:div>
    <w:div w:id="701243121">
      <w:marLeft w:val="0"/>
      <w:marRight w:val="0"/>
      <w:marTop w:val="60"/>
      <w:marBottom w:val="60"/>
      <w:divBdr>
        <w:top w:val="none" w:sz="0" w:space="0" w:color="auto"/>
        <w:left w:val="none" w:sz="0" w:space="0" w:color="auto"/>
        <w:bottom w:val="none" w:sz="0" w:space="0" w:color="auto"/>
        <w:right w:val="none" w:sz="0" w:space="0" w:color="auto"/>
      </w:divBdr>
    </w:div>
    <w:div w:id="701369506">
      <w:marLeft w:val="0"/>
      <w:marRight w:val="0"/>
      <w:marTop w:val="180"/>
      <w:marBottom w:val="60"/>
      <w:divBdr>
        <w:top w:val="none" w:sz="0" w:space="0" w:color="auto"/>
        <w:left w:val="none" w:sz="0" w:space="0" w:color="auto"/>
        <w:bottom w:val="none" w:sz="0" w:space="0" w:color="auto"/>
        <w:right w:val="none" w:sz="0" w:space="0" w:color="auto"/>
      </w:divBdr>
    </w:div>
    <w:div w:id="703290509">
      <w:marLeft w:val="0"/>
      <w:marRight w:val="0"/>
      <w:marTop w:val="180"/>
      <w:marBottom w:val="180"/>
      <w:divBdr>
        <w:top w:val="none" w:sz="0" w:space="0" w:color="auto"/>
        <w:left w:val="none" w:sz="0" w:space="0" w:color="auto"/>
        <w:bottom w:val="none" w:sz="0" w:space="0" w:color="auto"/>
        <w:right w:val="none" w:sz="0" w:space="0" w:color="auto"/>
      </w:divBdr>
    </w:div>
    <w:div w:id="704335591">
      <w:marLeft w:val="0"/>
      <w:marRight w:val="0"/>
      <w:marTop w:val="180"/>
      <w:marBottom w:val="180"/>
      <w:divBdr>
        <w:top w:val="none" w:sz="0" w:space="0" w:color="auto"/>
        <w:left w:val="none" w:sz="0" w:space="0" w:color="auto"/>
        <w:bottom w:val="none" w:sz="0" w:space="0" w:color="auto"/>
        <w:right w:val="none" w:sz="0" w:space="0" w:color="auto"/>
      </w:divBdr>
    </w:div>
    <w:div w:id="704478623">
      <w:marLeft w:val="0"/>
      <w:marRight w:val="0"/>
      <w:marTop w:val="180"/>
      <w:marBottom w:val="180"/>
      <w:divBdr>
        <w:top w:val="none" w:sz="0" w:space="0" w:color="auto"/>
        <w:left w:val="none" w:sz="0" w:space="0" w:color="auto"/>
        <w:bottom w:val="none" w:sz="0" w:space="0" w:color="auto"/>
        <w:right w:val="none" w:sz="0" w:space="0" w:color="auto"/>
      </w:divBdr>
    </w:div>
    <w:div w:id="704907793">
      <w:marLeft w:val="0"/>
      <w:marRight w:val="0"/>
      <w:marTop w:val="180"/>
      <w:marBottom w:val="180"/>
      <w:divBdr>
        <w:top w:val="none" w:sz="0" w:space="0" w:color="auto"/>
        <w:left w:val="none" w:sz="0" w:space="0" w:color="auto"/>
        <w:bottom w:val="none" w:sz="0" w:space="0" w:color="auto"/>
        <w:right w:val="none" w:sz="0" w:space="0" w:color="auto"/>
      </w:divBdr>
    </w:div>
    <w:div w:id="705526692">
      <w:marLeft w:val="0"/>
      <w:marRight w:val="0"/>
      <w:marTop w:val="100"/>
      <w:marBottom w:val="100"/>
      <w:divBdr>
        <w:top w:val="none" w:sz="0" w:space="0" w:color="auto"/>
        <w:left w:val="none" w:sz="0" w:space="0" w:color="auto"/>
        <w:bottom w:val="none" w:sz="0" w:space="0" w:color="auto"/>
        <w:right w:val="none" w:sz="0" w:space="0" w:color="auto"/>
      </w:divBdr>
      <w:divsChild>
        <w:div w:id="198663427">
          <w:marLeft w:val="0"/>
          <w:marRight w:val="0"/>
          <w:marTop w:val="0"/>
          <w:marBottom w:val="0"/>
          <w:divBdr>
            <w:top w:val="none" w:sz="0" w:space="0" w:color="auto"/>
            <w:left w:val="none" w:sz="0" w:space="0" w:color="auto"/>
            <w:bottom w:val="none" w:sz="0" w:space="0" w:color="auto"/>
            <w:right w:val="none" w:sz="0" w:space="0" w:color="auto"/>
          </w:divBdr>
        </w:div>
      </w:divsChild>
    </w:div>
    <w:div w:id="707605482">
      <w:marLeft w:val="0"/>
      <w:marRight w:val="0"/>
      <w:marTop w:val="180"/>
      <w:marBottom w:val="180"/>
      <w:divBdr>
        <w:top w:val="none" w:sz="0" w:space="0" w:color="auto"/>
        <w:left w:val="none" w:sz="0" w:space="0" w:color="auto"/>
        <w:bottom w:val="none" w:sz="0" w:space="0" w:color="auto"/>
        <w:right w:val="none" w:sz="0" w:space="0" w:color="auto"/>
      </w:divBdr>
    </w:div>
    <w:div w:id="708727509">
      <w:marLeft w:val="0"/>
      <w:marRight w:val="0"/>
      <w:marTop w:val="180"/>
      <w:marBottom w:val="180"/>
      <w:divBdr>
        <w:top w:val="none" w:sz="0" w:space="0" w:color="auto"/>
        <w:left w:val="none" w:sz="0" w:space="0" w:color="auto"/>
        <w:bottom w:val="none" w:sz="0" w:space="0" w:color="auto"/>
        <w:right w:val="none" w:sz="0" w:space="0" w:color="auto"/>
      </w:divBdr>
    </w:div>
    <w:div w:id="708994910">
      <w:marLeft w:val="0"/>
      <w:marRight w:val="0"/>
      <w:marTop w:val="180"/>
      <w:marBottom w:val="180"/>
      <w:divBdr>
        <w:top w:val="none" w:sz="0" w:space="0" w:color="auto"/>
        <w:left w:val="none" w:sz="0" w:space="0" w:color="auto"/>
        <w:bottom w:val="none" w:sz="0" w:space="0" w:color="auto"/>
        <w:right w:val="none" w:sz="0" w:space="0" w:color="auto"/>
      </w:divBdr>
    </w:div>
    <w:div w:id="709378310">
      <w:marLeft w:val="0"/>
      <w:marRight w:val="0"/>
      <w:marTop w:val="60"/>
      <w:marBottom w:val="60"/>
      <w:divBdr>
        <w:top w:val="none" w:sz="0" w:space="0" w:color="auto"/>
        <w:left w:val="none" w:sz="0" w:space="0" w:color="auto"/>
        <w:bottom w:val="none" w:sz="0" w:space="0" w:color="auto"/>
        <w:right w:val="none" w:sz="0" w:space="0" w:color="auto"/>
      </w:divBdr>
    </w:div>
    <w:div w:id="709384158">
      <w:marLeft w:val="0"/>
      <w:marRight w:val="0"/>
      <w:marTop w:val="0"/>
      <w:marBottom w:val="0"/>
      <w:divBdr>
        <w:top w:val="none" w:sz="0" w:space="0" w:color="auto"/>
        <w:left w:val="none" w:sz="0" w:space="0" w:color="auto"/>
        <w:bottom w:val="none" w:sz="0" w:space="0" w:color="auto"/>
        <w:right w:val="none" w:sz="0" w:space="0" w:color="auto"/>
      </w:divBdr>
      <w:divsChild>
        <w:div w:id="471749465">
          <w:marLeft w:val="0"/>
          <w:marRight w:val="0"/>
          <w:marTop w:val="180"/>
          <w:marBottom w:val="180"/>
          <w:divBdr>
            <w:top w:val="none" w:sz="0" w:space="0" w:color="auto"/>
            <w:left w:val="none" w:sz="0" w:space="0" w:color="auto"/>
            <w:bottom w:val="none" w:sz="0" w:space="0" w:color="auto"/>
            <w:right w:val="none" w:sz="0" w:space="0" w:color="auto"/>
          </w:divBdr>
        </w:div>
      </w:divsChild>
    </w:div>
    <w:div w:id="712272413">
      <w:marLeft w:val="0"/>
      <w:marRight w:val="0"/>
      <w:marTop w:val="180"/>
      <w:marBottom w:val="180"/>
      <w:divBdr>
        <w:top w:val="none" w:sz="0" w:space="0" w:color="auto"/>
        <w:left w:val="none" w:sz="0" w:space="0" w:color="auto"/>
        <w:bottom w:val="none" w:sz="0" w:space="0" w:color="auto"/>
        <w:right w:val="none" w:sz="0" w:space="0" w:color="auto"/>
      </w:divBdr>
    </w:div>
    <w:div w:id="714694955">
      <w:marLeft w:val="0"/>
      <w:marRight w:val="0"/>
      <w:marTop w:val="180"/>
      <w:marBottom w:val="180"/>
      <w:divBdr>
        <w:top w:val="none" w:sz="0" w:space="0" w:color="auto"/>
        <w:left w:val="none" w:sz="0" w:space="0" w:color="auto"/>
        <w:bottom w:val="none" w:sz="0" w:space="0" w:color="auto"/>
        <w:right w:val="none" w:sz="0" w:space="0" w:color="auto"/>
      </w:divBdr>
    </w:div>
    <w:div w:id="715668687">
      <w:marLeft w:val="0"/>
      <w:marRight w:val="0"/>
      <w:marTop w:val="100"/>
      <w:marBottom w:val="100"/>
      <w:divBdr>
        <w:top w:val="none" w:sz="0" w:space="0" w:color="auto"/>
        <w:left w:val="none" w:sz="0" w:space="0" w:color="auto"/>
        <w:bottom w:val="none" w:sz="0" w:space="0" w:color="auto"/>
        <w:right w:val="none" w:sz="0" w:space="0" w:color="auto"/>
      </w:divBdr>
      <w:divsChild>
        <w:div w:id="1472166672">
          <w:marLeft w:val="0"/>
          <w:marRight w:val="0"/>
          <w:marTop w:val="0"/>
          <w:marBottom w:val="0"/>
          <w:divBdr>
            <w:top w:val="none" w:sz="0" w:space="0" w:color="auto"/>
            <w:left w:val="none" w:sz="0" w:space="0" w:color="auto"/>
            <w:bottom w:val="none" w:sz="0" w:space="0" w:color="auto"/>
            <w:right w:val="none" w:sz="0" w:space="0" w:color="auto"/>
          </w:divBdr>
        </w:div>
      </w:divsChild>
    </w:div>
    <w:div w:id="716511811">
      <w:marLeft w:val="0"/>
      <w:marRight w:val="0"/>
      <w:marTop w:val="60"/>
      <w:marBottom w:val="60"/>
      <w:divBdr>
        <w:top w:val="none" w:sz="0" w:space="0" w:color="auto"/>
        <w:left w:val="none" w:sz="0" w:space="0" w:color="auto"/>
        <w:bottom w:val="none" w:sz="0" w:space="0" w:color="auto"/>
        <w:right w:val="none" w:sz="0" w:space="0" w:color="auto"/>
      </w:divBdr>
    </w:div>
    <w:div w:id="717120646">
      <w:marLeft w:val="0"/>
      <w:marRight w:val="0"/>
      <w:marTop w:val="180"/>
      <w:marBottom w:val="180"/>
      <w:divBdr>
        <w:top w:val="none" w:sz="0" w:space="0" w:color="auto"/>
        <w:left w:val="none" w:sz="0" w:space="0" w:color="auto"/>
        <w:bottom w:val="none" w:sz="0" w:space="0" w:color="auto"/>
        <w:right w:val="none" w:sz="0" w:space="0" w:color="auto"/>
      </w:divBdr>
    </w:div>
    <w:div w:id="717969655">
      <w:marLeft w:val="0"/>
      <w:marRight w:val="0"/>
      <w:marTop w:val="180"/>
      <w:marBottom w:val="180"/>
      <w:divBdr>
        <w:top w:val="none" w:sz="0" w:space="0" w:color="auto"/>
        <w:left w:val="none" w:sz="0" w:space="0" w:color="auto"/>
        <w:bottom w:val="none" w:sz="0" w:space="0" w:color="auto"/>
        <w:right w:val="none" w:sz="0" w:space="0" w:color="auto"/>
      </w:divBdr>
    </w:div>
    <w:div w:id="720639504">
      <w:marLeft w:val="0"/>
      <w:marRight w:val="0"/>
      <w:marTop w:val="180"/>
      <w:marBottom w:val="180"/>
      <w:divBdr>
        <w:top w:val="none" w:sz="0" w:space="0" w:color="auto"/>
        <w:left w:val="none" w:sz="0" w:space="0" w:color="auto"/>
        <w:bottom w:val="none" w:sz="0" w:space="0" w:color="auto"/>
        <w:right w:val="none" w:sz="0" w:space="0" w:color="auto"/>
      </w:divBdr>
    </w:div>
    <w:div w:id="720711032">
      <w:marLeft w:val="0"/>
      <w:marRight w:val="0"/>
      <w:marTop w:val="180"/>
      <w:marBottom w:val="180"/>
      <w:divBdr>
        <w:top w:val="none" w:sz="0" w:space="0" w:color="auto"/>
        <w:left w:val="none" w:sz="0" w:space="0" w:color="auto"/>
        <w:bottom w:val="none" w:sz="0" w:space="0" w:color="auto"/>
        <w:right w:val="none" w:sz="0" w:space="0" w:color="auto"/>
      </w:divBdr>
    </w:div>
    <w:div w:id="722678169">
      <w:marLeft w:val="0"/>
      <w:marRight w:val="0"/>
      <w:marTop w:val="180"/>
      <w:marBottom w:val="180"/>
      <w:divBdr>
        <w:top w:val="none" w:sz="0" w:space="0" w:color="auto"/>
        <w:left w:val="none" w:sz="0" w:space="0" w:color="auto"/>
        <w:bottom w:val="none" w:sz="0" w:space="0" w:color="auto"/>
        <w:right w:val="none" w:sz="0" w:space="0" w:color="auto"/>
      </w:divBdr>
    </w:div>
    <w:div w:id="722868592">
      <w:marLeft w:val="0"/>
      <w:marRight w:val="0"/>
      <w:marTop w:val="0"/>
      <w:marBottom w:val="0"/>
      <w:divBdr>
        <w:top w:val="none" w:sz="0" w:space="0" w:color="auto"/>
        <w:left w:val="none" w:sz="0" w:space="0" w:color="auto"/>
        <w:bottom w:val="none" w:sz="0" w:space="0" w:color="auto"/>
        <w:right w:val="none" w:sz="0" w:space="0" w:color="auto"/>
      </w:divBdr>
    </w:div>
    <w:div w:id="723018101">
      <w:marLeft w:val="0"/>
      <w:marRight w:val="0"/>
      <w:marTop w:val="180"/>
      <w:marBottom w:val="180"/>
      <w:divBdr>
        <w:top w:val="none" w:sz="0" w:space="0" w:color="auto"/>
        <w:left w:val="none" w:sz="0" w:space="0" w:color="auto"/>
        <w:bottom w:val="none" w:sz="0" w:space="0" w:color="auto"/>
        <w:right w:val="none" w:sz="0" w:space="0" w:color="auto"/>
      </w:divBdr>
    </w:div>
    <w:div w:id="723021004">
      <w:marLeft w:val="0"/>
      <w:marRight w:val="0"/>
      <w:marTop w:val="60"/>
      <w:marBottom w:val="60"/>
      <w:divBdr>
        <w:top w:val="none" w:sz="0" w:space="0" w:color="auto"/>
        <w:left w:val="none" w:sz="0" w:space="0" w:color="auto"/>
        <w:bottom w:val="none" w:sz="0" w:space="0" w:color="auto"/>
        <w:right w:val="none" w:sz="0" w:space="0" w:color="auto"/>
      </w:divBdr>
    </w:div>
    <w:div w:id="723602772">
      <w:marLeft w:val="0"/>
      <w:marRight w:val="0"/>
      <w:marTop w:val="180"/>
      <w:marBottom w:val="180"/>
      <w:divBdr>
        <w:top w:val="none" w:sz="0" w:space="0" w:color="auto"/>
        <w:left w:val="none" w:sz="0" w:space="0" w:color="auto"/>
        <w:bottom w:val="none" w:sz="0" w:space="0" w:color="auto"/>
        <w:right w:val="none" w:sz="0" w:space="0" w:color="auto"/>
      </w:divBdr>
    </w:div>
    <w:div w:id="724530464">
      <w:marLeft w:val="0"/>
      <w:marRight w:val="0"/>
      <w:marTop w:val="180"/>
      <w:marBottom w:val="180"/>
      <w:divBdr>
        <w:top w:val="none" w:sz="0" w:space="0" w:color="auto"/>
        <w:left w:val="none" w:sz="0" w:space="0" w:color="auto"/>
        <w:bottom w:val="none" w:sz="0" w:space="0" w:color="auto"/>
        <w:right w:val="none" w:sz="0" w:space="0" w:color="auto"/>
      </w:divBdr>
    </w:div>
    <w:div w:id="724647041">
      <w:marLeft w:val="0"/>
      <w:marRight w:val="0"/>
      <w:marTop w:val="60"/>
      <w:marBottom w:val="100"/>
      <w:divBdr>
        <w:top w:val="none" w:sz="0" w:space="0" w:color="auto"/>
        <w:left w:val="none" w:sz="0" w:space="0" w:color="auto"/>
        <w:bottom w:val="none" w:sz="0" w:space="0" w:color="auto"/>
        <w:right w:val="none" w:sz="0" w:space="0" w:color="auto"/>
      </w:divBdr>
      <w:divsChild>
        <w:div w:id="566502983">
          <w:marLeft w:val="0"/>
          <w:marRight w:val="0"/>
          <w:marTop w:val="0"/>
          <w:marBottom w:val="0"/>
          <w:divBdr>
            <w:top w:val="none" w:sz="0" w:space="0" w:color="auto"/>
            <w:left w:val="none" w:sz="0" w:space="0" w:color="auto"/>
            <w:bottom w:val="none" w:sz="0" w:space="0" w:color="auto"/>
            <w:right w:val="none" w:sz="0" w:space="0" w:color="auto"/>
          </w:divBdr>
        </w:div>
      </w:divsChild>
    </w:div>
    <w:div w:id="724648244">
      <w:marLeft w:val="0"/>
      <w:marRight w:val="0"/>
      <w:marTop w:val="180"/>
      <w:marBottom w:val="60"/>
      <w:divBdr>
        <w:top w:val="none" w:sz="0" w:space="0" w:color="auto"/>
        <w:left w:val="none" w:sz="0" w:space="0" w:color="auto"/>
        <w:bottom w:val="none" w:sz="0" w:space="0" w:color="auto"/>
        <w:right w:val="none" w:sz="0" w:space="0" w:color="auto"/>
      </w:divBdr>
    </w:div>
    <w:div w:id="725371134">
      <w:marLeft w:val="0"/>
      <w:marRight w:val="0"/>
      <w:marTop w:val="180"/>
      <w:marBottom w:val="180"/>
      <w:divBdr>
        <w:top w:val="none" w:sz="0" w:space="0" w:color="auto"/>
        <w:left w:val="none" w:sz="0" w:space="0" w:color="auto"/>
        <w:bottom w:val="none" w:sz="0" w:space="0" w:color="auto"/>
        <w:right w:val="none" w:sz="0" w:space="0" w:color="auto"/>
      </w:divBdr>
    </w:div>
    <w:div w:id="725951531">
      <w:marLeft w:val="0"/>
      <w:marRight w:val="0"/>
      <w:marTop w:val="180"/>
      <w:marBottom w:val="180"/>
      <w:divBdr>
        <w:top w:val="none" w:sz="0" w:space="0" w:color="auto"/>
        <w:left w:val="none" w:sz="0" w:space="0" w:color="auto"/>
        <w:bottom w:val="none" w:sz="0" w:space="0" w:color="auto"/>
        <w:right w:val="none" w:sz="0" w:space="0" w:color="auto"/>
      </w:divBdr>
    </w:div>
    <w:div w:id="726416450">
      <w:marLeft w:val="0"/>
      <w:marRight w:val="0"/>
      <w:marTop w:val="180"/>
      <w:marBottom w:val="180"/>
      <w:divBdr>
        <w:top w:val="none" w:sz="0" w:space="0" w:color="auto"/>
        <w:left w:val="none" w:sz="0" w:space="0" w:color="auto"/>
        <w:bottom w:val="none" w:sz="0" w:space="0" w:color="auto"/>
        <w:right w:val="none" w:sz="0" w:space="0" w:color="auto"/>
      </w:divBdr>
    </w:div>
    <w:div w:id="727461582">
      <w:marLeft w:val="0"/>
      <w:marRight w:val="0"/>
      <w:marTop w:val="0"/>
      <w:marBottom w:val="0"/>
      <w:divBdr>
        <w:top w:val="none" w:sz="0" w:space="0" w:color="auto"/>
        <w:left w:val="none" w:sz="0" w:space="0" w:color="auto"/>
        <w:bottom w:val="none" w:sz="0" w:space="0" w:color="auto"/>
        <w:right w:val="none" w:sz="0" w:space="0" w:color="auto"/>
      </w:divBdr>
      <w:divsChild>
        <w:div w:id="1013217109">
          <w:marLeft w:val="0"/>
          <w:marRight w:val="0"/>
          <w:marTop w:val="60"/>
          <w:marBottom w:val="60"/>
          <w:divBdr>
            <w:top w:val="none" w:sz="0" w:space="0" w:color="auto"/>
            <w:left w:val="none" w:sz="0" w:space="0" w:color="auto"/>
            <w:bottom w:val="none" w:sz="0" w:space="0" w:color="auto"/>
            <w:right w:val="none" w:sz="0" w:space="0" w:color="auto"/>
          </w:divBdr>
        </w:div>
      </w:divsChild>
    </w:div>
    <w:div w:id="727994604">
      <w:marLeft w:val="0"/>
      <w:marRight w:val="0"/>
      <w:marTop w:val="100"/>
      <w:marBottom w:val="100"/>
      <w:divBdr>
        <w:top w:val="none" w:sz="0" w:space="0" w:color="auto"/>
        <w:left w:val="none" w:sz="0" w:space="0" w:color="auto"/>
        <w:bottom w:val="none" w:sz="0" w:space="0" w:color="auto"/>
        <w:right w:val="none" w:sz="0" w:space="0" w:color="auto"/>
      </w:divBdr>
      <w:divsChild>
        <w:div w:id="2128309169">
          <w:marLeft w:val="0"/>
          <w:marRight w:val="0"/>
          <w:marTop w:val="0"/>
          <w:marBottom w:val="0"/>
          <w:divBdr>
            <w:top w:val="none" w:sz="0" w:space="0" w:color="auto"/>
            <w:left w:val="none" w:sz="0" w:space="0" w:color="auto"/>
            <w:bottom w:val="none" w:sz="0" w:space="0" w:color="auto"/>
            <w:right w:val="none" w:sz="0" w:space="0" w:color="auto"/>
          </w:divBdr>
        </w:div>
        <w:div w:id="269554064">
          <w:marLeft w:val="0"/>
          <w:marRight w:val="0"/>
          <w:marTop w:val="0"/>
          <w:marBottom w:val="0"/>
          <w:divBdr>
            <w:top w:val="none" w:sz="0" w:space="0" w:color="auto"/>
            <w:left w:val="none" w:sz="0" w:space="0" w:color="auto"/>
            <w:bottom w:val="none" w:sz="0" w:space="0" w:color="auto"/>
            <w:right w:val="none" w:sz="0" w:space="0" w:color="auto"/>
          </w:divBdr>
        </w:div>
        <w:div w:id="1548957842">
          <w:marLeft w:val="0"/>
          <w:marRight w:val="0"/>
          <w:marTop w:val="0"/>
          <w:marBottom w:val="0"/>
          <w:divBdr>
            <w:top w:val="none" w:sz="0" w:space="0" w:color="auto"/>
            <w:left w:val="none" w:sz="0" w:space="0" w:color="auto"/>
            <w:bottom w:val="none" w:sz="0" w:space="0" w:color="auto"/>
            <w:right w:val="none" w:sz="0" w:space="0" w:color="auto"/>
          </w:divBdr>
        </w:div>
      </w:divsChild>
    </w:div>
    <w:div w:id="728303255">
      <w:marLeft w:val="0"/>
      <w:marRight w:val="0"/>
      <w:marTop w:val="60"/>
      <w:marBottom w:val="60"/>
      <w:divBdr>
        <w:top w:val="none" w:sz="0" w:space="0" w:color="auto"/>
        <w:left w:val="none" w:sz="0" w:space="0" w:color="auto"/>
        <w:bottom w:val="none" w:sz="0" w:space="0" w:color="auto"/>
        <w:right w:val="none" w:sz="0" w:space="0" w:color="auto"/>
      </w:divBdr>
    </w:div>
    <w:div w:id="729112453">
      <w:marLeft w:val="0"/>
      <w:marRight w:val="0"/>
      <w:marTop w:val="240"/>
      <w:marBottom w:val="180"/>
      <w:divBdr>
        <w:top w:val="none" w:sz="0" w:space="0" w:color="auto"/>
        <w:left w:val="none" w:sz="0" w:space="0" w:color="auto"/>
        <w:bottom w:val="none" w:sz="0" w:space="0" w:color="auto"/>
        <w:right w:val="none" w:sz="0" w:space="0" w:color="auto"/>
      </w:divBdr>
    </w:div>
    <w:div w:id="729184151">
      <w:marLeft w:val="0"/>
      <w:marRight w:val="0"/>
      <w:marTop w:val="180"/>
      <w:marBottom w:val="180"/>
      <w:divBdr>
        <w:top w:val="none" w:sz="0" w:space="0" w:color="auto"/>
        <w:left w:val="none" w:sz="0" w:space="0" w:color="auto"/>
        <w:bottom w:val="none" w:sz="0" w:space="0" w:color="auto"/>
        <w:right w:val="none" w:sz="0" w:space="0" w:color="auto"/>
      </w:divBdr>
    </w:div>
    <w:div w:id="729420023">
      <w:marLeft w:val="0"/>
      <w:marRight w:val="0"/>
      <w:marTop w:val="180"/>
      <w:marBottom w:val="180"/>
      <w:divBdr>
        <w:top w:val="none" w:sz="0" w:space="0" w:color="auto"/>
        <w:left w:val="none" w:sz="0" w:space="0" w:color="auto"/>
        <w:bottom w:val="none" w:sz="0" w:space="0" w:color="auto"/>
        <w:right w:val="none" w:sz="0" w:space="0" w:color="auto"/>
      </w:divBdr>
    </w:div>
    <w:div w:id="729573664">
      <w:marLeft w:val="0"/>
      <w:marRight w:val="0"/>
      <w:marTop w:val="0"/>
      <w:marBottom w:val="0"/>
      <w:divBdr>
        <w:top w:val="none" w:sz="0" w:space="0" w:color="auto"/>
        <w:left w:val="none" w:sz="0" w:space="0" w:color="auto"/>
        <w:bottom w:val="none" w:sz="0" w:space="0" w:color="auto"/>
        <w:right w:val="none" w:sz="0" w:space="0" w:color="auto"/>
      </w:divBdr>
    </w:div>
    <w:div w:id="731201562">
      <w:marLeft w:val="0"/>
      <w:marRight w:val="0"/>
      <w:marTop w:val="180"/>
      <w:marBottom w:val="180"/>
      <w:divBdr>
        <w:top w:val="none" w:sz="0" w:space="0" w:color="auto"/>
        <w:left w:val="none" w:sz="0" w:space="0" w:color="auto"/>
        <w:bottom w:val="none" w:sz="0" w:space="0" w:color="auto"/>
        <w:right w:val="none" w:sz="0" w:space="0" w:color="auto"/>
      </w:divBdr>
    </w:div>
    <w:div w:id="731659157">
      <w:marLeft w:val="0"/>
      <w:marRight w:val="0"/>
      <w:marTop w:val="0"/>
      <w:marBottom w:val="0"/>
      <w:divBdr>
        <w:top w:val="none" w:sz="0" w:space="0" w:color="auto"/>
        <w:left w:val="none" w:sz="0" w:space="0" w:color="auto"/>
        <w:bottom w:val="none" w:sz="0" w:space="0" w:color="auto"/>
        <w:right w:val="none" w:sz="0" w:space="0" w:color="auto"/>
      </w:divBdr>
      <w:divsChild>
        <w:div w:id="1890534703">
          <w:marLeft w:val="0"/>
          <w:marRight w:val="0"/>
          <w:marTop w:val="0"/>
          <w:marBottom w:val="0"/>
          <w:divBdr>
            <w:top w:val="none" w:sz="0" w:space="0" w:color="auto"/>
            <w:left w:val="none" w:sz="0" w:space="0" w:color="auto"/>
            <w:bottom w:val="none" w:sz="0" w:space="0" w:color="auto"/>
            <w:right w:val="none" w:sz="0" w:space="0" w:color="auto"/>
          </w:divBdr>
          <w:divsChild>
            <w:div w:id="20375419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1659401">
      <w:marLeft w:val="0"/>
      <w:marRight w:val="0"/>
      <w:marTop w:val="180"/>
      <w:marBottom w:val="180"/>
      <w:divBdr>
        <w:top w:val="none" w:sz="0" w:space="0" w:color="auto"/>
        <w:left w:val="none" w:sz="0" w:space="0" w:color="auto"/>
        <w:bottom w:val="none" w:sz="0" w:space="0" w:color="auto"/>
        <w:right w:val="none" w:sz="0" w:space="0" w:color="auto"/>
      </w:divBdr>
    </w:div>
    <w:div w:id="732970216">
      <w:marLeft w:val="0"/>
      <w:marRight w:val="0"/>
      <w:marTop w:val="180"/>
      <w:marBottom w:val="180"/>
      <w:divBdr>
        <w:top w:val="none" w:sz="0" w:space="0" w:color="auto"/>
        <w:left w:val="none" w:sz="0" w:space="0" w:color="auto"/>
        <w:bottom w:val="none" w:sz="0" w:space="0" w:color="auto"/>
        <w:right w:val="none" w:sz="0" w:space="0" w:color="auto"/>
      </w:divBdr>
    </w:div>
    <w:div w:id="734159402">
      <w:marLeft w:val="0"/>
      <w:marRight w:val="0"/>
      <w:marTop w:val="0"/>
      <w:marBottom w:val="0"/>
      <w:divBdr>
        <w:top w:val="none" w:sz="0" w:space="0" w:color="auto"/>
        <w:left w:val="none" w:sz="0" w:space="0" w:color="auto"/>
        <w:bottom w:val="none" w:sz="0" w:space="0" w:color="auto"/>
        <w:right w:val="none" w:sz="0" w:space="0" w:color="auto"/>
      </w:divBdr>
      <w:divsChild>
        <w:div w:id="701977820">
          <w:marLeft w:val="0"/>
          <w:marRight w:val="0"/>
          <w:marTop w:val="0"/>
          <w:marBottom w:val="0"/>
          <w:divBdr>
            <w:top w:val="none" w:sz="0" w:space="0" w:color="auto"/>
            <w:left w:val="none" w:sz="0" w:space="0" w:color="auto"/>
            <w:bottom w:val="none" w:sz="0" w:space="0" w:color="auto"/>
            <w:right w:val="none" w:sz="0" w:space="0" w:color="auto"/>
          </w:divBdr>
          <w:divsChild>
            <w:div w:id="14233799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4278865">
      <w:marLeft w:val="0"/>
      <w:marRight w:val="0"/>
      <w:marTop w:val="0"/>
      <w:marBottom w:val="0"/>
      <w:divBdr>
        <w:top w:val="none" w:sz="0" w:space="0" w:color="auto"/>
        <w:left w:val="none" w:sz="0" w:space="0" w:color="auto"/>
        <w:bottom w:val="none" w:sz="0" w:space="0" w:color="auto"/>
        <w:right w:val="none" w:sz="0" w:space="0" w:color="auto"/>
      </w:divBdr>
      <w:divsChild>
        <w:div w:id="60104894">
          <w:marLeft w:val="0"/>
          <w:marRight w:val="0"/>
          <w:marTop w:val="0"/>
          <w:marBottom w:val="0"/>
          <w:divBdr>
            <w:top w:val="none" w:sz="0" w:space="0" w:color="auto"/>
            <w:left w:val="none" w:sz="0" w:space="0" w:color="auto"/>
            <w:bottom w:val="none" w:sz="0" w:space="0" w:color="auto"/>
            <w:right w:val="none" w:sz="0" w:space="0" w:color="auto"/>
          </w:divBdr>
          <w:divsChild>
            <w:div w:id="17701582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4743943">
      <w:marLeft w:val="0"/>
      <w:marRight w:val="0"/>
      <w:marTop w:val="240"/>
      <w:marBottom w:val="180"/>
      <w:divBdr>
        <w:top w:val="none" w:sz="0" w:space="0" w:color="auto"/>
        <w:left w:val="none" w:sz="0" w:space="0" w:color="auto"/>
        <w:bottom w:val="none" w:sz="0" w:space="0" w:color="auto"/>
        <w:right w:val="none" w:sz="0" w:space="0" w:color="auto"/>
      </w:divBdr>
    </w:div>
    <w:div w:id="735199506">
      <w:marLeft w:val="0"/>
      <w:marRight w:val="0"/>
      <w:marTop w:val="180"/>
      <w:marBottom w:val="180"/>
      <w:divBdr>
        <w:top w:val="none" w:sz="0" w:space="0" w:color="auto"/>
        <w:left w:val="none" w:sz="0" w:space="0" w:color="auto"/>
        <w:bottom w:val="none" w:sz="0" w:space="0" w:color="auto"/>
        <w:right w:val="none" w:sz="0" w:space="0" w:color="auto"/>
      </w:divBdr>
    </w:div>
    <w:div w:id="736124752">
      <w:marLeft w:val="0"/>
      <w:marRight w:val="0"/>
      <w:marTop w:val="0"/>
      <w:marBottom w:val="0"/>
      <w:divBdr>
        <w:top w:val="none" w:sz="0" w:space="0" w:color="auto"/>
        <w:left w:val="none" w:sz="0" w:space="0" w:color="auto"/>
        <w:bottom w:val="none" w:sz="0" w:space="0" w:color="auto"/>
        <w:right w:val="none" w:sz="0" w:space="0" w:color="auto"/>
      </w:divBdr>
      <w:divsChild>
        <w:div w:id="1702122159">
          <w:marLeft w:val="0"/>
          <w:marRight w:val="0"/>
          <w:marTop w:val="0"/>
          <w:marBottom w:val="0"/>
          <w:divBdr>
            <w:top w:val="none" w:sz="0" w:space="0" w:color="auto"/>
            <w:left w:val="none" w:sz="0" w:space="0" w:color="auto"/>
            <w:bottom w:val="none" w:sz="0" w:space="0" w:color="auto"/>
            <w:right w:val="none" w:sz="0" w:space="0" w:color="auto"/>
          </w:divBdr>
          <w:divsChild>
            <w:div w:id="16406524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6516336">
      <w:marLeft w:val="0"/>
      <w:marRight w:val="0"/>
      <w:marTop w:val="180"/>
      <w:marBottom w:val="180"/>
      <w:divBdr>
        <w:top w:val="none" w:sz="0" w:space="0" w:color="auto"/>
        <w:left w:val="none" w:sz="0" w:space="0" w:color="auto"/>
        <w:bottom w:val="none" w:sz="0" w:space="0" w:color="auto"/>
        <w:right w:val="none" w:sz="0" w:space="0" w:color="auto"/>
      </w:divBdr>
    </w:div>
    <w:div w:id="736632280">
      <w:marLeft w:val="0"/>
      <w:marRight w:val="0"/>
      <w:marTop w:val="0"/>
      <w:marBottom w:val="0"/>
      <w:divBdr>
        <w:top w:val="none" w:sz="0" w:space="0" w:color="auto"/>
        <w:left w:val="none" w:sz="0" w:space="0" w:color="auto"/>
        <w:bottom w:val="none" w:sz="0" w:space="0" w:color="auto"/>
        <w:right w:val="none" w:sz="0" w:space="0" w:color="auto"/>
      </w:divBdr>
    </w:div>
    <w:div w:id="738332535">
      <w:marLeft w:val="0"/>
      <w:marRight w:val="0"/>
      <w:marTop w:val="180"/>
      <w:marBottom w:val="180"/>
      <w:divBdr>
        <w:top w:val="none" w:sz="0" w:space="0" w:color="auto"/>
        <w:left w:val="none" w:sz="0" w:space="0" w:color="auto"/>
        <w:bottom w:val="none" w:sz="0" w:space="0" w:color="auto"/>
        <w:right w:val="none" w:sz="0" w:space="0" w:color="auto"/>
      </w:divBdr>
    </w:div>
    <w:div w:id="738601117">
      <w:marLeft w:val="0"/>
      <w:marRight w:val="0"/>
      <w:marTop w:val="180"/>
      <w:marBottom w:val="180"/>
      <w:divBdr>
        <w:top w:val="none" w:sz="0" w:space="0" w:color="auto"/>
        <w:left w:val="none" w:sz="0" w:space="0" w:color="auto"/>
        <w:bottom w:val="none" w:sz="0" w:space="0" w:color="auto"/>
        <w:right w:val="none" w:sz="0" w:space="0" w:color="auto"/>
      </w:divBdr>
    </w:div>
    <w:div w:id="738674859">
      <w:marLeft w:val="0"/>
      <w:marRight w:val="0"/>
      <w:marTop w:val="60"/>
      <w:marBottom w:val="60"/>
      <w:divBdr>
        <w:top w:val="none" w:sz="0" w:space="0" w:color="auto"/>
        <w:left w:val="none" w:sz="0" w:space="0" w:color="auto"/>
        <w:bottom w:val="none" w:sz="0" w:space="0" w:color="auto"/>
        <w:right w:val="none" w:sz="0" w:space="0" w:color="auto"/>
      </w:divBdr>
    </w:div>
    <w:div w:id="743264725">
      <w:marLeft w:val="0"/>
      <w:marRight w:val="0"/>
      <w:marTop w:val="180"/>
      <w:marBottom w:val="180"/>
      <w:divBdr>
        <w:top w:val="none" w:sz="0" w:space="0" w:color="auto"/>
        <w:left w:val="none" w:sz="0" w:space="0" w:color="auto"/>
        <w:bottom w:val="none" w:sz="0" w:space="0" w:color="auto"/>
        <w:right w:val="none" w:sz="0" w:space="0" w:color="auto"/>
      </w:divBdr>
    </w:div>
    <w:div w:id="744109147">
      <w:marLeft w:val="0"/>
      <w:marRight w:val="0"/>
      <w:marTop w:val="180"/>
      <w:marBottom w:val="180"/>
      <w:divBdr>
        <w:top w:val="none" w:sz="0" w:space="0" w:color="auto"/>
        <w:left w:val="none" w:sz="0" w:space="0" w:color="auto"/>
        <w:bottom w:val="none" w:sz="0" w:space="0" w:color="auto"/>
        <w:right w:val="none" w:sz="0" w:space="0" w:color="auto"/>
      </w:divBdr>
    </w:div>
    <w:div w:id="744185042">
      <w:marLeft w:val="0"/>
      <w:marRight w:val="0"/>
      <w:marTop w:val="180"/>
      <w:marBottom w:val="180"/>
      <w:divBdr>
        <w:top w:val="none" w:sz="0" w:space="0" w:color="auto"/>
        <w:left w:val="none" w:sz="0" w:space="0" w:color="auto"/>
        <w:bottom w:val="none" w:sz="0" w:space="0" w:color="auto"/>
        <w:right w:val="none" w:sz="0" w:space="0" w:color="auto"/>
      </w:divBdr>
    </w:div>
    <w:div w:id="744765502">
      <w:marLeft w:val="0"/>
      <w:marRight w:val="0"/>
      <w:marTop w:val="180"/>
      <w:marBottom w:val="180"/>
      <w:divBdr>
        <w:top w:val="none" w:sz="0" w:space="0" w:color="auto"/>
        <w:left w:val="none" w:sz="0" w:space="0" w:color="auto"/>
        <w:bottom w:val="none" w:sz="0" w:space="0" w:color="auto"/>
        <w:right w:val="none" w:sz="0" w:space="0" w:color="auto"/>
      </w:divBdr>
    </w:div>
    <w:div w:id="747459293">
      <w:marLeft w:val="0"/>
      <w:marRight w:val="0"/>
      <w:marTop w:val="180"/>
      <w:marBottom w:val="180"/>
      <w:divBdr>
        <w:top w:val="none" w:sz="0" w:space="0" w:color="auto"/>
        <w:left w:val="none" w:sz="0" w:space="0" w:color="auto"/>
        <w:bottom w:val="none" w:sz="0" w:space="0" w:color="auto"/>
        <w:right w:val="none" w:sz="0" w:space="0" w:color="auto"/>
      </w:divBdr>
    </w:div>
    <w:div w:id="747531696">
      <w:marLeft w:val="0"/>
      <w:marRight w:val="0"/>
      <w:marTop w:val="180"/>
      <w:marBottom w:val="180"/>
      <w:divBdr>
        <w:top w:val="none" w:sz="0" w:space="0" w:color="auto"/>
        <w:left w:val="none" w:sz="0" w:space="0" w:color="auto"/>
        <w:bottom w:val="none" w:sz="0" w:space="0" w:color="auto"/>
        <w:right w:val="none" w:sz="0" w:space="0" w:color="auto"/>
      </w:divBdr>
    </w:div>
    <w:div w:id="747658814">
      <w:marLeft w:val="0"/>
      <w:marRight w:val="0"/>
      <w:marTop w:val="180"/>
      <w:marBottom w:val="60"/>
      <w:divBdr>
        <w:top w:val="none" w:sz="0" w:space="0" w:color="auto"/>
        <w:left w:val="none" w:sz="0" w:space="0" w:color="auto"/>
        <w:bottom w:val="none" w:sz="0" w:space="0" w:color="auto"/>
        <w:right w:val="none" w:sz="0" w:space="0" w:color="auto"/>
      </w:divBdr>
    </w:div>
    <w:div w:id="747847852">
      <w:marLeft w:val="0"/>
      <w:marRight w:val="0"/>
      <w:marTop w:val="180"/>
      <w:marBottom w:val="180"/>
      <w:divBdr>
        <w:top w:val="none" w:sz="0" w:space="0" w:color="auto"/>
        <w:left w:val="none" w:sz="0" w:space="0" w:color="auto"/>
        <w:bottom w:val="none" w:sz="0" w:space="0" w:color="auto"/>
        <w:right w:val="none" w:sz="0" w:space="0" w:color="auto"/>
      </w:divBdr>
    </w:div>
    <w:div w:id="748190915">
      <w:marLeft w:val="0"/>
      <w:marRight w:val="0"/>
      <w:marTop w:val="180"/>
      <w:marBottom w:val="180"/>
      <w:divBdr>
        <w:top w:val="none" w:sz="0" w:space="0" w:color="auto"/>
        <w:left w:val="none" w:sz="0" w:space="0" w:color="auto"/>
        <w:bottom w:val="none" w:sz="0" w:space="0" w:color="auto"/>
        <w:right w:val="none" w:sz="0" w:space="0" w:color="auto"/>
      </w:divBdr>
    </w:div>
    <w:div w:id="749549257">
      <w:marLeft w:val="0"/>
      <w:marRight w:val="0"/>
      <w:marTop w:val="180"/>
      <w:marBottom w:val="180"/>
      <w:divBdr>
        <w:top w:val="none" w:sz="0" w:space="0" w:color="auto"/>
        <w:left w:val="none" w:sz="0" w:space="0" w:color="auto"/>
        <w:bottom w:val="none" w:sz="0" w:space="0" w:color="auto"/>
        <w:right w:val="none" w:sz="0" w:space="0" w:color="auto"/>
      </w:divBdr>
    </w:div>
    <w:div w:id="751045255">
      <w:marLeft w:val="0"/>
      <w:marRight w:val="0"/>
      <w:marTop w:val="100"/>
      <w:marBottom w:val="100"/>
      <w:divBdr>
        <w:top w:val="none" w:sz="0" w:space="0" w:color="auto"/>
        <w:left w:val="none" w:sz="0" w:space="0" w:color="auto"/>
        <w:bottom w:val="none" w:sz="0" w:space="0" w:color="auto"/>
        <w:right w:val="none" w:sz="0" w:space="0" w:color="auto"/>
      </w:divBdr>
      <w:divsChild>
        <w:div w:id="167792140">
          <w:marLeft w:val="0"/>
          <w:marRight w:val="0"/>
          <w:marTop w:val="0"/>
          <w:marBottom w:val="0"/>
          <w:divBdr>
            <w:top w:val="none" w:sz="0" w:space="0" w:color="auto"/>
            <w:left w:val="none" w:sz="0" w:space="0" w:color="auto"/>
            <w:bottom w:val="none" w:sz="0" w:space="0" w:color="auto"/>
            <w:right w:val="none" w:sz="0" w:space="0" w:color="auto"/>
          </w:divBdr>
        </w:div>
        <w:div w:id="1002053292">
          <w:marLeft w:val="0"/>
          <w:marRight w:val="0"/>
          <w:marTop w:val="0"/>
          <w:marBottom w:val="0"/>
          <w:divBdr>
            <w:top w:val="none" w:sz="0" w:space="0" w:color="auto"/>
            <w:left w:val="none" w:sz="0" w:space="0" w:color="auto"/>
            <w:bottom w:val="none" w:sz="0" w:space="0" w:color="auto"/>
            <w:right w:val="none" w:sz="0" w:space="0" w:color="auto"/>
          </w:divBdr>
        </w:div>
      </w:divsChild>
    </w:div>
    <w:div w:id="751897453">
      <w:marLeft w:val="0"/>
      <w:marRight w:val="0"/>
      <w:marTop w:val="180"/>
      <w:marBottom w:val="180"/>
      <w:divBdr>
        <w:top w:val="none" w:sz="0" w:space="0" w:color="auto"/>
        <w:left w:val="none" w:sz="0" w:space="0" w:color="auto"/>
        <w:bottom w:val="none" w:sz="0" w:space="0" w:color="auto"/>
        <w:right w:val="none" w:sz="0" w:space="0" w:color="auto"/>
      </w:divBdr>
    </w:div>
    <w:div w:id="752891958">
      <w:marLeft w:val="0"/>
      <w:marRight w:val="0"/>
      <w:marTop w:val="60"/>
      <w:marBottom w:val="60"/>
      <w:divBdr>
        <w:top w:val="none" w:sz="0" w:space="0" w:color="auto"/>
        <w:left w:val="none" w:sz="0" w:space="0" w:color="auto"/>
        <w:bottom w:val="none" w:sz="0" w:space="0" w:color="auto"/>
        <w:right w:val="none" w:sz="0" w:space="0" w:color="auto"/>
      </w:divBdr>
    </w:div>
    <w:div w:id="753939308">
      <w:marLeft w:val="0"/>
      <w:marRight w:val="0"/>
      <w:marTop w:val="180"/>
      <w:marBottom w:val="60"/>
      <w:divBdr>
        <w:top w:val="none" w:sz="0" w:space="0" w:color="auto"/>
        <w:left w:val="none" w:sz="0" w:space="0" w:color="auto"/>
        <w:bottom w:val="none" w:sz="0" w:space="0" w:color="auto"/>
        <w:right w:val="none" w:sz="0" w:space="0" w:color="auto"/>
      </w:divBdr>
    </w:div>
    <w:div w:id="754060609">
      <w:marLeft w:val="0"/>
      <w:marRight w:val="0"/>
      <w:marTop w:val="100"/>
      <w:marBottom w:val="100"/>
      <w:divBdr>
        <w:top w:val="none" w:sz="0" w:space="0" w:color="auto"/>
        <w:left w:val="none" w:sz="0" w:space="0" w:color="auto"/>
        <w:bottom w:val="none" w:sz="0" w:space="0" w:color="auto"/>
        <w:right w:val="none" w:sz="0" w:space="0" w:color="auto"/>
      </w:divBdr>
      <w:divsChild>
        <w:div w:id="87892309">
          <w:marLeft w:val="0"/>
          <w:marRight w:val="0"/>
          <w:marTop w:val="0"/>
          <w:marBottom w:val="0"/>
          <w:divBdr>
            <w:top w:val="none" w:sz="0" w:space="0" w:color="auto"/>
            <w:left w:val="none" w:sz="0" w:space="0" w:color="auto"/>
            <w:bottom w:val="none" w:sz="0" w:space="0" w:color="auto"/>
            <w:right w:val="none" w:sz="0" w:space="0" w:color="auto"/>
          </w:divBdr>
        </w:div>
      </w:divsChild>
    </w:div>
    <w:div w:id="754596492">
      <w:marLeft w:val="0"/>
      <w:marRight w:val="0"/>
      <w:marTop w:val="180"/>
      <w:marBottom w:val="180"/>
      <w:divBdr>
        <w:top w:val="none" w:sz="0" w:space="0" w:color="auto"/>
        <w:left w:val="none" w:sz="0" w:space="0" w:color="auto"/>
        <w:bottom w:val="none" w:sz="0" w:space="0" w:color="auto"/>
        <w:right w:val="none" w:sz="0" w:space="0" w:color="auto"/>
      </w:divBdr>
    </w:div>
    <w:div w:id="755051139">
      <w:marLeft w:val="0"/>
      <w:marRight w:val="0"/>
      <w:marTop w:val="180"/>
      <w:marBottom w:val="180"/>
      <w:divBdr>
        <w:top w:val="none" w:sz="0" w:space="0" w:color="auto"/>
        <w:left w:val="none" w:sz="0" w:space="0" w:color="auto"/>
        <w:bottom w:val="none" w:sz="0" w:space="0" w:color="auto"/>
        <w:right w:val="none" w:sz="0" w:space="0" w:color="auto"/>
      </w:divBdr>
    </w:div>
    <w:div w:id="756092413">
      <w:marLeft w:val="0"/>
      <w:marRight w:val="0"/>
      <w:marTop w:val="180"/>
      <w:marBottom w:val="180"/>
      <w:divBdr>
        <w:top w:val="none" w:sz="0" w:space="0" w:color="auto"/>
        <w:left w:val="none" w:sz="0" w:space="0" w:color="auto"/>
        <w:bottom w:val="none" w:sz="0" w:space="0" w:color="auto"/>
        <w:right w:val="none" w:sz="0" w:space="0" w:color="auto"/>
      </w:divBdr>
    </w:div>
    <w:div w:id="756095630">
      <w:marLeft w:val="0"/>
      <w:marRight w:val="0"/>
      <w:marTop w:val="180"/>
      <w:marBottom w:val="180"/>
      <w:divBdr>
        <w:top w:val="none" w:sz="0" w:space="0" w:color="auto"/>
        <w:left w:val="none" w:sz="0" w:space="0" w:color="auto"/>
        <w:bottom w:val="none" w:sz="0" w:space="0" w:color="auto"/>
        <w:right w:val="none" w:sz="0" w:space="0" w:color="auto"/>
      </w:divBdr>
    </w:div>
    <w:div w:id="756249745">
      <w:marLeft w:val="0"/>
      <w:marRight w:val="0"/>
      <w:marTop w:val="180"/>
      <w:marBottom w:val="180"/>
      <w:divBdr>
        <w:top w:val="none" w:sz="0" w:space="0" w:color="auto"/>
        <w:left w:val="none" w:sz="0" w:space="0" w:color="auto"/>
        <w:bottom w:val="none" w:sz="0" w:space="0" w:color="auto"/>
        <w:right w:val="none" w:sz="0" w:space="0" w:color="auto"/>
      </w:divBdr>
    </w:div>
    <w:div w:id="756632692">
      <w:marLeft w:val="0"/>
      <w:marRight w:val="0"/>
      <w:marTop w:val="180"/>
      <w:marBottom w:val="180"/>
      <w:divBdr>
        <w:top w:val="none" w:sz="0" w:space="0" w:color="auto"/>
        <w:left w:val="none" w:sz="0" w:space="0" w:color="auto"/>
        <w:bottom w:val="none" w:sz="0" w:space="0" w:color="auto"/>
        <w:right w:val="none" w:sz="0" w:space="0" w:color="auto"/>
      </w:divBdr>
    </w:div>
    <w:div w:id="757099744">
      <w:marLeft w:val="0"/>
      <w:marRight w:val="0"/>
      <w:marTop w:val="0"/>
      <w:marBottom w:val="0"/>
      <w:divBdr>
        <w:top w:val="none" w:sz="0" w:space="0" w:color="auto"/>
        <w:left w:val="none" w:sz="0" w:space="0" w:color="auto"/>
        <w:bottom w:val="none" w:sz="0" w:space="0" w:color="auto"/>
        <w:right w:val="none" w:sz="0" w:space="0" w:color="auto"/>
      </w:divBdr>
    </w:div>
    <w:div w:id="761144558">
      <w:marLeft w:val="0"/>
      <w:marRight w:val="0"/>
      <w:marTop w:val="60"/>
      <w:marBottom w:val="60"/>
      <w:divBdr>
        <w:top w:val="none" w:sz="0" w:space="0" w:color="auto"/>
        <w:left w:val="none" w:sz="0" w:space="0" w:color="auto"/>
        <w:bottom w:val="none" w:sz="0" w:space="0" w:color="auto"/>
        <w:right w:val="none" w:sz="0" w:space="0" w:color="auto"/>
      </w:divBdr>
    </w:div>
    <w:div w:id="762459769">
      <w:marLeft w:val="0"/>
      <w:marRight w:val="0"/>
      <w:marTop w:val="180"/>
      <w:marBottom w:val="180"/>
      <w:divBdr>
        <w:top w:val="none" w:sz="0" w:space="0" w:color="auto"/>
        <w:left w:val="none" w:sz="0" w:space="0" w:color="auto"/>
        <w:bottom w:val="none" w:sz="0" w:space="0" w:color="auto"/>
        <w:right w:val="none" w:sz="0" w:space="0" w:color="auto"/>
      </w:divBdr>
    </w:div>
    <w:div w:id="763960593">
      <w:marLeft w:val="0"/>
      <w:marRight w:val="0"/>
      <w:marTop w:val="0"/>
      <w:marBottom w:val="0"/>
      <w:divBdr>
        <w:top w:val="none" w:sz="0" w:space="0" w:color="auto"/>
        <w:left w:val="none" w:sz="0" w:space="0" w:color="auto"/>
        <w:bottom w:val="none" w:sz="0" w:space="0" w:color="auto"/>
        <w:right w:val="none" w:sz="0" w:space="0" w:color="auto"/>
      </w:divBdr>
      <w:divsChild>
        <w:div w:id="770054804">
          <w:marLeft w:val="0"/>
          <w:marRight w:val="0"/>
          <w:marTop w:val="60"/>
          <w:marBottom w:val="60"/>
          <w:divBdr>
            <w:top w:val="none" w:sz="0" w:space="0" w:color="auto"/>
            <w:left w:val="none" w:sz="0" w:space="0" w:color="auto"/>
            <w:bottom w:val="none" w:sz="0" w:space="0" w:color="auto"/>
            <w:right w:val="none" w:sz="0" w:space="0" w:color="auto"/>
          </w:divBdr>
        </w:div>
      </w:divsChild>
    </w:div>
    <w:div w:id="764031808">
      <w:marLeft w:val="0"/>
      <w:marRight w:val="0"/>
      <w:marTop w:val="60"/>
      <w:marBottom w:val="60"/>
      <w:divBdr>
        <w:top w:val="none" w:sz="0" w:space="0" w:color="auto"/>
        <w:left w:val="none" w:sz="0" w:space="0" w:color="auto"/>
        <w:bottom w:val="none" w:sz="0" w:space="0" w:color="auto"/>
        <w:right w:val="none" w:sz="0" w:space="0" w:color="auto"/>
      </w:divBdr>
    </w:div>
    <w:div w:id="764226815">
      <w:marLeft w:val="0"/>
      <w:marRight w:val="0"/>
      <w:marTop w:val="0"/>
      <w:marBottom w:val="0"/>
      <w:divBdr>
        <w:top w:val="none" w:sz="0" w:space="0" w:color="auto"/>
        <w:left w:val="none" w:sz="0" w:space="0" w:color="auto"/>
        <w:bottom w:val="none" w:sz="0" w:space="0" w:color="auto"/>
        <w:right w:val="none" w:sz="0" w:space="0" w:color="auto"/>
      </w:divBdr>
      <w:divsChild>
        <w:div w:id="1886407079">
          <w:marLeft w:val="0"/>
          <w:marRight w:val="0"/>
          <w:marTop w:val="60"/>
          <w:marBottom w:val="60"/>
          <w:divBdr>
            <w:top w:val="none" w:sz="0" w:space="0" w:color="auto"/>
            <w:left w:val="none" w:sz="0" w:space="0" w:color="auto"/>
            <w:bottom w:val="none" w:sz="0" w:space="0" w:color="auto"/>
            <w:right w:val="none" w:sz="0" w:space="0" w:color="auto"/>
          </w:divBdr>
        </w:div>
      </w:divsChild>
    </w:div>
    <w:div w:id="764888496">
      <w:marLeft w:val="0"/>
      <w:marRight w:val="0"/>
      <w:marTop w:val="180"/>
      <w:marBottom w:val="180"/>
      <w:divBdr>
        <w:top w:val="none" w:sz="0" w:space="0" w:color="auto"/>
        <w:left w:val="none" w:sz="0" w:space="0" w:color="auto"/>
        <w:bottom w:val="none" w:sz="0" w:space="0" w:color="auto"/>
        <w:right w:val="none" w:sz="0" w:space="0" w:color="auto"/>
      </w:divBdr>
    </w:div>
    <w:div w:id="765616724">
      <w:marLeft w:val="0"/>
      <w:marRight w:val="0"/>
      <w:marTop w:val="180"/>
      <w:marBottom w:val="180"/>
      <w:divBdr>
        <w:top w:val="none" w:sz="0" w:space="0" w:color="auto"/>
        <w:left w:val="none" w:sz="0" w:space="0" w:color="auto"/>
        <w:bottom w:val="none" w:sz="0" w:space="0" w:color="auto"/>
        <w:right w:val="none" w:sz="0" w:space="0" w:color="auto"/>
      </w:divBdr>
    </w:div>
    <w:div w:id="766920717">
      <w:marLeft w:val="0"/>
      <w:marRight w:val="0"/>
      <w:marTop w:val="180"/>
      <w:marBottom w:val="180"/>
      <w:divBdr>
        <w:top w:val="none" w:sz="0" w:space="0" w:color="auto"/>
        <w:left w:val="none" w:sz="0" w:space="0" w:color="auto"/>
        <w:bottom w:val="none" w:sz="0" w:space="0" w:color="auto"/>
        <w:right w:val="none" w:sz="0" w:space="0" w:color="auto"/>
      </w:divBdr>
    </w:div>
    <w:div w:id="769667652">
      <w:marLeft w:val="0"/>
      <w:marRight w:val="0"/>
      <w:marTop w:val="100"/>
      <w:marBottom w:val="100"/>
      <w:divBdr>
        <w:top w:val="none" w:sz="0" w:space="0" w:color="auto"/>
        <w:left w:val="none" w:sz="0" w:space="0" w:color="auto"/>
        <w:bottom w:val="none" w:sz="0" w:space="0" w:color="auto"/>
        <w:right w:val="none" w:sz="0" w:space="0" w:color="auto"/>
      </w:divBdr>
      <w:divsChild>
        <w:div w:id="921722230">
          <w:marLeft w:val="0"/>
          <w:marRight w:val="0"/>
          <w:marTop w:val="0"/>
          <w:marBottom w:val="0"/>
          <w:divBdr>
            <w:top w:val="none" w:sz="0" w:space="0" w:color="auto"/>
            <w:left w:val="none" w:sz="0" w:space="0" w:color="auto"/>
            <w:bottom w:val="none" w:sz="0" w:space="0" w:color="auto"/>
            <w:right w:val="none" w:sz="0" w:space="0" w:color="auto"/>
          </w:divBdr>
        </w:div>
        <w:div w:id="351953224">
          <w:marLeft w:val="0"/>
          <w:marRight w:val="0"/>
          <w:marTop w:val="0"/>
          <w:marBottom w:val="0"/>
          <w:divBdr>
            <w:top w:val="none" w:sz="0" w:space="0" w:color="auto"/>
            <w:left w:val="none" w:sz="0" w:space="0" w:color="auto"/>
            <w:bottom w:val="none" w:sz="0" w:space="0" w:color="auto"/>
            <w:right w:val="none" w:sz="0" w:space="0" w:color="auto"/>
          </w:divBdr>
        </w:div>
      </w:divsChild>
    </w:div>
    <w:div w:id="770662693">
      <w:marLeft w:val="0"/>
      <w:marRight w:val="0"/>
      <w:marTop w:val="0"/>
      <w:marBottom w:val="0"/>
      <w:divBdr>
        <w:top w:val="none" w:sz="0" w:space="0" w:color="auto"/>
        <w:left w:val="none" w:sz="0" w:space="0" w:color="auto"/>
        <w:bottom w:val="none" w:sz="0" w:space="0" w:color="auto"/>
        <w:right w:val="none" w:sz="0" w:space="0" w:color="auto"/>
      </w:divBdr>
      <w:divsChild>
        <w:div w:id="1653868526">
          <w:marLeft w:val="0"/>
          <w:marRight w:val="0"/>
          <w:marTop w:val="60"/>
          <w:marBottom w:val="60"/>
          <w:divBdr>
            <w:top w:val="none" w:sz="0" w:space="0" w:color="auto"/>
            <w:left w:val="none" w:sz="0" w:space="0" w:color="auto"/>
            <w:bottom w:val="none" w:sz="0" w:space="0" w:color="auto"/>
            <w:right w:val="none" w:sz="0" w:space="0" w:color="auto"/>
          </w:divBdr>
        </w:div>
      </w:divsChild>
    </w:div>
    <w:div w:id="771047961">
      <w:marLeft w:val="0"/>
      <w:marRight w:val="0"/>
      <w:marTop w:val="60"/>
      <w:marBottom w:val="60"/>
      <w:divBdr>
        <w:top w:val="none" w:sz="0" w:space="0" w:color="auto"/>
        <w:left w:val="none" w:sz="0" w:space="0" w:color="auto"/>
        <w:bottom w:val="none" w:sz="0" w:space="0" w:color="auto"/>
        <w:right w:val="none" w:sz="0" w:space="0" w:color="auto"/>
      </w:divBdr>
    </w:div>
    <w:div w:id="771626446">
      <w:marLeft w:val="0"/>
      <w:marRight w:val="0"/>
      <w:marTop w:val="180"/>
      <w:marBottom w:val="180"/>
      <w:divBdr>
        <w:top w:val="none" w:sz="0" w:space="0" w:color="auto"/>
        <w:left w:val="none" w:sz="0" w:space="0" w:color="auto"/>
        <w:bottom w:val="none" w:sz="0" w:space="0" w:color="auto"/>
        <w:right w:val="none" w:sz="0" w:space="0" w:color="auto"/>
      </w:divBdr>
    </w:div>
    <w:div w:id="772555814">
      <w:marLeft w:val="0"/>
      <w:marRight w:val="0"/>
      <w:marTop w:val="60"/>
      <w:marBottom w:val="60"/>
      <w:divBdr>
        <w:top w:val="none" w:sz="0" w:space="0" w:color="auto"/>
        <w:left w:val="none" w:sz="0" w:space="0" w:color="auto"/>
        <w:bottom w:val="none" w:sz="0" w:space="0" w:color="auto"/>
        <w:right w:val="none" w:sz="0" w:space="0" w:color="auto"/>
      </w:divBdr>
    </w:div>
    <w:div w:id="773326345">
      <w:marLeft w:val="0"/>
      <w:marRight w:val="0"/>
      <w:marTop w:val="0"/>
      <w:marBottom w:val="0"/>
      <w:divBdr>
        <w:top w:val="none" w:sz="0" w:space="0" w:color="auto"/>
        <w:left w:val="none" w:sz="0" w:space="0" w:color="auto"/>
        <w:bottom w:val="none" w:sz="0" w:space="0" w:color="auto"/>
        <w:right w:val="none" w:sz="0" w:space="0" w:color="auto"/>
      </w:divBdr>
    </w:div>
    <w:div w:id="774985302">
      <w:marLeft w:val="0"/>
      <w:marRight w:val="0"/>
      <w:marTop w:val="0"/>
      <w:marBottom w:val="0"/>
      <w:divBdr>
        <w:top w:val="none" w:sz="0" w:space="0" w:color="auto"/>
        <w:left w:val="none" w:sz="0" w:space="0" w:color="auto"/>
        <w:bottom w:val="none" w:sz="0" w:space="0" w:color="auto"/>
        <w:right w:val="none" w:sz="0" w:space="0" w:color="auto"/>
      </w:divBdr>
    </w:div>
    <w:div w:id="775176375">
      <w:marLeft w:val="0"/>
      <w:marRight w:val="0"/>
      <w:marTop w:val="240"/>
      <w:marBottom w:val="180"/>
      <w:divBdr>
        <w:top w:val="none" w:sz="0" w:space="0" w:color="auto"/>
        <w:left w:val="none" w:sz="0" w:space="0" w:color="auto"/>
        <w:bottom w:val="none" w:sz="0" w:space="0" w:color="auto"/>
        <w:right w:val="none" w:sz="0" w:space="0" w:color="auto"/>
      </w:divBdr>
    </w:div>
    <w:div w:id="776215552">
      <w:marLeft w:val="0"/>
      <w:marRight w:val="0"/>
      <w:marTop w:val="100"/>
      <w:marBottom w:val="100"/>
      <w:divBdr>
        <w:top w:val="none" w:sz="0" w:space="0" w:color="auto"/>
        <w:left w:val="none" w:sz="0" w:space="0" w:color="auto"/>
        <w:bottom w:val="none" w:sz="0" w:space="0" w:color="auto"/>
        <w:right w:val="none" w:sz="0" w:space="0" w:color="auto"/>
      </w:divBdr>
      <w:divsChild>
        <w:div w:id="2049335966">
          <w:marLeft w:val="0"/>
          <w:marRight w:val="0"/>
          <w:marTop w:val="0"/>
          <w:marBottom w:val="0"/>
          <w:divBdr>
            <w:top w:val="none" w:sz="0" w:space="0" w:color="auto"/>
            <w:left w:val="none" w:sz="0" w:space="0" w:color="auto"/>
            <w:bottom w:val="none" w:sz="0" w:space="0" w:color="auto"/>
            <w:right w:val="none" w:sz="0" w:space="0" w:color="auto"/>
          </w:divBdr>
        </w:div>
      </w:divsChild>
    </w:div>
    <w:div w:id="776758538">
      <w:marLeft w:val="0"/>
      <w:marRight w:val="0"/>
      <w:marTop w:val="180"/>
      <w:marBottom w:val="180"/>
      <w:divBdr>
        <w:top w:val="none" w:sz="0" w:space="0" w:color="auto"/>
        <w:left w:val="none" w:sz="0" w:space="0" w:color="auto"/>
        <w:bottom w:val="none" w:sz="0" w:space="0" w:color="auto"/>
        <w:right w:val="none" w:sz="0" w:space="0" w:color="auto"/>
      </w:divBdr>
    </w:div>
    <w:div w:id="780029782">
      <w:marLeft w:val="0"/>
      <w:marRight w:val="0"/>
      <w:marTop w:val="0"/>
      <w:marBottom w:val="0"/>
      <w:divBdr>
        <w:top w:val="none" w:sz="0" w:space="0" w:color="auto"/>
        <w:left w:val="none" w:sz="0" w:space="0" w:color="auto"/>
        <w:bottom w:val="none" w:sz="0" w:space="0" w:color="auto"/>
        <w:right w:val="none" w:sz="0" w:space="0" w:color="auto"/>
      </w:divBdr>
      <w:divsChild>
        <w:div w:id="232549094">
          <w:marLeft w:val="0"/>
          <w:marRight w:val="0"/>
          <w:marTop w:val="0"/>
          <w:marBottom w:val="0"/>
          <w:divBdr>
            <w:top w:val="none" w:sz="0" w:space="0" w:color="auto"/>
            <w:left w:val="none" w:sz="0" w:space="0" w:color="auto"/>
            <w:bottom w:val="none" w:sz="0" w:space="0" w:color="auto"/>
            <w:right w:val="none" w:sz="0" w:space="0" w:color="auto"/>
          </w:divBdr>
          <w:divsChild>
            <w:div w:id="1662394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0151186">
      <w:marLeft w:val="0"/>
      <w:marRight w:val="0"/>
      <w:marTop w:val="60"/>
      <w:marBottom w:val="0"/>
      <w:divBdr>
        <w:top w:val="none" w:sz="0" w:space="0" w:color="auto"/>
        <w:left w:val="none" w:sz="0" w:space="0" w:color="auto"/>
        <w:bottom w:val="none" w:sz="0" w:space="0" w:color="auto"/>
        <w:right w:val="none" w:sz="0" w:space="0" w:color="auto"/>
      </w:divBdr>
    </w:div>
    <w:div w:id="781460407">
      <w:marLeft w:val="0"/>
      <w:marRight w:val="0"/>
      <w:marTop w:val="60"/>
      <w:marBottom w:val="60"/>
      <w:divBdr>
        <w:top w:val="none" w:sz="0" w:space="0" w:color="auto"/>
        <w:left w:val="none" w:sz="0" w:space="0" w:color="auto"/>
        <w:bottom w:val="none" w:sz="0" w:space="0" w:color="auto"/>
        <w:right w:val="none" w:sz="0" w:space="0" w:color="auto"/>
      </w:divBdr>
    </w:div>
    <w:div w:id="783308212">
      <w:marLeft w:val="0"/>
      <w:marRight w:val="0"/>
      <w:marTop w:val="0"/>
      <w:marBottom w:val="0"/>
      <w:divBdr>
        <w:top w:val="none" w:sz="0" w:space="0" w:color="auto"/>
        <w:left w:val="none" w:sz="0" w:space="0" w:color="auto"/>
        <w:bottom w:val="none" w:sz="0" w:space="0" w:color="auto"/>
        <w:right w:val="none" w:sz="0" w:space="0" w:color="auto"/>
      </w:divBdr>
      <w:divsChild>
        <w:div w:id="2078624261">
          <w:marLeft w:val="0"/>
          <w:marRight w:val="0"/>
          <w:marTop w:val="0"/>
          <w:marBottom w:val="0"/>
          <w:divBdr>
            <w:top w:val="none" w:sz="0" w:space="0" w:color="auto"/>
            <w:left w:val="none" w:sz="0" w:space="0" w:color="auto"/>
            <w:bottom w:val="none" w:sz="0" w:space="0" w:color="auto"/>
            <w:right w:val="none" w:sz="0" w:space="0" w:color="auto"/>
          </w:divBdr>
          <w:divsChild>
            <w:div w:id="6016458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3504340">
      <w:marLeft w:val="0"/>
      <w:marRight w:val="0"/>
      <w:marTop w:val="180"/>
      <w:marBottom w:val="180"/>
      <w:divBdr>
        <w:top w:val="none" w:sz="0" w:space="0" w:color="auto"/>
        <w:left w:val="none" w:sz="0" w:space="0" w:color="auto"/>
        <w:bottom w:val="none" w:sz="0" w:space="0" w:color="auto"/>
        <w:right w:val="none" w:sz="0" w:space="0" w:color="auto"/>
      </w:divBdr>
    </w:div>
    <w:div w:id="784033129">
      <w:marLeft w:val="0"/>
      <w:marRight w:val="0"/>
      <w:marTop w:val="60"/>
      <w:marBottom w:val="60"/>
      <w:divBdr>
        <w:top w:val="none" w:sz="0" w:space="0" w:color="auto"/>
        <w:left w:val="none" w:sz="0" w:space="0" w:color="auto"/>
        <w:bottom w:val="none" w:sz="0" w:space="0" w:color="auto"/>
        <w:right w:val="none" w:sz="0" w:space="0" w:color="auto"/>
      </w:divBdr>
    </w:div>
    <w:div w:id="784084091">
      <w:marLeft w:val="0"/>
      <w:marRight w:val="0"/>
      <w:marTop w:val="180"/>
      <w:marBottom w:val="180"/>
      <w:divBdr>
        <w:top w:val="none" w:sz="0" w:space="0" w:color="auto"/>
        <w:left w:val="none" w:sz="0" w:space="0" w:color="auto"/>
        <w:bottom w:val="none" w:sz="0" w:space="0" w:color="auto"/>
        <w:right w:val="none" w:sz="0" w:space="0" w:color="auto"/>
      </w:divBdr>
    </w:div>
    <w:div w:id="784423038">
      <w:marLeft w:val="0"/>
      <w:marRight w:val="0"/>
      <w:marTop w:val="180"/>
      <w:marBottom w:val="180"/>
      <w:divBdr>
        <w:top w:val="none" w:sz="0" w:space="0" w:color="auto"/>
        <w:left w:val="none" w:sz="0" w:space="0" w:color="auto"/>
        <w:bottom w:val="none" w:sz="0" w:space="0" w:color="auto"/>
        <w:right w:val="none" w:sz="0" w:space="0" w:color="auto"/>
      </w:divBdr>
    </w:div>
    <w:div w:id="785122130">
      <w:marLeft w:val="0"/>
      <w:marRight w:val="0"/>
      <w:marTop w:val="60"/>
      <w:marBottom w:val="60"/>
      <w:divBdr>
        <w:top w:val="none" w:sz="0" w:space="0" w:color="auto"/>
        <w:left w:val="none" w:sz="0" w:space="0" w:color="auto"/>
        <w:bottom w:val="none" w:sz="0" w:space="0" w:color="auto"/>
        <w:right w:val="none" w:sz="0" w:space="0" w:color="auto"/>
      </w:divBdr>
      <w:divsChild>
        <w:div w:id="746197586">
          <w:marLeft w:val="0"/>
          <w:marRight w:val="0"/>
          <w:marTop w:val="0"/>
          <w:marBottom w:val="0"/>
          <w:divBdr>
            <w:top w:val="none" w:sz="0" w:space="0" w:color="auto"/>
            <w:left w:val="none" w:sz="0" w:space="0" w:color="auto"/>
            <w:bottom w:val="none" w:sz="0" w:space="0" w:color="auto"/>
            <w:right w:val="none" w:sz="0" w:space="0" w:color="auto"/>
          </w:divBdr>
        </w:div>
        <w:div w:id="1749380843">
          <w:marLeft w:val="0"/>
          <w:marRight w:val="0"/>
          <w:marTop w:val="0"/>
          <w:marBottom w:val="0"/>
          <w:divBdr>
            <w:top w:val="none" w:sz="0" w:space="0" w:color="auto"/>
            <w:left w:val="none" w:sz="0" w:space="0" w:color="auto"/>
            <w:bottom w:val="none" w:sz="0" w:space="0" w:color="auto"/>
            <w:right w:val="none" w:sz="0" w:space="0" w:color="auto"/>
          </w:divBdr>
        </w:div>
      </w:divsChild>
    </w:div>
    <w:div w:id="785122978">
      <w:marLeft w:val="0"/>
      <w:marRight w:val="0"/>
      <w:marTop w:val="180"/>
      <w:marBottom w:val="180"/>
      <w:divBdr>
        <w:top w:val="none" w:sz="0" w:space="0" w:color="auto"/>
        <w:left w:val="none" w:sz="0" w:space="0" w:color="auto"/>
        <w:bottom w:val="none" w:sz="0" w:space="0" w:color="auto"/>
        <w:right w:val="none" w:sz="0" w:space="0" w:color="auto"/>
      </w:divBdr>
    </w:div>
    <w:div w:id="785387603">
      <w:marLeft w:val="0"/>
      <w:marRight w:val="0"/>
      <w:marTop w:val="180"/>
      <w:marBottom w:val="180"/>
      <w:divBdr>
        <w:top w:val="none" w:sz="0" w:space="0" w:color="auto"/>
        <w:left w:val="none" w:sz="0" w:space="0" w:color="auto"/>
        <w:bottom w:val="none" w:sz="0" w:space="0" w:color="auto"/>
        <w:right w:val="none" w:sz="0" w:space="0" w:color="auto"/>
      </w:divBdr>
    </w:div>
    <w:div w:id="785387746">
      <w:marLeft w:val="0"/>
      <w:marRight w:val="0"/>
      <w:marTop w:val="180"/>
      <w:marBottom w:val="180"/>
      <w:divBdr>
        <w:top w:val="none" w:sz="0" w:space="0" w:color="auto"/>
        <w:left w:val="none" w:sz="0" w:space="0" w:color="auto"/>
        <w:bottom w:val="none" w:sz="0" w:space="0" w:color="auto"/>
        <w:right w:val="none" w:sz="0" w:space="0" w:color="auto"/>
      </w:divBdr>
    </w:div>
    <w:div w:id="785806869">
      <w:marLeft w:val="0"/>
      <w:marRight w:val="0"/>
      <w:marTop w:val="180"/>
      <w:marBottom w:val="180"/>
      <w:divBdr>
        <w:top w:val="none" w:sz="0" w:space="0" w:color="auto"/>
        <w:left w:val="none" w:sz="0" w:space="0" w:color="auto"/>
        <w:bottom w:val="none" w:sz="0" w:space="0" w:color="auto"/>
        <w:right w:val="none" w:sz="0" w:space="0" w:color="auto"/>
      </w:divBdr>
    </w:div>
    <w:div w:id="787352987">
      <w:marLeft w:val="0"/>
      <w:marRight w:val="0"/>
      <w:marTop w:val="180"/>
      <w:marBottom w:val="180"/>
      <w:divBdr>
        <w:top w:val="none" w:sz="0" w:space="0" w:color="auto"/>
        <w:left w:val="none" w:sz="0" w:space="0" w:color="auto"/>
        <w:bottom w:val="none" w:sz="0" w:space="0" w:color="auto"/>
        <w:right w:val="none" w:sz="0" w:space="0" w:color="auto"/>
      </w:divBdr>
    </w:div>
    <w:div w:id="787553232">
      <w:marLeft w:val="0"/>
      <w:marRight w:val="0"/>
      <w:marTop w:val="0"/>
      <w:marBottom w:val="0"/>
      <w:divBdr>
        <w:top w:val="none" w:sz="0" w:space="0" w:color="auto"/>
        <w:left w:val="none" w:sz="0" w:space="0" w:color="auto"/>
        <w:bottom w:val="none" w:sz="0" w:space="0" w:color="auto"/>
        <w:right w:val="none" w:sz="0" w:space="0" w:color="auto"/>
      </w:divBdr>
    </w:div>
    <w:div w:id="788747372">
      <w:marLeft w:val="0"/>
      <w:marRight w:val="0"/>
      <w:marTop w:val="100"/>
      <w:marBottom w:val="0"/>
      <w:divBdr>
        <w:top w:val="none" w:sz="0" w:space="0" w:color="auto"/>
        <w:left w:val="none" w:sz="0" w:space="0" w:color="auto"/>
        <w:bottom w:val="none" w:sz="0" w:space="0" w:color="auto"/>
        <w:right w:val="none" w:sz="0" w:space="0" w:color="auto"/>
      </w:divBdr>
    </w:div>
    <w:div w:id="789200020">
      <w:marLeft w:val="0"/>
      <w:marRight w:val="0"/>
      <w:marTop w:val="180"/>
      <w:marBottom w:val="180"/>
      <w:divBdr>
        <w:top w:val="none" w:sz="0" w:space="0" w:color="auto"/>
        <w:left w:val="none" w:sz="0" w:space="0" w:color="auto"/>
        <w:bottom w:val="none" w:sz="0" w:space="0" w:color="auto"/>
        <w:right w:val="none" w:sz="0" w:space="0" w:color="auto"/>
      </w:divBdr>
    </w:div>
    <w:div w:id="789201862">
      <w:marLeft w:val="0"/>
      <w:marRight w:val="0"/>
      <w:marTop w:val="180"/>
      <w:marBottom w:val="180"/>
      <w:divBdr>
        <w:top w:val="none" w:sz="0" w:space="0" w:color="auto"/>
        <w:left w:val="none" w:sz="0" w:space="0" w:color="auto"/>
        <w:bottom w:val="none" w:sz="0" w:space="0" w:color="auto"/>
        <w:right w:val="none" w:sz="0" w:space="0" w:color="auto"/>
      </w:divBdr>
    </w:div>
    <w:div w:id="789859408">
      <w:marLeft w:val="0"/>
      <w:marRight w:val="0"/>
      <w:marTop w:val="180"/>
      <w:marBottom w:val="180"/>
      <w:divBdr>
        <w:top w:val="none" w:sz="0" w:space="0" w:color="auto"/>
        <w:left w:val="none" w:sz="0" w:space="0" w:color="auto"/>
        <w:bottom w:val="none" w:sz="0" w:space="0" w:color="auto"/>
        <w:right w:val="none" w:sz="0" w:space="0" w:color="auto"/>
      </w:divBdr>
    </w:div>
    <w:div w:id="790632530">
      <w:marLeft w:val="0"/>
      <w:marRight w:val="0"/>
      <w:marTop w:val="180"/>
      <w:marBottom w:val="180"/>
      <w:divBdr>
        <w:top w:val="none" w:sz="0" w:space="0" w:color="auto"/>
        <w:left w:val="none" w:sz="0" w:space="0" w:color="auto"/>
        <w:bottom w:val="none" w:sz="0" w:space="0" w:color="auto"/>
        <w:right w:val="none" w:sz="0" w:space="0" w:color="auto"/>
      </w:divBdr>
    </w:div>
    <w:div w:id="793182992">
      <w:marLeft w:val="0"/>
      <w:marRight w:val="0"/>
      <w:marTop w:val="180"/>
      <w:marBottom w:val="180"/>
      <w:divBdr>
        <w:top w:val="none" w:sz="0" w:space="0" w:color="auto"/>
        <w:left w:val="none" w:sz="0" w:space="0" w:color="auto"/>
        <w:bottom w:val="none" w:sz="0" w:space="0" w:color="auto"/>
        <w:right w:val="none" w:sz="0" w:space="0" w:color="auto"/>
      </w:divBdr>
    </w:div>
    <w:div w:id="794105039">
      <w:marLeft w:val="0"/>
      <w:marRight w:val="0"/>
      <w:marTop w:val="60"/>
      <w:marBottom w:val="60"/>
      <w:divBdr>
        <w:top w:val="none" w:sz="0" w:space="0" w:color="auto"/>
        <w:left w:val="none" w:sz="0" w:space="0" w:color="auto"/>
        <w:bottom w:val="none" w:sz="0" w:space="0" w:color="auto"/>
        <w:right w:val="none" w:sz="0" w:space="0" w:color="auto"/>
      </w:divBdr>
    </w:div>
    <w:div w:id="794182884">
      <w:marLeft w:val="0"/>
      <w:marRight w:val="0"/>
      <w:marTop w:val="100"/>
      <w:marBottom w:val="100"/>
      <w:divBdr>
        <w:top w:val="none" w:sz="0" w:space="0" w:color="auto"/>
        <w:left w:val="none" w:sz="0" w:space="0" w:color="auto"/>
        <w:bottom w:val="none" w:sz="0" w:space="0" w:color="auto"/>
        <w:right w:val="none" w:sz="0" w:space="0" w:color="auto"/>
      </w:divBdr>
      <w:divsChild>
        <w:div w:id="1259480227">
          <w:marLeft w:val="0"/>
          <w:marRight w:val="0"/>
          <w:marTop w:val="0"/>
          <w:marBottom w:val="0"/>
          <w:divBdr>
            <w:top w:val="none" w:sz="0" w:space="0" w:color="auto"/>
            <w:left w:val="none" w:sz="0" w:space="0" w:color="auto"/>
            <w:bottom w:val="none" w:sz="0" w:space="0" w:color="auto"/>
            <w:right w:val="none" w:sz="0" w:space="0" w:color="auto"/>
          </w:divBdr>
        </w:div>
      </w:divsChild>
    </w:div>
    <w:div w:id="794328292">
      <w:marLeft w:val="0"/>
      <w:marRight w:val="0"/>
      <w:marTop w:val="180"/>
      <w:marBottom w:val="180"/>
      <w:divBdr>
        <w:top w:val="none" w:sz="0" w:space="0" w:color="auto"/>
        <w:left w:val="none" w:sz="0" w:space="0" w:color="auto"/>
        <w:bottom w:val="none" w:sz="0" w:space="0" w:color="auto"/>
        <w:right w:val="none" w:sz="0" w:space="0" w:color="auto"/>
      </w:divBdr>
    </w:div>
    <w:div w:id="794712829">
      <w:marLeft w:val="0"/>
      <w:marRight w:val="0"/>
      <w:marTop w:val="60"/>
      <w:marBottom w:val="60"/>
      <w:divBdr>
        <w:top w:val="none" w:sz="0" w:space="0" w:color="auto"/>
        <w:left w:val="none" w:sz="0" w:space="0" w:color="auto"/>
        <w:bottom w:val="none" w:sz="0" w:space="0" w:color="auto"/>
        <w:right w:val="none" w:sz="0" w:space="0" w:color="auto"/>
      </w:divBdr>
    </w:div>
    <w:div w:id="796027413">
      <w:marLeft w:val="0"/>
      <w:marRight w:val="0"/>
      <w:marTop w:val="60"/>
      <w:marBottom w:val="60"/>
      <w:divBdr>
        <w:top w:val="none" w:sz="0" w:space="0" w:color="auto"/>
        <w:left w:val="none" w:sz="0" w:space="0" w:color="auto"/>
        <w:bottom w:val="none" w:sz="0" w:space="0" w:color="auto"/>
        <w:right w:val="none" w:sz="0" w:space="0" w:color="auto"/>
      </w:divBdr>
      <w:divsChild>
        <w:div w:id="2106000350">
          <w:marLeft w:val="0"/>
          <w:marRight w:val="0"/>
          <w:marTop w:val="0"/>
          <w:marBottom w:val="0"/>
          <w:divBdr>
            <w:top w:val="none" w:sz="0" w:space="0" w:color="auto"/>
            <w:left w:val="none" w:sz="0" w:space="0" w:color="auto"/>
            <w:bottom w:val="none" w:sz="0" w:space="0" w:color="auto"/>
            <w:right w:val="none" w:sz="0" w:space="0" w:color="auto"/>
          </w:divBdr>
        </w:div>
        <w:div w:id="1984578815">
          <w:marLeft w:val="0"/>
          <w:marRight w:val="0"/>
          <w:marTop w:val="0"/>
          <w:marBottom w:val="0"/>
          <w:divBdr>
            <w:top w:val="none" w:sz="0" w:space="0" w:color="auto"/>
            <w:left w:val="none" w:sz="0" w:space="0" w:color="auto"/>
            <w:bottom w:val="none" w:sz="0" w:space="0" w:color="auto"/>
            <w:right w:val="none" w:sz="0" w:space="0" w:color="auto"/>
          </w:divBdr>
        </w:div>
        <w:div w:id="66466247">
          <w:marLeft w:val="0"/>
          <w:marRight w:val="0"/>
          <w:marTop w:val="0"/>
          <w:marBottom w:val="0"/>
          <w:divBdr>
            <w:top w:val="none" w:sz="0" w:space="0" w:color="auto"/>
            <w:left w:val="none" w:sz="0" w:space="0" w:color="auto"/>
            <w:bottom w:val="none" w:sz="0" w:space="0" w:color="auto"/>
            <w:right w:val="none" w:sz="0" w:space="0" w:color="auto"/>
          </w:divBdr>
        </w:div>
      </w:divsChild>
    </w:div>
    <w:div w:id="796526012">
      <w:marLeft w:val="0"/>
      <w:marRight w:val="0"/>
      <w:marTop w:val="0"/>
      <w:marBottom w:val="0"/>
      <w:divBdr>
        <w:top w:val="none" w:sz="0" w:space="0" w:color="auto"/>
        <w:left w:val="none" w:sz="0" w:space="0" w:color="auto"/>
        <w:bottom w:val="none" w:sz="0" w:space="0" w:color="auto"/>
        <w:right w:val="none" w:sz="0" w:space="0" w:color="auto"/>
      </w:divBdr>
      <w:divsChild>
        <w:div w:id="334654359">
          <w:marLeft w:val="0"/>
          <w:marRight w:val="0"/>
          <w:marTop w:val="0"/>
          <w:marBottom w:val="0"/>
          <w:divBdr>
            <w:top w:val="none" w:sz="0" w:space="0" w:color="auto"/>
            <w:left w:val="none" w:sz="0" w:space="0" w:color="auto"/>
            <w:bottom w:val="none" w:sz="0" w:space="0" w:color="auto"/>
            <w:right w:val="none" w:sz="0" w:space="0" w:color="auto"/>
          </w:divBdr>
          <w:divsChild>
            <w:div w:id="1670604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7141486">
      <w:marLeft w:val="0"/>
      <w:marRight w:val="0"/>
      <w:marTop w:val="180"/>
      <w:marBottom w:val="60"/>
      <w:divBdr>
        <w:top w:val="none" w:sz="0" w:space="0" w:color="auto"/>
        <w:left w:val="none" w:sz="0" w:space="0" w:color="auto"/>
        <w:bottom w:val="none" w:sz="0" w:space="0" w:color="auto"/>
        <w:right w:val="none" w:sz="0" w:space="0" w:color="auto"/>
      </w:divBdr>
    </w:div>
    <w:div w:id="798110727">
      <w:marLeft w:val="0"/>
      <w:marRight w:val="0"/>
      <w:marTop w:val="180"/>
      <w:marBottom w:val="180"/>
      <w:divBdr>
        <w:top w:val="none" w:sz="0" w:space="0" w:color="auto"/>
        <w:left w:val="none" w:sz="0" w:space="0" w:color="auto"/>
        <w:bottom w:val="none" w:sz="0" w:space="0" w:color="auto"/>
        <w:right w:val="none" w:sz="0" w:space="0" w:color="auto"/>
      </w:divBdr>
    </w:div>
    <w:div w:id="798304180">
      <w:marLeft w:val="0"/>
      <w:marRight w:val="0"/>
      <w:marTop w:val="0"/>
      <w:marBottom w:val="0"/>
      <w:divBdr>
        <w:top w:val="none" w:sz="0" w:space="0" w:color="auto"/>
        <w:left w:val="none" w:sz="0" w:space="0" w:color="auto"/>
        <w:bottom w:val="none" w:sz="0" w:space="0" w:color="auto"/>
        <w:right w:val="none" w:sz="0" w:space="0" w:color="auto"/>
      </w:divBdr>
      <w:divsChild>
        <w:div w:id="302127384">
          <w:marLeft w:val="0"/>
          <w:marRight w:val="0"/>
          <w:marTop w:val="60"/>
          <w:marBottom w:val="60"/>
          <w:divBdr>
            <w:top w:val="none" w:sz="0" w:space="0" w:color="auto"/>
            <w:left w:val="none" w:sz="0" w:space="0" w:color="auto"/>
            <w:bottom w:val="none" w:sz="0" w:space="0" w:color="auto"/>
            <w:right w:val="none" w:sz="0" w:space="0" w:color="auto"/>
          </w:divBdr>
        </w:div>
      </w:divsChild>
    </w:div>
    <w:div w:id="799811449">
      <w:marLeft w:val="0"/>
      <w:marRight w:val="0"/>
      <w:marTop w:val="0"/>
      <w:marBottom w:val="0"/>
      <w:divBdr>
        <w:top w:val="none" w:sz="0" w:space="0" w:color="auto"/>
        <w:left w:val="none" w:sz="0" w:space="0" w:color="auto"/>
        <w:bottom w:val="none" w:sz="0" w:space="0" w:color="auto"/>
        <w:right w:val="none" w:sz="0" w:space="0" w:color="auto"/>
      </w:divBdr>
      <w:divsChild>
        <w:div w:id="836729796">
          <w:marLeft w:val="0"/>
          <w:marRight w:val="0"/>
          <w:marTop w:val="0"/>
          <w:marBottom w:val="0"/>
          <w:divBdr>
            <w:top w:val="none" w:sz="0" w:space="0" w:color="auto"/>
            <w:left w:val="none" w:sz="0" w:space="0" w:color="auto"/>
            <w:bottom w:val="none" w:sz="0" w:space="0" w:color="auto"/>
            <w:right w:val="none" w:sz="0" w:space="0" w:color="auto"/>
          </w:divBdr>
          <w:divsChild>
            <w:div w:id="8039353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0539359">
      <w:marLeft w:val="0"/>
      <w:marRight w:val="0"/>
      <w:marTop w:val="180"/>
      <w:marBottom w:val="180"/>
      <w:divBdr>
        <w:top w:val="none" w:sz="0" w:space="0" w:color="auto"/>
        <w:left w:val="none" w:sz="0" w:space="0" w:color="auto"/>
        <w:bottom w:val="none" w:sz="0" w:space="0" w:color="auto"/>
        <w:right w:val="none" w:sz="0" w:space="0" w:color="auto"/>
      </w:divBdr>
    </w:div>
    <w:div w:id="805196303">
      <w:marLeft w:val="0"/>
      <w:marRight w:val="0"/>
      <w:marTop w:val="180"/>
      <w:marBottom w:val="180"/>
      <w:divBdr>
        <w:top w:val="none" w:sz="0" w:space="0" w:color="auto"/>
        <w:left w:val="none" w:sz="0" w:space="0" w:color="auto"/>
        <w:bottom w:val="none" w:sz="0" w:space="0" w:color="auto"/>
        <w:right w:val="none" w:sz="0" w:space="0" w:color="auto"/>
      </w:divBdr>
    </w:div>
    <w:div w:id="806821933">
      <w:marLeft w:val="0"/>
      <w:marRight w:val="0"/>
      <w:marTop w:val="180"/>
      <w:marBottom w:val="180"/>
      <w:divBdr>
        <w:top w:val="none" w:sz="0" w:space="0" w:color="auto"/>
        <w:left w:val="none" w:sz="0" w:space="0" w:color="auto"/>
        <w:bottom w:val="none" w:sz="0" w:space="0" w:color="auto"/>
        <w:right w:val="none" w:sz="0" w:space="0" w:color="auto"/>
      </w:divBdr>
    </w:div>
    <w:div w:id="807940534">
      <w:marLeft w:val="0"/>
      <w:marRight w:val="0"/>
      <w:marTop w:val="180"/>
      <w:marBottom w:val="180"/>
      <w:divBdr>
        <w:top w:val="none" w:sz="0" w:space="0" w:color="auto"/>
        <w:left w:val="none" w:sz="0" w:space="0" w:color="auto"/>
        <w:bottom w:val="none" w:sz="0" w:space="0" w:color="auto"/>
        <w:right w:val="none" w:sz="0" w:space="0" w:color="auto"/>
      </w:divBdr>
    </w:div>
    <w:div w:id="808405126">
      <w:marLeft w:val="0"/>
      <w:marRight w:val="0"/>
      <w:marTop w:val="180"/>
      <w:marBottom w:val="180"/>
      <w:divBdr>
        <w:top w:val="none" w:sz="0" w:space="0" w:color="auto"/>
        <w:left w:val="none" w:sz="0" w:space="0" w:color="auto"/>
        <w:bottom w:val="none" w:sz="0" w:space="0" w:color="auto"/>
        <w:right w:val="none" w:sz="0" w:space="0" w:color="auto"/>
      </w:divBdr>
    </w:div>
    <w:div w:id="809977662">
      <w:marLeft w:val="0"/>
      <w:marRight w:val="0"/>
      <w:marTop w:val="180"/>
      <w:marBottom w:val="180"/>
      <w:divBdr>
        <w:top w:val="none" w:sz="0" w:space="0" w:color="auto"/>
        <w:left w:val="none" w:sz="0" w:space="0" w:color="auto"/>
        <w:bottom w:val="none" w:sz="0" w:space="0" w:color="auto"/>
        <w:right w:val="none" w:sz="0" w:space="0" w:color="auto"/>
      </w:divBdr>
    </w:div>
    <w:div w:id="810367906">
      <w:marLeft w:val="0"/>
      <w:marRight w:val="0"/>
      <w:marTop w:val="0"/>
      <w:marBottom w:val="0"/>
      <w:divBdr>
        <w:top w:val="none" w:sz="0" w:space="0" w:color="auto"/>
        <w:left w:val="none" w:sz="0" w:space="0" w:color="auto"/>
        <w:bottom w:val="none" w:sz="0" w:space="0" w:color="auto"/>
        <w:right w:val="none" w:sz="0" w:space="0" w:color="auto"/>
      </w:divBdr>
      <w:divsChild>
        <w:div w:id="1497039019">
          <w:marLeft w:val="0"/>
          <w:marRight w:val="0"/>
          <w:marTop w:val="0"/>
          <w:marBottom w:val="0"/>
          <w:divBdr>
            <w:top w:val="none" w:sz="0" w:space="0" w:color="auto"/>
            <w:left w:val="none" w:sz="0" w:space="0" w:color="auto"/>
            <w:bottom w:val="none" w:sz="0" w:space="0" w:color="auto"/>
            <w:right w:val="none" w:sz="0" w:space="0" w:color="auto"/>
          </w:divBdr>
          <w:divsChild>
            <w:div w:id="8129899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0639448">
      <w:marLeft w:val="0"/>
      <w:marRight w:val="0"/>
      <w:marTop w:val="100"/>
      <w:marBottom w:val="100"/>
      <w:divBdr>
        <w:top w:val="none" w:sz="0" w:space="0" w:color="auto"/>
        <w:left w:val="none" w:sz="0" w:space="0" w:color="auto"/>
        <w:bottom w:val="none" w:sz="0" w:space="0" w:color="auto"/>
        <w:right w:val="none" w:sz="0" w:space="0" w:color="auto"/>
      </w:divBdr>
      <w:divsChild>
        <w:div w:id="1990478008">
          <w:marLeft w:val="0"/>
          <w:marRight w:val="0"/>
          <w:marTop w:val="0"/>
          <w:marBottom w:val="0"/>
          <w:divBdr>
            <w:top w:val="none" w:sz="0" w:space="0" w:color="auto"/>
            <w:left w:val="none" w:sz="0" w:space="0" w:color="auto"/>
            <w:bottom w:val="none" w:sz="0" w:space="0" w:color="auto"/>
            <w:right w:val="none" w:sz="0" w:space="0" w:color="auto"/>
          </w:divBdr>
        </w:div>
        <w:div w:id="1193766839">
          <w:marLeft w:val="0"/>
          <w:marRight w:val="0"/>
          <w:marTop w:val="0"/>
          <w:marBottom w:val="0"/>
          <w:divBdr>
            <w:top w:val="none" w:sz="0" w:space="0" w:color="auto"/>
            <w:left w:val="none" w:sz="0" w:space="0" w:color="auto"/>
            <w:bottom w:val="none" w:sz="0" w:space="0" w:color="auto"/>
            <w:right w:val="none" w:sz="0" w:space="0" w:color="auto"/>
          </w:divBdr>
        </w:div>
        <w:div w:id="2028673965">
          <w:marLeft w:val="0"/>
          <w:marRight w:val="0"/>
          <w:marTop w:val="0"/>
          <w:marBottom w:val="0"/>
          <w:divBdr>
            <w:top w:val="none" w:sz="0" w:space="0" w:color="auto"/>
            <w:left w:val="none" w:sz="0" w:space="0" w:color="auto"/>
            <w:bottom w:val="none" w:sz="0" w:space="0" w:color="auto"/>
            <w:right w:val="none" w:sz="0" w:space="0" w:color="auto"/>
          </w:divBdr>
        </w:div>
        <w:div w:id="1541281674">
          <w:marLeft w:val="0"/>
          <w:marRight w:val="0"/>
          <w:marTop w:val="0"/>
          <w:marBottom w:val="0"/>
          <w:divBdr>
            <w:top w:val="none" w:sz="0" w:space="0" w:color="auto"/>
            <w:left w:val="none" w:sz="0" w:space="0" w:color="auto"/>
            <w:bottom w:val="none" w:sz="0" w:space="0" w:color="auto"/>
            <w:right w:val="none" w:sz="0" w:space="0" w:color="auto"/>
          </w:divBdr>
        </w:div>
        <w:div w:id="323514703">
          <w:marLeft w:val="0"/>
          <w:marRight w:val="0"/>
          <w:marTop w:val="0"/>
          <w:marBottom w:val="0"/>
          <w:divBdr>
            <w:top w:val="none" w:sz="0" w:space="0" w:color="auto"/>
            <w:left w:val="none" w:sz="0" w:space="0" w:color="auto"/>
            <w:bottom w:val="none" w:sz="0" w:space="0" w:color="auto"/>
            <w:right w:val="none" w:sz="0" w:space="0" w:color="auto"/>
          </w:divBdr>
        </w:div>
        <w:div w:id="188446749">
          <w:marLeft w:val="0"/>
          <w:marRight w:val="0"/>
          <w:marTop w:val="0"/>
          <w:marBottom w:val="0"/>
          <w:divBdr>
            <w:top w:val="none" w:sz="0" w:space="0" w:color="auto"/>
            <w:left w:val="none" w:sz="0" w:space="0" w:color="auto"/>
            <w:bottom w:val="none" w:sz="0" w:space="0" w:color="auto"/>
            <w:right w:val="none" w:sz="0" w:space="0" w:color="auto"/>
          </w:divBdr>
        </w:div>
        <w:div w:id="522479692">
          <w:marLeft w:val="0"/>
          <w:marRight w:val="0"/>
          <w:marTop w:val="0"/>
          <w:marBottom w:val="0"/>
          <w:divBdr>
            <w:top w:val="none" w:sz="0" w:space="0" w:color="auto"/>
            <w:left w:val="none" w:sz="0" w:space="0" w:color="auto"/>
            <w:bottom w:val="none" w:sz="0" w:space="0" w:color="auto"/>
            <w:right w:val="none" w:sz="0" w:space="0" w:color="auto"/>
          </w:divBdr>
        </w:div>
        <w:div w:id="1496335695">
          <w:marLeft w:val="0"/>
          <w:marRight w:val="0"/>
          <w:marTop w:val="0"/>
          <w:marBottom w:val="0"/>
          <w:divBdr>
            <w:top w:val="none" w:sz="0" w:space="0" w:color="auto"/>
            <w:left w:val="none" w:sz="0" w:space="0" w:color="auto"/>
            <w:bottom w:val="none" w:sz="0" w:space="0" w:color="auto"/>
            <w:right w:val="none" w:sz="0" w:space="0" w:color="auto"/>
          </w:divBdr>
        </w:div>
        <w:div w:id="194466167">
          <w:marLeft w:val="0"/>
          <w:marRight w:val="0"/>
          <w:marTop w:val="0"/>
          <w:marBottom w:val="0"/>
          <w:divBdr>
            <w:top w:val="none" w:sz="0" w:space="0" w:color="auto"/>
            <w:left w:val="none" w:sz="0" w:space="0" w:color="auto"/>
            <w:bottom w:val="none" w:sz="0" w:space="0" w:color="auto"/>
            <w:right w:val="none" w:sz="0" w:space="0" w:color="auto"/>
          </w:divBdr>
        </w:div>
        <w:div w:id="1594243680">
          <w:marLeft w:val="0"/>
          <w:marRight w:val="0"/>
          <w:marTop w:val="0"/>
          <w:marBottom w:val="0"/>
          <w:divBdr>
            <w:top w:val="none" w:sz="0" w:space="0" w:color="auto"/>
            <w:left w:val="none" w:sz="0" w:space="0" w:color="auto"/>
            <w:bottom w:val="none" w:sz="0" w:space="0" w:color="auto"/>
            <w:right w:val="none" w:sz="0" w:space="0" w:color="auto"/>
          </w:divBdr>
        </w:div>
        <w:div w:id="2097942856">
          <w:marLeft w:val="0"/>
          <w:marRight w:val="0"/>
          <w:marTop w:val="0"/>
          <w:marBottom w:val="0"/>
          <w:divBdr>
            <w:top w:val="none" w:sz="0" w:space="0" w:color="auto"/>
            <w:left w:val="none" w:sz="0" w:space="0" w:color="auto"/>
            <w:bottom w:val="none" w:sz="0" w:space="0" w:color="auto"/>
            <w:right w:val="none" w:sz="0" w:space="0" w:color="auto"/>
          </w:divBdr>
        </w:div>
        <w:div w:id="2005427670">
          <w:marLeft w:val="0"/>
          <w:marRight w:val="0"/>
          <w:marTop w:val="0"/>
          <w:marBottom w:val="0"/>
          <w:divBdr>
            <w:top w:val="none" w:sz="0" w:space="0" w:color="auto"/>
            <w:left w:val="none" w:sz="0" w:space="0" w:color="auto"/>
            <w:bottom w:val="none" w:sz="0" w:space="0" w:color="auto"/>
            <w:right w:val="none" w:sz="0" w:space="0" w:color="auto"/>
          </w:divBdr>
        </w:div>
        <w:div w:id="1475874919">
          <w:marLeft w:val="0"/>
          <w:marRight w:val="0"/>
          <w:marTop w:val="0"/>
          <w:marBottom w:val="0"/>
          <w:divBdr>
            <w:top w:val="none" w:sz="0" w:space="0" w:color="auto"/>
            <w:left w:val="none" w:sz="0" w:space="0" w:color="auto"/>
            <w:bottom w:val="none" w:sz="0" w:space="0" w:color="auto"/>
            <w:right w:val="none" w:sz="0" w:space="0" w:color="auto"/>
          </w:divBdr>
        </w:div>
        <w:div w:id="1453866549">
          <w:marLeft w:val="0"/>
          <w:marRight w:val="0"/>
          <w:marTop w:val="0"/>
          <w:marBottom w:val="0"/>
          <w:divBdr>
            <w:top w:val="none" w:sz="0" w:space="0" w:color="auto"/>
            <w:left w:val="none" w:sz="0" w:space="0" w:color="auto"/>
            <w:bottom w:val="none" w:sz="0" w:space="0" w:color="auto"/>
            <w:right w:val="none" w:sz="0" w:space="0" w:color="auto"/>
          </w:divBdr>
        </w:div>
        <w:div w:id="570391550">
          <w:marLeft w:val="0"/>
          <w:marRight w:val="0"/>
          <w:marTop w:val="0"/>
          <w:marBottom w:val="0"/>
          <w:divBdr>
            <w:top w:val="none" w:sz="0" w:space="0" w:color="auto"/>
            <w:left w:val="none" w:sz="0" w:space="0" w:color="auto"/>
            <w:bottom w:val="none" w:sz="0" w:space="0" w:color="auto"/>
            <w:right w:val="none" w:sz="0" w:space="0" w:color="auto"/>
          </w:divBdr>
        </w:div>
        <w:div w:id="1998876371">
          <w:marLeft w:val="0"/>
          <w:marRight w:val="0"/>
          <w:marTop w:val="0"/>
          <w:marBottom w:val="0"/>
          <w:divBdr>
            <w:top w:val="none" w:sz="0" w:space="0" w:color="auto"/>
            <w:left w:val="none" w:sz="0" w:space="0" w:color="auto"/>
            <w:bottom w:val="none" w:sz="0" w:space="0" w:color="auto"/>
            <w:right w:val="none" w:sz="0" w:space="0" w:color="auto"/>
          </w:divBdr>
        </w:div>
        <w:div w:id="716587146">
          <w:marLeft w:val="0"/>
          <w:marRight w:val="0"/>
          <w:marTop w:val="0"/>
          <w:marBottom w:val="0"/>
          <w:divBdr>
            <w:top w:val="none" w:sz="0" w:space="0" w:color="auto"/>
            <w:left w:val="none" w:sz="0" w:space="0" w:color="auto"/>
            <w:bottom w:val="none" w:sz="0" w:space="0" w:color="auto"/>
            <w:right w:val="none" w:sz="0" w:space="0" w:color="auto"/>
          </w:divBdr>
        </w:div>
        <w:div w:id="388117468">
          <w:marLeft w:val="0"/>
          <w:marRight w:val="0"/>
          <w:marTop w:val="0"/>
          <w:marBottom w:val="0"/>
          <w:divBdr>
            <w:top w:val="none" w:sz="0" w:space="0" w:color="auto"/>
            <w:left w:val="none" w:sz="0" w:space="0" w:color="auto"/>
            <w:bottom w:val="none" w:sz="0" w:space="0" w:color="auto"/>
            <w:right w:val="none" w:sz="0" w:space="0" w:color="auto"/>
          </w:divBdr>
        </w:div>
        <w:div w:id="289869750">
          <w:marLeft w:val="0"/>
          <w:marRight w:val="0"/>
          <w:marTop w:val="0"/>
          <w:marBottom w:val="0"/>
          <w:divBdr>
            <w:top w:val="none" w:sz="0" w:space="0" w:color="auto"/>
            <w:left w:val="none" w:sz="0" w:space="0" w:color="auto"/>
            <w:bottom w:val="none" w:sz="0" w:space="0" w:color="auto"/>
            <w:right w:val="none" w:sz="0" w:space="0" w:color="auto"/>
          </w:divBdr>
        </w:div>
        <w:div w:id="890656002">
          <w:marLeft w:val="0"/>
          <w:marRight w:val="0"/>
          <w:marTop w:val="0"/>
          <w:marBottom w:val="0"/>
          <w:divBdr>
            <w:top w:val="none" w:sz="0" w:space="0" w:color="auto"/>
            <w:left w:val="none" w:sz="0" w:space="0" w:color="auto"/>
            <w:bottom w:val="none" w:sz="0" w:space="0" w:color="auto"/>
            <w:right w:val="none" w:sz="0" w:space="0" w:color="auto"/>
          </w:divBdr>
        </w:div>
        <w:div w:id="1355811128">
          <w:marLeft w:val="0"/>
          <w:marRight w:val="0"/>
          <w:marTop w:val="0"/>
          <w:marBottom w:val="0"/>
          <w:divBdr>
            <w:top w:val="none" w:sz="0" w:space="0" w:color="auto"/>
            <w:left w:val="none" w:sz="0" w:space="0" w:color="auto"/>
            <w:bottom w:val="none" w:sz="0" w:space="0" w:color="auto"/>
            <w:right w:val="none" w:sz="0" w:space="0" w:color="auto"/>
          </w:divBdr>
        </w:div>
        <w:div w:id="882789188">
          <w:marLeft w:val="0"/>
          <w:marRight w:val="0"/>
          <w:marTop w:val="0"/>
          <w:marBottom w:val="0"/>
          <w:divBdr>
            <w:top w:val="none" w:sz="0" w:space="0" w:color="auto"/>
            <w:left w:val="none" w:sz="0" w:space="0" w:color="auto"/>
            <w:bottom w:val="none" w:sz="0" w:space="0" w:color="auto"/>
            <w:right w:val="none" w:sz="0" w:space="0" w:color="auto"/>
          </w:divBdr>
        </w:div>
        <w:div w:id="113796297">
          <w:marLeft w:val="0"/>
          <w:marRight w:val="0"/>
          <w:marTop w:val="0"/>
          <w:marBottom w:val="0"/>
          <w:divBdr>
            <w:top w:val="none" w:sz="0" w:space="0" w:color="auto"/>
            <w:left w:val="none" w:sz="0" w:space="0" w:color="auto"/>
            <w:bottom w:val="none" w:sz="0" w:space="0" w:color="auto"/>
            <w:right w:val="none" w:sz="0" w:space="0" w:color="auto"/>
          </w:divBdr>
        </w:div>
        <w:div w:id="555818959">
          <w:marLeft w:val="0"/>
          <w:marRight w:val="0"/>
          <w:marTop w:val="0"/>
          <w:marBottom w:val="0"/>
          <w:divBdr>
            <w:top w:val="none" w:sz="0" w:space="0" w:color="auto"/>
            <w:left w:val="none" w:sz="0" w:space="0" w:color="auto"/>
            <w:bottom w:val="none" w:sz="0" w:space="0" w:color="auto"/>
            <w:right w:val="none" w:sz="0" w:space="0" w:color="auto"/>
          </w:divBdr>
        </w:div>
        <w:div w:id="1264411977">
          <w:marLeft w:val="0"/>
          <w:marRight w:val="0"/>
          <w:marTop w:val="0"/>
          <w:marBottom w:val="0"/>
          <w:divBdr>
            <w:top w:val="none" w:sz="0" w:space="0" w:color="auto"/>
            <w:left w:val="none" w:sz="0" w:space="0" w:color="auto"/>
            <w:bottom w:val="none" w:sz="0" w:space="0" w:color="auto"/>
            <w:right w:val="none" w:sz="0" w:space="0" w:color="auto"/>
          </w:divBdr>
        </w:div>
        <w:div w:id="1314945537">
          <w:marLeft w:val="0"/>
          <w:marRight w:val="0"/>
          <w:marTop w:val="0"/>
          <w:marBottom w:val="0"/>
          <w:divBdr>
            <w:top w:val="none" w:sz="0" w:space="0" w:color="auto"/>
            <w:left w:val="none" w:sz="0" w:space="0" w:color="auto"/>
            <w:bottom w:val="none" w:sz="0" w:space="0" w:color="auto"/>
            <w:right w:val="none" w:sz="0" w:space="0" w:color="auto"/>
          </w:divBdr>
        </w:div>
        <w:div w:id="446702932">
          <w:marLeft w:val="0"/>
          <w:marRight w:val="0"/>
          <w:marTop w:val="0"/>
          <w:marBottom w:val="0"/>
          <w:divBdr>
            <w:top w:val="none" w:sz="0" w:space="0" w:color="auto"/>
            <w:left w:val="none" w:sz="0" w:space="0" w:color="auto"/>
            <w:bottom w:val="none" w:sz="0" w:space="0" w:color="auto"/>
            <w:right w:val="none" w:sz="0" w:space="0" w:color="auto"/>
          </w:divBdr>
        </w:div>
        <w:div w:id="705066456">
          <w:marLeft w:val="0"/>
          <w:marRight w:val="0"/>
          <w:marTop w:val="0"/>
          <w:marBottom w:val="0"/>
          <w:divBdr>
            <w:top w:val="none" w:sz="0" w:space="0" w:color="auto"/>
            <w:left w:val="none" w:sz="0" w:space="0" w:color="auto"/>
            <w:bottom w:val="none" w:sz="0" w:space="0" w:color="auto"/>
            <w:right w:val="none" w:sz="0" w:space="0" w:color="auto"/>
          </w:divBdr>
        </w:div>
        <w:div w:id="2078434500">
          <w:marLeft w:val="0"/>
          <w:marRight w:val="0"/>
          <w:marTop w:val="0"/>
          <w:marBottom w:val="0"/>
          <w:divBdr>
            <w:top w:val="none" w:sz="0" w:space="0" w:color="auto"/>
            <w:left w:val="none" w:sz="0" w:space="0" w:color="auto"/>
            <w:bottom w:val="none" w:sz="0" w:space="0" w:color="auto"/>
            <w:right w:val="none" w:sz="0" w:space="0" w:color="auto"/>
          </w:divBdr>
        </w:div>
        <w:div w:id="1241061444">
          <w:marLeft w:val="0"/>
          <w:marRight w:val="0"/>
          <w:marTop w:val="0"/>
          <w:marBottom w:val="0"/>
          <w:divBdr>
            <w:top w:val="none" w:sz="0" w:space="0" w:color="auto"/>
            <w:left w:val="none" w:sz="0" w:space="0" w:color="auto"/>
            <w:bottom w:val="none" w:sz="0" w:space="0" w:color="auto"/>
            <w:right w:val="none" w:sz="0" w:space="0" w:color="auto"/>
          </w:divBdr>
        </w:div>
        <w:div w:id="1898347563">
          <w:marLeft w:val="0"/>
          <w:marRight w:val="0"/>
          <w:marTop w:val="0"/>
          <w:marBottom w:val="0"/>
          <w:divBdr>
            <w:top w:val="none" w:sz="0" w:space="0" w:color="auto"/>
            <w:left w:val="none" w:sz="0" w:space="0" w:color="auto"/>
            <w:bottom w:val="none" w:sz="0" w:space="0" w:color="auto"/>
            <w:right w:val="none" w:sz="0" w:space="0" w:color="auto"/>
          </w:divBdr>
        </w:div>
        <w:div w:id="886793918">
          <w:marLeft w:val="0"/>
          <w:marRight w:val="0"/>
          <w:marTop w:val="0"/>
          <w:marBottom w:val="0"/>
          <w:divBdr>
            <w:top w:val="none" w:sz="0" w:space="0" w:color="auto"/>
            <w:left w:val="none" w:sz="0" w:space="0" w:color="auto"/>
            <w:bottom w:val="none" w:sz="0" w:space="0" w:color="auto"/>
            <w:right w:val="none" w:sz="0" w:space="0" w:color="auto"/>
          </w:divBdr>
        </w:div>
        <w:div w:id="611016440">
          <w:marLeft w:val="0"/>
          <w:marRight w:val="0"/>
          <w:marTop w:val="0"/>
          <w:marBottom w:val="0"/>
          <w:divBdr>
            <w:top w:val="none" w:sz="0" w:space="0" w:color="auto"/>
            <w:left w:val="none" w:sz="0" w:space="0" w:color="auto"/>
            <w:bottom w:val="none" w:sz="0" w:space="0" w:color="auto"/>
            <w:right w:val="none" w:sz="0" w:space="0" w:color="auto"/>
          </w:divBdr>
        </w:div>
        <w:div w:id="1722827538">
          <w:marLeft w:val="0"/>
          <w:marRight w:val="0"/>
          <w:marTop w:val="0"/>
          <w:marBottom w:val="0"/>
          <w:divBdr>
            <w:top w:val="none" w:sz="0" w:space="0" w:color="auto"/>
            <w:left w:val="none" w:sz="0" w:space="0" w:color="auto"/>
            <w:bottom w:val="none" w:sz="0" w:space="0" w:color="auto"/>
            <w:right w:val="none" w:sz="0" w:space="0" w:color="auto"/>
          </w:divBdr>
        </w:div>
        <w:div w:id="443576915">
          <w:marLeft w:val="0"/>
          <w:marRight w:val="0"/>
          <w:marTop w:val="0"/>
          <w:marBottom w:val="0"/>
          <w:divBdr>
            <w:top w:val="none" w:sz="0" w:space="0" w:color="auto"/>
            <w:left w:val="none" w:sz="0" w:space="0" w:color="auto"/>
            <w:bottom w:val="none" w:sz="0" w:space="0" w:color="auto"/>
            <w:right w:val="none" w:sz="0" w:space="0" w:color="auto"/>
          </w:divBdr>
        </w:div>
        <w:div w:id="20668980">
          <w:marLeft w:val="0"/>
          <w:marRight w:val="0"/>
          <w:marTop w:val="0"/>
          <w:marBottom w:val="0"/>
          <w:divBdr>
            <w:top w:val="none" w:sz="0" w:space="0" w:color="auto"/>
            <w:left w:val="none" w:sz="0" w:space="0" w:color="auto"/>
            <w:bottom w:val="none" w:sz="0" w:space="0" w:color="auto"/>
            <w:right w:val="none" w:sz="0" w:space="0" w:color="auto"/>
          </w:divBdr>
        </w:div>
        <w:div w:id="196040714">
          <w:marLeft w:val="0"/>
          <w:marRight w:val="0"/>
          <w:marTop w:val="0"/>
          <w:marBottom w:val="0"/>
          <w:divBdr>
            <w:top w:val="none" w:sz="0" w:space="0" w:color="auto"/>
            <w:left w:val="none" w:sz="0" w:space="0" w:color="auto"/>
            <w:bottom w:val="none" w:sz="0" w:space="0" w:color="auto"/>
            <w:right w:val="none" w:sz="0" w:space="0" w:color="auto"/>
          </w:divBdr>
        </w:div>
        <w:div w:id="147552926">
          <w:marLeft w:val="0"/>
          <w:marRight w:val="0"/>
          <w:marTop w:val="0"/>
          <w:marBottom w:val="0"/>
          <w:divBdr>
            <w:top w:val="none" w:sz="0" w:space="0" w:color="auto"/>
            <w:left w:val="none" w:sz="0" w:space="0" w:color="auto"/>
            <w:bottom w:val="none" w:sz="0" w:space="0" w:color="auto"/>
            <w:right w:val="none" w:sz="0" w:space="0" w:color="auto"/>
          </w:divBdr>
        </w:div>
        <w:div w:id="476654337">
          <w:marLeft w:val="0"/>
          <w:marRight w:val="0"/>
          <w:marTop w:val="0"/>
          <w:marBottom w:val="0"/>
          <w:divBdr>
            <w:top w:val="none" w:sz="0" w:space="0" w:color="auto"/>
            <w:left w:val="none" w:sz="0" w:space="0" w:color="auto"/>
            <w:bottom w:val="none" w:sz="0" w:space="0" w:color="auto"/>
            <w:right w:val="none" w:sz="0" w:space="0" w:color="auto"/>
          </w:divBdr>
        </w:div>
        <w:div w:id="1535461111">
          <w:marLeft w:val="0"/>
          <w:marRight w:val="0"/>
          <w:marTop w:val="0"/>
          <w:marBottom w:val="0"/>
          <w:divBdr>
            <w:top w:val="none" w:sz="0" w:space="0" w:color="auto"/>
            <w:left w:val="none" w:sz="0" w:space="0" w:color="auto"/>
            <w:bottom w:val="none" w:sz="0" w:space="0" w:color="auto"/>
            <w:right w:val="none" w:sz="0" w:space="0" w:color="auto"/>
          </w:divBdr>
        </w:div>
        <w:div w:id="94443400">
          <w:marLeft w:val="0"/>
          <w:marRight w:val="0"/>
          <w:marTop w:val="0"/>
          <w:marBottom w:val="0"/>
          <w:divBdr>
            <w:top w:val="none" w:sz="0" w:space="0" w:color="auto"/>
            <w:left w:val="none" w:sz="0" w:space="0" w:color="auto"/>
            <w:bottom w:val="none" w:sz="0" w:space="0" w:color="auto"/>
            <w:right w:val="none" w:sz="0" w:space="0" w:color="auto"/>
          </w:divBdr>
        </w:div>
        <w:div w:id="1332567573">
          <w:marLeft w:val="0"/>
          <w:marRight w:val="0"/>
          <w:marTop w:val="0"/>
          <w:marBottom w:val="0"/>
          <w:divBdr>
            <w:top w:val="none" w:sz="0" w:space="0" w:color="auto"/>
            <w:left w:val="none" w:sz="0" w:space="0" w:color="auto"/>
            <w:bottom w:val="none" w:sz="0" w:space="0" w:color="auto"/>
            <w:right w:val="none" w:sz="0" w:space="0" w:color="auto"/>
          </w:divBdr>
        </w:div>
        <w:div w:id="1565140467">
          <w:marLeft w:val="0"/>
          <w:marRight w:val="0"/>
          <w:marTop w:val="0"/>
          <w:marBottom w:val="0"/>
          <w:divBdr>
            <w:top w:val="none" w:sz="0" w:space="0" w:color="auto"/>
            <w:left w:val="none" w:sz="0" w:space="0" w:color="auto"/>
            <w:bottom w:val="none" w:sz="0" w:space="0" w:color="auto"/>
            <w:right w:val="none" w:sz="0" w:space="0" w:color="auto"/>
          </w:divBdr>
        </w:div>
        <w:div w:id="1885632040">
          <w:marLeft w:val="0"/>
          <w:marRight w:val="0"/>
          <w:marTop w:val="0"/>
          <w:marBottom w:val="0"/>
          <w:divBdr>
            <w:top w:val="none" w:sz="0" w:space="0" w:color="auto"/>
            <w:left w:val="none" w:sz="0" w:space="0" w:color="auto"/>
            <w:bottom w:val="none" w:sz="0" w:space="0" w:color="auto"/>
            <w:right w:val="none" w:sz="0" w:space="0" w:color="auto"/>
          </w:divBdr>
        </w:div>
        <w:div w:id="274600607">
          <w:marLeft w:val="0"/>
          <w:marRight w:val="0"/>
          <w:marTop w:val="0"/>
          <w:marBottom w:val="0"/>
          <w:divBdr>
            <w:top w:val="none" w:sz="0" w:space="0" w:color="auto"/>
            <w:left w:val="none" w:sz="0" w:space="0" w:color="auto"/>
            <w:bottom w:val="none" w:sz="0" w:space="0" w:color="auto"/>
            <w:right w:val="none" w:sz="0" w:space="0" w:color="auto"/>
          </w:divBdr>
        </w:div>
      </w:divsChild>
    </w:div>
    <w:div w:id="811404008">
      <w:marLeft w:val="0"/>
      <w:marRight w:val="0"/>
      <w:marTop w:val="180"/>
      <w:marBottom w:val="60"/>
      <w:divBdr>
        <w:top w:val="none" w:sz="0" w:space="0" w:color="auto"/>
        <w:left w:val="none" w:sz="0" w:space="0" w:color="auto"/>
        <w:bottom w:val="none" w:sz="0" w:space="0" w:color="auto"/>
        <w:right w:val="none" w:sz="0" w:space="0" w:color="auto"/>
      </w:divBdr>
    </w:div>
    <w:div w:id="813370003">
      <w:marLeft w:val="0"/>
      <w:marRight w:val="0"/>
      <w:marTop w:val="240"/>
      <w:marBottom w:val="180"/>
      <w:divBdr>
        <w:top w:val="none" w:sz="0" w:space="0" w:color="auto"/>
        <w:left w:val="none" w:sz="0" w:space="0" w:color="auto"/>
        <w:bottom w:val="none" w:sz="0" w:space="0" w:color="auto"/>
        <w:right w:val="none" w:sz="0" w:space="0" w:color="auto"/>
      </w:divBdr>
    </w:div>
    <w:div w:id="814953705">
      <w:marLeft w:val="0"/>
      <w:marRight w:val="0"/>
      <w:marTop w:val="0"/>
      <w:marBottom w:val="0"/>
      <w:divBdr>
        <w:top w:val="none" w:sz="0" w:space="0" w:color="auto"/>
        <w:left w:val="none" w:sz="0" w:space="0" w:color="auto"/>
        <w:bottom w:val="none" w:sz="0" w:space="0" w:color="auto"/>
        <w:right w:val="none" w:sz="0" w:space="0" w:color="auto"/>
      </w:divBdr>
    </w:div>
    <w:div w:id="815148882">
      <w:marLeft w:val="0"/>
      <w:marRight w:val="0"/>
      <w:marTop w:val="180"/>
      <w:marBottom w:val="180"/>
      <w:divBdr>
        <w:top w:val="none" w:sz="0" w:space="0" w:color="auto"/>
        <w:left w:val="none" w:sz="0" w:space="0" w:color="auto"/>
        <w:bottom w:val="none" w:sz="0" w:space="0" w:color="auto"/>
        <w:right w:val="none" w:sz="0" w:space="0" w:color="auto"/>
      </w:divBdr>
    </w:div>
    <w:div w:id="815150377">
      <w:marLeft w:val="0"/>
      <w:marRight w:val="0"/>
      <w:marTop w:val="180"/>
      <w:marBottom w:val="180"/>
      <w:divBdr>
        <w:top w:val="none" w:sz="0" w:space="0" w:color="auto"/>
        <w:left w:val="none" w:sz="0" w:space="0" w:color="auto"/>
        <w:bottom w:val="none" w:sz="0" w:space="0" w:color="auto"/>
        <w:right w:val="none" w:sz="0" w:space="0" w:color="auto"/>
      </w:divBdr>
    </w:div>
    <w:div w:id="815804190">
      <w:marLeft w:val="0"/>
      <w:marRight w:val="0"/>
      <w:marTop w:val="0"/>
      <w:marBottom w:val="0"/>
      <w:divBdr>
        <w:top w:val="none" w:sz="0" w:space="0" w:color="auto"/>
        <w:left w:val="none" w:sz="0" w:space="0" w:color="auto"/>
        <w:bottom w:val="none" w:sz="0" w:space="0" w:color="auto"/>
        <w:right w:val="none" w:sz="0" w:space="0" w:color="auto"/>
      </w:divBdr>
    </w:div>
    <w:div w:id="817572182">
      <w:marLeft w:val="0"/>
      <w:marRight w:val="0"/>
      <w:marTop w:val="0"/>
      <w:marBottom w:val="0"/>
      <w:divBdr>
        <w:top w:val="none" w:sz="0" w:space="0" w:color="auto"/>
        <w:left w:val="none" w:sz="0" w:space="0" w:color="auto"/>
        <w:bottom w:val="none" w:sz="0" w:space="0" w:color="auto"/>
        <w:right w:val="none" w:sz="0" w:space="0" w:color="auto"/>
      </w:divBdr>
    </w:div>
    <w:div w:id="818115733">
      <w:marLeft w:val="0"/>
      <w:marRight w:val="0"/>
      <w:marTop w:val="180"/>
      <w:marBottom w:val="180"/>
      <w:divBdr>
        <w:top w:val="none" w:sz="0" w:space="0" w:color="auto"/>
        <w:left w:val="none" w:sz="0" w:space="0" w:color="auto"/>
        <w:bottom w:val="none" w:sz="0" w:space="0" w:color="auto"/>
        <w:right w:val="none" w:sz="0" w:space="0" w:color="auto"/>
      </w:divBdr>
    </w:div>
    <w:div w:id="820392090">
      <w:marLeft w:val="0"/>
      <w:marRight w:val="0"/>
      <w:marTop w:val="0"/>
      <w:marBottom w:val="0"/>
      <w:divBdr>
        <w:top w:val="none" w:sz="0" w:space="0" w:color="auto"/>
        <w:left w:val="none" w:sz="0" w:space="0" w:color="auto"/>
        <w:bottom w:val="none" w:sz="0" w:space="0" w:color="auto"/>
        <w:right w:val="none" w:sz="0" w:space="0" w:color="auto"/>
      </w:divBdr>
    </w:div>
    <w:div w:id="820780050">
      <w:marLeft w:val="0"/>
      <w:marRight w:val="0"/>
      <w:marTop w:val="60"/>
      <w:marBottom w:val="60"/>
      <w:divBdr>
        <w:top w:val="none" w:sz="0" w:space="0" w:color="auto"/>
        <w:left w:val="none" w:sz="0" w:space="0" w:color="auto"/>
        <w:bottom w:val="none" w:sz="0" w:space="0" w:color="auto"/>
        <w:right w:val="none" w:sz="0" w:space="0" w:color="auto"/>
      </w:divBdr>
    </w:div>
    <w:div w:id="822619214">
      <w:marLeft w:val="0"/>
      <w:marRight w:val="0"/>
      <w:marTop w:val="0"/>
      <w:marBottom w:val="0"/>
      <w:divBdr>
        <w:top w:val="none" w:sz="0" w:space="0" w:color="auto"/>
        <w:left w:val="none" w:sz="0" w:space="0" w:color="auto"/>
        <w:bottom w:val="none" w:sz="0" w:space="0" w:color="auto"/>
        <w:right w:val="none" w:sz="0" w:space="0" w:color="auto"/>
      </w:divBdr>
      <w:divsChild>
        <w:div w:id="928342935">
          <w:marLeft w:val="0"/>
          <w:marRight w:val="0"/>
          <w:marTop w:val="0"/>
          <w:marBottom w:val="0"/>
          <w:divBdr>
            <w:top w:val="none" w:sz="0" w:space="0" w:color="auto"/>
            <w:left w:val="none" w:sz="0" w:space="0" w:color="auto"/>
            <w:bottom w:val="none" w:sz="0" w:space="0" w:color="auto"/>
            <w:right w:val="none" w:sz="0" w:space="0" w:color="auto"/>
          </w:divBdr>
          <w:divsChild>
            <w:div w:id="19064476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23159843">
      <w:marLeft w:val="0"/>
      <w:marRight w:val="0"/>
      <w:marTop w:val="180"/>
      <w:marBottom w:val="180"/>
      <w:divBdr>
        <w:top w:val="none" w:sz="0" w:space="0" w:color="auto"/>
        <w:left w:val="none" w:sz="0" w:space="0" w:color="auto"/>
        <w:bottom w:val="none" w:sz="0" w:space="0" w:color="auto"/>
        <w:right w:val="none" w:sz="0" w:space="0" w:color="auto"/>
      </w:divBdr>
    </w:div>
    <w:div w:id="823475376">
      <w:marLeft w:val="0"/>
      <w:marRight w:val="0"/>
      <w:marTop w:val="180"/>
      <w:marBottom w:val="180"/>
      <w:divBdr>
        <w:top w:val="none" w:sz="0" w:space="0" w:color="auto"/>
        <w:left w:val="none" w:sz="0" w:space="0" w:color="auto"/>
        <w:bottom w:val="none" w:sz="0" w:space="0" w:color="auto"/>
        <w:right w:val="none" w:sz="0" w:space="0" w:color="auto"/>
      </w:divBdr>
    </w:div>
    <w:div w:id="823817949">
      <w:marLeft w:val="0"/>
      <w:marRight w:val="0"/>
      <w:marTop w:val="180"/>
      <w:marBottom w:val="180"/>
      <w:divBdr>
        <w:top w:val="none" w:sz="0" w:space="0" w:color="auto"/>
        <w:left w:val="none" w:sz="0" w:space="0" w:color="auto"/>
        <w:bottom w:val="none" w:sz="0" w:space="0" w:color="auto"/>
        <w:right w:val="none" w:sz="0" w:space="0" w:color="auto"/>
      </w:divBdr>
    </w:div>
    <w:div w:id="824469442">
      <w:marLeft w:val="0"/>
      <w:marRight w:val="0"/>
      <w:marTop w:val="180"/>
      <w:marBottom w:val="180"/>
      <w:divBdr>
        <w:top w:val="none" w:sz="0" w:space="0" w:color="auto"/>
        <w:left w:val="none" w:sz="0" w:space="0" w:color="auto"/>
        <w:bottom w:val="none" w:sz="0" w:space="0" w:color="auto"/>
        <w:right w:val="none" w:sz="0" w:space="0" w:color="auto"/>
      </w:divBdr>
    </w:div>
    <w:div w:id="826752590">
      <w:marLeft w:val="0"/>
      <w:marRight w:val="0"/>
      <w:marTop w:val="180"/>
      <w:marBottom w:val="180"/>
      <w:divBdr>
        <w:top w:val="none" w:sz="0" w:space="0" w:color="auto"/>
        <w:left w:val="none" w:sz="0" w:space="0" w:color="auto"/>
        <w:bottom w:val="none" w:sz="0" w:space="0" w:color="auto"/>
        <w:right w:val="none" w:sz="0" w:space="0" w:color="auto"/>
      </w:divBdr>
    </w:div>
    <w:div w:id="827091251">
      <w:marLeft w:val="0"/>
      <w:marRight w:val="0"/>
      <w:marTop w:val="180"/>
      <w:marBottom w:val="180"/>
      <w:divBdr>
        <w:top w:val="none" w:sz="0" w:space="0" w:color="auto"/>
        <w:left w:val="none" w:sz="0" w:space="0" w:color="auto"/>
        <w:bottom w:val="none" w:sz="0" w:space="0" w:color="auto"/>
        <w:right w:val="none" w:sz="0" w:space="0" w:color="auto"/>
      </w:divBdr>
    </w:div>
    <w:div w:id="827862903">
      <w:marLeft w:val="0"/>
      <w:marRight w:val="0"/>
      <w:marTop w:val="180"/>
      <w:marBottom w:val="180"/>
      <w:divBdr>
        <w:top w:val="none" w:sz="0" w:space="0" w:color="auto"/>
        <w:left w:val="none" w:sz="0" w:space="0" w:color="auto"/>
        <w:bottom w:val="none" w:sz="0" w:space="0" w:color="auto"/>
        <w:right w:val="none" w:sz="0" w:space="0" w:color="auto"/>
      </w:divBdr>
    </w:div>
    <w:div w:id="828446049">
      <w:marLeft w:val="0"/>
      <w:marRight w:val="0"/>
      <w:marTop w:val="180"/>
      <w:marBottom w:val="180"/>
      <w:divBdr>
        <w:top w:val="none" w:sz="0" w:space="0" w:color="auto"/>
        <w:left w:val="none" w:sz="0" w:space="0" w:color="auto"/>
        <w:bottom w:val="none" w:sz="0" w:space="0" w:color="auto"/>
        <w:right w:val="none" w:sz="0" w:space="0" w:color="auto"/>
      </w:divBdr>
    </w:div>
    <w:div w:id="829491887">
      <w:marLeft w:val="0"/>
      <w:marRight w:val="0"/>
      <w:marTop w:val="60"/>
      <w:marBottom w:val="60"/>
      <w:divBdr>
        <w:top w:val="none" w:sz="0" w:space="0" w:color="auto"/>
        <w:left w:val="none" w:sz="0" w:space="0" w:color="auto"/>
        <w:bottom w:val="none" w:sz="0" w:space="0" w:color="auto"/>
        <w:right w:val="none" w:sz="0" w:space="0" w:color="auto"/>
      </w:divBdr>
    </w:div>
    <w:div w:id="829715766">
      <w:marLeft w:val="0"/>
      <w:marRight w:val="0"/>
      <w:marTop w:val="180"/>
      <w:marBottom w:val="60"/>
      <w:divBdr>
        <w:top w:val="none" w:sz="0" w:space="0" w:color="auto"/>
        <w:left w:val="none" w:sz="0" w:space="0" w:color="auto"/>
        <w:bottom w:val="none" w:sz="0" w:space="0" w:color="auto"/>
        <w:right w:val="none" w:sz="0" w:space="0" w:color="auto"/>
      </w:divBdr>
    </w:div>
    <w:div w:id="830829625">
      <w:marLeft w:val="0"/>
      <w:marRight w:val="0"/>
      <w:marTop w:val="180"/>
      <w:marBottom w:val="120"/>
      <w:divBdr>
        <w:top w:val="none" w:sz="0" w:space="0" w:color="auto"/>
        <w:left w:val="none" w:sz="0" w:space="0" w:color="auto"/>
        <w:bottom w:val="none" w:sz="0" w:space="0" w:color="auto"/>
        <w:right w:val="none" w:sz="0" w:space="0" w:color="auto"/>
      </w:divBdr>
    </w:div>
    <w:div w:id="831070382">
      <w:marLeft w:val="0"/>
      <w:marRight w:val="0"/>
      <w:marTop w:val="180"/>
      <w:marBottom w:val="180"/>
      <w:divBdr>
        <w:top w:val="none" w:sz="0" w:space="0" w:color="auto"/>
        <w:left w:val="none" w:sz="0" w:space="0" w:color="auto"/>
        <w:bottom w:val="none" w:sz="0" w:space="0" w:color="auto"/>
        <w:right w:val="none" w:sz="0" w:space="0" w:color="auto"/>
      </w:divBdr>
    </w:div>
    <w:div w:id="831339616">
      <w:marLeft w:val="0"/>
      <w:marRight w:val="0"/>
      <w:marTop w:val="180"/>
      <w:marBottom w:val="180"/>
      <w:divBdr>
        <w:top w:val="none" w:sz="0" w:space="0" w:color="auto"/>
        <w:left w:val="none" w:sz="0" w:space="0" w:color="auto"/>
        <w:bottom w:val="none" w:sz="0" w:space="0" w:color="auto"/>
        <w:right w:val="none" w:sz="0" w:space="0" w:color="auto"/>
      </w:divBdr>
    </w:div>
    <w:div w:id="832915853">
      <w:marLeft w:val="0"/>
      <w:marRight w:val="0"/>
      <w:marTop w:val="100"/>
      <w:marBottom w:val="100"/>
      <w:divBdr>
        <w:top w:val="none" w:sz="0" w:space="0" w:color="auto"/>
        <w:left w:val="none" w:sz="0" w:space="0" w:color="auto"/>
        <w:bottom w:val="none" w:sz="0" w:space="0" w:color="auto"/>
        <w:right w:val="none" w:sz="0" w:space="0" w:color="auto"/>
      </w:divBdr>
      <w:divsChild>
        <w:div w:id="1532570498">
          <w:marLeft w:val="0"/>
          <w:marRight w:val="0"/>
          <w:marTop w:val="0"/>
          <w:marBottom w:val="0"/>
          <w:divBdr>
            <w:top w:val="none" w:sz="0" w:space="0" w:color="auto"/>
            <w:left w:val="none" w:sz="0" w:space="0" w:color="auto"/>
            <w:bottom w:val="none" w:sz="0" w:space="0" w:color="auto"/>
            <w:right w:val="none" w:sz="0" w:space="0" w:color="auto"/>
          </w:divBdr>
        </w:div>
        <w:div w:id="673921450">
          <w:marLeft w:val="0"/>
          <w:marRight w:val="0"/>
          <w:marTop w:val="0"/>
          <w:marBottom w:val="0"/>
          <w:divBdr>
            <w:top w:val="none" w:sz="0" w:space="0" w:color="auto"/>
            <w:left w:val="none" w:sz="0" w:space="0" w:color="auto"/>
            <w:bottom w:val="none" w:sz="0" w:space="0" w:color="auto"/>
            <w:right w:val="none" w:sz="0" w:space="0" w:color="auto"/>
          </w:divBdr>
        </w:div>
      </w:divsChild>
    </w:div>
    <w:div w:id="833103142">
      <w:marLeft w:val="0"/>
      <w:marRight w:val="0"/>
      <w:marTop w:val="180"/>
      <w:marBottom w:val="180"/>
      <w:divBdr>
        <w:top w:val="none" w:sz="0" w:space="0" w:color="auto"/>
        <w:left w:val="none" w:sz="0" w:space="0" w:color="auto"/>
        <w:bottom w:val="none" w:sz="0" w:space="0" w:color="auto"/>
        <w:right w:val="none" w:sz="0" w:space="0" w:color="auto"/>
      </w:divBdr>
    </w:div>
    <w:div w:id="833834858">
      <w:marLeft w:val="0"/>
      <w:marRight w:val="0"/>
      <w:marTop w:val="180"/>
      <w:marBottom w:val="180"/>
      <w:divBdr>
        <w:top w:val="none" w:sz="0" w:space="0" w:color="auto"/>
        <w:left w:val="none" w:sz="0" w:space="0" w:color="auto"/>
        <w:bottom w:val="none" w:sz="0" w:space="0" w:color="auto"/>
        <w:right w:val="none" w:sz="0" w:space="0" w:color="auto"/>
      </w:divBdr>
    </w:div>
    <w:div w:id="833835361">
      <w:marLeft w:val="0"/>
      <w:marRight w:val="0"/>
      <w:marTop w:val="0"/>
      <w:marBottom w:val="0"/>
      <w:divBdr>
        <w:top w:val="none" w:sz="0" w:space="0" w:color="auto"/>
        <w:left w:val="none" w:sz="0" w:space="0" w:color="auto"/>
        <w:bottom w:val="none" w:sz="0" w:space="0" w:color="auto"/>
        <w:right w:val="none" w:sz="0" w:space="0" w:color="auto"/>
      </w:divBdr>
      <w:divsChild>
        <w:div w:id="1766074792">
          <w:marLeft w:val="0"/>
          <w:marRight w:val="0"/>
          <w:marTop w:val="0"/>
          <w:marBottom w:val="0"/>
          <w:divBdr>
            <w:top w:val="none" w:sz="0" w:space="0" w:color="auto"/>
            <w:left w:val="none" w:sz="0" w:space="0" w:color="auto"/>
            <w:bottom w:val="none" w:sz="0" w:space="0" w:color="auto"/>
            <w:right w:val="none" w:sz="0" w:space="0" w:color="auto"/>
          </w:divBdr>
          <w:divsChild>
            <w:div w:id="9916394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4295974">
      <w:marLeft w:val="0"/>
      <w:marRight w:val="0"/>
      <w:marTop w:val="180"/>
      <w:marBottom w:val="180"/>
      <w:divBdr>
        <w:top w:val="none" w:sz="0" w:space="0" w:color="auto"/>
        <w:left w:val="none" w:sz="0" w:space="0" w:color="auto"/>
        <w:bottom w:val="none" w:sz="0" w:space="0" w:color="auto"/>
        <w:right w:val="none" w:sz="0" w:space="0" w:color="auto"/>
      </w:divBdr>
    </w:div>
    <w:div w:id="834342165">
      <w:marLeft w:val="0"/>
      <w:marRight w:val="0"/>
      <w:marTop w:val="100"/>
      <w:marBottom w:val="100"/>
      <w:divBdr>
        <w:top w:val="none" w:sz="0" w:space="0" w:color="auto"/>
        <w:left w:val="none" w:sz="0" w:space="0" w:color="auto"/>
        <w:bottom w:val="none" w:sz="0" w:space="0" w:color="auto"/>
        <w:right w:val="none" w:sz="0" w:space="0" w:color="auto"/>
      </w:divBdr>
    </w:div>
    <w:div w:id="835539385">
      <w:marLeft w:val="0"/>
      <w:marRight w:val="0"/>
      <w:marTop w:val="60"/>
      <w:marBottom w:val="60"/>
      <w:divBdr>
        <w:top w:val="none" w:sz="0" w:space="0" w:color="auto"/>
        <w:left w:val="none" w:sz="0" w:space="0" w:color="auto"/>
        <w:bottom w:val="none" w:sz="0" w:space="0" w:color="auto"/>
        <w:right w:val="none" w:sz="0" w:space="0" w:color="auto"/>
      </w:divBdr>
    </w:div>
    <w:div w:id="837237508">
      <w:marLeft w:val="0"/>
      <w:marRight w:val="0"/>
      <w:marTop w:val="180"/>
      <w:marBottom w:val="180"/>
      <w:divBdr>
        <w:top w:val="none" w:sz="0" w:space="0" w:color="auto"/>
        <w:left w:val="none" w:sz="0" w:space="0" w:color="auto"/>
        <w:bottom w:val="none" w:sz="0" w:space="0" w:color="auto"/>
        <w:right w:val="none" w:sz="0" w:space="0" w:color="auto"/>
      </w:divBdr>
    </w:div>
    <w:div w:id="838927129">
      <w:marLeft w:val="0"/>
      <w:marRight w:val="0"/>
      <w:marTop w:val="180"/>
      <w:marBottom w:val="180"/>
      <w:divBdr>
        <w:top w:val="none" w:sz="0" w:space="0" w:color="auto"/>
        <w:left w:val="none" w:sz="0" w:space="0" w:color="auto"/>
        <w:bottom w:val="none" w:sz="0" w:space="0" w:color="auto"/>
        <w:right w:val="none" w:sz="0" w:space="0" w:color="auto"/>
      </w:divBdr>
    </w:div>
    <w:div w:id="839924357">
      <w:marLeft w:val="0"/>
      <w:marRight w:val="0"/>
      <w:marTop w:val="60"/>
      <w:marBottom w:val="60"/>
      <w:divBdr>
        <w:top w:val="none" w:sz="0" w:space="0" w:color="auto"/>
        <w:left w:val="none" w:sz="0" w:space="0" w:color="auto"/>
        <w:bottom w:val="none" w:sz="0" w:space="0" w:color="auto"/>
        <w:right w:val="none" w:sz="0" w:space="0" w:color="auto"/>
      </w:divBdr>
    </w:div>
    <w:div w:id="840436413">
      <w:marLeft w:val="0"/>
      <w:marRight w:val="0"/>
      <w:marTop w:val="180"/>
      <w:marBottom w:val="60"/>
      <w:divBdr>
        <w:top w:val="none" w:sz="0" w:space="0" w:color="auto"/>
        <w:left w:val="none" w:sz="0" w:space="0" w:color="auto"/>
        <w:bottom w:val="none" w:sz="0" w:space="0" w:color="auto"/>
        <w:right w:val="none" w:sz="0" w:space="0" w:color="auto"/>
      </w:divBdr>
    </w:div>
    <w:div w:id="840437366">
      <w:marLeft w:val="0"/>
      <w:marRight w:val="0"/>
      <w:marTop w:val="60"/>
      <w:marBottom w:val="60"/>
      <w:divBdr>
        <w:top w:val="none" w:sz="0" w:space="0" w:color="auto"/>
        <w:left w:val="none" w:sz="0" w:space="0" w:color="auto"/>
        <w:bottom w:val="none" w:sz="0" w:space="0" w:color="auto"/>
        <w:right w:val="none" w:sz="0" w:space="0" w:color="auto"/>
      </w:divBdr>
    </w:div>
    <w:div w:id="841700852">
      <w:marLeft w:val="0"/>
      <w:marRight w:val="0"/>
      <w:marTop w:val="180"/>
      <w:marBottom w:val="180"/>
      <w:divBdr>
        <w:top w:val="none" w:sz="0" w:space="0" w:color="auto"/>
        <w:left w:val="none" w:sz="0" w:space="0" w:color="auto"/>
        <w:bottom w:val="none" w:sz="0" w:space="0" w:color="auto"/>
        <w:right w:val="none" w:sz="0" w:space="0" w:color="auto"/>
      </w:divBdr>
    </w:div>
    <w:div w:id="841894837">
      <w:marLeft w:val="0"/>
      <w:marRight w:val="0"/>
      <w:marTop w:val="180"/>
      <w:marBottom w:val="180"/>
      <w:divBdr>
        <w:top w:val="none" w:sz="0" w:space="0" w:color="auto"/>
        <w:left w:val="none" w:sz="0" w:space="0" w:color="auto"/>
        <w:bottom w:val="none" w:sz="0" w:space="0" w:color="auto"/>
        <w:right w:val="none" w:sz="0" w:space="0" w:color="auto"/>
      </w:divBdr>
    </w:div>
    <w:div w:id="842016682">
      <w:marLeft w:val="0"/>
      <w:marRight w:val="0"/>
      <w:marTop w:val="180"/>
      <w:marBottom w:val="180"/>
      <w:divBdr>
        <w:top w:val="none" w:sz="0" w:space="0" w:color="auto"/>
        <w:left w:val="none" w:sz="0" w:space="0" w:color="auto"/>
        <w:bottom w:val="none" w:sz="0" w:space="0" w:color="auto"/>
        <w:right w:val="none" w:sz="0" w:space="0" w:color="auto"/>
      </w:divBdr>
    </w:div>
    <w:div w:id="842620759">
      <w:marLeft w:val="0"/>
      <w:marRight w:val="0"/>
      <w:marTop w:val="180"/>
      <w:marBottom w:val="180"/>
      <w:divBdr>
        <w:top w:val="none" w:sz="0" w:space="0" w:color="auto"/>
        <w:left w:val="none" w:sz="0" w:space="0" w:color="auto"/>
        <w:bottom w:val="none" w:sz="0" w:space="0" w:color="auto"/>
        <w:right w:val="none" w:sz="0" w:space="0" w:color="auto"/>
      </w:divBdr>
    </w:div>
    <w:div w:id="844589017">
      <w:marLeft w:val="0"/>
      <w:marRight w:val="0"/>
      <w:marTop w:val="100"/>
      <w:marBottom w:val="100"/>
      <w:divBdr>
        <w:top w:val="none" w:sz="0" w:space="0" w:color="auto"/>
        <w:left w:val="none" w:sz="0" w:space="0" w:color="auto"/>
        <w:bottom w:val="none" w:sz="0" w:space="0" w:color="auto"/>
        <w:right w:val="none" w:sz="0" w:space="0" w:color="auto"/>
      </w:divBdr>
      <w:divsChild>
        <w:div w:id="1915235300">
          <w:marLeft w:val="0"/>
          <w:marRight w:val="0"/>
          <w:marTop w:val="180"/>
          <w:marBottom w:val="180"/>
          <w:divBdr>
            <w:top w:val="none" w:sz="0" w:space="0" w:color="auto"/>
            <w:left w:val="none" w:sz="0" w:space="0" w:color="auto"/>
            <w:bottom w:val="none" w:sz="0" w:space="0" w:color="auto"/>
            <w:right w:val="none" w:sz="0" w:space="0" w:color="auto"/>
          </w:divBdr>
        </w:div>
        <w:div w:id="1275795679">
          <w:marLeft w:val="0"/>
          <w:marRight w:val="0"/>
          <w:marTop w:val="180"/>
          <w:marBottom w:val="180"/>
          <w:divBdr>
            <w:top w:val="none" w:sz="0" w:space="0" w:color="auto"/>
            <w:left w:val="none" w:sz="0" w:space="0" w:color="auto"/>
            <w:bottom w:val="none" w:sz="0" w:space="0" w:color="auto"/>
            <w:right w:val="none" w:sz="0" w:space="0" w:color="auto"/>
          </w:divBdr>
        </w:div>
        <w:div w:id="590503119">
          <w:marLeft w:val="0"/>
          <w:marRight w:val="0"/>
          <w:marTop w:val="180"/>
          <w:marBottom w:val="180"/>
          <w:divBdr>
            <w:top w:val="none" w:sz="0" w:space="0" w:color="auto"/>
            <w:left w:val="none" w:sz="0" w:space="0" w:color="auto"/>
            <w:bottom w:val="none" w:sz="0" w:space="0" w:color="auto"/>
            <w:right w:val="none" w:sz="0" w:space="0" w:color="auto"/>
          </w:divBdr>
        </w:div>
        <w:div w:id="650866448">
          <w:marLeft w:val="0"/>
          <w:marRight w:val="0"/>
          <w:marTop w:val="180"/>
          <w:marBottom w:val="180"/>
          <w:divBdr>
            <w:top w:val="none" w:sz="0" w:space="0" w:color="auto"/>
            <w:left w:val="none" w:sz="0" w:space="0" w:color="auto"/>
            <w:bottom w:val="none" w:sz="0" w:space="0" w:color="auto"/>
            <w:right w:val="none" w:sz="0" w:space="0" w:color="auto"/>
          </w:divBdr>
        </w:div>
        <w:div w:id="1595476188">
          <w:marLeft w:val="0"/>
          <w:marRight w:val="0"/>
          <w:marTop w:val="180"/>
          <w:marBottom w:val="180"/>
          <w:divBdr>
            <w:top w:val="none" w:sz="0" w:space="0" w:color="auto"/>
            <w:left w:val="none" w:sz="0" w:space="0" w:color="auto"/>
            <w:bottom w:val="none" w:sz="0" w:space="0" w:color="auto"/>
            <w:right w:val="none" w:sz="0" w:space="0" w:color="auto"/>
          </w:divBdr>
        </w:div>
        <w:div w:id="1698460184">
          <w:marLeft w:val="0"/>
          <w:marRight w:val="0"/>
          <w:marTop w:val="180"/>
          <w:marBottom w:val="180"/>
          <w:divBdr>
            <w:top w:val="none" w:sz="0" w:space="0" w:color="auto"/>
            <w:left w:val="none" w:sz="0" w:space="0" w:color="auto"/>
            <w:bottom w:val="none" w:sz="0" w:space="0" w:color="auto"/>
            <w:right w:val="none" w:sz="0" w:space="0" w:color="auto"/>
          </w:divBdr>
        </w:div>
        <w:div w:id="1040669912">
          <w:marLeft w:val="0"/>
          <w:marRight w:val="0"/>
          <w:marTop w:val="180"/>
          <w:marBottom w:val="180"/>
          <w:divBdr>
            <w:top w:val="none" w:sz="0" w:space="0" w:color="auto"/>
            <w:left w:val="none" w:sz="0" w:space="0" w:color="auto"/>
            <w:bottom w:val="none" w:sz="0" w:space="0" w:color="auto"/>
            <w:right w:val="none" w:sz="0" w:space="0" w:color="auto"/>
          </w:divBdr>
        </w:div>
        <w:div w:id="1602303441">
          <w:marLeft w:val="0"/>
          <w:marRight w:val="0"/>
          <w:marTop w:val="180"/>
          <w:marBottom w:val="180"/>
          <w:divBdr>
            <w:top w:val="none" w:sz="0" w:space="0" w:color="auto"/>
            <w:left w:val="none" w:sz="0" w:space="0" w:color="auto"/>
            <w:bottom w:val="none" w:sz="0" w:space="0" w:color="auto"/>
            <w:right w:val="none" w:sz="0" w:space="0" w:color="auto"/>
          </w:divBdr>
        </w:div>
        <w:div w:id="617301778">
          <w:marLeft w:val="0"/>
          <w:marRight w:val="0"/>
          <w:marTop w:val="180"/>
          <w:marBottom w:val="180"/>
          <w:divBdr>
            <w:top w:val="none" w:sz="0" w:space="0" w:color="auto"/>
            <w:left w:val="none" w:sz="0" w:space="0" w:color="auto"/>
            <w:bottom w:val="none" w:sz="0" w:space="0" w:color="auto"/>
            <w:right w:val="none" w:sz="0" w:space="0" w:color="auto"/>
          </w:divBdr>
        </w:div>
        <w:div w:id="612634563">
          <w:marLeft w:val="0"/>
          <w:marRight w:val="0"/>
          <w:marTop w:val="180"/>
          <w:marBottom w:val="180"/>
          <w:divBdr>
            <w:top w:val="none" w:sz="0" w:space="0" w:color="auto"/>
            <w:left w:val="none" w:sz="0" w:space="0" w:color="auto"/>
            <w:bottom w:val="none" w:sz="0" w:space="0" w:color="auto"/>
            <w:right w:val="none" w:sz="0" w:space="0" w:color="auto"/>
          </w:divBdr>
        </w:div>
        <w:div w:id="970743459">
          <w:marLeft w:val="0"/>
          <w:marRight w:val="0"/>
          <w:marTop w:val="180"/>
          <w:marBottom w:val="180"/>
          <w:divBdr>
            <w:top w:val="none" w:sz="0" w:space="0" w:color="auto"/>
            <w:left w:val="none" w:sz="0" w:space="0" w:color="auto"/>
            <w:bottom w:val="none" w:sz="0" w:space="0" w:color="auto"/>
            <w:right w:val="none" w:sz="0" w:space="0" w:color="auto"/>
          </w:divBdr>
        </w:div>
        <w:div w:id="704451432">
          <w:marLeft w:val="0"/>
          <w:marRight w:val="0"/>
          <w:marTop w:val="180"/>
          <w:marBottom w:val="180"/>
          <w:divBdr>
            <w:top w:val="none" w:sz="0" w:space="0" w:color="auto"/>
            <w:left w:val="none" w:sz="0" w:space="0" w:color="auto"/>
            <w:bottom w:val="none" w:sz="0" w:space="0" w:color="auto"/>
            <w:right w:val="none" w:sz="0" w:space="0" w:color="auto"/>
          </w:divBdr>
        </w:div>
        <w:div w:id="295643276">
          <w:marLeft w:val="0"/>
          <w:marRight w:val="0"/>
          <w:marTop w:val="180"/>
          <w:marBottom w:val="180"/>
          <w:divBdr>
            <w:top w:val="none" w:sz="0" w:space="0" w:color="auto"/>
            <w:left w:val="none" w:sz="0" w:space="0" w:color="auto"/>
            <w:bottom w:val="none" w:sz="0" w:space="0" w:color="auto"/>
            <w:right w:val="none" w:sz="0" w:space="0" w:color="auto"/>
          </w:divBdr>
        </w:div>
        <w:div w:id="661079651">
          <w:marLeft w:val="0"/>
          <w:marRight w:val="0"/>
          <w:marTop w:val="180"/>
          <w:marBottom w:val="180"/>
          <w:divBdr>
            <w:top w:val="none" w:sz="0" w:space="0" w:color="auto"/>
            <w:left w:val="none" w:sz="0" w:space="0" w:color="auto"/>
            <w:bottom w:val="none" w:sz="0" w:space="0" w:color="auto"/>
            <w:right w:val="none" w:sz="0" w:space="0" w:color="auto"/>
          </w:divBdr>
        </w:div>
        <w:div w:id="1792286043">
          <w:marLeft w:val="0"/>
          <w:marRight w:val="0"/>
          <w:marTop w:val="180"/>
          <w:marBottom w:val="180"/>
          <w:divBdr>
            <w:top w:val="none" w:sz="0" w:space="0" w:color="auto"/>
            <w:left w:val="none" w:sz="0" w:space="0" w:color="auto"/>
            <w:bottom w:val="none" w:sz="0" w:space="0" w:color="auto"/>
            <w:right w:val="none" w:sz="0" w:space="0" w:color="auto"/>
          </w:divBdr>
        </w:div>
        <w:div w:id="1135413633">
          <w:marLeft w:val="0"/>
          <w:marRight w:val="0"/>
          <w:marTop w:val="180"/>
          <w:marBottom w:val="180"/>
          <w:divBdr>
            <w:top w:val="none" w:sz="0" w:space="0" w:color="auto"/>
            <w:left w:val="none" w:sz="0" w:space="0" w:color="auto"/>
            <w:bottom w:val="none" w:sz="0" w:space="0" w:color="auto"/>
            <w:right w:val="none" w:sz="0" w:space="0" w:color="auto"/>
          </w:divBdr>
        </w:div>
        <w:div w:id="788551477">
          <w:marLeft w:val="0"/>
          <w:marRight w:val="0"/>
          <w:marTop w:val="0"/>
          <w:marBottom w:val="0"/>
          <w:divBdr>
            <w:top w:val="none" w:sz="0" w:space="0" w:color="auto"/>
            <w:left w:val="none" w:sz="0" w:space="0" w:color="auto"/>
            <w:bottom w:val="none" w:sz="0" w:space="0" w:color="auto"/>
            <w:right w:val="none" w:sz="0" w:space="0" w:color="auto"/>
          </w:divBdr>
        </w:div>
        <w:div w:id="1089348152">
          <w:marLeft w:val="0"/>
          <w:marRight w:val="0"/>
          <w:marTop w:val="0"/>
          <w:marBottom w:val="0"/>
          <w:divBdr>
            <w:top w:val="none" w:sz="0" w:space="0" w:color="auto"/>
            <w:left w:val="none" w:sz="0" w:space="0" w:color="auto"/>
            <w:bottom w:val="none" w:sz="0" w:space="0" w:color="auto"/>
            <w:right w:val="none" w:sz="0" w:space="0" w:color="auto"/>
          </w:divBdr>
        </w:div>
        <w:div w:id="1044208895">
          <w:marLeft w:val="0"/>
          <w:marRight w:val="0"/>
          <w:marTop w:val="0"/>
          <w:marBottom w:val="0"/>
          <w:divBdr>
            <w:top w:val="none" w:sz="0" w:space="0" w:color="auto"/>
            <w:left w:val="none" w:sz="0" w:space="0" w:color="auto"/>
            <w:bottom w:val="none" w:sz="0" w:space="0" w:color="auto"/>
            <w:right w:val="none" w:sz="0" w:space="0" w:color="auto"/>
          </w:divBdr>
        </w:div>
        <w:div w:id="978417896">
          <w:marLeft w:val="0"/>
          <w:marRight w:val="0"/>
          <w:marTop w:val="0"/>
          <w:marBottom w:val="0"/>
          <w:divBdr>
            <w:top w:val="none" w:sz="0" w:space="0" w:color="auto"/>
            <w:left w:val="none" w:sz="0" w:space="0" w:color="auto"/>
            <w:bottom w:val="none" w:sz="0" w:space="0" w:color="auto"/>
            <w:right w:val="none" w:sz="0" w:space="0" w:color="auto"/>
          </w:divBdr>
        </w:div>
        <w:div w:id="65539620">
          <w:marLeft w:val="0"/>
          <w:marRight w:val="0"/>
          <w:marTop w:val="0"/>
          <w:marBottom w:val="0"/>
          <w:divBdr>
            <w:top w:val="none" w:sz="0" w:space="0" w:color="auto"/>
            <w:left w:val="none" w:sz="0" w:space="0" w:color="auto"/>
            <w:bottom w:val="none" w:sz="0" w:space="0" w:color="auto"/>
            <w:right w:val="none" w:sz="0" w:space="0" w:color="auto"/>
          </w:divBdr>
        </w:div>
        <w:div w:id="2076657358">
          <w:marLeft w:val="0"/>
          <w:marRight w:val="0"/>
          <w:marTop w:val="0"/>
          <w:marBottom w:val="0"/>
          <w:divBdr>
            <w:top w:val="none" w:sz="0" w:space="0" w:color="auto"/>
            <w:left w:val="none" w:sz="0" w:space="0" w:color="auto"/>
            <w:bottom w:val="none" w:sz="0" w:space="0" w:color="auto"/>
            <w:right w:val="none" w:sz="0" w:space="0" w:color="auto"/>
          </w:divBdr>
        </w:div>
        <w:div w:id="1834182969">
          <w:marLeft w:val="0"/>
          <w:marRight w:val="0"/>
          <w:marTop w:val="0"/>
          <w:marBottom w:val="0"/>
          <w:divBdr>
            <w:top w:val="none" w:sz="0" w:space="0" w:color="auto"/>
            <w:left w:val="none" w:sz="0" w:space="0" w:color="auto"/>
            <w:bottom w:val="none" w:sz="0" w:space="0" w:color="auto"/>
            <w:right w:val="none" w:sz="0" w:space="0" w:color="auto"/>
          </w:divBdr>
        </w:div>
        <w:div w:id="1525827232">
          <w:marLeft w:val="0"/>
          <w:marRight w:val="0"/>
          <w:marTop w:val="0"/>
          <w:marBottom w:val="0"/>
          <w:divBdr>
            <w:top w:val="none" w:sz="0" w:space="0" w:color="auto"/>
            <w:left w:val="none" w:sz="0" w:space="0" w:color="auto"/>
            <w:bottom w:val="none" w:sz="0" w:space="0" w:color="auto"/>
            <w:right w:val="none" w:sz="0" w:space="0" w:color="auto"/>
          </w:divBdr>
        </w:div>
        <w:div w:id="1990942292">
          <w:marLeft w:val="0"/>
          <w:marRight w:val="0"/>
          <w:marTop w:val="0"/>
          <w:marBottom w:val="0"/>
          <w:divBdr>
            <w:top w:val="none" w:sz="0" w:space="0" w:color="auto"/>
            <w:left w:val="none" w:sz="0" w:space="0" w:color="auto"/>
            <w:bottom w:val="none" w:sz="0" w:space="0" w:color="auto"/>
            <w:right w:val="none" w:sz="0" w:space="0" w:color="auto"/>
          </w:divBdr>
        </w:div>
        <w:div w:id="1397317387">
          <w:marLeft w:val="0"/>
          <w:marRight w:val="0"/>
          <w:marTop w:val="0"/>
          <w:marBottom w:val="0"/>
          <w:divBdr>
            <w:top w:val="none" w:sz="0" w:space="0" w:color="auto"/>
            <w:left w:val="none" w:sz="0" w:space="0" w:color="auto"/>
            <w:bottom w:val="none" w:sz="0" w:space="0" w:color="auto"/>
            <w:right w:val="none" w:sz="0" w:space="0" w:color="auto"/>
          </w:divBdr>
        </w:div>
        <w:div w:id="1014764528">
          <w:marLeft w:val="0"/>
          <w:marRight w:val="0"/>
          <w:marTop w:val="0"/>
          <w:marBottom w:val="0"/>
          <w:divBdr>
            <w:top w:val="none" w:sz="0" w:space="0" w:color="auto"/>
            <w:left w:val="none" w:sz="0" w:space="0" w:color="auto"/>
            <w:bottom w:val="none" w:sz="0" w:space="0" w:color="auto"/>
            <w:right w:val="none" w:sz="0" w:space="0" w:color="auto"/>
          </w:divBdr>
        </w:div>
        <w:div w:id="1594625428">
          <w:marLeft w:val="0"/>
          <w:marRight w:val="0"/>
          <w:marTop w:val="0"/>
          <w:marBottom w:val="0"/>
          <w:divBdr>
            <w:top w:val="none" w:sz="0" w:space="0" w:color="auto"/>
            <w:left w:val="none" w:sz="0" w:space="0" w:color="auto"/>
            <w:bottom w:val="none" w:sz="0" w:space="0" w:color="auto"/>
            <w:right w:val="none" w:sz="0" w:space="0" w:color="auto"/>
          </w:divBdr>
        </w:div>
        <w:div w:id="2067991034">
          <w:marLeft w:val="0"/>
          <w:marRight w:val="0"/>
          <w:marTop w:val="0"/>
          <w:marBottom w:val="0"/>
          <w:divBdr>
            <w:top w:val="none" w:sz="0" w:space="0" w:color="auto"/>
            <w:left w:val="none" w:sz="0" w:space="0" w:color="auto"/>
            <w:bottom w:val="none" w:sz="0" w:space="0" w:color="auto"/>
            <w:right w:val="none" w:sz="0" w:space="0" w:color="auto"/>
          </w:divBdr>
        </w:div>
        <w:div w:id="924654877">
          <w:marLeft w:val="0"/>
          <w:marRight w:val="0"/>
          <w:marTop w:val="0"/>
          <w:marBottom w:val="0"/>
          <w:divBdr>
            <w:top w:val="none" w:sz="0" w:space="0" w:color="auto"/>
            <w:left w:val="none" w:sz="0" w:space="0" w:color="auto"/>
            <w:bottom w:val="none" w:sz="0" w:space="0" w:color="auto"/>
            <w:right w:val="none" w:sz="0" w:space="0" w:color="auto"/>
          </w:divBdr>
        </w:div>
        <w:div w:id="1679235921">
          <w:marLeft w:val="0"/>
          <w:marRight w:val="0"/>
          <w:marTop w:val="0"/>
          <w:marBottom w:val="0"/>
          <w:divBdr>
            <w:top w:val="none" w:sz="0" w:space="0" w:color="auto"/>
            <w:left w:val="none" w:sz="0" w:space="0" w:color="auto"/>
            <w:bottom w:val="none" w:sz="0" w:space="0" w:color="auto"/>
            <w:right w:val="none" w:sz="0" w:space="0" w:color="auto"/>
          </w:divBdr>
        </w:div>
        <w:div w:id="209419967">
          <w:marLeft w:val="0"/>
          <w:marRight w:val="0"/>
          <w:marTop w:val="0"/>
          <w:marBottom w:val="0"/>
          <w:divBdr>
            <w:top w:val="none" w:sz="0" w:space="0" w:color="auto"/>
            <w:left w:val="none" w:sz="0" w:space="0" w:color="auto"/>
            <w:bottom w:val="none" w:sz="0" w:space="0" w:color="auto"/>
            <w:right w:val="none" w:sz="0" w:space="0" w:color="auto"/>
          </w:divBdr>
        </w:div>
        <w:div w:id="403991126">
          <w:marLeft w:val="0"/>
          <w:marRight w:val="0"/>
          <w:marTop w:val="0"/>
          <w:marBottom w:val="0"/>
          <w:divBdr>
            <w:top w:val="none" w:sz="0" w:space="0" w:color="auto"/>
            <w:left w:val="none" w:sz="0" w:space="0" w:color="auto"/>
            <w:bottom w:val="none" w:sz="0" w:space="0" w:color="auto"/>
            <w:right w:val="none" w:sz="0" w:space="0" w:color="auto"/>
          </w:divBdr>
        </w:div>
        <w:div w:id="364525701">
          <w:marLeft w:val="0"/>
          <w:marRight w:val="0"/>
          <w:marTop w:val="0"/>
          <w:marBottom w:val="0"/>
          <w:divBdr>
            <w:top w:val="none" w:sz="0" w:space="0" w:color="auto"/>
            <w:left w:val="none" w:sz="0" w:space="0" w:color="auto"/>
            <w:bottom w:val="none" w:sz="0" w:space="0" w:color="auto"/>
            <w:right w:val="none" w:sz="0" w:space="0" w:color="auto"/>
          </w:divBdr>
        </w:div>
        <w:div w:id="1409156157">
          <w:marLeft w:val="0"/>
          <w:marRight w:val="0"/>
          <w:marTop w:val="0"/>
          <w:marBottom w:val="0"/>
          <w:divBdr>
            <w:top w:val="none" w:sz="0" w:space="0" w:color="auto"/>
            <w:left w:val="none" w:sz="0" w:space="0" w:color="auto"/>
            <w:bottom w:val="none" w:sz="0" w:space="0" w:color="auto"/>
            <w:right w:val="none" w:sz="0" w:space="0" w:color="auto"/>
          </w:divBdr>
        </w:div>
        <w:div w:id="730542744">
          <w:marLeft w:val="0"/>
          <w:marRight w:val="0"/>
          <w:marTop w:val="0"/>
          <w:marBottom w:val="0"/>
          <w:divBdr>
            <w:top w:val="none" w:sz="0" w:space="0" w:color="auto"/>
            <w:left w:val="none" w:sz="0" w:space="0" w:color="auto"/>
            <w:bottom w:val="none" w:sz="0" w:space="0" w:color="auto"/>
            <w:right w:val="none" w:sz="0" w:space="0" w:color="auto"/>
          </w:divBdr>
        </w:div>
      </w:divsChild>
    </w:div>
    <w:div w:id="845022168">
      <w:marLeft w:val="0"/>
      <w:marRight w:val="0"/>
      <w:marTop w:val="60"/>
      <w:marBottom w:val="60"/>
      <w:divBdr>
        <w:top w:val="none" w:sz="0" w:space="0" w:color="auto"/>
        <w:left w:val="none" w:sz="0" w:space="0" w:color="auto"/>
        <w:bottom w:val="none" w:sz="0" w:space="0" w:color="auto"/>
        <w:right w:val="none" w:sz="0" w:space="0" w:color="auto"/>
      </w:divBdr>
    </w:div>
    <w:div w:id="845437148">
      <w:marLeft w:val="0"/>
      <w:marRight w:val="0"/>
      <w:marTop w:val="100"/>
      <w:marBottom w:val="100"/>
      <w:divBdr>
        <w:top w:val="none" w:sz="0" w:space="0" w:color="auto"/>
        <w:left w:val="none" w:sz="0" w:space="0" w:color="auto"/>
        <w:bottom w:val="none" w:sz="0" w:space="0" w:color="auto"/>
        <w:right w:val="none" w:sz="0" w:space="0" w:color="auto"/>
      </w:divBdr>
      <w:divsChild>
        <w:div w:id="1485126043">
          <w:marLeft w:val="0"/>
          <w:marRight w:val="0"/>
          <w:marTop w:val="0"/>
          <w:marBottom w:val="0"/>
          <w:divBdr>
            <w:top w:val="none" w:sz="0" w:space="0" w:color="auto"/>
            <w:left w:val="none" w:sz="0" w:space="0" w:color="auto"/>
            <w:bottom w:val="none" w:sz="0" w:space="0" w:color="auto"/>
            <w:right w:val="none" w:sz="0" w:space="0" w:color="auto"/>
          </w:divBdr>
        </w:div>
      </w:divsChild>
    </w:div>
    <w:div w:id="845946774">
      <w:marLeft w:val="0"/>
      <w:marRight w:val="0"/>
      <w:marTop w:val="180"/>
      <w:marBottom w:val="180"/>
      <w:divBdr>
        <w:top w:val="none" w:sz="0" w:space="0" w:color="auto"/>
        <w:left w:val="none" w:sz="0" w:space="0" w:color="auto"/>
        <w:bottom w:val="none" w:sz="0" w:space="0" w:color="auto"/>
        <w:right w:val="none" w:sz="0" w:space="0" w:color="auto"/>
      </w:divBdr>
    </w:div>
    <w:div w:id="848523289">
      <w:marLeft w:val="0"/>
      <w:marRight w:val="0"/>
      <w:marTop w:val="180"/>
      <w:marBottom w:val="180"/>
      <w:divBdr>
        <w:top w:val="none" w:sz="0" w:space="0" w:color="auto"/>
        <w:left w:val="none" w:sz="0" w:space="0" w:color="auto"/>
        <w:bottom w:val="none" w:sz="0" w:space="0" w:color="auto"/>
        <w:right w:val="none" w:sz="0" w:space="0" w:color="auto"/>
      </w:divBdr>
    </w:div>
    <w:div w:id="848759479">
      <w:marLeft w:val="0"/>
      <w:marRight w:val="0"/>
      <w:marTop w:val="180"/>
      <w:marBottom w:val="180"/>
      <w:divBdr>
        <w:top w:val="none" w:sz="0" w:space="0" w:color="auto"/>
        <w:left w:val="none" w:sz="0" w:space="0" w:color="auto"/>
        <w:bottom w:val="none" w:sz="0" w:space="0" w:color="auto"/>
        <w:right w:val="none" w:sz="0" w:space="0" w:color="auto"/>
      </w:divBdr>
    </w:div>
    <w:div w:id="850724196">
      <w:marLeft w:val="0"/>
      <w:marRight w:val="0"/>
      <w:marTop w:val="60"/>
      <w:marBottom w:val="60"/>
      <w:divBdr>
        <w:top w:val="none" w:sz="0" w:space="0" w:color="auto"/>
        <w:left w:val="none" w:sz="0" w:space="0" w:color="auto"/>
        <w:bottom w:val="none" w:sz="0" w:space="0" w:color="auto"/>
        <w:right w:val="none" w:sz="0" w:space="0" w:color="auto"/>
      </w:divBdr>
    </w:div>
    <w:div w:id="852568864">
      <w:marLeft w:val="0"/>
      <w:marRight w:val="0"/>
      <w:marTop w:val="180"/>
      <w:marBottom w:val="180"/>
      <w:divBdr>
        <w:top w:val="none" w:sz="0" w:space="0" w:color="auto"/>
        <w:left w:val="none" w:sz="0" w:space="0" w:color="auto"/>
        <w:bottom w:val="none" w:sz="0" w:space="0" w:color="auto"/>
        <w:right w:val="none" w:sz="0" w:space="0" w:color="auto"/>
      </w:divBdr>
    </w:div>
    <w:div w:id="853422406">
      <w:marLeft w:val="0"/>
      <w:marRight w:val="0"/>
      <w:marTop w:val="180"/>
      <w:marBottom w:val="180"/>
      <w:divBdr>
        <w:top w:val="none" w:sz="0" w:space="0" w:color="auto"/>
        <w:left w:val="none" w:sz="0" w:space="0" w:color="auto"/>
        <w:bottom w:val="none" w:sz="0" w:space="0" w:color="auto"/>
        <w:right w:val="none" w:sz="0" w:space="0" w:color="auto"/>
      </w:divBdr>
    </w:div>
    <w:div w:id="853492542">
      <w:marLeft w:val="0"/>
      <w:marRight w:val="0"/>
      <w:marTop w:val="180"/>
      <w:marBottom w:val="180"/>
      <w:divBdr>
        <w:top w:val="none" w:sz="0" w:space="0" w:color="auto"/>
        <w:left w:val="none" w:sz="0" w:space="0" w:color="auto"/>
        <w:bottom w:val="none" w:sz="0" w:space="0" w:color="auto"/>
        <w:right w:val="none" w:sz="0" w:space="0" w:color="auto"/>
      </w:divBdr>
    </w:div>
    <w:div w:id="853543740">
      <w:marLeft w:val="0"/>
      <w:marRight w:val="0"/>
      <w:marTop w:val="60"/>
      <w:marBottom w:val="60"/>
      <w:divBdr>
        <w:top w:val="none" w:sz="0" w:space="0" w:color="auto"/>
        <w:left w:val="none" w:sz="0" w:space="0" w:color="auto"/>
        <w:bottom w:val="none" w:sz="0" w:space="0" w:color="auto"/>
        <w:right w:val="none" w:sz="0" w:space="0" w:color="auto"/>
      </w:divBdr>
    </w:div>
    <w:div w:id="855196823">
      <w:marLeft w:val="0"/>
      <w:marRight w:val="0"/>
      <w:marTop w:val="0"/>
      <w:marBottom w:val="0"/>
      <w:divBdr>
        <w:top w:val="none" w:sz="0" w:space="0" w:color="auto"/>
        <w:left w:val="none" w:sz="0" w:space="0" w:color="auto"/>
        <w:bottom w:val="none" w:sz="0" w:space="0" w:color="auto"/>
        <w:right w:val="none" w:sz="0" w:space="0" w:color="auto"/>
      </w:divBdr>
      <w:divsChild>
        <w:div w:id="1611427565">
          <w:marLeft w:val="0"/>
          <w:marRight w:val="0"/>
          <w:marTop w:val="0"/>
          <w:marBottom w:val="0"/>
          <w:divBdr>
            <w:top w:val="none" w:sz="0" w:space="0" w:color="auto"/>
            <w:left w:val="none" w:sz="0" w:space="0" w:color="auto"/>
            <w:bottom w:val="none" w:sz="0" w:space="0" w:color="auto"/>
            <w:right w:val="none" w:sz="0" w:space="0" w:color="auto"/>
          </w:divBdr>
          <w:divsChild>
            <w:div w:id="19032499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55925271">
      <w:marLeft w:val="0"/>
      <w:marRight w:val="0"/>
      <w:marTop w:val="180"/>
      <w:marBottom w:val="180"/>
      <w:divBdr>
        <w:top w:val="none" w:sz="0" w:space="0" w:color="auto"/>
        <w:left w:val="none" w:sz="0" w:space="0" w:color="auto"/>
        <w:bottom w:val="none" w:sz="0" w:space="0" w:color="auto"/>
        <w:right w:val="none" w:sz="0" w:space="0" w:color="auto"/>
      </w:divBdr>
    </w:div>
    <w:div w:id="857816959">
      <w:marLeft w:val="0"/>
      <w:marRight w:val="0"/>
      <w:marTop w:val="180"/>
      <w:marBottom w:val="180"/>
      <w:divBdr>
        <w:top w:val="none" w:sz="0" w:space="0" w:color="auto"/>
        <w:left w:val="none" w:sz="0" w:space="0" w:color="auto"/>
        <w:bottom w:val="none" w:sz="0" w:space="0" w:color="auto"/>
        <w:right w:val="none" w:sz="0" w:space="0" w:color="auto"/>
      </w:divBdr>
    </w:div>
    <w:div w:id="859775902">
      <w:marLeft w:val="0"/>
      <w:marRight w:val="0"/>
      <w:marTop w:val="0"/>
      <w:marBottom w:val="0"/>
      <w:divBdr>
        <w:top w:val="none" w:sz="0" w:space="0" w:color="auto"/>
        <w:left w:val="none" w:sz="0" w:space="0" w:color="auto"/>
        <w:bottom w:val="none" w:sz="0" w:space="0" w:color="auto"/>
        <w:right w:val="none" w:sz="0" w:space="0" w:color="auto"/>
      </w:divBdr>
      <w:divsChild>
        <w:div w:id="1227230694">
          <w:marLeft w:val="0"/>
          <w:marRight w:val="0"/>
          <w:marTop w:val="180"/>
          <w:marBottom w:val="180"/>
          <w:divBdr>
            <w:top w:val="none" w:sz="0" w:space="0" w:color="auto"/>
            <w:left w:val="none" w:sz="0" w:space="0" w:color="auto"/>
            <w:bottom w:val="none" w:sz="0" w:space="0" w:color="auto"/>
            <w:right w:val="none" w:sz="0" w:space="0" w:color="auto"/>
          </w:divBdr>
        </w:div>
      </w:divsChild>
    </w:div>
    <w:div w:id="860557898">
      <w:marLeft w:val="0"/>
      <w:marRight w:val="0"/>
      <w:marTop w:val="0"/>
      <w:marBottom w:val="0"/>
      <w:divBdr>
        <w:top w:val="none" w:sz="0" w:space="0" w:color="auto"/>
        <w:left w:val="none" w:sz="0" w:space="0" w:color="auto"/>
        <w:bottom w:val="none" w:sz="0" w:space="0" w:color="auto"/>
        <w:right w:val="none" w:sz="0" w:space="0" w:color="auto"/>
      </w:divBdr>
      <w:divsChild>
        <w:div w:id="1161504702">
          <w:marLeft w:val="0"/>
          <w:marRight w:val="0"/>
          <w:marTop w:val="60"/>
          <w:marBottom w:val="60"/>
          <w:divBdr>
            <w:top w:val="none" w:sz="0" w:space="0" w:color="auto"/>
            <w:left w:val="none" w:sz="0" w:space="0" w:color="auto"/>
            <w:bottom w:val="none" w:sz="0" w:space="0" w:color="auto"/>
            <w:right w:val="none" w:sz="0" w:space="0" w:color="auto"/>
          </w:divBdr>
        </w:div>
      </w:divsChild>
    </w:div>
    <w:div w:id="861474474">
      <w:marLeft w:val="0"/>
      <w:marRight w:val="0"/>
      <w:marTop w:val="180"/>
      <w:marBottom w:val="180"/>
      <w:divBdr>
        <w:top w:val="none" w:sz="0" w:space="0" w:color="auto"/>
        <w:left w:val="none" w:sz="0" w:space="0" w:color="auto"/>
        <w:bottom w:val="none" w:sz="0" w:space="0" w:color="auto"/>
        <w:right w:val="none" w:sz="0" w:space="0" w:color="auto"/>
      </w:divBdr>
    </w:div>
    <w:div w:id="862783713">
      <w:marLeft w:val="0"/>
      <w:marRight w:val="0"/>
      <w:marTop w:val="60"/>
      <w:marBottom w:val="60"/>
      <w:divBdr>
        <w:top w:val="none" w:sz="0" w:space="0" w:color="auto"/>
        <w:left w:val="none" w:sz="0" w:space="0" w:color="auto"/>
        <w:bottom w:val="none" w:sz="0" w:space="0" w:color="auto"/>
        <w:right w:val="none" w:sz="0" w:space="0" w:color="auto"/>
      </w:divBdr>
    </w:div>
    <w:div w:id="863910007">
      <w:marLeft w:val="0"/>
      <w:marRight w:val="0"/>
      <w:marTop w:val="0"/>
      <w:marBottom w:val="0"/>
      <w:divBdr>
        <w:top w:val="none" w:sz="0" w:space="0" w:color="auto"/>
        <w:left w:val="none" w:sz="0" w:space="0" w:color="auto"/>
        <w:bottom w:val="none" w:sz="0" w:space="0" w:color="auto"/>
        <w:right w:val="none" w:sz="0" w:space="0" w:color="auto"/>
      </w:divBdr>
    </w:div>
    <w:div w:id="864754406">
      <w:marLeft w:val="0"/>
      <w:marRight w:val="0"/>
      <w:marTop w:val="0"/>
      <w:marBottom w:val="0"/>
      <w:divBdr>
        <w:top w:val="none" w:sz="0" w:space="0" w:color="auto"/>
        <w:left w:val="none" w:sz="0" w:space="0" w:color="auto"/>
        <w:bottom w:val="none" w:sz="0" w:space="0" w:color="auto"/>
        <w:right w:val="none" w:sz="0" w:space="0" w:color="auto"/>
      </w:divBdr>
      <w:divsChild>
        <w:div w:id="1443719690">
          <w:marLeft w:val="0"/>
          <w:marRight w:val="0"/>
          <w:marTop w:val="60"/>
          <w:marBottom w:val="60"/>
          <w:divBdr>
            <w:top w:val="none" w:sz="0" w:space="0" w:color="auto"/>
            <w:left w:val="none" w:sz="0" w:space="0" w:color="auto"/>
            <w:bottom w:val="none" w:sz="0" w:space="0" w:color="auto"/>
            <w:right w:val="none" w:sz="0" w:space="0" w:color="auto"/>
          </w:divBdr>
        </w:div>
      </w:divsChild>
    </w:div>
    <w:div w:id="865216441">
      <w:marLeft w:val="0"/>
      <w:marRight w:val="0"/>
      <w:marTop w:val="180"/>
      <w:marBottom w:val="60"/>
      <w:divBdr>
        <w:top w:val="none" w:sz="0" w:space="0" w:color="auto"/>
        <w:left w:val="none" w:sz="0" w:space="0" w:color="auto"/>
        <w:bottom w:val="none" w:sz="0" w:space="0" w:color="auto"/>
        <w:right w:val="none" w:sz="0" w:space="0" w:color="auto"/>
      </w:divBdr>
    </w:div>
    <w:div w:id="866678785">
      <w:marLeft w:val="0"/>
      <w:marRight w:val="0"/>
      <w:marTop w:val="180"/>
      <w:marBottom w:val="180"/>
      <w:divBdr>
        <w:top w:val="none" w:sz="0" w:space="0" w:color="auto"/>
        <w:left w:val="none" w:sz="0" w:space="0" w:color="auto"/>
        <w:bottom w:val="none" w:sz="0" w:space="0" w:color="auto"/>
        <w:right w:val="none" w:sz="0" w:space="0" w:color="auto"/>
      </w:divBdr>
    </w:div>
    <w:div w:id="869033472">
      <w:marLeft w:val="0"/>
      <w:marRight w:val="0"/>
      <w:marTop w:val="180"/>
      <w:marBottom w:val="180"/>
      <w:divBdr>
        <w:top w:val="none" w:sz="0" w:space="0" w:color="auto"/>
        <w:left w:val="none" w:sz="0" w:space="0" w:color="auto"/>
        <w:bottom w:val="none" w:sz="0" w:space="0" w:color="auto"/>
        <w:right w:val="none" w:sz="0" w:space="0" w:color="auto"/>
      </w:divBdr>
    </w:div>
    <w:div w:id="869611889">
      <w:marLeft w:val="0"/>
      <w:marRight w:val="0"/>
      <w:marTop w:val="180"/>
      <w:marBottom w:val="180"/>
      <w:divBdr>
        <w:top w:val="none" w:sz="0" w:space="0" w:color="auto"/>
        <w:left w:val="none" w:sz="0" w:space="0" w:color="auto"/>
        <w:bottom w:val="none" w:sz="0" w:space="0" w:color="auto"/>
        <w:right w:val="none" w:sz="0" w:space="0" w:color="auto"/>
      </w:divBdr>
    </w:div>
    <w:div w:id="870722735">
      <w:marLeft w:val="0"/>
      <w:marRight w:val="0"/>
      <w:marTop w:val="0"/>
      <w:marBottom w:val="0"/>
      <w:divBdr>
        <w:top w:val="none" w:sz="0" w:space="0" w:color="auto"/>
        <w:left w:val="none" w:sz="0" w:space="0" w:color="auto"/>
        <w:bottom w:val="none" w:sz="0" w:space="0" w:color="auto"/>
        <w:right w:val="none" w:sz="0" w:space="0" w:color="auto"/>
      </w:divBdr>
    </w:div>
    <w:div w:id="871302894">
      <w:marLeft w:val="0"/>
      <w:marRight w:val="0"/>
      <w:marTop w:val="180"/>
      <w:marBottom w:val="180"/>
      <w:divBdr>
        <w:top w:val="none" w:sz="0" w:space="0" w:color="auto"/>
        <w:left w:val="none" w:sz="0" w:space="0" w:color="auto"/>
        <w:bottom w:val="none" w:sz="0" w:space="0" w:color="auto"/>
        <w:right w:val="none" w:sz="0" w:space="0" w:color="auto"/>
      </w:divBdr>
    </w:div>
    <w:div w:id="871381684">
      <w:marLeft w:val="0"/>
      <w:marRight w:val="0"/>
      <w:marTop w:val="0"/>
      <w:marBottom w:val="0"/>
      <w:divBdr>
        <w:top w:val="none" w:sz="0" w:space="0" w:color="auto"/>
        <w:left w:val="none" w:sz="0" w:space="0" w:color="auto"/>
        <w:bottom w:val="none" w:sz="0" w:space="0" w:color="auto"/>
        <w:right w:val="none" w:sz="0" w:space="0" w:color="auto"/>
      </w:divBdr>
    </w:div>
    <w:div w:id="872380682">
      <w:marLeft w:val="0"/>
      <w:marRight w:val="0"/>
      <w:marTop w:val="180"/>
      <w:marBottom w:val="180"/>
      <w:divBdr>
        <w:top w:val="none" w:sz="0" w:space="0" w:color="auto"/>
        <w:left w:val="none" w:sz="0" w:space="0" w:color="auto"/>
        <w:bottom w:val="none" w:sz="0" w:space="0" w:color="auto"/>
        <w:right w:val="none" w:sz="0" w:space="0" w:color="auto"/>
      </w:divBdr>
    </w:div>
    <w:div w:id="872696775">
      <w:marLeft w:val="0"/>
      <w:marRight w:val="0"/>
      <w:marTop w:val="180"/>
      <w:marBottom w:val="180"/>
      <w:divBdr>
        <w:top w:val="none" w:sz="0" w:space="0" w:color="auto"/>
        <w:left w:val="none" w:sz="0" w:space="0" w:color="auto"/>
        <w:bottom w:val="none" w:sz="0" w:space="0" w:color="auto"/>
        <w:right w:val="none" w:sz="0" w:space="0" w:color="auto"/>
      </w:divBdr>
    </w:div>
    <w:div w:id="874738176">
      <w:marLeft w:val="0"/>
      <w:marRight w:val="0"/>
      <w:marTop w:val="100"/>
      <w:marBottom w:val="100"/>
      <w:divBdr>
        <w:top w:val="none" w:sz="0" w:space="0" w:color="auto"/>
        <w:left w:val="none" w:sz="0" w:space="0" w:color="auto"/>
        <w:bottom w:val="none" w:sz="0" w:space="0" w:color="auto"/>
        <w:right w:val="none" w:sz="0" w:space="0" w:color="auto"/>
      </w:divBdr>
    </w:div>
    <w:div w:id="875627214">
      <w:marLeft w:val="0"/>
      <w:marRight w:val="0"/>
      <w:marTop w:val="240"/>
      <w:marBottom w:val="180"/>
      <w:divBdr>
        <w:top w:val="none" w:sz="0" w:space="0" w:color="auto"/>
        <w:left w:val="none" w:sz="0" w:space="0" w:color="auto"/>
        <w:bottom w:val="none" w:sz="0" w:space="0" w:color="auto"/>
        <w:right w:val="none" w:sz="0" w:space="0" w:color="auto"/>
      </w:divBdr>
    </w:div>
    <w:div w:id="877935125">
      <w:marLeft w:val="0"/>
      <w:marRight w:val="0"/>
      <w:marTop w:val="180"/>
      <w:marBottom w:val="180"/>
      <w:divBdr>
        <w:top w:val="none" w:sz="0" w:space="0" w:color="auto"/>
        <w:left w:val="none" w:sz="0" w:space="0" w:color="auto"/>
        <w:bottom w:val="none" w:sz="0" w:space="0" w:color="auto"/>
        <w:right w:val="none" w:sz="0" w:space="0" w:color="auto"/>
      </w:divBdr>
    </w:div>
    <w:div w:id="878399490">
      <w:marLeft w:val="0"/>
      <w:marRight w:val="0"/>
      <w:marTop w:val="180"/>
      <w:marBottom w:val="180"/>
      <w:divBdr>
        <w:top w:val="none" w:sz="0" w:space="0" w:color="auto"/>
        <w:left w:val="none" w:sz="0" w:space="0" w:color="auto"/>
        <w:bottom w:val="none" w:sz="0" w:space="0" w:color="auto"/>
        <w:right w:val="none" w:sz="0" w:space="0" w:color="auto"/>
      </w:divBdr>
    </w:div>
    <w:div w:id="879047460">
      <w:marLeft w:val="0"/>
      <w:marRight w:val="0"/>
      <w:marTop w:val="180"/>
      <w:marBottom w:val="180"/>
      <w:divBdr>
        <w:top w:val="none" w:sz="0" w:space="0" w:color="auto"/>
        <w:left w:val="none" w:sz="0" w:space="0" w:color="auto"/>
        <w:bottom w:val="none" w:sz="0" w:space="0" w:color="auto"/>
        <w:right w:val="none" w:sz="0" w:space="0" w:color="auto"/>
      </w:divBdr>
    </w:div>
    <w:div w:id="879362316">
      <w:marLeft w:val="0"/>
      <w:marRight w:val="0"/>
      <w:marTop w:val="180"/>
      <w:marBottom w:val="180"/>
      <w:divBdr>
        <w:top w:val="none" w:sz="0" w:space="0" w:color="auto"/>
        <w:left w:val="none" w:sz="0" w:space="0" w:color="auto"/>
        <w:bottom w:val="none" w:sz="0" w:space="0" w:color="auto"/>
        <w:right w:val="none" w:sz="0" w:space="0" w:color="auto"/>
      </w:divBdr>
    </w:div>
    <w:div w:id="880822967">
      <w:marLeft w:val="0"/>
      <w:marRight w:val="0"/>
      <w:marTop w:val="180"/>
      <w:marBottom w:val="180"/>
      <w:divBdr>
        <w:top w:val="none" w:sz="0" w:space="0" w:color="auto"/>
        <w:left w:val="none" w:sz="0" w:space="0" w:color="auto"/>
        <w:bottom w:val="none" w:sz="0" w:space="0" w:color="auto"/>
        <w:right w:val="none" w:sz="0" w:space="0" w:color="auto"/>
      </w:divBdr>
    </w:div>
    <w:div w:id="881409196">
      <w:marLeft w:val="0"/>
      <w:marRight w:val="0"/>
      <w:marTop w:val="60"/>
      <w:marBottom w:val="60"/>
      <w:divBdr>
        <w:top w:val="none" w:sz="0" w:space="0" w:color="auto"/>
        <w:left w:val="none" w:sz="0" w:space="0" w:color="auto"/>
        <w:bottom w:val="none" w:sz="0" w:space="0" w:color="auto"/>
        <w:right w:val="none" w:sz="0" w:space="0" w:color="auto"/>
      </w:divBdr>
    </w:div>
    <w:div w:id="882132196">
      <w:marLeft w:val="0"/>
      <w:marRight w:val="0"/>
      <w:marTop w:val="100"/>
      <w:marBottom w:val="100"/>
      <w:divBdr>
        <w:top w:val="none" w:sz="0" w:space="0" w:color="auto"/>
        <w:left w:val="none" w:sz="0" w:space="0" w:color="auto"/>
        <w:bottom w:val="none" w:sz="0" w:space="0" w:color="auto"/>
        <w:right w:val="none" w:sz="0" w:space="0" w:color="auto"/>
      </w:divBdr>
      <w:divsChild>
        <w:div w:id="63183661">
          <w:marLeft w:val="0"/>
          <w:marRight w:val="0"/>
          <w:marTop w:val="0"/>
          <w:marBottom w:val="0"/>
          <w:divBdr>
            <w:top w:val="none" w:sz="0" w:space="0" w:color="auto"/>
            <w:left w:val="none" w:sz="0" w:space="0" w:color="auto"/>
            <w:bottom w:val="none" w:sz="0" w:space="0" w:color="auto"/>
            <w:right w:val="none" w:sz="0" w:space="0" w:color="auto"/>
          </w:divBdr>
        </w:div>
        <w:div w:id="675424074">
          <w:marLeft w:val="0"/>
          <w:marRight w:val="0"/>
          <w:marTop w:val="0"/>
          <w:marBottom w:val="0"/>
          <w:divBdr>
            <w:top w:val="none" w:sz="0" w:space="0" w:color="auto"/>
            <w:left w:val="none" w:sz="0" w:space="0" w:color="auto"/>
            <w:bottom w:val="none" w:sz="0" w:space="0" w:color="auto"/>
            <w:right w:val="none" w:sz="0" w:space="0" w:color="auto"/>
          </w:divBdr>
        </w:div>
      </w:divsChild>
    </w:div>
    <w:div w:id="882330709">
      <w:marLeft w:val="0"/>
      <w:marRight w:val="0"/>
      <w:marTop w:val="0"/>
      <w:marBottom w:val="0"/>
      <w:divBdr>
        <w:top w:val="none" w:sz="0" w:space="0" w:color="auto"/>
        <w:left w:val="none" w:sz="0" w:space="0" w:color="auto"/>
        <w:bottom w:val="none" w:sz="0" w:space="0" w:color="auto"/>
        <w:right w:val="none" w:sz="0" w:space="0" w:color="auto"/>
      </w:divBdr>
      <w:divsChild>
        <w:div w:id="366180038">
          <w:marLeft w:val="0"/>
          <w:marRight w:val="0"/>
          <w:marTop w:val="180"/>
          <w:marBottom w:val="180"/>
          <w:divBdr>
            <w:top w:val="none" w:sz="0" w:space="0" w:color="auto"/>
            <w:left w:val="none" w:sz="0" w:space="0" w:color="auto"/>
            <w:bottom w:val="none" w:sz="0" w:space="0" w:color="auto"/>
            <w:right w:val="none" w:sz="0" w:space="0" w:color="auto"/>
          </w:divBdr>
        </w:div>
      </w:divsChild>
    </w:div>
    <w:div w:id="883756368">
      <w:marLeft w:val="0"/>
      <w:marRight w:val="0"/>
      <w:marTop w:val="180"/>
      <w:marBottom w:val="180"/>
      <w:divBdr>
        <w:top w:val="none" w:sz="0" w:space="0" w:color="auto"/>
        <w:left w:val="none" w:sz="0" w:space="0" w:color="auto"/>
        <w:bottom w:val="none" w:sz="0" w:space="0" w:color="auto"/>
        <w:right w:val="none" w:sz="0" w:space="0" w:color="auto"/>
      </w:divBdr>
    </w:div>
    <w:div w:id="884174766">
      <w:marLeft w:val="0"/>
      <w:marRight w:val="0"/>
      <w:marTop w:val="0"/>
      <w:marBottom w:val="15"/>
      <w:divBdr>
        <w:top w:val="none" w:sz="0" w:space="0" w:color="auto"/>
        <w:left w:val="none" w:sz="0" w:space="0" w:color="auto"/>
        <w:bottom w:val="none" w:sz="0" w:space="0" w:color="auto"/>
        <w:right w:val="none" w:sz="0" w:space="0" w:color="auto"/>
      </w:divBdr>
    </w:div>
    <w:div w:id="884831142">
      <w:marLeft w:val="0"/>
      <w:marRight w:val="0"/>
      <w:marTop w:val="0"/>
      <w:marBottom w:val="0"/>
      <w:divBdr>
        <w:top w:val="none" w:sz="0" w:space="0" w:color="auto"/>
        <w:left w:val="none" w:sz="0" w:space="0" w:color="auto"/>
        <w:bottom w:val="none" w:sz="0" w:space="0" w:color="auto"/>
        <w:right w:val="none" w:sz="0" w:space="0" w:color="auto"/>
      </w:divBdr>
    </w:div>
    <w:div w:id="884831841">
      <w:marLeft w:val="0"/>
      <w:marRight w:val="0"/>
      <w:marTop w:val="180"/>
      <w:marBottom w:val="180"/>
      <w:divBdr>
        <w:top w:val="none" w:sz="0" w:space="0" w:color="auto"/>
        <w:left w:val="none" w:sz="0" w:space="0" w:color="auto"/>
        <w:bottom w:val="none" w:sz="0" w:space="0" w:color="auto"/>
        <w:right w:val="none" w:sz="0" w:space="0" w:color="auto"/>
      </w:divBdr>
    </w:div>
    <w:div w:id="884875753">
      <w:marLeft w:val="0"/>
      <w:marRight w:val="0"/>
      <w:marTop w:val="180"/>
      <w:marBottom w:val="180"/>
      <w:divBdr>
        <w:top w:val="none" w:sz="0" w:space="0" w:color="auto"/>
        <w:left w:val="none" w:sz="0" w:space="0" w:color="auto"/>
        <w:bottom w:val="none" w:sz="0" w:space="0" w:color="auto"/>
        <w:right w:val="none" w:sz="0" w:space="0" w:color="auto"/>
      </w:divBdr>
    </w:div>
    <w:div w:id="887303076">
      <w:marLeft w:val="0"/>
      <w:marRight w:val="0"/>
      <w:marTop w:val="60"/>
      <w:marBottom w:val="100"/>
      <w:divBdr>
        <w:top w:val="none" w:sz="0" w:space="0" w:color="auto"/>
        <w:left w:val="none" w:sz="0" w:space="0" w:color="auto"/>
        <w:bottom w:val="none" w:sz="0" w:space="0" w:color="auto"/>
        <w:right w:val="none" w:sz="0" w:space="0" w:color="auto"/>
      </w:divBdr>
    </w:div>
    <w:div w:id="887305620">
      <w:marLeft w:val="0"/>
      <w:marRight w:val="0"/>
      <w:marTop w:val="180"/>
      <w:marBottom w:val="180"/>
      <w:divBdr>
        <w:top w:val="none" w:sz="0" w:space="0" w:color="auto"/>
        <w:left w:val="none" w:sz="0" w:space="0" w:color="auto"/>
        <w:bottom w:val="none" w:sz="0" w:space="0" w:color="auto"/>
        <w:right w:val="none" w:sz="0" w:space="0" w:color="auto"/>
      </w:divBdr>
    </w:div>
    <w:div w:id="887767513">
      <w:marLeft w:val="0"/>
      <w:marRight w:val="0"/>
      <w:marTop w:val="180"/>
      <w:marBottom w:val="180"/>
      <w:divBdr>
        <w:top w:val="none" w:sz="0" w:space="0" w:color="auto"/>
        <w:left w:val="none" w:sz="0" w:space="0" w:color="auto"/>
        <w:bottom w:val="none" w:sz="0" w:space="0" w:color="auto"/>
        <w:right w:val="none" w:sz="0" w:space="0" w:color="auto"/>
      </w:divBdr>
    </w:div>
    <w:div w:id="887953008">
      <w:marLeft w:val="0"/>
      <w:marRight w:val="0"/>
      <w:marTop w:val="60"/>
      <w:marBottom w:val="60"/>
      <w:divBdr>
        <w:top w:val="none" w:sz="0" w:space="0" w:color="auto"/>
        <w:left w:val="none" w:sz="0" w:space="0" w:color="auto"/>
        <w:bottom w:val="none" w:sz="0" w:space="0" w:color="auto"/>
        <w:right w:val="none" w:sz="0" w:space="0" w:color="auto"/>
      </w:divBdr>
    </w:div>
    <w:div w:id="888610123">
      <w:marLeft w:val="0"/>
      <w:marRight w:val="0"/>
      <w:marTop w:val="100"/>
      <w:marBottom w:val="100"/>
      <w:divBdr>
        <w:top w:val="none" w:sz="0" w:space="0" w:color="auto"/>
        <w:left w:val="none" w:sz="0" w:space="0" w:color="auto"/>
        <w:bottom w:val="none" w:sz="0" w:space="0" w:color="auto"/>
        <w:right w:val="none" w:sz="0" w:space="0" w:color="auto"/>
      </w:divBdr>
      <w:divsChild>
        <w:div w:id="2002731451">
          <w:marLeft w:val="0"/>
          <w:marRight w:val="0"/>
          <w:marTop w:val="0"/>
          <w:marBottom w:val="0"/>
          <w:divBdr>
            <w:top w:val="none" w:sz="0" w:space="0" w:color="auto"/>
            <w:left w:val="none" w:sz="0" w:space="0" w:color="auto"/>
            <w:bottom w:val="none" w:sz="0" w:space="0" w:color="auto"/>
            <w:right w:val="none" w:sz="0" w:space="0" w:color="auto"/>
          </w:divBdr>
        </w:div>
        <w:div w:id="805048880">
          <w:marLeft w:val="0"/>
          <w:marRight w:val="0"/>
          <w:marTop w:val="0"/>
          <w:marBottom w:val="0"/>
          <w:divBdr>
            <w:top w:val="none" w:sz="0" w:space="0" w:color="auto"/>
            <w:left w:val="none" w:sz="0" w:space="0" w:color="auto"/>
            <w:bottom w:val="none" w:sz="0" w:space="0" w:color="auto"/>
            <w:right w:val="none" w:sz="0" w:space="0" w:color="auto"/>
          </w:divBdr>
        </w:div>
      </w:divsChild>
    </w:div>
    <w:div w:id="889460093">
      <w:marLeft w:val="0"/>
      <w:marRight w:val="0"/>
      <w:marTop w:val="180"/>
      <w:marBottom w:val="180"/>
      <w:divBdr>
        <w:top w:val="none" w:sz="0" w:space="0" w:color="auto"/>
        <w:left w:val="none" w:sz="0" w:space="0" w:color="auto"/>
        <w:bottom w:val="none" w:sz="0" w:space="0" w:color="auto"/>
        <w:right w:val="none" w:sz="0" w:space="0" w:color="auto"/>
      </w:divBdr>
    </w:div>
    <w:div w:id="890264410">
      <w:marLeft w:val="0"/>
      <w:marRight w:val="0"/>
      <w:marTop w:val="180"/>
      <w:marBottom w:val="180"/>
      <w:divBdr>
        <w:top w:val="none" w:sz="0" w:space="0" w:color="auto"/>
        <w:left w:val="none" w:sz="0" w:space="0" w:color="auto"/>
        <w:bottom w:val="none" w:sz="0" w:space="0" w:color="auto"/>
        <w:right w:val="none" w:sz="0" w:space="0" w:color="auto"/>
      </w:divBdr>
    </w:div>
    <w:div w:id="891232519">
      <w:marLeft w:val="0"/>
      <w:marRight w:val="0"/>
      <w:marTop w:val="180"/>
      <w:marBottom w:val="180"/>
      <w:divBdr>
        <w:top w:val="none" w:sz="0" w:space="0" w:color="auto"/>
        <w:left w:val="none" w:sz="0" w:space="0" w:color="auto"/>
        <w:bottom w:val="none" w:sz="0" w:space="0" w:color="auto"/>
        <w:right w:val="none" w:sz="0" w:space="0" w:color="auto"/>
      </w:divBdr>
    </w:div>
    <w:div w:id="892081093">
      <w:marLeft w:val="0"/>
      <w:marRight w:val="0"/>
      <w:marTop w:val="180"/>
      <w:marBottom w:val="180"/>
      <w:divBdr>
        <w:top w:val="none" w:sz="0" w:space="0" w:color="auto"/>
        <w:left w:val="none" w:sz="0" w:space="0" w:color="auto"/>
        <w:bottom w:val="none" w:sz="0" w:space="0" w:color="auto"/>
        <w:right w:val="none" w:sz="0" w:space="0" w:color="auto"/>
      </w:divBdr>
    </w:div>
    <w:div w:id="893781034">
      <w:marLeft w:val="0"/>
      <w:marRight w:val="0"/>
      <w:marTop w:val="180"/>
      <w:marBottom w:val="180"/>
      <w:divBdr>
        <w:top w:val="none" w:sz="0" w:space="0" w:color="auto"/>
        <w:left w:val="none" w:sz="0" w:space="0" w:color="auto"/>
        <w:bottom w:val="none" w:sz="0" w:space="0" w:color="auto"/>
        <w:right w:val="none" w:sz="0" w:space="0" w:color="auto"/>
      </w:divBdr>
    </w:div>
    <w:div w:id="898326066">
      <w:marLeft w:val="0"/>
      <w:marRight w:val="0"/>
      <w:marTop w:val="180"/>
      <w:marBottom w:val="180"/>
      <w:divBdr>
        <w:top w:val="none" w:sz="0" w:space="0" w:color="auto"/>
        <w:left w:val="none" w:sz="0" w:space="0" w:color="auto"/>
        <w:bottom w:val="none" w:sz="0" w:space="0" w:color="auto"/>
        <w:right w:val="none" w:sz="0" w:space="0" w:color="auto"/>
      </w:divBdr>
    </w:div>
    <w:div w:id="898636030">
      <w:marLeft w:val="0"/>
      <w:marRight w:val="0"/>
      <w:marTop w:val="0"/>
      <w:marBottom w:val="0"/>
      <w:divBdr>
        <w:top w:val="none" w:sz="0" w:space="0" w:color="auto"/>
        <w:left w:val="none" w:sz="0" w:space="0" w:color="auto"/>
        <w:bottom w:val="none" w:sz="0" w:space="0" w:color="auto"/>
        <w:right w:val="none" w:sz="0" w:space="0" w:color="auto"/>
      </w:divBdr>
      <w:divsChild>
        <w:div w:id="14580949">
          <w:marLeft w:val="0"/>
          <w:marRight w:val="0"/>
          <w:marTop w:val="0"/>
          <w:marBottom w:val="0"/>
          <w:divBdr>
            <w:top w:val="none" w:sz="0" w:space="0" w:color="auto"/>
            <w:left w:val="none" w:sz="0" w:space="0" w:color="auto"/>
            <w:bottom w:val="none" w:sz="0" w:space="0" w:color="auto"/>
            <w:right w:val="none" w:sz="0" w:space="0" w:color="auto"/>
          </w:divBdr>
          <w:divsChild>
            <w:div w:id="11128935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99244093">
      <w:marLeft w:val="0"/>
      <w:marRight w:val="0"/>
      <w:marTop w:val="180"/>
      <w:marBottom w:val="180"/>
      <w:divBdr>
        <w:top w:val="none" w:sz="0" w:space="0" w:color="auto"/>
        <w:left w:val="none" w:sz="0" w:space="0" w:color="auto"/>
        <w:bottom w:val="none" w:sz="0" w:space="0" w:color="auto"/>
        <w:right w:val="none" w:sz="0" w:space="0" w:color="auto"/>
      </w:divBdr>
    </w:div>
    <w:div w:id="899752883">
      <w:marLeft w:val="0"/>
      <w:marRight w:val="0"/>
      <w:marTop w:val="180"/>
      <w:marBottom w:val="180"/>
      <w:divBdr>
        <w:top w:val="none" w:sz="0" w:space="0" w:color="auto"/>
        <w:left w:val="none" w:sz="0" w:space="0" w:color="auto"/>
        <w:bottom w:val="none" w:sz="0" w:space="0" w:color="auto"/>
        <w:right w:val="none" w:sz="0" w:space="0" w:color="auto"/>
      </w:divBdr>
    </w:div>
    <w:div w:id="900285786">
      <w:marLeft w:val="0"/>
      <w:marRight w:val="0"/>
      <w:marTop w:val="100"/>
      <w:marBottom w:val="100"/>
      <w:divBdr>
        <w:top w:val="none" w:sz="0" w:space="0" w:color="auto"/>
        <w:left w:val="none" w:sz="0" w:space="0" w:color="auto"/>
        <w:bottom w:val="none" w:sz="0" w:space="0" w:color="auto"/>
        <w:right w:val="none" w:sz="0" w:space="0" w:color="auto"/>
      </w:divBdr>
      <w:divsChild>
        <w:div w:id="1778715200">
          <w:marLeft w:val="0"/>
          <w:marRight w:val="0"/>
          <w:marTop w:val="0"/>
          <w:marBottom w:val="0"/>
          <w:divBdr>
            <w:top w:val="none" w:sz="0" w:space="0" w:color="auto"/>
            <w:left w:val="none" w:sz="0" w:space="0" w:color="auto"/>
            <w:bottom w:val="none" w:sz="0" w:space="0" w:color="auto"/>
            <w:right w:val="none" w:sz="0" w:space="0" w:color="auto"/>
          </w:divBdr>
        </w:div>
      </w:divsChild>
    </w:div>
    <w:div w:id="900822875">
      <w:marLeft w:val="0"/>
      <w:marRight w:val="0"/>
      <w:marTop w:val="180"/>
      <w:marBottom w:val="180"/>
      <w:divBdr>
        <w:top w:val="none" w:sz="0" w:space="0" w:color="auto"/>
        <w:left w:val="none" w:sz="0" w:space="0" w:color="auto"/>
        <w:bottom w:val="none" w:sz="0" w:space="0" w:color="auto"/>
        <w:right w:val="none" w:sz="0" w:space="0" w:color="auto"/>
      </w:divBdr>
    </w:div>
    <w:div w:id="900871034">
      <w:marLeft w:val="0"/>
      <w:marRight w:val="0"/>
      <w:marTop w:val="0"/>
      <w:marBottom w:val="0"/>
      <w:divBdr>
        <w:top w:val="none" w:sz="0" w:space="0" w:color="auto"/>
        <w:left w:val="none" w:sz="0" w:space="0" w:color="auto"/>
        <w:bottom w:val="none" w:sz="0" w:space="0" w:color="auto"/>
        <w:right w:val="none" w:sz="0" w:space="0" w:color="auto"/>
      </w:divBdr>
      <w:divsChild>
        <w:div w:id="2103598211">
          <w:marLeft w:val="0"/>
          <w:marRight w:val="0"/>
          <w:marTop w:val="60"/>
          <w:marBottom w:val="60"/>
          <w:divBdr>
            <w:top w:val="none" w:sz="0" w:space="0" w:color="auto"/>
            <w:left w:val="none" w:sz="0" w:space="0" w:color="auto"/>
            <w:bottom w:val="none" w:sz="0" w:space="0" w:color="auto"/>
            <w:right w:val="none" w:sz="0" w:space="0" w:color="auto"/>
          </w:divBdr>
        </w:div>
      </w:divsChild>
    </w:div>
    <w:div w:id="902762491">
      <w:marLeft w:val="0"/>
      <w:marRight w:val="0"/>
      <w:marTop w:val="60"/>
      <w:marBottom w:val="0"/>
      <w:divBdr>
        <w:top w:val="none" w:sz="0" w:space="0" w:color="auto"/>
        <w:left w:val="none" w:sz="0" w:space="0" w:color="auto"/>
        <w:bottom w:val="none" w:sz="0" w:space="0" w:color="auto"/>
        <w:right w:val="none" w:sz="0" w:space="0" w:color="auto"/>
      </w:divBdr>
    </w:div>
    <w:div w:id="903029071">
      <w:marLeft w:val="0"/>
      <w:marRight w:val="0"/>
      <w:marTop w:val="60"/>
      <w:marBottom w:val="60"/>
      <w:divBdr>
        <w:top w:val="none" w:sz="0" w:space="0" w:color="auto"/>
        <w:left w:val="none" w:sz="0" w:space="0" w:color="auto"/>
        <w:bottom w:val="none" w:sz="0" w:space="0" w:color="auto"/>
        <w:right w:val="none" w:sz="0" w:space="0" w:color="auto"/>
      </w:divBdr>
    </w:div>
    <w:div w:id="903105028">
      <w:marLeft w:val="0"/>
      <w:marRight w:val="0"/>
      <w:marTop w:val="180"/>
      <w:marBottom w:val="180"/>
      <w:divBdr>
        <w:top w:val="none" w:sz="0" w:space="0" w:color="auto"/>
        <w:left w:val="none" w:sz="0" w:space="0" w:color="auto"/>
        <w:bottom w:val="none" w:sz="0" w:space="0" w:color="auto"/>
        <w:right w:val="none" w:sz="0" w:space="0" w:color="auto"/>
      </w:divBdr>
    </w:div>
    <w:div w:id="906646910">
      <w:marLeft w:val="0"/>
      <w:marRight w:val="0"/>
      <w:marTop w:val="180"/>
      <w:marBottom w:val="180"/>
      <w:divBdr>
        <w:top w:val="none" w:sz="0" w:space="0" w:color="auto"/>
        <w:left w:val="none" w:sz="0" w:space="0" w:color="auto"/>
        <w:bottom w:val="none" w:sz="0" w:space="0" w:color="auto"/>
        <w:right w:val="none" w:sz="0" w:space="0" w:color="auto"/>
      </w:divBdr>
    </w:div>
    <w:div w:id="906695477">
      <w:marLeft w:val="0"/>
      <w:marRight w:val="0"/>
      <w:marTop w:val="180"/>
      <w:marBottom w:val="180"/>
      <w:divBdr>
        <w:top w:val="none" w:sz="0" w:space="0" w:color="auto"/>
        <w:left w:val="none" w:sz="0" w:space="0" w:color="auto"/>
        <w:bottom w:val="none" w:sz="0" w:space="0" w:color="auto"/>
        <w:right w:val="none" w:sz="0" w:space="0" w:color="auto"/>
      </w:divBdr>
    </w:div>
    <w:div w:id="907032110">
      <w:marLeft w:val="0"/>
      <w:marRight w:val="0"/>
      <w:marTop w:val="180"/>
      <w:marBottom w:val="180"/>
      <w:divBdr>
        <w:top w:val="none" w:sz="0" w:space="0" w:color="auto"/>
        <w:left w:val="none" w:sz="0" w:space="0" w:color="auto"/>
        <w:bottom w:val="none" w:sz="0" w:space="0" w:color="auto"/>
        <w:right w:val="none" w:sz="0" w:space="0" w:color="auto"/>
      </w:divBdr>
    </w:div>
    <w:div w:id="909269493">
      <w:marLeft w:val="0"/>
      <w:marRight w:val="0"/>
      <w:marTop w:val="180"/>
      <w:marBottom w:val="180"/>
      <w:divBdr>
        <w:top w:val="none" w:sz="0" w:space="0" w:color="auto"/>
        <w:left w:val="none" w:sz="0" w:space="0" w:color="auto"/>
        <w:bottom w:val="none" w:sz="0" w:space="0" w:color="auto"/>
        <w:right w:val="none" w:sz="0" w:space="0" w:color="auto"/>
      </w:divBdr>
    </w:div>
    <w:div w:id="910121238">
      <w:marLeft w:val="0"/>
      <w:marRight w:val="0"/>
      <w:marTop w:val="100"/>
      <w:marBottom w:val="100"/>
      <w:divBdr>
        <w:top w:val="none" w:sz="0" w:space="0" w:color="auto"/>
        <w:left w:val="none" w:sz="0" w:space="0" w:color="auto"/>
        <w:bottom w:val="none" w:sz="0" w:space="0" w:color="auto"/>
        <w:right w:val="none" w:sz="0" w:space="0" w:color="auto"/>
      </w:divBdr>
      <w:divsChild>
        <w:div w:id="1284580299">
          <w:marLeft w:val="0"/>
          <w:marRight w:val="0"/>
          <w:marTop w:val="0"/>
          <w:marBottom w:val="0"/>
          <w:divBdr>
            <w:top w:val="none" w:sz="0" w:space="0" w:color="auto"/>
            <w:left w:val="none" w:sz="0" w:space="0" w:color="auto"/>
            <w:bottom w:val="none" w:sz="0" w:space="0" w:color="auto"/>
            <w:right w:val="none" w:sz="0" w:space="0" w:color="auto"/>
          </w:divBdr>
        </w:div>
      </w:divsChild>
    </w:div>
    <w:div w:id="910191789">
      <w:marLeft w:val="0"/>
      <w:marRight w:val="0"/>
      <w:marTop w:val="60"/>
      <w:marBottom w:val="60"/>
      <w:divBdr>
        <w:top w:val="none" w:sz="0" w:space="0" w:color="auto"/>
        <w:left w:val="none" w:sz="0" w:space="0" w:color="auto"/>
        <w:bottom w:val="none" w:sz="0" w:space="0" w:color="auto"/>
        <w:right w:val="none" w:sz="0" w:space="0" w:color="auto"/>
      </w:divBdr>
    </w:div>
    <w:div w:id="912667755">
      <w:marLeft w:val="0"/>
      <w:marRight w:val="0"/>
      <w:marTop w:val="180"/>
      <w:marBottom w:val="180"/>
      <w:divBdr>
        <w:top w:val="none" w:sz="0" w:space="0" w:color="auto"/>
        <w:left w:val="none" w:sz="0" w:space="0" w:color="auto"/>
        <w:bottom w:val="none" w:sz="0" w:space="0" w:color="auto"/>
        <w:right w:val="none" w:sz="0" w:space="0" w:color="auto"/>
      </w:divBdr>
    </w:div>
    <w:div w:id="913977589">
      <w:marLeft w:val="0"/>
      <w:marRight w:val="0"/>
      <w:marTop w:val="0"/>
      <w:marBottom w:val="0"/>
      <w:divBdr>
        <w:top w:val="none" w:sz="0" w:space="0" w:color="auto"/>
        <w:left w:val="none" w:sz="0" w:space="0" w:color="auto"/>
        <w:bottom w:val="none" w:sz="0" w:space="0" w:color="auto"/>
        <w:right w:val="none" w:sz="0" w:space="0" w:color="auto"/>
      </w:divBdr>
      <w:divsChild>
        <w:div w:id="213590680">
          <w:marLeft w:val="0"/>
          <w:marRight w:val="0"/>
          <w:marTop w:val="0"/>
          <w:marBottom w:val="0"/>
          <w:divBdr>
            <w:top w:val="none" w:sz="0" w:space="0" w:color="auto"/>
            <w:left w:val="none" w:sz="0" w:space="0" w:color="auto"/>
            <w:bottom w:val="none" w:sz="0" w:space="0" w:color="auto"/>
            <w:right w:val="none" w:sz="0" w:space="0" w:color="auto"/>
          </w:divBdr>
          <w:divsChild>
            <w:div w:id="12327382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4556136">
      <w:marLeft w:val="0"/>
      <w:marRight w:val="0"/>
      <w:marTop w:val="0"/>
      <w:marBottom w:val="0"/>
      <w:divBdr>
        <w:top w:val="none" w:sz="0" w:space="0" w:color="auto"/>
        <w:left w:val="none" w:sz="0" w:space="0" w:color="auto"/>
        <w:bottom w:val="none" w:sz="0" w:space="0" w:color="auto"/>
        <w:right w:val="none" w:sz="0" w:space="0" w:color="auto"/>
      </w:divBdr>
    </w:div>
    <w:div w:id="914709261">
      <w:marLeft w:val="0"/>
      <w:marRight w:val="0"/>
      <w:marTop w:val="180"/>
      <w:marBottom w:val="180"/>
      <w:divBdr>
        <w:top w:val="none" w:sz="0" w:space="0" w:color="auto"/>
        <w:left w:val="none" w:sz="0" w:space="0" w:color="auto"/>
        <w:bottom w:val="none" w:sz="0" w:space="0" w:color="auto"/>
        <w:right w:val="none" w:sz="0" w:space="0" w:color="auto"/>
      </w:divBdr>
    </w:div>
    <w:div w:id="916667389">
      <w:marLeft w:val="0"/>
      <w:marRight w:val="0"/>
      <w:marTop w:val="180"/>
      <w:marBottom w:val="180"/>
      <w:divBdr>
        <w:top w:val="none" w:sz="0" w:space="0" w:color="auto"/>
        <w:left w:val="none" w:sz="0" w:space="0" w:color="auto"/>
        <w:bottom w:val="none" w:sz="0" w:space="0" w:color="auto"/>
        <w:right w:val="none" w:sz="0" w:space="0" w:color="auto"/>
      </w:divBdr>
    </w:div>
    <w:div w:id="917859508">
      <w:marLeft w:val="0"/>
      <w:marRight w:val="0"/>
      <w:marTop w:val="60"/>
      <w:marBottom w:val="60"/>
      <w:divBdr>
        <w:top w:val="none" w:sz="0" w:space="0" w:color="auto"/>
        <w:left w:val="none" w:sz="0" w:space="0" w:color="auto"/>
        <w:bottom w:val="none" w:sz="0" w:space="0" w:color="auto"/>
        <w:right w:val="none" w:sz="0" w:space="0" w:color="auto"/>
      </w:divBdr>
    </w:div>
    <w:div w:id="919289702">
      <w:marLeft w:val="0"/>
      <w:marRight w:val="0"/>
      <w:marTop w:val="0"/>
      <w:marBottom w:val="0"/>
      <w:divBdr>
        <w:top w:val="none" w:sz="0" w:space="0" w:color="auto"/>
        <w:left w:val="none" w:sz="0" w:space="0" w:color="auto"/>
        <w:bottom w:val="none" w:sz="0" w:space="0" w:color="auto"/>
        <w:right w:val="none" w:sz="0" w:space="0" w:color="auto"/>
      </w:divBdr>
      <w:divsChild>
        <w:div w:id="2092656855">
          <w:marLeft w:val="0"/>
          <w:marRight w:val="0"/>
          <w:marTop w:val="0"/>
          <w:marBottom w:val="0"/>
          <w:divBdr>
            <w:top w:val="none" w:sz="0" w:space="0" w:color="auto"/>
            <w:left w:val="none" w:sz="0" w:space="0" w:color="auto"/>
            <w:bottom w:val="none" w:sz="0" w:space="0" w:color="auto"/>
            <w:right w:val="none" w:sz="0" w:space="0" w:color="auto"/>
          </w:divBdr>
          <w:divsChild>
            <w:div w:id="5727433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0218952">
      <w:marLeft w:val="0"/>
      <w:marRight w:val="0"/>
      <w:marTop w:val="180"/>
      <w:marBottom w:val="180"/>
      <w:divBdr>
        <w:top w:val="none" w:sz="0" w:space="0" w:color="auto"/>
        <w:left w:val="none" w:sz="0" w:space="0" w:color="auto"/>
        <w:bottom w:val="none" w:sz="0" w:space="0" w:color="auto"/>
        <w:right w:val="none" w:sz="0" w:space="0" w:color="auto"/>
      </w:divBdr>
    </w:div>
    <w:div w:id="920722014">
      <w:marLeft w:val="0"/>
      <w:marRight w:val="0"/>
      <w:marTop w:val="100"/>
      <w:marBottom w:val="100"/>
      <w:divBdr>
        <w:top w:val="none" w:sz="0" w:space="0" w:color="auto"/>
        <w:left w:val="none" w:sz="0" w:space="0" w:color="auto"/>
        <w:bottom w:val="none" w:sz="0" w:space="0" w:color="auto"/>
        <w:right w:val="none" w:sz="0" w:space="0" w:color="auto"/>
      </w:divBdr>
    </w:div>
    <w:div w:id="923029029">
      <w:marLeft w:val="0"/>
      <w:marRight w:val="0"/>
      <w:marTop w:val="180"/>
      <w:marBottom w:val="180"/>
      <w:divBdr>
        <w:top w:val="none" w:sz="0" w:space="0" w:color="auto"/>
        <w:left w:val="none" w:sz="0" w:space="0" w:color="auto"/>
        <w:bottom w:val="none" w:sz="0" w:space="0" w:color="auto"/>
        <w:right w:val="none" w:sz="0" w:space="0" w:color="auto"/>
      </w:divBdr>
    </w:div>
    <w:div w:id="924531346">
      <w:marLeft w:val="0"/>
      <w:marRight w:val="0"/>
      <w:marTop w:val="180"/>
      <w:marBottom w:val="180"/>
      <w:divBdr>
        <w:top w:val="none" w:sz="0" w:space="0" w:color="auto"/>
        <w:left w:val="none" w:sz="0" w:space="0" w:color="auto"/>
        <w:bottom w:val="none" w:sz="0" w:space="0" w:color="auto"/>
        <w:right w:val="none" w:sz="0" w:space="0" w:color="auto"/>
      </w:divBdr>
    </w:div>
    <w:div w:id="925188159">
      <w:marLeft w:val="0"/>
      <w:marRight w:val="0"/>
      <w:marTop w:val="100"/>
      <w:marBottom w:val="100"/>
      <w:divBdr>
        <w:top w:val="none" w:sz="0" w:space="0" w:color="auto"/>
        <w:left w:val="none" w:sz="0" w:space="0" w:color="auto"/>
        <w:bottom w:val="none" w:sz="0" w:space="0" w:color="auto"/>
        <w:right w:val="none" w:sz="0" w:space="0" w:color="auto"/>
      </w:divBdr>
    </w:div>
    <w:div w:id="925842549">
      <w:marLeft w:val="0"/>
      <w:marRight w:val="0"/>
      <w:marTop w:val="180"/>
      <w:marBottom w:val="180"/>
      <w:divBdr>
        <w:top w:val="none" w:sz="0" w:space="0" w:color="auto"/>
        <w:left w:val="none" w:sz="0" w:space="0" w:color="auto"/>
        <w:bottom w:val="none" w:sz="0" w:space="0" w:color="auto"/>
        <w:right w:val="none" w:sz="0" w:space="0" w:color="auto"/>
      </w:divBdr>
    </w:div>
    <w:div w:id="926427360">
      <w:marLeft w:val="0"/>
      <w:marRight w:val="0"/>
      <w:marTop w:val="180"/>
      <w:marBottom w:val="180"/>
      <w:divBdr>
        <w:top w:val="none" w:sz="0" w:space="0" w:color="auto"/>
        <w:left w:val="none" w:sz="0" w:space="0" w:color="auto"/>
        <w:bottom w:val="none" w:sz="0" w:space="0" w:color="auto"/>
        <w:right w:val="none" w:sz="0" w:space="0" w:color="auto"/>
      </w:divBdr>
    </w:div>
    <w:div w:id="927079645">
      <w:marLeft w:val="0"/>
      <w:marRight w:val="0"/>
      <w:marTop w:val="0"/>
      <w:marBottom w:val="0"/>
      <w:divBdr>
        <w:top w:val="none" w:sz="0" w:space="0" w:color="auto"/>
        <w:left w:val="none" w:sz="0" w:space="0" w:color="auto"/>
        <w:bottom w:val="none" w:sz="0" w:space="0" w:color="auto"/>
        <w:right w:val="none" w:sz="0" w:space="0" w:color="auto"/>
      </w:divBdr>
      <w:divsChild>
        <w:div w:id="1074740353">
          <w:marLeft w:val="0"/>
          <w:marRight w:val="0"/>
          <w:marTop w:val="0"/>
          <w:marBottom w:val="0"/>
          <w:divBdr>
            <w:top w:val="none" w:sz="0" w:space="0" w:color="auto"/>
            <w:left w:val="none" w:sz="0" w:space="0" w:color="auto"/>
            <w:bottom w:val="none" w:sz="0" w:space="0" w:color="auto"/>
            <w:right w:val="none" w:sz="0" w:space="0" w:color="auto"/>
          </w:divBdr>
          <w:divsChild>
            <w:div w:id="2412612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7351133">
      <w:marLeft w:val="0"/>
      <w:marRight w:val="0"/>
      <w:marTop w:val="180"/>
      <w:marBottom w:val="180"/>
      <w:divBdr>
        <w:top w:val="none" w:sz="0" w:space="0" w:color="auto"/>
        <w:left w:val="none" w:sz="0" w:space="0" w:color="auto"/>
        <w:bottom w:val="none" w:sz="0" w:space="0" w:color="auto"/>
        <w:right w:val="none" w:sz="0" w:space="0" w:color="auto"/>
      </w:divBdr>
    </w:div>
    <w:div w:id="927424918">
      <w:marLeft w:val="0"/>
      <w:marRight w:val="0"/>
      <w:marTop w:val="60"/>
      <w:marBottom w:val="60"/>
      <w:divBdr>
        <w:top w:val="none" w:sz="0" w:space="0" w:color="auto"/>
        <w:left w:val="none" w:sz="0" w:space="0" w:color="auto"/>
        <w:bottom w:val="none" w:sz="0" w:space="0" w:color="auto"/>
        <w:right w:val="none" w:sz="0" w:space="0" w:color="auto"/>
      </w:divBdr>
    </w:div>
    <w:div w:id="927813410">
      <w:marLeft w:val="0"/>
      <w:marRight w:val="0"/>
      <w:marTop w:val="0"/>
      <w:marBottom w:val="0"/>
      <w:divBdr>
        <w:top w:val="none" w:sz="0" w:space="0" w:color="auto"/>
        <w:left w:val="none" w:sz="0" w:space="0" w:color="auto"/>
        <w:bottom w:val="none" w:sz="0" w:space="0" w:color="auto"/>
        <w:right w:val="none" w:sz="0" w:space="0" w:color="auto"/>
      </w:divBdr>
      <w:divsChild>
        <w:div w:id="2087073650">
          <w:marLeft w:val="0"/>
          <w:marRight w:val="0"/>
          <w:marTop w:val="0"/>
          <w:marBottom w:val="0"/>
          <w:divBdr>
            <w:top w:val="none" w:sz="0" w:space="0" w:color="auto"/>
            <w:left w:val="none" w:sz="0" w:space="0" w:color="auto"/>
            <w:bottom w:val="none" w:sz="0" w:space="0" w:color="auto"/>
            <w:right w:val="none" w:sz="0" w:space="0" w:color="auto"/>
          </w:divBdr>
          <w:divsChild>
            <w:div w:id="5255644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28005636">
      <w:marLeft w:val="0"/>
      <w:marRight w:val="0"/>
      <w:marTop w:val="60"/>
      <w:marBottom w:val="60"/>
      <w:divBdr>
        <w:top w:val="none" w:sz="0" w:space="0" w:color="auto"/>
        <w:left w:val="none" w:sz="0" w:space="0" w:color="auto"/>
        <w:bottom w:val="none" w:sz="0" w:space="0" w:color="auto"/>
        <w:right w:val="none" w:sz="0" w:space="0" w:color="auto"/>
      </w:divBdr>
    </w:div>
    <w:div w:id="928387621">
      <w:marLeft w:val="0"/>
      <w:marRight w:val="0"/>
      <w:marTop w:val="180"/>
      <w:marBottom w:val="180"/>
      <w:divBdr>
        <w:top w:val="none" w:sz="0" w:space="0" w:color="auto"/>
        <w:left w:val="none" w:sz="0" w:space="0" w:color="auto"/>
        <w:bottom w:val="none" w:sz="0" w:space="0" w:color="auto"/>
        <w:right w:val="none" w:sz="0" w:space="0" w:color="auto"/>
      </w:divBdr>
    </w:div>
    <w:div w:id="929629102">
      <w:marLeft w:val="0"/>
      <w:marRight w:val="0"/>
      <w:marTop w:val="180"/>
      <w:marBottom w:val="180"/>
      <w:divBdr>
        <w:top w:val="none" w:sz="0" w:space="0" w:color="auto"/>
        <w:left w:val="none" w:sz="0" w:space="0" w:color="auto"/>
        <w:bottom w:val="none" w:sz="0" w:space="0" w:color="auto"/>
        <w:right w:val="none" w:sz="0" w:space="0" w:color="auto"/>
      </w:divBdr>
    </w:div>
    <w:div w:id="930242546">
      <w:marLeft w:val="0"/>
      <w:marRight w:val="0"/>
      <w:marTop w:val="180"/>
      <w:marBottom w:val="180"/>
      <w:divBdr>
        <w:top w:val="none" w:sz="0" w:space="0" w:color="auto"/>
        <w:left w:val="none" w:sz="0" w:space="0" w:color="auto"/>
        <w:bottom w:val="none" w:sz="0" w:space="0" w:color="auto"/>
        <w:right w:val="none" w:sz="0" w:space="0" w:color="auto"/>
      </w:divBdr>
    </w:div>
    <w:div w:id="930309744">
      <w:marLeft w:val="0"/>
      <w:marRight w:val="0"/>
      <w:marTop w:val="0"/>
      <w:marBottom w:val="0"/>
      <w:divBdr>
        <w:top w:val="none" w:sz="0" w:space="0" w:color="auto"/>
        <w:left w:val="none" w:sz="0" w:space="0" w:color="auto"/>
        <w:bottom w:val="none" w:sz="0" w:space="0" w:color="auto"/>
        <w:right w:val="none" w:sz="0" w:space="0" w:color="auto"/>
      </w:divBdr>
      <w:divsChild>
        <w:div w:id="531041923">
          <w:marLeft w:val="0"/>
          <w:marRight w:val="0"/>
          <w:marTop w:val="0"/>
          <w:marBottom w:val="0"/>
          <w:divBdr>
            <w:top w:val="none" w:sz="0" w:space="0" w:color="auto"/>
            <w:left w:val="none" w:sz="0" w:space="0" w:color="auto"/>
            <w:bottom w:val="none" w:sz="0" w:space="0" w:color="auto"/>
            <w:right w:val="none" w:sz="0" w:space="0" w:color="auto"/>
          </w:divBdr>
          <w:divsChild>
            <w:div w:id="19310364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0506281">
      <w:marLeft w:val="0"/>
      <w:marRight w:val="0"/>
      <w:marTop w:val="180"/>
      <w:marBottom w:val="180"/>
      <w:divBdr>
        <w:top w:val="none" w:sz="0" w:space="0" w:color="auto"/>
        <w:left w:val="none" w:sz="0" w:space="0" w:color="auto"/>
        <w:bottom w:val="none" w:sz="0" w:space="0" w:color="auto"/>
        <w:right w:val="none" w:sz="0" w:space="0" w:color="auto"/>
      </w:divBdr>
    </w:div>
    <w:div w:id="931203018">
      <w:marLeft w:val="0"/>
      <w:marRight w:val="0"/>
      <w:marTop w:val="180"/>
      <w:marBottom w:val="180"/>
      <w:divBdr>
        <w:top w:val="none" w:sz="0" w:space="0" w:color="auto"/>
        <w:left w:val="none" w:sz="0" w:space="0" w:color="auto"/>
        <w:bottom w:val="none" w:sz="0" w:space="0" w:color="auto"/>
        <w:right w:val="none" w:sz="0" w:space="0" w:color="auto"/>
      </w:divBdr>
    </w:div>
    <w:div w:id="931204946">
      <w:marLeft w:val="0"/>
      <w:marRight w:val="0"/>
      <w:marTop w:val="180"/>
      <w:marBottom w:val="180"/>
      <w:divBdr>
        <w:top w:val="none" w:sz="0" w:space="0" w:color="auto"/>
        <w:left w:val="none" w:sz="0" w:space="0" w:color="auto"/>
        <w:bottom w:val="none" w:sz="0" w:space="0" w:color="auto"/>
        <w:right w:val="none" w:sz="0" w:space="0" w:color="auto"/>
      </w:divBdr>
    </w:div>
    <w:div w:id="932084753">
      <w:marLeft w:val="0"/>
      <w:marRight w:val="0"/>
      <w:marTop w:val="180"/>
      <w:marBottom w:val="180"/>
      <w:divBdr>
        <w:top w:val="none" w:sz="0" w:space="0" w:color="auto"/>
        <w:left w:val="none" w:sz="0" w:space="0" w:color="auto"/>
        <w:bottom w:val="none" w:sz="0" w:space="0" w:color="auto"/>
        <w:right w:val="none" w:sz="0" w:space="0" w:color="auto"/>
      </w:divBdr>
    </w:div>
    <w:div w:id="932126825">
      <w:marLeft w:val="0"/>
      <w:marRight w:val="0"/>
      <w:marTop w:val="180"/>
      <w:marBottom w:val="180"/>
      <w:divBdr>
        <w:top w:val="none" w:sz="0" w:space="0" w:color="auto"/>
        <w:left w:val="none" w:sz="0" w:space="0" w:color="auto"/>
        <w:bottom w:val="none" w:sz="0" w:space="0" w:color="auto"/>
        <w:right w:val="none" w:sz="0" w:space="0" w:color="auto"/>
      </w:divBdr>
    </w:div>
    <w:div w:id="932588521">
      <w:marLeft w:val="0"/>
      <w:marRight w:val="0"/>
      <w:marTop w:val="0"/>
      <w:marBottom w:val="0"/>
      <w:divBdr>
        <w:top w:val="none" w:sz="0" w:space="0" w:color="auto"/>
        <w:left w:val="none" w:sz="0" w:space="0" w:color="auto"/>
        <w:bottom w:val="none" w:sz="0" w:space="0" w:color="auto"/>
        <w:right w:val="none" w:sz="0" w:space="0" w:color="auto"/>
      </w:divBdr>
      <w:divsChild>
        <w:div w:id="2135705773">
          <w:marLeft w:val="0"/>
          <w:marRight w:val="0"/>
          <w:marTop w:val="0"/>
          <w:marBottom w:val="0"/>
          <w:divBdr>
            <w:top w:val="none" w:sz="0" w:space="0" w:color="auto"/>
            <w:left w:val="none" w:sz="0" w:space="0" w:color="auto"/>
            <w:bottom w:val="none" w:sz="0" w:space="0" w:color="auto"/>
            <w:right w:val="none" w:sz="0" w:space="0" w:color="auto"/>
          </w:divBdr>
          <w:divsChild>
            <w:div w:id="150835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3167160">
      <w:marLeft w:val="0"/>
      <w:marRight w:val="0"/>
      <w:marTop w:val="180"/>
      <w:marBottom w:val="180"/>
      <w:divBdr>
        <w:top w:val="none" w:sz="0" w:space="0" w:color="auto"/>
        <w:left w:val="none" w:sz="0" w:space="0" w:color="auto"/>
        <w:bottom w:val="none" w:sz="0" w:space="0" w:color="auto"/>
        <w:right w:val="none" w:sz="0" w:space="0" w:color="auto"/>
      </w:divBdr>
    </w:div>
    <w:div w:id="933317694">
      <w:marLeft w:val="0"/>
      <w:marRight w:val="0"/>
      <w:marTop w:val="180"/>
      <w:marBottom w:val="180"/>
      <w:divBdr>
        <w:top w:val="none" w:sz="0" w:space="0" w:color="auto"/>
        <w:left w:val="none" w:sz="0" w:space="0" w:color="auto"/>
        <w:bottom w:val="none" w:sz="0" w:space="0" w:color="auto"/>
        <w:right w:val="none" w:sz="0" w:space="0" w:color="auto"/>
      </w:divBdr>
    </w:div>
    <w:div w:id="933706134">
      <w:marLeft w:val="0"/>
      <w:marRight w:val="0"/>
      <w:marTop w:val="0"/>
      <w:marBottom w:val="0"/>
      <w:divBdr>
        <w:top w:val="none" w:sz="0" w:space="0" w:color="auto"/>
        <w:left w:val="none" w:sz="0" w:space="0" w:color="auto"/>
        <w:bottom w:val="none" w:sz="0" w:space="0" w:color="auto"/>
        <w:right w:val="none" w:sz="0" w:space="0" w:color="auto"/>
      </w:divBdr>
      <w:divsChild>
        <w:div w:id="1884711595">
          <w:marLeft w:val="0"/>
          <w:marRight w:val="0"/>
          <w:marTop w:val="0"/>
          <w:marBottom w:val="0"/>
          <w:divBdr>
            <w:top w:val="none" w:sz="0" w:space="0" w:color="auto"/>
            <w:left w:val="none" w:sz="0" w:space="0" w:color="auto"/>
            <w:bottom w:val="none" w:sz="0" w:space="0" w:color="auto"/>
            <w:right w:val="none" w:sz="0" w:space="0" w:color="auto"/>
          </w:divBdr>
          <w:divsChild>
            <w:div w:id="15266019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3830777">
      <w:marLeft w:val="0"/>
      <w:marRight w:val="0"/>
      <w:marTop w:val="180"/>
      <w:marBottom w:val="180"/>
      <w:divBdr>
        <w:top w:val="none" w:sz="0" w:space="0" w:color="auto"/>
        <w:left w:val="none" w:sz="0" w:space="0" w:color="auto"/>
        <w:bottom w:val="none" w:sz="0" w:space="0" w:color="auto"/>
        <w:right w:val="none" w:sz="0" w:space="0" w:color="auto"/>
      </w:divBdr>
    </w:div>
    <w:div w:id="934290694">
      <w:marLeft w:val="0"/>
      <w:marRight w:val="0"/>
      <w:marTop w:val="180"/>
      <w:marBottom w:val="180"/>
      <w:divBdr>
        <w:top w:val="none" w:sz="0" w:space="0" w:color="auto"/>
        <w:left w:val="none" w:sz="0" w:space="0" w:color="auto"/>
        <w:bottom w:val="none" w:sz="0" w:space="0" w:color="auto"/>
        <w:right w:val="none" w:sz="0" w:space="0" w:color="auto"/>
      </w:divBdr>
    </w:div>
    <w:div w:id="934635427">
      <w:marLeft w:val="0"/>
      <w:marRight w:val="0"/>
      <w:marTop w:val="180"/>
      <w:marBottom w:val="180"/>
      <w:divBdr>
        <w:top w:val="none" w:sz="0" w:space="0" w:color="auto"/>
        <w:left w:val="none" w:sz="0" w:space="0" w:color="auto"/>
        <w:bottom w:val="none" w:sz="0" w:space="0" w:color="auto"/>
        <w:right w:val="none" w:sz="0" w:space="0" w:color="auto"/>
      </w:divBdr>
    </w:div>
    <w:div w:id="934901792">
      <w:marLeft w:val="0"/>
      <w:marRight w:val="0"/>
      <w:marTop w:val="180"/>
      <w:marBottom w:val="180"/>
      <w:divBdr>
        <w:top w:val="none" w:sz="0" w:space="0" w:color="auto"/>
        <w:left w:val="none" w:sz="0" w:space="0" w:color="auto"/>
        <w:bottom w:val="none" w:sz="0" w:space="0" w:color="auto"/>
        <w:right w:val="none" w:sz="0" w:space="0" w:color="auto"/>
      </w:divBdr>
    </w:div>
    <w:div w:id="935751113">
      <w:marLeft w:val="0"/>
      <w:marRight w:val="0"/>
      <w:marTop w:val="180"/>
      <w:marBottom w:val="180"/>
      <w:divBdr>
        <w:top w:val="none" w:sz="0" w:space="0" w:color="auto"/>
        <w:left w:val="none" w:sz="0" w:space="0" w:color="auto"/>
        <w:bottom w:val="none" w:sz="0" w:space="0" w:color="auto"/>
        <w:right w:val="none" w:sz="0" w:space="0" w:color="auto"/>
      </w:divBdr>
    </w:div>
    <w:div w:id="935820811">
      <w:marLeft w:val="0"/>
      <w:marRight w:val="0"/>
      <w:marTop w:val="160"/>
      <w:marBottom w:val="100"/>
      <w:divBdr>
        <w:top w:val="none" w:sz="0" w:space="0" w:color="auto"/>
        <w:left w:val="none" w:sz="0" w:space="0" w:color="auto"/>
        <w:bottom w:val="none" w:sz="0" w:space="0" w:color="auto"/>
        <w:right w:val="none" w:sz="0" w:space="0" w:color="auto"/>
      </w:divBdr>
    </w:div>
    <w:div w:id="936207771">
      <w:marLeft w:val="0"/>
      <w:marRight w:val="0"/>
      <w:marTop w:val="60"/>
      <w:marBottom w:val="60"/>
      <w:divBdr>
        <w:top w:val="none" w:sz="0" w:space="0" w:color="auto"/>
        <w:left w:val="none" w:sz="0" w:space="0" w:color="auto"/>
        <w:bottom w:val="none" w:sz="0" w:space="0" w:color="auto"/>
        <w:right w:val="none" w:sz="0" w:space="0" w:color="auto"/>
      </w:divBdr>
    </w:div>
    <w:div w:id="936792062">
      <w:marLeft w:val="0"/>
      <w:marRight w:val="0"/>
      <w:marTop w:val="60"/>
      <w:marBottom w:val="60"/>
      <w:divBdr>
        <w:top w:val="none" w:sz="0" w:space="0" w:color="auto"/>
        <w:left w:val="none" w:sz="0" w:space="0" w:color="auto"/>
        <w:bottom w:val="none" w:sz="0" w:space="0" w:color="auto"/>
        <w:right w:val="none" w:sz="0" w:space="0" w:color="auto"/>
      </w:divBdr>
    </w:div>
    <w:div w:id="937104928">
      <w:marLeft w:val="0"/>
      <w:marRight w:val="0"/>
      <w:marTop w:val="180"/>
      <w:marBottom w:val="180"/>
      <w:divBdr>
        <w:top w:val="none" w:sz="0" w:space="0" w:color="auto"/>
        <w:left w:val="none" w:sz="0" w:space="0" w:color="auto"/>
        <w:bottom w:val="none" w:sz="0" w:space="0" w:color="auto"/>
        <w:right w:val="none" w:sz="0" w:space="0" w:color="auto"/>
      </w:divBdr>
    </w:div>
    <w:div w:id="937830790">
      <w:marLeft w:val="0"/>
      <w:marRight w:val="0"/>
      <w:marTop w:val="180"/>
      <w:marBottom w:val="180"/>
      <w:divBdr>
        <w:top w:val="none" w:sz="0" w:space="0" w:color="auto"/>
        <w:left w:val="none" w:sz="0" w:space="0" w:color="auto"/>
        <w:bottom w:val="none" w:sz="0" w:space="0" w:color="auto"/>
        <w:right w:val="none" w:sz="0" w:space="0" w:color="auto"/>
      </w:divBdr>
    </w:div>
    <w:div w:id="938220435">
      <w:marLeft w:val="0"/>
      <w:marRight w:val="0"/>
      <w:marTop w:val="240"/>
      <w:marBottom w:val="180"/>
      <w:divBdr>
        <w:top w:val="none" w:sz="0" w:space="0" w:color="auto"/>
        <w:left w:val="none" w:sz="0" w:space="0" w:color="auto"/>
        <w:bottom w:val="none" w:sz="0" w:space="0" w:color="auto"/>
        <w:right w:val="none" w:sz="0" w:space="0" w:color="auto"/>
      </w:divBdr>
    </w:div>
    <w:div w:id="938831480">
      <w:marLeft w:val="0"/>
      <w:marRight w:val="0"/>
      <w:marTop w:val="100"/>
      <w:marBottom w:val="160"/>
      <w:divBdr>
        <w:top w:val="none" w:sz="0" w:space="0" w:color="auto"/>
        <w:left w:val="none" w:sz="0" w:space="0" w:color="auto"/>
        <w:bottom w:val="none" w:sz="0" w:space="0" w:color="auto"/>
        <w:right w:val="none" w:sz="0" w:space="0" w:color="auto"/>
      </w:divBdr>
    </w:div>
    <w:div w:id="939068896">
      <w:marLeft w:val="0"/>
      <w:marRight w:val="0"/>
      <w:marTop w:val="180"/>
      <w:marBottom w:val="180"/>
      <w:divBdr>
        <w:top w:val="none" w:sz="0" w:space="0" w:color="auto"/>
        <w:left w:val="none" w:sz="0" w:space="0" w:color="auto"/>
        <w:bottom w:val="none" w:sz="0" w:space="0" w:color="auto"/>
        <w:right w:val="none" w:sz="0" w:space="0" w:color="auto"/>
      </w:divBdr>
    </w:div>
    <w:div w:id="939292442">
      <w:marLeft w:val="0"/>
      <w:marRight w:val="0"/>
      <w:marTop w:val="180"/>
      <w:marBottom w:val="180"/>
      <w:divBdr>
        <w:top w:val="none" w:sz="0" w:space="0" w:color="auto"/>
        <w:left w:val="none" w:sz="0" w:space="0" w:color="auto"/>
        <w:bottom w:val="none" w:sz="0" w:space="0" w:color="auto"/>
        <w:right w:val="none" w:sz="0" w:space="0" w:color="auto"/>
      </w:divBdr>
    </w:div>
    <w:div w:id="939991990">
      <w:marLeft w:val="0"/>
      <w:marRight w:val="0"/>
      <w:marTop w:val="180"/>
      <w:marBottom w:val="180"/>
      <w:divBdr>
        <w:top w:val="none" w:sz="0" w:space="0" w:color="auto"/>
        <w:left w:val="none" w:sz="0" w:space="0" w:color="auto"/>
        <w:bottom w:val="none" w:sz="0" w:space="0" w:color="auto"/>
        <w:right w:val="none" w:sz="0" w:space="0" w:color="auto"/>
      </w:divBdr>
    </w:div>
    <w:div w:id="940528158">
      <w:marLeft w:val="0"/>
      <w:marRight w:val="0"/>
      <w:marTop w:val="180"/>
      <w:marBottom w:val="180"/>
      <w:divBdr>
        <w:top w:val="none" w:sz="0" w:space="0" w:color="auto"/>
        <w:left w:val="none" w:sz="0" w:space="0" w:color="auto"/>
        <w:bottom w:val="none" w:sz="0" w:space="0" w:color="auto"/>
        <w:right w:val="none" w:sz="0" w:space="0" w:color="auto"/>
      </w:divBdr>
    </w:div>
    <w:div w:id="941228491">
      <w:marLeft w:val="0"/>
      <w:marRight w:val="0"/>
      <w:marTop w:val="180"/>
      <w:marBottom w:val="180"/>
      <w:divBdr>
        <w:top w:val="none" w:sz="0" w:space="0" w:color="auto"/>
        <w:left w:val="none" w:sz="0" w:space="0" w:color="auto"/>
        <w:bottom w:val="none" w:sz="0" w:space="0" w:color="auto"/>
        <w:right w:val="none" w:sz="0" w:space="0" w:color="auto"/>
      </w:divBdr>
    </w:div>
    <w:div w:id="942300090">
      <w:marLeft w:val="0"/>
      <w:marRight w:val="0"/>
      <w:marTop w:val="180"/>
      <w:marBottom w:val="180"/>
      <w:divBdr>
        <w:top w:val="none" w:sz="0" w:space="0" w:color="auto"/>
        <w:left w:val="none" w:sz="0" w:space="0" w:color="auto"/>
        <w:bottom w:val="none" w:sz="0" w:space="0" w:color="auto"/>
        <w:right w:val="none" w:sz="0" w:space="0" w:color="auto"/>
      </w:divBdr>
    </w:div>
    <w:div w:id="946930818">
      <w:marLeft w:val="0"/>
      <w:marRight w:val="0"/>
      <w:marTop w:val="180"/>
      <w:marBottom w:val="180"/>
      <w:divBdr>
        <w:top w:val="none" w:sz="0" w:space="0" w:color="auto"/>
        <w:left w:val="none" w:sz="0" w:space="0" w:color="auto"/>
        <w:bottom w:val="none" w:sz="0" w:space="0" w:color="auto"/>
        <w:right w:val="none" w:sz="0" w:space="0" w:color="auto"/>
      </w:divBdr>
    </w:div>
    <w:div w:id="947153256">
      <w:marLeft w:val="0"/>
      <w:marRight w:val="0"/>
      <w:marTop w:val="180"/>
      <w:marBottom w:val="60"/>
      <w:divBdr>
        <w:top w:val="none" w:sz="0" w:space="0" w:color="auto"/>
        <w:left w:val="none" w:sz="0" w:space="0" w:color="auto"/>
        <w:bottom w:val="none" w:sz="0" w:space="0" w:color="auto"/>
        <w:right w:val="none" w:sz="0" w:space="0" w:color="auto"/>
      </w:divBdr>
    </w:div>
    <w:div w:id="947195224">
      <w:marLeft w:val="0"/>
      <w:marRight w:val="0"/>
      <w:marTop w:val="180"/>
      <w:marBottom w:val="180"/>
      <w:divBdr>
        <w:top w:val="none" w:sz="0" w:space="0" w:color="auto"/>
        <w:left w:val="none" w:sz="0" w:space="0" w:color="auto"/>
        <w:bottom w:val="none" w:sz="0" w:space="0" w:color="auto"/>
        <w:right w:val="none" w:sz="0" w:space="0" w:color="auto"/>
      </w:divBdr>
    </w:div>
    <w:div w:id="947782617">
      <w:marLeft w:val="0"/>
      <w:marRight w:val="0"/>
      <w:marTop w:val="180"/>
      <w:marBottom w:val="180"/>
      <w:divBdr>
        <w:top w:val="none" w:sz="0" w:space="0" w:color="auto"/>
        <w:left w:val="none" w:sz="0" w:space="0" w:color="auto"/>
        <w:bottom w:val="none" w:sz="0" w:space="0" w:color="auto"/>
        <w:right w:val="none" w:sz="0" w:space="0" w:color="auto"/>
      </w:divBdr>
    </w:div>
    <w:div w:id="947783623">
      <w:marLeft w:val="0"/>
      <w:marRight w:val="0"/>
      <w:marTop w:val="180"/>
      <w:marBottom w:val="180"/>
      <w:divBdr>
        <w:top w:val="none" w:sz="0" w:space="0" w:color="auto"/>
        <w:left w:val="none" w:sz="0" w:space="0" w:color="auto"/>
        <w:bottom w:val="none" w:sz="0" w:space="0" w:color="auto"/>
        <w:right w:val="none" w:sz="0" w:space="0" w:color="auto"/>
      </w:divBdr>
    </w:div>
    <w:div w:id="948051288">
      <w:marLeft w:val="0"/>
      <w:marRight w:val="0"/>
      <w:marTop w:val="0"/>
      <w:marBottom w:val="0"/>
      <w:divBdr>
        <w:top w:val="none" w:sz="0" w:space="0" w:color="auto"/>
        <w:left w:val="none" w:sz="0" w:space="0" w:color="auto"/>
        <w:bottom w:val="none" w:sz="0" w:space="0" w:color="auto"/>
        <w:right w:val="none" w:sz="0" w:space="0" w:color="auto"/>
      </w:divBdr>
      <w:divsChild>
        <w:div w:id="285739343">
          <w:marLeft w:val="0"/>
          <w:marRight w:val="0"/>
          <w:marTop w:val="60"/>
          <w:marBottom w:val="60"/>
          <w:divBdr>
            <w:top w:val="none" w:sz="0" w:space="0" w:color="auto"/>
            <w:left w:val="none" w:sz="0" w:space="0" w:color="auto"/>
            <w:bottom w:val="none" w:sz="0" w:space="0" w:color="auto"/>
            <w:right w:val="none" w:sz="0" w:space="0" w:color="auto"/>
          </w:divBdr>
        </w:div>
      </w:divsChild>
    </w:div>
    <w:div w:id="948126397">
      <w:marLeft w:val="0"/>
      <w:marRight w:val="0"/>
      <w:marTop w:val="180"/>
      <w:marBottom w:val="180"/>
      <w:divBdr>
        <w:top w:val="none" w:sz="0" w:space="0" w:color="auto"/>
        <w:left w:val="none" w:sz="0" w:space="0" w:color="auto"/>
        <w:bottom w:val="none" w:sz="0" w:space="0" w:color="auto"/>
        <w:right w:val="none" w:sz="0" w:space="0" w:color="auto"/>
      </w:divBdr>
    </w:div>
    <w:div w:id="948271390">
      <w:marLeft w:val="0"/>
      <w:marRight w:val="0"/>
      <w:marTop w:val="180"/>
      <w:marBottom w:val="180"/>
      <w:divBdr>
        <w:top w:val="none" w:sz="0" w:space="0" w:color="auto"/>
        <w:left w:val="none" w:sz="0" w:space="0" w:color="auto"/>
        <w:bottom w:val="none" w:sz="0" w:space="0" w:color="auto"/>
        <w:right w:val="none" w:sz="0" w:space="0" w:color="auto"/>
      </w:divBdr>
    </w:div>
    <w:div w:id="949624656">
      <w:marLeft w:val="0"/>
      <w:marRight w:val="0"/>
      <w:marTop w:val="0"/>
      <w:marBottom w:val="0"/>
      <w:divBdr>
        <w:top w:val="none" w:sz="0" w:space="0" w:color="auto"/>
        <w:left w:val="none" w:sz="0" w:space="0" w:color="auto"/>
        <w:bottom w:val="none" w:sz="0" w:space="0" w:color="auto"/>
        <w:right w:val="none" w:sz="0" w:space="0" w:color="auto"/>
      </w:divBdr>
      <w:divsChild>
        <w:div w:id="824248325">
          <w:marLeft w:val="0"/>
          <w:marRight w:val="0"/>
          <w:marTop w:val="180"/>
          <w:marBottom w:val="180"/>
          <w:divBdr>
            <w:top w:val="none" w:sz="0" w:space="0" w:color="auto"/>
            <w:left w:val="none" w:sz="0" w:space="0" w:color="auto"/>
            <w:bottom w:val="none" w:sz="0" w:space="0" w:color="auto"/>
            <w:right w:val="none" w:sz="0" w:space="0" w:color="auto"/>
          </w:divBdr>
        </w:div>
      </w:divsChild>
    </w:div>
    <w:div w:id="950357688">
      <w:marLeft w:val="0"/>
      <w:marRight w:val="0"/>
      <w:marTop w:val="180"/>
      <w:marBottom w:val="180"/>
      <w:divBdr>
        <w:top w:val="none" w:sz="0" w:space="0" w:color="auto"/>
        <w:left w:val="none" w:sz="0" w:space="0" w:color="auto"/>
        <w:bottom w:val="none" w:sz="0" w:space="0" w:color="auto"/>
        <w:right w:val="none" w:sz="0" w:space="0" w:color="auto"/>
      </w:divBdr>
    </w:div>
    <w:div w:id="950744389">
      <w:marLeft w:val="0"/>
      <w:marRight w:val="0"/>
      <w:marTop w:val="180"/>
      <w:marBottom w:val="180"/>
      <w:divBdr>
        <w:top w:val="none" w:sz="0" w:space="0" w:color="auto"/>
        <w:left w:val="none" w:sz="0" w:space="0" w:color="auto"/>
        <w:bottom w:val="none" w:sz="0" w:space="0" w:color="auto"/>
        <w:right w:val="none" w:sz="0" w:space="0" w:color="auto"/>
      </w:divBdr>
    </w:div>
    <w:div w:id="951133814">
      <w:marLeft w:val="0"/>
      <w:marRight w:val="0"/>
      <w:marTop w:val="180"/>
      <w:marBottom w:val="180"/>
      <w:divBdr>
        <w:top w:val="none" w:sz="0" w:space="0" w:color="auto"/>
        <w:left w:val="none" w:sz="0" w:space="0" w:color="auto"/>
        <w:bottom w:val="none" w:sz="0" w:space="0" w:color="auto"/>
        <w:right w:val="none" w:sz="0" w:space="0" w:color="auto"/>
      </w:divBdr>
    </w:div>
    <w:div w:id="951278261">
      <w:marLeft w:val="0"/>
      <w:marRight w:val="0"/>
      <w:marTop w:val="180"/>
      <w:marBottom w:val="180"/>
      <w:divBdr>
        <w:top w:val="none" w:sz="0" w:space="0" w:color="auto"/>
        <w:left w:val="none" w:sz="0" w:space="0" w:color="auto"/>
        <w:bottom w:val="none" w:sz="0" w:space="0" w:color="auto"/>
        <w:right w:val="none" w:sz="0" w:space="0" w:color="auto"/>
      </w:divBdr>
    </w:div>
    <w:div w:id="952708669">
      <w:marLeft w:val="0"/>
      <w:marRight w:val="0"/>
      <w:marTop w:val="180"/>
      <w:marBottom w:val="180"/>
      <w:divBdr>
        <w:top w:val="none" w:sz="0" w:space="0" w:color="auto"/>
        <w:left w:val="none" w:sz="0" w:space="0" w:color="auto"/>
        <w:bottom w:val="none" w:sz="0" w:space="0" w:color="auto"/>
        <w:right w:val="none" w:sz="0" w:space="0" w:color="auto"/>
      </w:divBdr>
    </w:div>
    <w:div w:id="952859288">
      <w:marLeft w:val="0"/>
      <w:marRight w:val="0"/>
      <w:marTop w:val="0"/>
      <w:marBottom w:val="0"/>
      <w:divBdr>
        <w:top w:val="none" w:sz="0" w:space="0" w:color="auto"/>
        <w:left w:val="none" w:sz="0" w:space="0" w:color="auto"/>
        <w:bottom w:val="none" w:sz="0" w:space="0" w:color="auto"/>
        <w:right w:val="none" w:sz="0" w:space="0" w:color="auto"/>
      </w:divBdr>
    </w:div>
    <w:div w:id="953169666">
      <w:marLeft w:val="0"/>
      <w:marRight w:val="0"/>
      <w:marTop w:val="60"/>
      <w:marBottom w:val="60"/>
      <w:divBdr>
        <w:top w:val="none" w:sz="0" w:space="0" w:color="auto"/>
        <w:left w:val="none" w:sz="0" w:space="0" w:color="auto"/>
        <w:bottom w:val="none" w:sz="0" w:space="0" w:color="auto"/>
        <w:right w:val="none" w:sz="0" w:space="0" w:color="auto"/>
      </w:divBdr>
    </w:div>
    <w:div w:id="954335340">
      <w:marLeft w:val="0"/>
      <w:marRight w:val="0"/>
      <w:marTop w:val="180"/>
      <w:marBottom w:val="180"/>
      <w:divBdr>
        <w:top w:val="none" w:sz="0" w:space="0" w:color="auto"/>
        <w:left w:val="none" w:sz="0" w:space="0" w:color="auto"/>
        <w:bottom w:val="none" w:sz="0" w:space="0" w:color="auto"/>
        <w:right w:val="none" w:sz="0" w:space="0" w:color="auto"/>
      </w:divBdr>
    </w:div>
    <w:div w:id="954557661">
      <w:marLeft w:val="0"/>
      <w:marRight w:val="0"/>
      <w:marTop w:val="60"/>
      <w:marBottom w:val="60"/>
      <w:divBdr>
        <w:top w:val="none" w:sz="0" w:space="0" w:color="auto"/>
        <w:left w:val="none" w:sz="0" w:space="0" w:color="auto"/>
        <w:bottom w:val="none" w:sz="0" w:space="0" w:color="auto"/>
        <w:right w:val="none" w:sz="0" w:space="0" w:color="auto"/>
      </w:divBdr>
    </w:div>
    <w:div w:id="954949854">
      <w:marLeft w:val="0"/>
      <w:marRight w:val="0"/>
      <w:marTop w:val="100"/>
      <w:marBottom w:val="100"/>
      <w:divBdr>
        <w:top w:val="none" w:sz="0" w:space="0" w:color="auto"/>
        <w:left w:val="none" w:sz="0" w:space="0" w:color="auto"/>
        <w:bottom w:val="none" w:sz="0" w:space="0" w:color="auto"/>
        <w:right w:val="none" w:sz="0" w:space="0" w:color="auto"/>
      </w:divBdr>
    </w:div>
    <w:div w:id="955527390">
      <w:marLeft w:val="0"/>
      <w:marRight w:val="0"/>
      <w:marTop w:val="180"/>
      <w:marBottom w:val="180"/>
      <w:divBdr>
        <w:top w:val="none" w:sz="0" w:space="0" w:color="auto"/>
        <w:left w:val="none" w:sz="0" w:space="0" w:color="auto"/>
        <w:bottom w:val="none" w:sz="0" w:space="0" w:color="auto"/>
        <w:right w:val="none" w:sz="0" w:space="0" w:color="auto"/>
      </w:divBdr>
    </w:div>
    <w:div w:id="957182650">
      <w:marLeft w:val="0"/>
      <w:marRight w:val="0"/>
      <w:marTop w:val="120"/>
      <w:marBottom w:val="180"/>
      <w:divBdr>
        <w:top w:val="none" w:sz="0" w:space="0" w:color="auto"/>
        <w:left w:val="none" w:sz="0" w:space="0" w:color="auto"/>
        <w:bottom w:val="none" w:sz="0" w:space="0" w:color="auto"/>
        <w:right w:val="none" w:sz="0" w:space="0" w:color="auto"/>
      </w:divBdr>
    </w:div>
    <w:div w:id="957489947">
      <w:marLeft w:val="0"/>
      <w:marRight w:val="0"/>
      <w:marTop w:val="180"/>
      <w:marBottom w:val="180"/>
      <w:divBdr>
        <w:top w:val="none" w:sz="0" w:space="0" w:color="auto"/>
        <w:left w:val="none" w:sz="0" w:space="0" w:color="auto"/>
        <w:bottom w:val="none" w:sz="0" w:space="0" w:color="auto"/>
        <w:right w:val="none" w:sz="0" w:space="0" w:color="auto"/>
      </w:divBdr>
    </w:div>
    <w:div w:id="960915613">
      <w:marLeft w:val="0"/>
      <w:marRight w:val="0"/>
      <w:marTop w:val="180"/>
      <w:marBottom w:val="180"/>
      <w:divBdr>
        <w:top w:val="none" w:sz="0" w:space="0" w:color="auto"/>
        <w:left w:val="none" w:sz="0" w:space="0" w:color="auto"/>
        <w:bottom w:val="none" w:sz="0" w:space="0" w:color="auto"/>
        <w:right w:val="none" w:sz="0" w:space="0" w:color="auto"/>
      </w:divBdr>
    </w:div>
    <w:div w:id="961308199">
      <w:marLeft w:val="0"/>
      <w:marRight w:val="0"/>
      <w:marTop w:val="180"/>
      <w:marBottom w:val="180"/>
      <w:divBdr>
        <w:top w:val="none" w:sz="0" w:space="0" w:color="auto"/>
        <w:left w:val="none" w:sz="0" w:space="0" w:color="auto"/>
        <w:bottom w:val="none" w:sz="0" w:space="0" w:color="auto"/>
        <w:right w:val="none" w:sz="0" w:space="0" w:color="auto"/>
      </w:divBdr>
    </w:div>
    <w:div w:id="963123338">
      <w:marLeft w:val="0"/>
      <w:marRight w:val="0"/>
      <w:marTop w:val="180"/>
      <w:marBottom w:val="180"/>
      <w:divBdr>
        <w:top w:val="none" w:sz="0" w:space="0" w:color="auto"/>
        <w:left w:val="none" w:sz="0" w:space="0" w:color="auto"/>
        <w:bottom w:val="none" w:sz="0" w:space="0" w:color="auto"/>
        <w:right w:val="none" w:sz="0" w:space="0" w:color="auto"/>
      </w:divBdr>
    </w:div>
    <w:div w:id="964310336">
      <w:marLeft w:val="0"/>
      <w:marRight w:val="0"/>
      <w:marTop w:val="100"/>
      <w:marBottom w:val="100"/>
      <w:divBdr>
        <w:top w:val="none" w:sz="0" w:space="0" w:color="auto"/>
        <w:left w:val="none" w:sz="0" w:space="0" w:color="auto"/>
        <w:bottom w:val="none" w:sz="0" w:space="0" w:color="auto"/>
        <w:right w:val="none" w:sz="0" w:space="0" w:color="auto"/>
      </w:divBdr>
    </w:div>
    <w:div w:id="964626865">
      <w:marLeft w:val="0"/>
      <w:marRight w:val="0"/>
      <w:marTop w:val="0"/>
      <w:marBottom w:val="0"/>
      <w:divBdr>
        <w:top w:val="none" w:sz="0" w:space="0" w:color="auto"/>
        <w:left w:val="none" w:sz="0" w:space="0" w:color="auto"/>
        <w:bottom w:val="none" w:sz="0" w:space="0" w:color="auto"/>
        <w:right w:val="none" w:sz="0" w:space="0" w:color="auto"/>
      </w:divBdr>
      <w:divsChild>
        <w:div w:id="1512721972">
          <w:marLeft w:val="0"/>
          <w:marRight w:val="0"/>
          <w:marTop w:val="180"/>
          <w:marBottom w:val="180"/>
          <w:divBdr>
            <w:top w:val="none" w:sz="0" w:space="0" w:color="auto"/>
            <w:left w:val="none" w:sz="0" w:space="0" w:color="auto"/>
            <w:bottom w:val="none" w:sz="0" w:space="0" w:color="auto"/>
            <w:right w:val="none" w:sz="0" w:space="0" w:color="auto"/>
          </w:divBdr>
        </w:div>
      </w:divsChild>
    </w:div>
    <w:div w:id="964772060">
      <w:marLeft w:val="0"/>
      <w:marRight w:val="0"/>
      <w:marTop w:val="100"/>
      <w:marBottom w:val="100"/>
      <w:divBdr>
        <w:top w:val="none" w:sz="0" w:space="0" w:color="auto"/>
        <w:left w:val="none" w:sz="0" w:space="0" w:color="auto"/>
        <w:bottom w:val="none" w:sz="0" w:space="0" w:color="auto"/>
        <w:right w:val="none" w:sz="0" w:space="0" w:color="auto"/>
      </w:divBdr>
      <w:divsChild>
        <w:div w:id="1027026567">
          <w:marLeft w:val="0"/>
          <w:marRight w:val="0"/>
          <w:marTop w:val="180"/>
          <w:marBottom w:val="180"/>
          <w:divBdr>
            <w:top w:val="none" w:sz="0" w:space="0" w:color="auto"/>
            <w:left w:val="none" w:sz="0" w:space="0" w:color="auto"/>
            <w:bottom w:val="none" w:sz="0" w:space="0" w:color="auto"/>
            <w:right w:val="none" w:sz="0" w:space="0" w:color="auto"/>
          </w:divBdr>
        </w:div>
      </w:divsChild>
    </w:div>
    <w:div w:id="964893699">
      <w:marLeft w:val="0"/>
      <w:marRight w:val="0"/>
      <w:marTop w:val="180"/>
      <w:marBottom w:val="180"/>
      <w:divBdr>
        <w:top w:val="none" w:sz="0" w:space="0" w:color="auto"/>
        <w:left w:val="none" w:sz="0" w:space="0" w:color="auto"/>
        <w:bottom w:val="none" w:sz="0" w:space="0" w:color="auto"/>
        <w:right w:val="none" w:sz="0" w:space="0" w:color="auto"/>
      </w:divBdr>
    </w:div>
    <w:div w:id="966932618">
      <w:marLeft w:val="0"/>
      <w:marRight w:val="0"/>
      <w:marTop w:val="180"/>
      <w:marBottom w:val="180"/>
      <w:divBdr>
        <w:top w:val="none" w:sz="0" w:space="0" w:color="auto"/>
        <w:left w:val="none" w:sz="0" w:space="0" w:color="auto"/>
        <w:bottom w:val="none" w:sz="0" w:space="0" w:color="auto"/>
        <w:right w:val="none" w:sz="0" w:space="0" w:color="auto"/>
      </w:divBdr>
    </w:div>
    <w:div w:id="967010479">
      <w:marLeft w:val="0"/>
      <w:marRight w:val="0"/>
      <w:marTop w:val="180"/>
      <w:marBottom w:val="180"/>
      <w:divBdr>
        <w:top w:val="none" w:sz="0" w:space="0" w:color="auto"/>
        <w:left w:val="none" w:sz="0" w:space="0" w:color="auto"/>
        <w:bottom w:val="none" w:sz="0" w:space="0" w:color="auto"/>
        <w:right w:val="none" w:sz="0" w:space="0" w:color="auto"/>
      </w:divBdr>
    </w:div>
    <w:div w:id="967517681">
      <w:marLeft w:val="0"/>
      <w:marRight w:val="0"/>
      <w:marTop w:val="180"/>
      <w:marBottom w:val="180"/>
      <w:divBdr>
        <w:top w:val="none" w:sz="0" w:space="0" w:color="auto"/>
        <w:left w:val="none" w:sz="0" w:space="0" w:color="auto"/>
        <w:bottom w:val="none" w:sz="0" w:space="0" w:color="auto"/>
        <w:right w:val="none" w:sz="0" w:space="0" w:color="auto"/>
      </w:divBdr>
    </w:div>
    <w:div w:id="967592846">
      <w:marLeft w:val="0"/>
      <w:marRight w:val="0"/>
      <w:marTop w:val="0"/>
      <w:marBottom w:val="0"/>
      <w:divBdr>
        <w:top w:val="none" w:sz="0" w:space="0" w:color="auto"/>
        <w:left w:val="none" w:sz="0" w:space="0" w:color="auto"/>
        <w:bottom w:val="none" w:sz="0" w:space="0" w:color="auto"/>
        <w:right w:val="none" w:sz="0" w:space="0" w:color="auto"/>
      </w:divBdr>
    </w:div>
    <w:div w:id="967736904">
      <w:marLeft w:val="0"/>
      <w:marRight w:val="0"/>
      <w:marTop w:val="60"/>
      <w:marBottom w:val="0"/>
      <w:divBdr>
        <w:top w:val="none" w:sz="0" w:space="0" w:color="auto"/>
        <w:left w:val="none" w:sz="0" w:space="0" w:color="auto"/>
        <w:bottom w:val="none" w:sz="0" w:space="0" w:color="auto"/>
        <w:right w:val="none" w:sz="0" w:space="0" w:color="auto"/>
      </w:divBdr>
    </w:div>
    <w:div w:id="967978334">
      <w:marLeft w:val="0"/>
      <w:marRight w:val="0"/>
      <w:marTop w:val="180"/>
      <w:marBottom w:val="180"/>
      <w:divBdr>
        <w:top w:val="none" w:sz="0" w:space="0" w:color="auto"/>
        <w:left w:val="none" w:sz="0" w:space="0" w:color="auto"/>
        <w:bottom w:val="none" w:sz="0" w:space="0" w:color="auto"/>
        <w:right w:val="none" w:sz="0" w:space="0" w:color="auto"/>
      </w:divBdr>
    </w:div>
    <w:div w:id="968630966">
      <w:marLeft w:val="0"/>
      <w:marRight w:val="0"/>
      <w:marTop w:val="180"/>
      <w:marBottom w:val="60"/>
      <w:divBdr>
        <w:top w:val="none" w:sz="0" w:space="0" w:color="auto"/>
        <w:left w:val="none" w:sz="0" w:space="0" w:color="auto"/>
        <w:bottom w:val="none" w:sz="0" w:space="0" w:color="auto"/>
        <w:right w:val="none" w:sz="0" w:space="0" w:color="auto"/>
      </w:divBdr>
    </w:div>
    <w:div w:id="968896429">
      <w:marLeft w:val="0"/>
      <w:marRight w:val="0"/>
      <w:marTop w:val="180"/>
      <w:marBottom w:val="180"/>
      <w:divBdr>
        <w:top w:val="none" w:sz="0" w:space="0" w:color="auto"/>
        <w:left w:val="none" w:sz="0" w:space="0" w:color="auto"/>
        <w:bottom w:val="none" w:sz="0" w:space="0" w:color="auto"/>
        <w:right w:val="none" w:sz="0" w:space="0" w:color="auto"/>
      </w:divBdr>
    </w:div>
    <w:div w:id="970135354">
      <w:marLeft w:val="0"/>
      <w:marRight w:val="0"/>
      <w:marTop w:val="180"/>
      <w:marBottom w:val="180"/>
      <w:divBdr>
        <w:top w:val="none" w:sz="0" w:space="0" w:color="auto"/>
        <w:left w:val="none" w:sz="0" w:space="0" w:color="auto"/>
        <w:bottom w:val="none" w:sz="0" w:space="0" w:color="auto"/>
        <w:right w:val="none" w:sz="0" w:space="0" w:color="auto"/>
      </w:divBdr>
    </w:div>
    <w:div w:id="971062296">
      <w:marLeft w:val="0"/>
      <w:marRight w:val="0"/>
      <w:marTop w:val="100"/>
      <w:marBottom w:val="280"/>
      <w:divBdr>
        <w:top w:val="none" w:sz="0" w:space="0" w:color="auto"/>
        <w:left w:val="none" w:sz="0" w:space="0" w:color="auto"/>
        <w:bottom w:val="none" w:sz="0" w:space="0" w:color="auto"/>
        <w:right w:val="none" w:sz="0" w:space="0" w:color="auto"/>
      </w:divBdr>
    </w:div>
    <w:div w:id="972099716">
      <w:marLeft w:val="0"/>
      <w:marRight w:val="0"/>
      <w:marTop w:val="60"/>
      <w:marBottom w:val="60"/>
      <w:divBdr>
        <w:top w:val="none" w:sz="0" w:space="0" w:color="auto"/>
        <w:left w:val="none" w:sz="0" w:space="0" w:color="auto"/>
        <w:bottom w:val="none" w:sz="0" w:space="0" w:color="auto"/>
        <w:right w:val="none" w:sz="0" w:space="0" w:color="auto"/>
      </w:divBdr>
    </w:div>
    <w:div w:id="972640035">
      <w:marLeft w:val="0"/>
      <w:marRight w:val="0"/>
      <w:marTop w:val="0"/>
      <w:marBottom w:val="0"/>
      <w:divBdr>
        <w:top w:val="none" w:sz="0" w:space="0" w:color="auto"/>
        <w:left w:val="none" w:sz="0" w:space="0" w:color="auto"/>
        <w:bottom w:val="none" w:sz="0" w:space="0" w:color="auto"/>
        <w:right w:val="none" w:sz="0" w:space="0" w:color="auto"/>
      </w:divBdr>
    </w:div>
    <w:div w:id="972979511">
      <w:marLeft w:val="0"/>
      <w:marRight w:val="0"/>
      <w:marTop w:val="60"/>
      <w:marBottom w:val="60"/>
      <w:divBdr>
        <w:top w:val="none" w:sz="0" w:space="0" w:color="auto"/>
        <w:left w:val="none" w:sz="0" w:space="0" w:color="auto"/>
        <w:bottom w:val="none" w:sz="0" w:space="0" w:color="auto"/>
        <w:right w:val="none" w:sz="0" w:space="0" w:color="auto"/>
      </w:divBdr>
    </w:div>
    <w:div w:id="973145087">
      <w:marLeft w:val="0"/>
      <w:marRight w:val="0"/>
      <w:marTop w:val="180"/>
      <w:marBottom w:val="0"/>
      <w:divBdr>
        <w:top w:val="none" w:sz="0" w:space="0" w:color="auto"/>
        <w:left w:val="none" w:sz="0" w:space="0" w:color="auto"/>
        <w:bottom w:val="none" w:sz="0" w:space="0" w:color="auto"/>
        <w:right w:val="none" w:sz="0" w:space="0" w:color="auto"/>
      </w:divBdr>
    </w:div>
    <w:div w:id="973943338">
      <w:marLeft w:val="0"/>
      <w:marRight w:val="0"/>
      <w:marTop w:val="180"/>
      <w:marBottom w:val="180"/>
      <w:divBdr>
        <w:top w:val="none" w:sz="0" w:space="0" w:color="auto"/>
        <w:left w:val="none" w:sz="0" w:space="0" w:color="auto"/>
        <w:bottom w:val="none" w:sz="0" w:space="0" w:color="auto"/>
        <w:right w:val="none" w:sz="0" w:space="0" w:color="auto"/>
      </w:divBdr>
    </w:div>
    <w:div w:id="974063535">
      <w:marLeft w:val="0"/>
      <w:marRight w:val="0"/>
      <w:marTop w:val="180"/>
      <w:marBottom w:val="180"/>
      <w:divBdr>
        <w:top w:val="none" w:sz="0" w:space="0" w:color="auto"/>
        <w:left w:val="none" w:sz="0" w:space="0" w:color="auto"/>
        <w:bottom w:val="none" w:sz="0" w:space="0" w:color="auto"/>
        <w:right w:val="none" w:sz="0" w:space="0" w:color="auto"/>
      </w:divBdr>
    </w:div>
    <w:div w:id="974720560">
      <w:marLeft w:val="0"/>
      <w:marRight w:val="0"/>
      <w:marTop w:val="0"/>
      <w:marBottom w:val="0"/>
      <w:divBdr>
        <w:top w:val="none" w:sz="0" w:space="0" w:color="auto"/>
        <w:left w:val="none" w:sz="0" w:space="0" w:color="auto"/>
        <w:bottom w:val="none" w:sz="0" w:space="0" w:color="auto"/>
        <w:right w:val="none" w:sz="0" w:space="0" w:color="auto"/>
      </w:divBdr>
      <w:divsChild>
        <w:div w:id="1503427184">
          <w:marLeft w:val="0"/>
          <w:marRight w:val="0"/>
          <w:marTop w:val="0"/>
          <w:marBottom w:val="0"/>
          <w:divBdr>
            <w:top w:val="none" w:sz="0" w:space="0" w:color="auto"/>
            <w:left w:val="none" w:sz="0" w:space="0" w:color="auto"/>
            <w:bottom w:val="none" w:sz="0" w:space="0" w:color="auto"/>
            <w:right w:val="none" w:sz="0" w:space="0" w:color="auto"/>
          </w:divBdr>
          <w:divsChild>
            <w:div w:id="20101352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5718696">
      <w:marLeft w:val="0"/>
      <w:marRight w:val="0"/>
      <w:marTop w:val="180"/>
      <w:marBottom w:val="180"/>
      <w:divBdr>
        <w:top w:val="none" w:sz="0" w:space="0" w:color="auto"/>
        <w:left w:val="none" w:sz="0" w:space="0" w:color="auto"/>
        <w:bottom w:val="none" w:sz="0" w:space="0" w:color="auto"/>
        <w:right w:val="none" w:sz="0" w:space="0" w:color="auto"/>
      </w:divBdr>
    </w:div>
    <w:div w:id="976495660">
      <w:marLeft w:val="0"/>
      <w:marRight w:val="0"/>
      <w:marTop w:val="180"/>
      <w:marBottom w:val="180"/>
      <w:divBdr>
        <w:top w:val="none" w:sz="0" w:space="0" w:color="auto"/>
        <w:left w:val="none" w:sz="0" w:space="0" w:color="auto"/>
        <w:bottom w:val="none" w:sz="0" w:space="0" w:color="auto"/>
        <w:right w:val="none" w:sz="0" w:space="0" w:color="auto"/>
      </w:divBdr>
    </w:div>
    <w:div w:id="976880831">
      <w:marLeft w:val="0"/>
      <w:marRight w:val="0"/>
      <w:marTop w:val="180"/>
      <w:marBottom w:val="180"/>
      <w:divBdr>
        <w:top w:val="none" w:sz="0" w:space="0" w:color="auto"/>
        <w:left w:val="none" w:sz="0" w:space="0" w:color="auto"/>
        <w:bottom w:val="none" w:sz="0" w:space="0" w:color="auto"/>
        <w:right w:val="none" w:sz="0" w:space="0" w:color="auto"/>
      </w:divBdr>
    </w:div>
    <w:div w:id="977419909">
      <w:marLeft w:val="0"/>
      <w:marRight w:val="0"/>
      <w:marTop w:val="180"/>
      <w:marBottom w:val="180"/>
      <w:divBdr>
        <w:top w:val="none" w:sz="0" w:space="0" w:color="auto"/>
        <w:left w:val="none" w:sz="0" w:space="0" w:color="auto"/>
        <w:bottom w:val="none" w:sz="0" w:space="0" w:color="auto"/>
        <w:right w:val="none" w:sz="0" w:space="0" w:color="auto"/>
      </w:divBdr>
    </w:div>
    <w:div w:id="977606704">
      <w:marLeft w:val="0"/>
      <w:marRight w:val="0"/>
      <w:marTop w:val="180"/>
      <w:marBottom w:val="180"/>
      <w:divBdr>
        <w:top w:val="none" w:sz="0" w:space="0" w:color="auto"/>
        <w:left w:val="none" w:sz="0" w:space="0" w:color="auto"/>
        <w:bottom w:val="none" w:sz="0" w:space="0" w:color="auto"/>
        <w:right w:val="none" w:sz="0" w:space="0" w:color="auto"/>
      </w:divBdr>
    </w:div>
    <w:div w:id="977684905">
      <w:marLeft w:val="0"/>
      <w:marRight w:val="0"/>
      <w:marTop w:val="180"/>
      <w:marBottom w:val="180"/>
      <w:divBdr>
        <w:top w:val="none" w:sz="0" w:space="0" w:color="auto"/>
        <w:left w:val="none" w:sz="0" w:space="0" w:color="auto"/>
        <w:bottom w:val="none" w:sz="0" w:space="0" w:color="auto"/>
        <w:right w:val="none" w:sz="0" w:space="0" w:color="auto"/>
      </w:divBdr>
    </w:div>
    <w:div w:id="978849029">
      <w:marLeft w:val="0"/>
      <w:marRight w:val="0"/>
      <w:marTop w:val="180"/>
      <w:marBottom w:val="180"/>
      <w:divBdr>
        <w:top w:val="none" w:sz="0" w:space="0" w:color="auto"/>
        <w:left w:val="none" w:sz="0" w:space="0" w:color="auto"/>
        <w:bottom w:val="none" w:sz="0" w:space="0" w:color="auto"/>
        <w:right w:val="none" w:sz="0" w:space="0" w:color="auto"/>
      </w:divBdr>
    </w:div>
    <w:div w:id="979111331">
      <w:marLeft w:val="0"/>
      <w:marRight w:val="0"/>
      <w:marTop w:val="60"/>
      <w:marBottom w:val="60"/>
      <w:divBdr>
        <w:top w:val="none" w:sz="0" w:space="0" w:color="auto"/>
        <w:left w:val="none" w:sz="0" w:space="0" w:color="auto"/>
        <w:bottom w:val="none" w:sz="0" w:space="0" w:color="auto"/>
        <w:right w:val="none" w:sz="0" w:space="0" w:color="auto"/>
      </w:divBdr>
    </w:div>
    <w:div w:id="979379916">
      <w:marLeft w:val="0"/>
      <w:marRight w:val="0"/>
      <w:marTop w:val="60"/>
      <w:marBottom w:val="60"/>
      <w:divBdr>
        <w:top w:val="none" w:sz="0" w:space="0" w:color="auto"/>
        <w:left w:val="none" w:sz="0" w:space="0" w:color="auto"/>
        <w:bottom w:val="none" w:sz="0" w:space="0" w:color="auto"/>
        <w:right w:val="none" w:sz="0" w:space="0" w:color="auto"/>
      </w:divBdr>
    </w:div>
    <w:div w:id="979649937">
      <w:marLeft w:val="0"/>
      <w:marRight w:val="0"/>
      <w:marTop w:val="0"/>
      <w:marBottom w:val="0"/>
      <w:divBdr>
        <w:top w:val="none" w:sz="0" w:space="0" w:color="auto"/>
        <w:left w:val="none" w:sz="0" w:space="0" w:color="auto"/>
        <w:bottom w:val="none" w:sz="0" w:space="0" w:color="auto"/>
        <w:right w:val="none" w:sz="0" w:space="0" w:color="auto"/>
      </w:divBdr>
      <w:divsChild>
        <w:div w:id="660933167">
          <w:marLeft w:val="0"/>
          <w:marRight w:val="0"/>
          <w:marTop w:val="0"/>
          <w:marBottom w:val="0"/>
          <w:divBdr>
            <w:top w:val="none" w:sz="0" w:space="0" w:color="auto"/>
            <w:left w:val="none" w:sz="0" w:space="0" w:color="auto"/>
            <w:bottom w:val="none" w:sz="0" w:space="0" w:color="auto"/>
            <w:right w:val="none" w:sz="0" w:space="0" w:color="auto"/>
          </w:divBdr>
          <w:divsChild>
            <w:div w:id="8000800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79917667">
      <w:marLeft w:val="0"/>
      <w:marRight w:val="0"/>
      <w:marTop w:val="180"/>
      <w:marBottom w:val="180"/>
      <w:divBdr>
        <w:top w:val="none" w:sz="0" w:space="0" w:color="auto"/>
        <w:left w:val="none" w:sz="0" w:space="0" w:color="auto"/>
        <w:bottom w:val="none" w:sz="0" w:space="0" w:color="auto"/>
        <w:right w:val="none" w:sz="0" w:space="0" w:color="auto"/>
      </w:divBdr>
    </w:div>
    <w:div w:id="981345147">
      <w:marLeft w:val="0"/>
      <w:marRight w:val="0"/>
      <w:marTop w:val="180"/>
      <w:marBottom w:val="180"/>
      <w:divBdr>
        <w:top w:val="none" w:sz="0" w:space="0" w:color="auto"/>
        <w:left w:val="none" w:sz="0" w:space="0" w:color="auto"/>
        <w:bottom w:val="none" w:sz="0" w:space="0" w:color="auto"/>
        <w:right w:val="none" w:sz="0" w:space="0" w:color="auto"/>
      </w:divBdr>
    </w:div>
    <w:div w:id="982002253">
      <w:marLeft w:val="0"/>
      <w:marRight w:val="0"/>
      <w:marTop w:val="0"/>
      <w:marBottom w:val="0"/>
      <w:divBdr>
        <w:top w:val="none" w:sz="0" w:space="0" w:color="auto"/>
        <w:left w:val="none" w:sz="0" w:space="0" w:color="auto"/>
        <w:bottom w:val="none" w:sz="0" w:space="0" w:color="auto"/>
        <w:right w:val="none" w:sz="0" w:space="0" w:color="auto"/>
      </w:divBdr>
      <w:divsChild>
        <w:div w:id="434521768">
          <w:marLeft w:val="0"/>
          <w:marRight w:val="0"/>
          <w:marTop w:val="60"/>
          <w:marBottom w:val="60"/>
          <w:divBdr>
            <w:top w:val="none" w:sz="0" w:space="0" w:color="auto"/>
            <w:left w:val="none" w:sz="0" w:space="0" w:color="auto"/>
            <w:bottom w:val="none" w:sz="0" w:space="0" w:color="auto"/>
            <w:right w:val="none" w:sz="0" w:space="0" w:color="auto"/>
          </w:divBdr>
        </w:div>
      </w:divsChild>
    </w:div>
    <w:div w:id="982927137">
      <w:marLeft w:val="0"/>
      <w:marRight w:val="0"/>
      <w:marTop w:val="100"/>
      <w:marBottom w:val="100"/>
      <w:divBdr>
        <w:top w:val="none" w:sz="0" w:space="0" w:color="auto"/>
        <w:left w:val="none" w:sz="0" w:space="0" w:color="auto"/>
        <w:bottom w:val="none" w:sz="0" w:space="0" w:color="auto"/>
        <w:right w:val="none" w:sz="0" w:space="0" w:color="auto"/>
      </w:divBdr>
      <w:divsChild>
        <w:div w:id="763919723">
          <w:marLeft w:val="0"/>
          <w:marRight w:val="0"/>
          <w:marTop w:val="0"/>
          <w:marBottom w:val="0"/>
          <w:divBdr>
            <w:top w:val="none" w:sz="0" w:space="0" w:color="auto"/>
            <w:left w:val="none" w:sz="0" w:space="0" w:color="auto"/>
            <w:bottom w:val="none" w:sz="0" w:space="0" w:color="auto"/>
            <w:right w:val="none" w:sz="0" w:space="0" w:color="auto"/>
          </w:divBdr>
        </w:div>
        <w:div w:id="375587427">
          <w:marLeft w:val="0"/>
          <w:marRight w:val="0"/>
          <w:marTop w:val="0"/>
          <w:marBottom w:val="0"/>
          <w:divBdr>
            <w:top w:val="none" w:sz="0" w:space="0" w:color="auto"/>
            <w:left w:val="none" w:sz="0" w:space="0" w:color="auto"/>
            <w:bottom w:val="none" w:sz="0" w:space="0" w:color="auto"/>
            <w:right w:val="none" w:sz="0" w:space="0" w:color="auto"/>
          </w:divBdr>
        </w:div>
      </w:divsChild>
    </w:div>
    <w:div w:id="983116930">
      <w:marLeft w:val="0"/>
      <w:marRight w:val="0"/>
      <w:marTop w:val="180"/>
      <w:marBottom w:val="180"/>
      <w:divBdr>
        <w:top w:val="none" w:sz="0" w:space="0" w:color="auto"/>
        <w:left w:val="none" w:sz="0" w:space="0" w:color="auto"/>
        <w:bottom w:val="none" w:sz="0" w:space="0" w:color="auto"/>
        <w:right w:val="none" w:sz="0" w:space="0" w:color="auto"/>
      </w:divBdr>
    </w:div>
    <w:div w:id="985356194">
      <w:marLeft w:val="0"/>
      <w:marRight w:val="0"/>
      <w:marTop w:val="180"/>
      <w:marBottom w:val="180"/>
      <w:divBdr>
        <w:top w:val="none" w:sz="0" w:space="0" w:color="auto"/>
        <w:left w:val="none" w:sz="0" w:space="0" w:color="auto"/>
        <w:bottom w:val="none" w:sz="0" w:space="0" w:color="auto"/>
        <w:right w:val="none" w:sz="0" w:space="0" w:color="auto"/>
      </w:divBdr>
    </w:div>
    <w:div w:id="986208991">
      <w:marLeft w:val="0"/>
      <w:marRight w:val="0"/>
      <w:marTop w:val="240"/>
      <w:marBottom w:val="180"/>
      <w:divBdr>
        <w:top w:val="none" w:sz="0" w:space="0" w:color="auto"/>
        <w:left w:val="none" w:sz="0" w:space="0" w:color="auto"/>
        <w:bottom w:val="none" w:sz="0" w:space="0" w:color="auto"/>
        <w:right w:val="none" w:sz="0" w:space="0" w:color="auto"/>
      </w:divBdr>
    </w:div>
    <w:div w:id="986283863">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sChild>
            <w:div w:id="8291772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6393777">
      <w:marLeft w:val="0"/>
      <w:marRight w:val="0"/>
      <w:marTop w:val="0"/>
      <w:marBottom w:val="0"/>
      <w:divBdr>
        <w:top w:val="none" w:sz="0" w:space="0" w:color="auto"/>
        <w:left w:val="none" w:sz="0" w:space="0" w:color="auto"/>
        <w:bottom w:val="none" w:sz="0" w:space="0" w:color="auto"/>
        <w:right w:val="none" w:sz="0" w:space="0" w:color="auto"/>
      </w:divBdr>
      <w:divsChild>
        <w:div w:id="837579505">
          <w:marLeft w:val="0"/>
          <w:marRight w:val="0"/>
          <w:marTop w:val="0"/>
          <w:marBottom w:val="0"/>
          <w:divBdr>
            <w:top w:val="none" w:sz="0" w:space="0" w:color="auto"/>
            <w:left w:val="none" w:sz="0" w:space="0" w:color="auto"/>
            <w:bottom w:val="none" w:sz="0" w:space="0" w:color="auto"/>
            <w:right w:val="none" w:sz="0" w:space="0" w:color="auto"/>
          </w:divBdr>
          <w:divsChild>
            <w:div w:id="9585341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6545186">
      <w:marLeft w:val="0"/>
      <w:marRight w:val="0"/>
      <w:marTop w:val="60"/>
      <w:marBottom w:val="60"/>
      <w:divBdr>
        <w:top w:val="none" w:sz="0" w:space="0" w:color="auto"/>
        <w:left w:val="none" w:sz="0" w:space="0" w:color="auto"/>
        <w:bottom w:val="none" w:sz="0" w:space="0" w:color="auto"/>
        <w:right w:val="none" w:sz="0" w:space="0" w:color="auto"/>
      </w:divBdr>
    </w:div>
    <w:div w:id="986669204">
      <w:marLeft w:val="0"/>
      <w:marRight w:val="0"/>
      <w:marTop w:val="180"/>
      <w:marBottom w:val="180"/>
      <w:divBdr>
        <w:top w:val="none" w:sz="0" w:space="0" w:color="auto"/>
        <w:left w:val="none" w:sz="0" w:space="0" w:color="auto"/>
        <w:bottom w:val="none" w:sz="0" w:space="0" w:color="auto"/>
        <w:right w:val="none" w:sz="0" w:space="0" w:color="auto"/>
      </w:divBdr>
    </w:div>
    <w:div w:id="988944176">
      <w:marLeft w:val="0"/>
      <w:marRight w:val="0"/>
      <w:marTop w:val="180"/>
      <w:marBottom w:val="180"/>
      <w:divBdr>
        <w:top w:val="none" w:sz="0" w:space="0" w:color="auto"/>
        <w:left w:val="none" w:sz="0" w:space="0" w:color="auto"/>
        <w:bottom w:val="none" w:sz="0" w:space="0" w:color="auto"/>
        <w:right w:val="none" w:sz="0" w:space="0" w:color="auto"/>
      </w:divBdr>
    </w:div>
    <w:div w:id="990214847">
      <w:marLeft w:val="0"/>
      <w:marRight w:val="0"/>
      <w:marTop w:val="180"/>
      <w:marBottom w:val="180"/>
      <w:divBdr>
        <w:top w:val="none" w:sz="0" w:space="0" w:color="auto"/>
        <w:left w:val="none" w:sz="0" w:space="0" w:color="auto"/>
        <w:bottom w:val="none" w:sz="0" w:space="0" w:color="auto"/>
        <w:right w:val="none" w:sz="0" w:space="0" w:color="auto"/>
      </w:divBdr>
    </w:div>
    <w:div w:id="990597578">
      <w:marLeft w:val="0"/>
      <w:marRight w:val="0"/>
      <w:marTop w:val="100"/>
      <w:marBottom w:val="100"/>
      <w:divBdr>
        <w:top w:val="none" w:sz="0" w:space="0" w:color="auto"/>
        <w:left w:val="none" w:sz="0" w:space="0" w:color="auto"/>
        <w:bottom w:val="none" w:sz="0" w:space="0" w:color="auto"/>
        <w:right w:val="none" w:sz="0" w:space="0" w:color="auto"/>
      </w:divBdr>
    </w:div>
    <w:div w:id="990794706">
      <w:marLeft w:val="0"/>
      <w:marRight w:val="0"/>
      <w:marTop w:val="180"/>
      <w:marBottom w:val="180"/>
      <w:divBdr>
        <w:top w:val="none" w:sz="0" w:space="0" w:color="auto"/>
        <w:left w:val="none" w:sz="0" w:space="0" w:color="auto"/>
        <w:bottom w:val="none" w:sz="0" w:space="0" w:color="auto"/>
        <w:right w:val="none" w:sz="0" w:space="0" w:color="auto"/>
      </w:divBdr>
    </w:div>
    <w:div w:id="992298362">
      <w:marLeft w:val="0"/>
      <w:marRight w:val="0"/>
      <w:marTop w:val="0"/>
      <w:marBottom w:val="0"/>
      <w:divBdr>
        <w:top w:val="none" w:sz="0" w:space="0" w:color="auto"/>
        <w:left w:val="none" w:sz="0" w:space="0" w:color="auto"/>
        <w:bottom w:val="none" w:sz="0" w:space="0" w:color="auto"/>
        <w:right w:val="none" w:sz="0" w:space="0" w:color="auto"/>
      </w:divBdr>
      <w:divsChild>
        <w:div w:id="959069460">
          <w:marLeft w:val="0"/>
          <w:marRight w:val="0"/>
          <w:marTop w:val="0"/>
          <w:marBottom w:val="0"/>
          <w:divBdr>
            <w:top w:val="none" w:sz="0" w:space="0" w:color="auto"/>
            <w:left w:val="none" w:sz="0" w:space="0" w:color="auto"/>
            <w:bottom w:val="none" w:sz="0" w:space="0" w:color="auto"/>
            <w:right w:val="none" w:sz="0" w:space="0" w:color="auto"/>
          </w:divBdr>
          <w:divsChild>
            <w:div w:id="4048868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92417308">
      <w:marLeft w:val="0"/>
      <w:marRight w:val="0"/>
      <w:marTop w:val="180"/>
      <w:marBottom w:val="180"/>
      <w:divBdr>
        <w:top w:val="none" w:sz="0" w:space="0" w:color="auto"/>
        <w:left w:val="none" w:sz="0" w:space="0" w:color="auto"/>
        <w:bottom w:val="none" w:sz="0" w:space="0" w:color="auto"/>
        <w:right w:val="none" w:sz="0" w:space="0" w:color="auto"/>
      </w:divBdr>
    </w:div>
    <w:div w:id="992683738">
      <w:marLeft w:val="0"/>
      <w:marRight w:val="0"/>
      <w:marTop w:val="0"/>
      <w:marBottom w:val="0"/>
      <w:divBdr>
        <w:top w:val="none" w:sz="0" w:space="0" w:color="auto"/>
        <w:left w:val="none" w:sz="0" w:space="0" w:color="auto"/>
        <w:bottom w:val="none" w:sz="0" w:space="0" w:color="auto"/>
        <w:right w:val="none" w:sz="0" w:space="0" w:color="auto"/>
      </w:divBdr>
      <w:divsChild>
        <w:div w:id="633022018">
          <w:marLeft w:val="0"/>
          <w:marRight w:val="0"/>
          <w:marTop w:val="180"/>
          <w:marBottom w:val="180"/>
          <w:divBdr>
            <w:top w:val="none" w:sz="0" w:space="0" w:color="auto"/>
            <w:left w:val="none" w:sz="0" w:space="0" w:color="auto"/>
            <w:bottom w:val="none" w:sz="0" w:space="0" w:color="auto"/>
            <w:right w:val="none" w:sz="0" w:space="0" w:color="auto"/>
          </w:divBdr>
        </w:div>
      </w:divsChild>
    </w:div>
    <w:div w:id="993099579">
      <w:marLeft w:val="0"/>
      <w:marRight w:val="0"/>
      <w:marTop w:val="60"/>
      <w:marBottom w:val="60"/>
      <w:divBdr>
        <w:top w:val="none" w:sz="0" w:space="0" w:color="auto"/>
        <w:left w:val="none" w:sz="0" w:space="0" w:color="auto"/>
        <w:bottom w:val="none" w:sz="0" w:space="0" w:color="auto"/>
        <w:right w:val="none" w:sz="0" w:space="0" w:color="auto"/>
      </w:divBdr>
    </w:div>
    <w:div w:id="993483797">
      <w:marLeft w:val="0"/>
      <w:marRight w:val="0"/>
      <w:marTop w:val="0"/>
      <w:marBottom w:val="0"/>
      <w:divBdr>
        <w:top w:val="none" w:sz="0" w:space="0" w:color="auto"/>
        <w:left w:val="none" w:sz="0" w:space="0" w:color="auto"/>
        <w:bottom w:val="none" w:sz="0" w:space="0" w:color="auto"/>
        <w:right w:val="none" w:sz="0" w:space="0" w:color="auto"/>
      </w:divBdr>
    </w:div>
    <w:div w:id="993606313">
      <w:marLeft w:val="0"/>
      <w:marRight w:val="0"/>
      <w:marTop w:val="180"/>
      <w:marBottom w:val="180"/>
      <w:divBdr>
        <w:top w:val="none" w:sz="0" w:space="0" w:color="auto"/>
        <w:left w:val="none" w:sz="0" w:space="0" w:color="auto"/>
        <w:bottom w:val="none" w:sz="0" w:space="0" w:color="auto"/>
        <w:right w:val="none" w:sz="0" w:space="0" w:color="auto"/>
      </w:divBdr>
    </w:div>
    <w:div w:id="994794480">
      <w:marLeft w:val="0"/>
      <w:marRight w:val="0"/>
      <w:marTop w:val="240"/>
      <w:marBottom w:val="180"/>
      <w:divBdr>
        <w:top w:val="none" w:sz="0" w:space="0" w:color="auto"/>
        <w:left w:val="none" w:sz="0" w:space="0" w:color="auto"/>
        <w:bottom w:val="none" w:sz="0" w:space="0" w:color="auto"/>
        <w:right w:val="none" w:sz="0" w:space="0" w:color="auto"/>
      </w:divBdr>
    </w:div>
    <w:div w:id="994802183">
      <w:marLeft w:val="0"/>
      <w:marRight w:val="0"/>
      <w:marTop w:val="60"/>
      <w:marBottom w:val="60"/>
      <w:divBdr>
        <w:top w:val="none" w:sz="0" w:space="0" w:color="auto"/>
        <w:left w:val="none" w:sz="0" w:space="0" w:color="auto"/>
        <w:bottom w:val="none" w:sz="0" w:space="0" w:color="auto"/>
        <w:right w:val="none" w:sz="0" w:space="0" w:color="auto"/>
      </w:divBdr>
    </w:div>
    <w:div w:id="997271247">
      <w:marLeft w:val="0"/>
      <w:marRight w:val="0"/>
      <w:marTop w:val="180"/>
      <w:marBottom w:val="60"/>
      <w:divBdr>
        <w:top w:val="none" w:sz="0" w:space="0" w:color="auto"/>
        <w:left w:val="none" w:sz="0" w:space="0" w:color="auto"/>
        <w:bottom w:val="none" w:sz="0" w:space="0" w:color="auto"/>
        <w:right w:val="none" w:sz="0" w:space="0" w:color="auto"/>
      </w:divBdr>
    </w:div>
    <w:div w:id="997608973">
      <w:marLeft w:val="0"/>
      <w:marRight w:val="0"/>
      <w:marTop w:val="180"/>
      <w:marBottom w:val="0"/>
      <w:divBdr>
        <w:top w:val="none" w:sz="0" w:space="0" w:color="auto"/>
        <w:left w:val="none" w:sz="0" w:space="0" w:color="auto"/>
        <w:bottom w:val="none" w:sz="0" w:space="0" w:color="auto"/>
        <w:right w:val="none" w:sz="0" w:space="0" w:color="auto"/>
      </w:divBdr>
    </w:div>
    <w:div w:id="999237039">
      <w:marLeft w:val="0"/>
      <w:marRight w:val="0"/>
      <w:marTop w:val="60"/>
      <w:marBottom w:val="60"/>
      <w:divBdr>
        <w:top w:val="none" w:sz="0" w:space="0" w:color="auto"/>
        <w:left w:val="none" w:sz="0" w:space="0" w:color="auto"/>
        <w:bottom w:val="none" w:sz="0" w:space="0" w:color="auto"/>
        <w:right w:val="none" w:sz="0" w:space="0" w:color="auto"/>
      </w:divBdr>
    </w:div>
    <w:div w:id="999775362">
      <w:marLeft w:val="0"/>
      <w:marRight w:val="0"/>
      <w:marTop w:val="180"/>
      <w:marBottom w:val="180"/>
      <w:divBdr>
        <w:top w:val="none" w:sz="0" w:space="0" w:color="auto"/>
        <w:left w:val="none" w:sz="0" w:space="0" w:color="auto"/>
        <w:bottom w:val="none" w:sz="0" w:space="0" w:color="auto"/>
        <w:right w:val="none" w:sz="0" w:space="0" w:color="auto"/>
      </w:divBdr>
    </w:div>
    <w:div w:id="1000548600">
      <w:marLeft w:val="0"/>
      <w:marRight w:val="0"/>
      <w:marTop w:val="180"/>
      <w:marBottom w:val="180"/>
      <w:divBdr>
        <w:top w:val="none" w:sz="0" w:space="0" w:color="auto"/>
        <w:left w:val="none" w:sz="0" w:space="0" w:color="auto"/>
        <w:bottom w:val="none" w:sz="0" w:space="0" w:color="auto"/>
        <w:right w:val="none" w:sz="0" w:space="0" w:color="auto"/>
      </w:divBdr>
    </w:div>
    <w:div w:id="1000962958">
      <w:marLeft w:val="0"/>
      <w:marRight w:val="0"/>
      <w:marTop w:val="60"/>
      <w:marBottom w:val="60"/>
      <w:divBdr>
        <w:top w:val="none" w:sz="0" w:space="0" w:color="auto"/>
        <w:left w:val="none" w:sz="0" w:space="0" w:color="auto"/>
        <w:bottom w:val="none" w:sz="0" w:space="0" w:color="auto"/>
        <w:right w:val="none" w:sz="0" w:space="0" w:color="auto"/>
      </w:divBdr>
    </w:div>
    <w:div w:id="1001397360">
      <w:marLeft w:val="0"/>
      <w:marRight w:val="0"/>
      <w:marTop w:val="180"/>
      <w:marBottom w:val="180"/>
      <w:divBdr>
        <w:top w:val="none" w:sz="0" w:space="0" w:color="auto"/>
        <w:left w:val="none" w:sz="0" w:space="0" w:color="auto"/>
        <w:bottom w:val="none" w:sz="0" w:space="0" w:color="auto"/>
        <w:right w:val="none" w:sz="0" w:space="0" w:color="auto"/>
      </w:divBdr>
    </w:div>
    <w:div w:id="1003511189">
      <w:marLeft w:val="0"/>
      <w:marRight w:val="0"/>
      <w:marTop w:val="100"/>
      <w:marBottom w:val="100"/>
      <w:divBdr>
        <w:top w:val="none" w:sz="0" w:space="0" w:color="auto"/>
        <w:left w:val="none" w:sz="0" w:space="0" w:color="auto"/>
        <w:bottom w:val="none" w:sz="0" w:space="0" w:color="auto"/>
        <w:right w:val="none" w:sz="0" w:space="0" w:color="auto"/>
      </w:divBdr>
    </w:div>
    <w:div w:id="1004237150">
      <w:marLeft w:val="0"/>
      <w:marRight w:val="0"/>
      <w:marTop w:val="180"/>
      <w:marBottom w:val="180"/>
      <w:divBdr>
        <w:top w:val="none" w:sz="0" w:space="0" w:color="auto"/>
        <w:left w:val="none" w:sz="0" w:space="0" w:color="auto"/>
        <w:bottom w:val="none" w:sz="0" w:space="0" w:color="auto"/>
        <w:right w:val="none" w:sz="0" w:space="0" w:color="auto"/>
      </w:divBdr>
    </w:div>
    <w:div w:id="1007681916">
      <w:marLeft w:val="0"/>
      <w:marRight w:val="0"/>
      <w:marTop w:val="180"/>
      <w:marBottom w:val="60"/>
      <w:divBdr>
        <w:top w:val="none" w:sz="0" w:space="0" w:color="auto"/>
        <w:left w:val="none" w:sz="0" w:space="0" w:color="auto"/>
        <w:bottom w:val="none" w:sz="0" w:space="0" w:color="auto"/>
        <w:right w:val="none" w:sz="0" w:space="0" w:color="auto"/>
      </w:divBdr>
    </w:div>
    <w:div w:id="1008872621">
      <w:marLeft w:val="0"/>
      <w:marRight w:val="0"/>
      <w:marTop w:val="100"/>
      <w:marBottom w:val="100"/>
      <w:divBdr>
        <w:top w:val="none" w:sz="0" w:space="0" w:color="auto"/>
        <w:left w:val="none" w:sz="0" w:space="0" w:color="auto"/>
        <w:bottom w:val="none" w:sz="0" w:space="0" w:color="auto"/>
        <w:right w:val="none" w:sz="0" w:space="0" w:color="auto"/>
      </w:divBdr>
    </w:div>
    <w:div w:id="1009285475">
      <w:marLeft w:val="0"/>
      <w:marRight w:val="0"/>
      <w:marTop w:val="180"/>
      <w:marBottom w:val="180"/>
      <w:divBdr>
        <w:top w:val="none" w:sz="0" w:space="0" w:color="auto"/>
        <w:left w:val="none" w:sz="0" w:space="0" w:color="auto"/>
        <w:bottom w:val="none" w:sz="0" w:space="0" w:color="auto"/>
        <w:right w:val="none" w:sz="0" w:space="0" w:color="auto"/>
      </w:divBdr>
    </w:div>
    <w:div w:id="1010133859">
      <w:marLeft w:val="0"/>
      <w:marRight w:val="0"/>
      <w:marTop w:val="180"/>
      <w:marBottom w:val="180"/>
      <w:divBdr>
        <w:top w:val="none" w:sz="0" w:space="0" w:color="auto"/>
        <w:left w:val="none" w:sz="0" w:space="0" w:color="auto"/>
        <w:bottom w:val="none" w:sz="0" w:space="0" w:color="auto"/>
        <w:right w:val="none" w:sz="0" w:space="0" w:color="auto"/>
      </w:divBdr>
    </w:div>
    <w:div w:id="1010371537">
      <w:marLeft w:val="0"/>
      <w:marRight w:val="0"/>
      <w:marTop w:val="100"/>
      <w:marBottom w:val="100"/>
      <w:divBdr>
        <w:top w:val="none" w:sz="0" w:space="0" w:color="auto"/>
        <w:left w:val="none" w:sz="0" w:space="0" w:color="auto"/>
        <w:bottom w:val="none" w:sz="0" w:space="0" w:color="auto"/>
        <w:right w:val="none" w:sz="0" w:space="0" w:color="auto"/>
      </w:divBdr>
    </w:div>
    <w:div w:id="1010529236">
      <w:marLeft w:val="0"/>
      <w:marRight w:val="0"/>
      <w:marTop w:val="100"/>
      <w:marBottom w:val="100"/>
      <w:divBdr>
        <w:top w:val="none" w:sz="0" w:space="0" w:color="auto"/>
        <w:left w:val="none" w:sz="0" w:space="0" w:color="auto"/>
        <w:bottom w:val="none" w:sz="0" w:space="0" w:color="auto"/>
        <w:right w:val="none" w:sz="0" w:space="0" w:color="auto"/>
      </w:divBdr>
      <w:divsChild>
        <w:div w:id="324674007">
          <w:marLeft w:val="0"/>
          <w:marRight w:val="0"/>
          <w:marTop w:val="0"/>
          <w:marBottom w:val="0"/>
          <w:divBdr>
            <w:top w:val="none" w:sz="0" w:space="0" w:color="auto"/>
            <w:left w:val="none" w:sz="0" w:space="0" w:color="auto"/>
            <w:bottom w:val="none" w:sz="0" w:space="0" w:color="auto"/>
            <w:right w:val="none" w:sz="0" w:space="0" w:color="auto"/>
          </w:divBdr>
        </w:div>
        <w:div w:id="1459106234">
          <w:marLeft w:val="0"/>
          <w:marRight w:val="0"/>
          <w:marTop w:val="0"/>
          <w:marBottom w:val="0"/>
          <w:divBdr>
            <w:top w:val="none" w:sz="0" w:space="0" w:color="auto"/>
            <w:left w:val="none" w:sz="0" w:space="0" w:color="auto"/>
            <w:bottom w:val="none" w:sz="0" w:space="0" w:color="auto"/>
            <w:right w:val="none" w:sz="0" w:space="0" w:color="auto"/>
          </w:divBdr>
        </w:div>
        <w:div w:id="1366515143">
          <w:marLeft w:val="0"/>
          <w:marRight w:val="0"/>
          <w:marTop w:val="0"/>
          <w:marBottom w:val="0"/>
          <w:divBdr>
            <w:top w:val="none" w:sz="0" w:space="0" w:color="auto"/>
            <w:left w:val="none" w:sz="0" w:space="0" w:color="auto"/>
            <w:bottom w:val="none" w:sz="0" w:space="0" w:color="auto"/>
            <w:right w:val="none" w:sz="0" w:space="0" w:color="auto"/>
          </w:divBdr>
        </w:div>
        <w:div w:id="1211722586">
          <w:marLeft w:val="0"/>
          <w:marRight w:val="0"/>
          <w:marTop w:val="0"/>
          <w:marBottom w:val="0"/>
          <w:divBdr>
            <w:top w:val="none" w:sz="0" w:space="0" w:color="auto"/>
            <w:left w:val="none" w:sz="0" w:space="0" w:color="auto"/>
            <w:bottom w:val="none" w:sz="0" w:space="0" w:color="auto"/>
            <w:right w:val="none" w:sz="0" w:space="0" w:color="auto"/>
          </w:divBdr>
        </w:div>
        <w:div w:id="344017975">
          <w:marLeft w:val="0"/>
          <w:marRight w:val="0"/>
          <w:marTop w:val="0"/>
          <w:marBottom w:val="0"/>
          <w:divBdr>
            <w:top w:val="none" w:sz="0" w:space="0" w:color="auto"/>
            <w:left w:val="none" w:sz="0" w:space="0" w:color="auto"/>
            <w:bottom w:val="none" w:sz="0" w:space="0" w:color="auto"/>
            <w:right w:val="none" w:sz="0" w:space="0" w:color="auto"/>
          </w:divBdr>
        </w:div>
        <w:div w:id="1971664743">
          <w:marLeft w:val="0"/>
          <w:marRight w:val="0"/>
          <w:marTop w:val="0"/>
          <w:marBottom w:val="0"/>
          <w:divBdr>
            <w:top w:val="none" w:sz="0" w:space="0" w:color="auto"/>
            <w:left w:val="none" w:sz="0" w:space="0" w:color="auto"/>
            <w:bottom w:val="none" w:sz="0" w:space="0" w:color="auto"/>
            <w:right w:val="none" w:sz="0" w:space="0" w:color="auto"/>
          </w:divBdr>
        </w:div>
        <w:div w:id="1893151920">
          <w:marLeft w:val="0"/>
          <w:marRight w:val="0"/>
          <w:marTop w:val="0"/>
          <w:marBottom w:val="0"/>
          <w:divBdr>
            <w:top w:val="none" w:sz="0" w:space="0" w:color="auto"/>
            <w:left w:val="none" w:sz="0" w:space="0" w:color="auto"/>
            <w:bottom w:val="none" w:sz="0" w:space="0" w:color="auto"/>
            <w:right w:val="none" w:sz="0" w:space="0" w:color="auto"/>
          </w:divBdr>
        </w:div>
        <w:div w:id="1346252874">
          <w:marLeft w:val="0"/>
          <w:marRight w:val="0"/>
          <w:marTop w:val="0"/>
          <w:marBottom w:val="0"/>
          <w:divBdr>
            <w:top w:val="none" w:sz="0" w:space="0" w:color="auto"/>
            <w:left w:val="none" w:sz="0" w:space="0" w:color="auto"/>
            <w:bottom w:val="none" w:sz="0" w:space="0" w:color="auto"/>
            <w:right w:val="none" w:sz="0" w:space="0" w:color="auto"/>
          </w:divBdr>
        </w:div>
        <w:div w:id="314185544">
          <w:marLeft w:val="0"/>
          <w:marRight w:val="0"/>
          <w:marTop w:val="0"/>
          <w:marBottom w:val="0"/>
          <w:divBdr>
            <w:top w:val="none" w:sz="0" w:space="0" w:color="auto"/>
            <w:left w:val="none" w:sz="0" w:space="0" w:color="auto"/>
            <w:bottom w:val="none" w:sz="0" w:space="0" w:color="auto"/>
            <w:right w:val="none" w:sz="0" w:space="0" w:color="auto"/>
          </w:divBdr>
        </w:div>
        <w:div w:id="963315578">
          <w:marLeft w:val="0"/>
          <w:marRight w:val="0"/>
          <w:marTop w:val="0"/>
          <w:marBottom w:val="0"/>
          <w:divBdr>
            <w:top w:val="none" w:sz="0" w:space="0" w:color="auto"/>
            <w:left w:val="none" w:sz="0" w:space="0" w:color="auto"/>
            <w:bottom w:val="none" w:sz="0" w:space="0" w:color="auto"/>
            <w:right w:val="none" w:sz="0" w:space="0" w:color="auto"/>
          </w:divBdr>
        </w:div>
        <w:div w:id="1721787236">
          <w:marLeft w:val="0"/>
          <w:marRight w:val="0"/>
          <w:marTop w:val="0"/>
          <w:marBottom w:val="0"/>
          <w:divBdr>
            <w:top w:val="none" w:sz="0" w:space="0" w:color="auto"/>
            <w:left w:val="none" w:sz="0" w:space="0" w:color="auto"/>
            <w:bottom w:val="none" w:sz="0" w:space="0" w:color="auto"/>
            <w:right w:val="none" w:sz="0" w:space="0" w:color="auto"/>
          </w:divBdr>
        </w:div>
        <w:div w:id="641811573">
          <w:marLeft w:val="0"/>
          <w:marRight w:val="0"/>
          <w:marTop w:val="0"/>
          <w:marBottom w:val="0"/>
          <w:divBdr>
            <w:top w:val="none" w:sz="0" w:space="0" w:color="auto"/>
            <w:left w:val="none" w:sz="0" w:space="0" w:color="auto"/>
            <w:bottom w:val="none" w:sz="0" w:space="0" w:color="auto"/>
            <w:right w:val="none" w:sz="0" w:space="0" w:color="auto"/>
          </w:divBdr>
        </w:div>
        <w:div w:id="1461876795">
          <w:marLeft w:val="0"/>
          <w:marRight w:val="0"/>
          <w:marTop w:val="0"/>
          <w:marBottom w:val="0"/>
          <w:divBdr>
            <w:top w:val="none" w:sz="0" w:space="0" w:color="auto"/>
            <w:left w:val="none" w:sz="0" w:space="0" w:color="auto"/>
            <w:bottom w:val="none" w:sz="0" w:space="0" w:color="auto"/>
            <w:right w:val="none" w:sz="0" w:space="0" w:color="auto"/>
          </w:divBdr>
        </w:div>
        <w:div w:id="747650668">
          <w:marLeft w:val="0"/>
          <w:marRight w:val="0"/>
          <w:marTop w:val="0"/>
          <w:marBottom w:val="0"/>
          <w:divBdr>
            <w:top w:val="none" w:sz="0" w:space="0" w:color="auto"/>
            <w:left w:val="none" w:sz="0" w:space="0" w:color="auto"/>
            <w:bottom w:val="none" w:sz="0" w:space="0" w:color="auto"/>
            <w:right w:val="none" w:sz="0" w:space="0" w:color="auto"/>
          </w:divBdr>
        </w:div>
        <w:div w:id="1136218986">
          <w:marLeft w:val="0"/>
          <w:marRight w:val="0"/>
          <w:marTop w:val="0"/>
          <w:marBottom w:val="0"/>
          <w:divBdr>
            <w:top w:val="none" w:sz="0" w:space="0" w:color="auto"/>
            <w:left w:val="none" w:sz="0" w:space="0" w:color="auto"/>
            <w:bottom w:val="none" w:sz="0" w:space="0" w:color="auto"/>
            <w:right w:val="none" w:sz="0" w:space="0" w:color="auto"/>
          </w:divBdr>
        </w:div>
        <w:div w:id="762724080">
          <w:marLeft w:val="0"/>
          <w:marRight w:val="0"/>
          <w:marTop w:val="0"/>
          <w:marBottom w:val="0"/>
          <w:divBdr>
            <w:top w:val="none" w:sz="0" w:space="0" w:color="auto"/>
            <w:left w:val="none" w:sz="0" w:space="0" w:color="auto"/>
            <w:bottom w:val="none" w:sz="0" w:space="0" w:color="auto"/>
            <w:right w:val="none" w:sz="0" w:space="0" w:color="auto"/>
          </w:divBdr>
        </w:div>
        <w:div w:id="524952617">
          <w:marLeft w:val="0"/>
          <w:marRight w:val="0"/>
          <w:marTop w:val="0"/>
          <w:marBottom w:val="0"/>
          <w:divBdr>
            <w:top w:val="none" w:sz="0" w:space="0" w:color="auto"/>
            <w:left w:val="none" w:sz="0" w:space="0" w:color="auto"/>
            <w:bottom w:val="none" w:sz="0" w:space="0" w:color="auto"/>
            <w:right w:val="none" w:sz="0" w:space="0" w:color="auto"/>
          </w:divBdr>
        </w:div>
        <w:div w:id="1531605208">
          <w:marLeft w:val="0"/>
          <w:marRight w:val="0"/>
          <w:marTop w:val="0"/>
          <w:marBottom w:val="0"/>
          <w:divBdr>
            <w:top w:val="none" w:sz="0" w:space="0" w:color="auto"/>
            <w:left w:val="none" w:sz="0" w:space="0" w:color="auto"/>
            <w:bottom w:val="none" w:sz="0" w:space="0" w:color="auto"/>
            <w:right w:val="none" w:sz="0" w:space="0" w:color="auto"/>
          </w:divBdr>
        </w:div>
        <w:div w:id="993332708">
          <w:marLeft w:val="0"/>
          <w:marRight w:val="0"/>
          <w:marTop w:val="0"/>
          <w:marBottom w:val="0"/>
          <w:divBdr>
            <w:top w:val="none" w:sz="0" w:space="0" w:color="auto"/>
            <w:left w:val="none" w:sz="0" w:space="0" w:color="auto"/>
            <w:bottom w:val="none" w:sz="0" w:space="0" w:color="auto"/>
            <w:right w:val="none" w:sz="0" w:space="0" w:color="auto"/>
          </w:divBdr>
        </w:div>
        <w:div w:id="42605721">
          <w:marLeft w:val="0"/>
          <w:marRight w:val="0"/>
          <w:marTop w:val="0"/>
          <w:marBottom w:val="0"/>
          <w:divBdr>
            <w:top w:val="none" w:sz="0" w:space="0" w:color="auto"/>
            <w:left w:val="none" w:sz="0" w:space="0" w:color="auto"/>
            <w:bottom w:val="none" w:sz="0" w:space="0" w:color="auto"/>
            <w:right w:val="none" w:sz="0" w:space="0" w:color="auto"/>
          </w:divBdr>
        </w:div>
        <w:div w:id="456262239">
          <w:marLeft w:val="0"/>
          <w:marRight w:val="0"/>
          <w:marTop w:val="0"/>
          <w:marBottom w:val="0"/>
          <w:divBdr>
            <w:top w:val="none" w:sz="0" w:space="0" w:color="auto"/>
            <w:left w:val="none" w:sz="0" w:space="0" w:color="auto"/>
            <w:bottom w:val="none" w:sz="0" w:space="0" w:color="auto"/>
            <w:right w:val="none" w:sz="0" w:space="0" w:color="auto"/>
          </w:divBdr>
        </w:div>
        <w:div w:id="1851604110">
          <w:marLeft w:val="0"/>
          <w:marRight w:val="0"/>
          <w:marTop w:val="0"/>
          <w:marBottom w:val="0"/>
          <w:divBdr>
            <w:top w:val="none" w:sz="0" w:space="0" w:color="auto"/>
            <w:left w:val="none" w:sz="0" w:space="0" w:color="auto"/>
            <w:bottom w:val="none" w:sz="0" w:space="0" w:color="auto"/>
            <w:right w:val="none" w:sz="0" w:space="0" w:color="auto"/>
          </w:divBdr>
        </w:div>
        <w:div w:id="537817002">
          <w:marLeft w:val="0"/>
          <w:marRight w:val="0"/>
          <w:marTop w:val="0"/>
          <w:marBottom w:val="0"/>
          <w:divBdr>
            <w:top w:val="none" w:sz="0" w:space="0" w:color="auto"/>
            <w:left w:val="none" w:sz="0" w:space="0" w:color="auto"/>
            <w:bottom w:val="none" w:sz="0" w:space="0" w:color="auto"/>
            <w:right w:val="none" w:sz="0" w:space="0" w:color="auto"/>
          </w:divBdr>
        </w:div>
        <w:div w:id="2072920572">
          <w:marLeft w:val="0"/>
          <w:marRight w:val="0"/>
          <w:marTop w:val="0"/>
          <w:marBottom w:val="0"/>
          <w:divBdr>
            <w:top w:val="none" w:sz="0" w:space="0" w:color="auto"/>
            <w:left w:val="none" w:sz="0" w:space="0" w:color="auto"/>
            <w:bottom w:val="none" w:sz="0" w:space="0" w:color="auto"/>
            <w:right w:val="none" w:sz="0" w:space="0" w:color="auto"/>
          </w:divBdr>
        </w:div>
        <w:div w:id="107359803">
          <w:marLeft w:val="0"/>
          <w:marRight w:val="0"/>
          <w:marTop w:val="0"/>
          <w:marBottom w:val="0"/>
          <w:divBdr>
            <w:top w:val="none" w:sz="0" w:space="0" w:color="auto"/>
            <w:left w:val="none" w:sz="0" w:space="0" w:color="auto"/>
            <w:bottom w:val="none" w:sz="0" w:space="0" w:color="auto"/>
            <w:right w:val="none" w:sz="0" w:space="0" w:color="auto"/>
          </w:divBdr>
        </w:div>
        <w:div w:id="499345549">
          <w:marLeft w:val="0"/>
          <w:marRight w:val="0"/>
          <w:marTop w:val="0"/>
          <w:marBottom w:val="0"/>
          <w:divBdr>
            <w:top w:val="none" w:sz="0" w:space="0" w:color="auto"/>
            <w:left w:val="none" w:sz="0" w:space="0" w:color="auto"/>
            <w:bottom w:val="none" w:sz="0" w:space="0" w:color="auto"/>
            <w:right w:val="none" w:sz="0" w:space="0" w:color="auto"/>
          </w:divBdr>
        </w:div>
        <w:div w:id="358285468">
          <w:marLeft w:val="0"/>
          <w:marRight w:val="0"/>
          <w:marTop w:val="0"/>
          <w:marBottom w:val="0"/>
          <w:divBdr>
            <w:top w:val="none" w:sz="0" w:space="0" w:color="auto"/>
            <w:left w:val="none" w:sz="0" w:space="0" w:color="auto"/>
            <w:bottom w:val="none" w:sz="0" w:space="0" w:color="auto"/>
            <w:right w:val="none" w:sz="0" w:space="0" w:color="auto"/>
          </w:divBdr>
        </w:div>
        <w:div w:id="1804226973">
          <w:marLeft w:val="0"/>
          <w:marRight w:val="0"/>
          <w:marTop w:val="0"/>
          <w:marBottom w:val="0"/>
          <w:divBdr>
            <w:top w:val="none" w:sz="0" w:space="0" w:color="auto"/>
            <w:left w:val="none" w:sz="0" w:space="0" w:color="auto"/>
            <w:bottom w:val="none" w:sz="0" w:space="0" w:color="auto"/>
            <w:right w:val="none" w:sz="0" w:space="0" w:color="auto"/>
          </w:divBdr>
        </w:div>
        <w:div w:id="605424540">
          <w:marLeft w:val="0"/>
          <w:marRight w:val="0"/>
          <w:marTop w:val="0"/>
          <w:marBottom w:val="0"/>
          <w:divBdr>
            <w:top w:val="none" w:sz="0" w:space="0" w:color="auto"/>
            <w:left w:val="none" w:sz="0" w:space="0" w:color="auto"/>
            <w:bottom w:val="none" w:sz="0" w:space="0" w:color="auto"/>
            <w:right w:val="none" w:sz="0" w:space="0" w:color="auto"/>
          </w:divBdr>
        </w:div>
        <w:div w:id="1683579906">
          <w:marLeft w:val="0"/>
          <w:marRight w:val="0"/>
          <w:marTop w:val="0"/>
          <w:marBottom w:val="0"/>
          <w:divBdr>
            <w:top w:val="none" w:sz="0" w:space="0" w:color="auto"/>
            <w:left w:val="none" w:sz="0" w:space="0" w:color="auto"/>
            <w:bottom w:val="none" w:sz="0" w:space="0" w:color="auto"/>
            <w:right w:val="none" w:sz="0" w:space="0" w:color="auto"/>
          </w:divBdr>
        </w:div>
        <w:div w:id="993990173">
          <w:marLeft w:val="0"/>
          <w:marRight w:val="0"/>
          <w:marTop w:val="0"/>
          <w:marBottom w:val="0"/>
          <w:divBdr>
            <w:top w:val="none" w:sz="0" w:space="0" w:color="auto"/>
            <w:left w:val="none" w:sz="0" w:space="0" w:color="auto"/>
            <w:bottom w:val="none" w:sz="0" w:space="0" w:color="auto"/>
            <w:right w:val="none" w:sz="0" w:space="0" w:color="auto"/>
          </w:divBdr>
        </w:div>
        <w:div w:id="1986425572">
          <w:marLeft w:val="0"/>
          <w:marRight w:val="0"/>
          <w:marTop w:val="0"/>
          <w:marBottom w:val="0"/>
          <w:divBdr>
            <w:top w:val="none" w:sz="0" w:space="0" w:color="auto"/>
            <w:left w:val="none" w:sz="0" w:space="0" w:color="auto"/>
            <w:bottom w:val="none" w:sz="0" w:space="0" w:color="auto"/>
            <w:right w:val="none" w:sz="0" w:space="0" w:color="auto"/>
          </w:divBdr>
        </w:div>
        <w:div w:id="1280600685">
          <w:marLeft w:val="0"/>
          <w:marRight w:val="0"/>
          <w:marTop w:val="0"/>
          <w:marBottom w:val="0"/>
          <w:divBdr>
            <w:top w:val="none" w:sz="0" w:space="0" w:color="auto"/>
            <w:left w:val="none" w:sz="0" w:space="0" w:color="auto"/>
            <w:bottom w:val="none" w:sz="0" w:space="0" w:color="auto"/>
            <w:right w:val="none" w:sz="0" w:space="0" w:color="auto"/>
          </w:divBdr>
        </w:div>
        <w:div w:id="27530896">
          <w:marLeft w:val="0"/>
          <w:marRight w:val="0"/>
          <w:marTop w:val="0"/>
          <w:marBottom w:val="0"/>
          <w:divBdr>
            <w:top w:val="none" w:sz="0" w:space="0" w:color="auto"/>
            <w:left w:val="none" w:sz="0" w:space="0" w:color="auto"/>
            <w:bottom w:val="none" w:sz="0" w:space="0" w:color="auto"/>
            <w:right w:val="none" w:sz="0" w:space="0" w:color="auto"/>
          </w:divBdr>
        </w:div>
        <w:div w:id="359473200">
          <w:marLeft w:val="0"/>
          <w:marRight w:val="0"/>
          <w:marTop w:val="0"/>
          <w:marBottom w:val="0"/>
          <w:divBdr>
            <w:top w:val="none" w:sz="0" w:space="0" w:color="auto"/>
            <w:left w:val="none" w:sz="0" w:space="0" w:color="auto"/>
            <w:bottom w:val="none" w:sz="0" w:space="0" w:color="auto"/>
            <w:right w:val="none" w:sz="0" w:space="0" w:color="auto"/>
          </w:divBdr>
        </w:div>
        <w:div w:id="1355426463">
          <w:marLeft w:val="0"/>
          <w:marRight w:val="0"/>
          <w:marTop w:val="0"/>
          <w:marBottom w:val="0"/>
          <w:divBdr>
            <w:top w:val="none" w:sz="0" w:space="0" w:color="auto"/>
            <w:left w:val="none" w:sz="0" w:space="0" w:color="auto"/>
            <w:bottom w:val="none" w:sz="0" w:space="0" w:color="auto"/>
            <w:right w:val="none" w:sz="0" w:space="0" w:color="auto"/>
          </w:divBdr>
        </w:div>
        <w:div w:id="957447654">
          <w:marLeft w:val="0"/>
          <w:marRight w:val="0"/>
          <w:marTop w:val="0"/>
          <w:marBottom w:val="0"/>
          <w:divBdr>
            <w:top w:val="none" w:sz="0" w:space="0" w:color="auto"/>
            <w:left w:val="none" w:sz="0" w:space="0" w:color="auto"/>
            <w:bottom w:val="none" w:sz="0" w:space="0" w:color="auto"/>
            <w:right w:val="none" w:sz="0" w:space="0" w:color="auto"/>
          </w:divBdr>
        </w:div>
        <w:div w:id="534273830">
          <w:marLeft w:val="0"/>
          <w:marRight w:val="0"/>
          <w:marTop w:val="0"/>
          <w:marBottom w:val="0"/>
          <w:divBdr>
            <w:top w:val="none" w:sz="0" w:space="0" w:color="auto"/>
            <w:left w:val="none" w:sz="0" w:space="0" w:color="auto"/>
            <w:bottom w:val="none" w:sz="0" w:space="0" w:color="auto"/>
            <w:right w:val="none" w:sz="0" w:space="0" w:color="auto"/>
          </w:divBdr>
        </w:div>
        <w:div w:id="1739935658">
          <w:marLeft w:val="0"/>
          <w:marRight w:val="0"/>
          <w:marTop w:val="0"/>
          <w:marBottom w:val="0"/>
          <w:divBdr>
            <w:top w:val="none" w:sz="0" w:space="0" w:color="auto"/>
            <w:left w:val="none" w:sz="0" w:space="0" w:color="auto"/>
            <w:bottom w:val="none" w:sz="0" w:space="0" w:color="auto"/>
            <w:right w:val="none" w:sz="0" w:space="0" w:color="auto"/>
          </w:divBdr>
        </w:div>
        <w:div w:id="1157844492">
          <w:marLeft w:val="0"/>
          <w:marRight w:val="0"/>
          <w:marTop w:val="0"/>
          <w:marBottom w:val="0"/>
          <w:divBdr>
            <w:top w:val="none" w:sz="0" w:space="0" w:color="auto"/>
            <w:left w:val="none" w:sz="0" w:space="0" w:color="auto"/>
            <w:bottom w:val="none" w:sz="0" w:space="0" w:color="auto"/>
            <w:right w:val="none" w:sz="0" w:space="0" w:color="auto"/>
          </w:divBdr>
        </w:div>
        <w:div w:id="1152605411">
          <w:marLeft w:val="0"/>
          <w:marRight w:val="0"/>
          <w:marTop w:val="0"/>
          <w:marBottom w:val="0"/>
          <w:divBdr>
            <w:top w:val="none" w:sz="0" w:space="0" w:color="auto"/>
            <w:left w:val="none" w:sz="0" w:space="0" w:color="auto"/>
            <w:bottom w:val="none" w:sz="0" w:space="0" w:color="auto"/>
            <w:right w:val="none" w:sz="0" w:space="0" w:color="auto"/>
          </w:divBdr>
        </w:div>
        <w:div w:id="119036341">
          <w:marLeft w:val="0"/>
          <w:marRight w:val="0"/>
          <w:marTop w:val="0"/>
          <w:marBottom w:val="0"/>
          <w:divBdr>
            <w:top w:val="none" w:sz="0" w:space="0" w:color="auto"/>
            <w:left w:val="none" w:sz="0" w:space="0" w:color="auto"/>
            <w:bottom w:val="none" w:sz="0" w:space="0" w:color="auto"/>
            <w:right w:val="none" w:sz="0" w:space="0" w:color="auto"/>
          </w:divBdr>
        </w:div>
        <w:div w:id="652949451">
          <w:marLeft w:val="0"/>
          <w:marRight w:val="0"/>
          <w:marTop w:val="0"/>
          <w:marBottom w:val="0"/>
          <w:divBdr>
            <w:top w:val="none" w:sz="0" w:space="0" w:color="auto"/>
            <w:left w:val="none" w:sz="0" w:space="0" w:color="auto"/>
            <w:bottom w:val="none" w:sz="0" w:space="0" w:color="auto"/>
            <w:right w:val="none" w:sz="0" w:space="0" w:color="auto"/>
          </w:divBdr>
        </w:div>
        <w:div w:id="12191079">
          <w:marLeft w:val="0"/>
          <w:marRight w:val="0"/>
          <w:marTop w:val="0"/>
          <w:marBottom w:val="0"/>
          <w:divBdr>
            <w:top w:val="none" w:sz="0" w:space="0" w:color="auto"/>
            <w:left w:val="none" w:sz="0" w:space="0" w:color="auto"/>
            <w:bottom w:val="none" w:sz="0" w:space="0" w:color="auto"/>
            <w:right w:val="none" w:sz="0" w:space="0" w:color="auto"/>
          </w:divBdr>
        </w:div>
        <w:div w:id="1486625246">
          <w:marLeft w:val="0"/>
          <w:marRight w:val="0"/>
          <w:marTop w:val="0"/>
          <w:marBottom w:val="0"/>
          <w:divBdr>
            <w:top w:val="none" w:sz="0" w:space="0" w:color="auto"/>
            <w:left w:val="none" w:sz="0" w:space="0" w:color="auto"/>
            <w:bottom w:val="none" w:sz="0" w:space="0" w:color="auto"/>
            <w:right w:val="none" w:sz="0" w:space="0" w:color="auto"/>
          </w:divBdr>
        </w:div>
        <w:div w:id="1954745634">
          <w:marLeft w:val="0"/>
          <w:marRight w:val="0"/>
          <w:marTop w:val="0"/>
          <w:marBottom w:val="0"/>
          <w:divBdr>
            <w:top w:val="none" w:sz="0" w:space="0" w:color="auto"/>
            <w:left w:val="none" w:sz="0" w:space="0" w:color="auto"/>
            <w:bottom w:val="none" w:sz="0" w:space="0" w:color="auto"/>
            <w:right w:val="none" w:sz="0" w:space="0" w:color="auto"/>
          </w:divBdr>
        </w:div>
        <w:div w:id="1872643805">
          <w:marLeft w:val="0"/>
          <w:marRight w:val="0"/>
          <w:marTop w:val="0"/>
          <w:marBottom w:val="0"/>
          <w:divBdr>
            <w:top w:val="none" w:sz="0" w:space="0" w:color="auto"/>
            <w:left w:val="none" w:sz="0" w:space="0" w:color="auto"/>
            <w:bottom w:val="none" w:sz="0" w:space="0" w:color="auto"/>
            <w:right w:val="none" w:sz="0" w:space="0" w:color="auto"/>
          </w:divBdr>
        </w:div>
        <w:div w:id="927274430">
          <w:marLeft w:val="0"/>
          <w:marRight w:val="0"/>
          <w:marTop w:val="0"/>
          <w:marBottom w:val="0"/>
          <w:divBdr>
            <w:top w:val="none" w:sz="0" w:space="0" w:color="auto"/>
            <w:left w:val="none" w:sz="0" w:space="0" w:color="auto"/>
            <w:bottom w:val="none" w:sz="0" w:space="0" w:color="auto"/>
            <w:right w:val="none" w:sz="0" w:space="0" w:color="auto"/>
          </w:divBdr>
        </w:div>
        <w:div w:id="536625573">
          <w:marLeft w:val="0"/>
          <w:marRight w:val="0"/>
          <w:marTop w:val="0"/>
          <w:marBottom w:val="0"/>
          <w:divBdr>
            <w:top w:val="none" w:sz="0" w:space="0" w:color="auto"/>
            <w:left w:val="none" w:sz="0" w:space="0" w:color="auto"/>
            <w:bottom w:val="none" w:sz="0" w:space="0" w:color="auto"/>
            <w:right w:val="none" w:sz="0" w:space="0" w:color="auto"/>
          </w:divBdr>
        </w:div>
        <w:div w:id="1635527926">
          <w:marLeft w:val="0"/>
          <w:marRight w:val="0"/>
          <w:marTop w:val="0"/>
          <w:marBottom w:val="0"/>
          <w:divBdr>
            <w:top w:val="none" w:sz="0" w:space="0" w:color="auto"/>
            <w:left w:val="none" w:sz="0" w:space="0" w:color="auto"/>
            <w:bottom w:val="none" w:sz="0" w:space="0" w:color="auto"/>
            <w:right w:val="none" w:sz="0" w:space="0" w:color="auto"/>
          </w:divBdr>
        </w:div>
      </w:divsChild>
    </w:div>
    <w:div w:id="1011370827">
      <w:marLeft w:val="0"/>
      <w:marRight w:val="0"/>
      <w:marTop w:val="180"/>
      <w:marBottom w:val="180"/>
      <w:divBdr>
        <w:top w:val="none" w:sz="0" w:space="0" w:color="auto"/>
        <w:left w:val="none" w:sz="0" w:space="0" w:color="auto"/>
        <w:bottom w:val="none" w:sz="0" w:space="0" w:color="auto"/>
        <w:right w:val="none" w:sz="0" w:space="0" w:color="auto"/>
      </w:divBdr>
    </w:div>
    <w:div w:id="1012757908">
      <w:marLeft w:val="0"/>
      <w:marRight w:val="0"/>
      <w:marTop w:val="180"/>
      <w:marBottom w:val="180"/>
      <w:divBdr>
        <w:top w:val="none" w:sz="0" w:space="0" w:color="auto"/>
        <w:left w:val="none" w:sz="0" w:space="0" w:color="auto"/>
        <w:bottom w:val="none" w:sz="0" w:space="0" w:color="auto"/>
        <w:right w:val="none" w:sz="0" w:space="0" w:color="auto"/>
      </w:divBdr>
    </w:div>
    <w:div w:id="1013722202">
      <w:marLeft w:val="0"/>
      <w:marRight w:val="0"/>
      <w:marTop w:val="300"/>
      <w:marBottom w:val="100"/>
      <w:divBdr>
        <w:top w:val="none" w:sz="0" w:space="0" w:color="auto"/>
        <w:left w:val="none" w:sz="0" w:space="0" w:color="auto"/>
        <w:bottom w:val="none" w:sz="0" w:space="0" w:color="auto"/>
        <w:right w:val="none" w:sz="0" w:space="0" w:color="auto"/>
      </w:divBdr>
    </w:div>
    <w:div w:id="1013848542">
      <w:marLeft w:val="0"/>
      <w:marRight w:val="0"/>
      <w:marTop w:val="0"/>
      <w:marBottom w:val="0"/>
      <w:divBdr>
        <w:top w:val="none" w:sz="0" w:space="0" w:color="auto"/>
        <w:left w:val="none" w:sz="0" w:space="0" w:color="auto"/>
        <w:bottom w:val="none" w:sz="0" w:space="0" w:color="auto"/>
        <w:right w:val="none" w:sz="0" w:space="0" w:color="auto"/>
      </w:divBdr>
      <w:divsChild>
        <w:div w:id="732702507">
          <w:marLeft w:val="0"/>
          <w:marRight w:val="0"/>
          <w:marTop w:val="180"/>
          <w:marBottom w:val="180"/>
          <w:divBdr>
            <w:top w:val="none" w:sz="0" w:space="0" w:color="auto"/>
            <w:left w:val="none" w:sz="0" w:space="0" w:color="auto"/>
            <w:bottom w:val="none" w:sz="0" w:space="0" w:color="auto"/>
            <w:right w:val="none" w:sz="0" w:space="0" w:color="auto"/>
          </w:divBdr>
        </w:div>
      </w:divsChild>
    </w:div>
    <w:div w:id="1013874164">
      <w:marLeft w:val="0"/>
      <w:marRight w:val="0"/>
      <w:marTop w:val="180"/>
      <w:marBottom w:val="180"/>
      <w:divBdr>
        <w:top w:val="none" w:sz="0" w:space="0" w:color="auto"/>
        <w:left w:val="none" w:sz="0" w:space="0" w:color="auto"/>
        <w:bottom w:val="none" w:sz="0" w:space="0" w:color="auto"/>
        <w:right w:val="none" w:sz="0" w:space="0" w:color="auto"/>
      </w:divBdr>
    </w:div>
    <w:div w:id="1014110814">
      <w:marLeft w:val="0"/>
      <w:marRight w:val="0"/>
      <w:marTop w:val="180"/>
      <w:marBottom w:val="180"/>
      <w:divBdr>
        <w:top w:val="none" w:sz="0" w:space="0" w:color="auto"/>
        <w:left w:val="none" w:sz="0" w:space="0" w:color="auto"/>
        <w:bottom w:val="none" w:sz="0" w:space="0" w:color="auto"/>
        <w:right w:val="none" w:sz="0" w:space="0" w:color="auto"/>
      </w:divBdr>
    </w:div>
    <w:div w:id="1015767059">
      <w:marLeft w:val="0"/>
      <w:marRight w:val="0"/>
      <w:marTop w:val="180"/>
      <w:marBottom w:val="180"/>
      <w:divBdr>
        <w:top w:val="none" w:sz="0" w:space="0" w:color="auto"/>
        <w:left w:val="none" w:sz="0" w:space="0" w:color="auto"/>
        <w:bottom w:val="none" w:sz="0" w:space="0" w:color="auto"/>
        <w:right w:val="none" w:sz="0" w:space="0" w:color="auto"/>
      </w:divBdr>
    </w:div>
    <w:div w:id="1016034927">
      <w:marLeft w:val="0"/>
      <w:marRight w:val="0"/>
      <w:marTop w:val="0"/>
      <w:marBottom w:val="0"/>
      <w:divBdr>
        <w:top w:val="none" w:sz="0" w:space="0" w:color="auto"/>
        <w:left w:val="none" w:sz="0" w:space="0" w:color="auto"/>
        <w:bottom w:val="none" w:sz="0" w:space="0" w:color="auto"/>
        <w:right w:val="none" w:sz="0" w:space="0" w:color="auto"/>
      </w:divBdr>
      <w:divsChild>
        <w:div w:id="1719552367">
          <w:marLeft w:val="0"/>
          <w:marRight w:val="0"/>
          <w:marTop w:val="0"/>
          <w:marBottom w:val="0"/>
          <w:divBdr>
            <w:top w:val="none" w:sz="0" w:space="0" w:color="auto"/>
            <w:left w:val="none" w:sz="0" w:space="0" w:color="auto"/>
            <w:bottom w:val="none" w:sz="0" w:space="0" w:color="auto"/>
            <w:right w:val="none" w:sz="0" w:space="0" w:color="auto"/>
          </w:divBdr>
          <w:divsChild>
            <w:div w:id="7221714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6275620">
      <w:marLeft w:val="0"/>
      <w:marRight w:val="0"/>
      <w:marTop w:val="180"/>
      <w:marBottom w:val="180"/>
      <w:divBdr>
        <w:top w:val="none" w:sz="0" w:space="0" w:color="auto"/>
        <w:left w:val="none" w:sz="0" w:space="0" w:color="auto"/>
        <w:bottom w:val="none" w:sz="0" w:space="0" w:color="auto"/>
        <w:right w:val="none" w:sz="0" w:space="0" w:color="auto"/>
      </w:divBdr>
    </w:div>
    <w:div w:id="1016734698">
      <w:marLeft w:val="0"/>
      <w:marRight w:val="0"/>
      <w:marTop w:val="180"/>
      <w:marBottom w:val="180"/>
      <w:divBdr>
        <w:top w:val="none" w:sz="0" w:space="0" w:color="auto"/>
        <w:left w:val="none" w:sz="0" w:space="0" w:color="auto"/>
        <w:bottom w:val="none" w:sz="0" w:space="0" w:color="auto"/>
        <w:right w:val="none" w:sz="0" w:space="0" w:color="auto"/>
      </w:divBdr>
    </w:div>
    <w:div w:id="1017001998">
      <w:marLeft w:val="0"/>
      <w:marRight w:val="0"/>
      <w:marTop w:val="180"/>
      <w:marBottom w:val="180"/>
      <w:divBdr>
        <w:top w:val="none" w:sz="0" w:space="0" w:color="auto"/>
        <w:left w:val="none" w:sz="0" w:space="0" w:color="auto"/>
        <w:bottom w:val="none" w:sz="0" w:space="0" w:color="auto"/>
        <w:right w:val="none" w:sz="0" w:space="0" w:color="auto"/>
      </w:divBdr>
    </w:div>
    <w:div w:id="1017735059">
      <w:marLeft w:val="0"/>
      <w:marRight w:val="0"/>
      <w:marTop w:val="180"/>
      <w:marBottom w:val="180"/>
      <w:divBdr>
        <w:top w:val="none" w:sz="0" w:space="0" w:color="auto"/>
        <w:left w:val="none" w:sz="0" w:space="0" w:color="auto"/>
        <w:bottom w:val="none" w:sz="0" w:space="0" w:color="auto"/>
        <w:right w:val="none" w:sz="0" w:space="0" w:color="auto"/>
      </w:divBdr>
    </w:div>
    <w:div w:id="1017922756">
      <w:marLeft w:val="0"/>
      <w:marRight w:val="0"/>
      <w:marTop w:val="180"/>
      <w:marBottom w:val="180"/>
      <w:divBdr>
        <w:top w:val="none" w:sz="0" w:space="0" w:color="auto"/>
        <w:left w:val="none" w:sz="0" w:space="0" w:color="auto"/>
        <w:bottom w:val="none" w:sz="0" w:space="0" w:color="auto"/>
        <w:right w:val="none" w:sz="0" w:space="0" w:color="auto"/>
      </w:divBdr>
    </w:div>
    <w:div w:id="1017928620">
      <w:marLeft w:val="0"/>
      <w:marRight w:val="0"/>
      <w:marTop w:val="0"/>
      <w:marBottom w:val="0"/>
      <w:divBdr>
        <w:top w:val="none" w:sz="0" w:space="0" w:color="auto"/>
        <w:left w:val="none" w:sz="0" w:space="0" w:color="auto"/>
        <w:bottom w:val="none" w:sz="0" w:space="0" w:color="auto"/>
        <w:right w:val="none" w:sz="0" w:space="0" w:color="auto"/>
      </w:divBdr>
    </w:div>
    <w:div w:id="1019550829">
      <w:marLeft w:val="0"/>
      <w:marRight w:val="0"/>
      <w:marTop w:val="180"/>
      <w:marBottom w:val="180"/>
      <w:divBdr>
        <w:top w:val="none" w:sz="0" w:space="0" w:color="auto"/>
        <w:left w:val="none" w:sz="0" w:space="0" w:color="auto"/>
        <w:bottom w:val="none" w:sz="0" w:space="0" w:color="auto"/>
        <w:right w:val="none" w:sz="0" w:space="0" w:color="auto"/>
      </w:divBdr>
    </w:div>
    <w:div w:id="1020670036">
      <w:marLeft w:val="0"/>
      <w:marRight w:val="0"/>
      <w:marTop w:val="60"/>
      <w:marBottom w:val="60"/>
      <w:divBdr>
        <w:top w:val="none" w:sz="0" w:space="0" w:color="auto"/>
        <w:left w:val="none" w:sz="0" w:space="0" w:color="auto"/>
        <w:bottom w:val="none" w:sz="0" w:space="0" w:color="auto"/>
        <w:right w:val="none" w:sz="0" w:space="0" w:color="auto"/>
      </w:divBdr>
    </w:div>
    <w:div w:id="1021468590">
      <w:marLeft w:val="0"/>
      <w:marRight w:val="0"/>
      <w:marTop w:val="100"/>
      <w:marBottom w:val="100"/>
      <w:divBdr>
        <w:top w:val="none" w:sz="0" w:space="0" w:color="auto"/>
        <w:left w:val="none" w:sz="0" w:space="0" w:color="auto"/>
        <w:bottom w:val="none" w:sz="0" w:space="0" w:color="auto"/>
        <w:right w:val="none" w:sz="0" w:space="0" w:color="auto"/>
      </w:divBdr>
    </w:div>
    <w:div w:id="1022705644">
      <w:marLeft w:val="0"/>
      <w:marRight w:val="0"/>
      <w:marTop w:val="180"/>
      <w:marBottom w:val="180"/>
      <w:divBdr>
        <w:top w:val="none" w:sz="0" w:space="0" w:color="auto"/>
        <w:left w:val="none" w:sz="0" w:space="0" w:color="auto"/>
        <w:bottom w:val="none" w:sz="0" w:space="0" w:color="auto"/>
        <w:right w:val="none" w:sz="0" w:space="0" w:color="auto"/>
      </w:divBdr>
    </w:div>
    <w:div w:id="1026100769">
      <w:marLeft w:val="0"/>
      <w:marRight w:val="0"/>
      <w:marTop w:val="60"/>
      <w:marBottom w:val="60"/>
      <w:divBdr>
        <w:top w:val="none" w:sz="0" w:space="0" w:color="auto"/>
        <w:left w:val="none" w:sz="0" w:space="0" w:color="auto"/>
        <w:bottom w:val="none" w:sz="0" w:space="0" w:color="auto"/>
        <w:right w:val="none" w:sz="0" w:space="0" w:color="auto"/>
      </w:divBdr>
    </w:div>
    <w:div w:id="1026636832">
      <w:marLeft w:val="0"/>
      <w:marRight w:val="0"/>
      <w:marTop w:val="180"/>
      <w:marBottom w:val="180"/>
      <w:divBdr>
        <w:top w:val="none" w:sz="0" w:space="0" w:color="auto"/>
        <w:left w:val="none" w:sz="0" w:space="0" w:color="auto"/>
        <w:bottom w:val="none" w:sz="0" w:space="0" w:color="auto"/>
        <w:right w:val="none" w:sz="0" w:space="0" w:color="auto"/>
      </w:divBdr>
    </w:div>
    <w:div w:id="1026831504">
      <w:marLeft w:val="0"/>
      <w:marRight w:val="0"/>
      <w:marTop w:val="180"/>
      <w:marBottom w:val="180"/>
      <w:divBdr>
        <w:top w:val="none" w:sz="0" w:space="0" w:color="auto"/>
        <w:left w:val="none" w:sz="0" w:space="0" w:color="auto"/>
        <w:bottom w:val="none" w:sz="0" w:space="0" w:color="auto"/>
        <w:right w:val="none" w:sz="0" w:space="0" w:color="auto"/>
      </w:divBdr>
    </w:div>
    <w:div w:id="1028063954">
      <w:marLeft w:val="0"/>
      <w:marRight w:val="0"/>
      <w:marTop w:val="180"/>
      <w:marBottom w:val="0"/>
      <w:divBdr>
        <w:top w:val="none" w:sz="0" w:space="0" w:color="auto"/>
        <w:left w:val="none" w:sz="0" w:space="0" w:color="auto"/>
        <w:bottom w:val="none" w:sz="0" w:space="0" w:color="auto"/>
        <w:right w:val="none" w:sz="0" w:space="0" w:color="auto"/>
      </w:divBdr>
    </w:div>
    <w:div w:id="1028220715">
      <w:marLeft w:val="0"/>
      <w:marRight w:val="0"/>
      <w:marTop w:val="60"/>
      <w:marBottom w:val="60"/>
      <w:divBdr>
        <w:top w:val="none" w:sz="0" w:space="0" w:color="auto"/>
        <w:left w:val="none" w:sz="0" w:space="0" w:color="auto"/>
        <w:bottom w:val="none" w:sz="0" w:space="0" w:color="auto"/>
        <w:right w:val="none" w:sz="0" w:space="0" w:color="auto"/>
      </w:divBdr>
      <w:divsChild>
        <w:div w:id="674770659">
          <w:marLeft w:val="0"/>
          <w:marRight w:val="0"/>
          <w:marTop w:val="0"/>
          <w:marBottom w:val="0"/>
          <w:divBdr>
            <w:top w:val="none" w:sz="0" w:space="0" w:color="auto"/>
            <w:left w:val="none" w:sz="0" w:space="0" w:color="auto"/>
            <w:bottom w:val="none" w:sz="0" w:space="0" w:color="auto"/>
            <w:right w:val="none" w:sz="0" w:space="0" w:color="auto"/>
          </w:divBdr>
        </w:div>
        <w:div w:id="1626302987">
          <w:marLeft w:val="0"/>
          <w:marRight w:val="0"/>
          <w:marTop w:val="0"/>
          <w:marBottom w:val="0"/>
          <w:divBdr>
            <w:top w:val="none" w:sz="0" w:space="0" w:color="auto"/>
            <w:left w:val="none" w:sz="0" w:space="0" w:color="auto"/>
            <w:bottom w:val="none" w:sz="0" w:space="0" w:color="auto"/>
            <w:right w:val="none" w:sz="0" w:space="0" w:color="auto"/>
          </w:divBdr>
        </w:div>
        <w:div w:id="1315454972">
          <w:marLeft w:val="0"/>
          <w:marRight w:val="0"/>
          <w:marTop w:val="0"/>
          <w:marBottom w:val="0"/>
          <w:divBdr>
            <w:top w:val="none" w:sz="0" w:space="0" w:color="auto"/>
            <w:left w:val="none" w:sz="0" w:space="0" w:color="auto"/>
            <w:bottom w:val="none" w:sz="0" w:space="0" w:color="auto"/>
            <w:right w:val="none" w:sz="0" w:space="0" w:color="auto"/>
          </w:divBdr>
        </w:div>
        <w:div w:id="921721012">
          <w:marLeft w:val="0"/>
          <w:marRight w:val="0"/>
          <w:marTop w:val="0"/>
          <w:marBottom w:val="0"/>
          <w:divBdr>
            <w:top w:val="none" w:sz="0" w:space="0" w:color="auto"/>
            <w:left w:val="none" w:sz="0" w:space="0" w:color="auto"/>
            <w:bottom w:val="none" w:sz="0" w:space="0" w:color="auto"/>
            <w:right w:val="none" w:sz="0" w:space="0" w:color="auto"/>
          </w:divBdr>
        </w:div>
        <w:div w:id="632518570">
          <w:marLeft w:val="0"/>
          <w:marRight w:val="0"/>
          <w:marTop w:val="0"/>
          <w:marBottom w:val="0"/>
          <w:divBdr>
            <w:top w:val="none" w:sz="0" w:space="0" w:color="auto"/>
            <w:left w:val="none" w:sz="0" w:space="0" w:color="auto"/>
            <w:bottom w:val="none" w:sz="0" w:space="0" w:color="auto"/>
            <w:right w:val="none" w:sz="0" w:space="0" w:color="auto"/>
          </w:divBdr>
        </w:div>
        <w:div w:id="1722442462">
          <w:marLeft w:val="0"/>
          <w:marRight w:val="0"/>
          <w:marTop w:val="0"/>
          <w:marBottom w:val="0"/>
          <w:divBdr>
            <w:top w:val="none" w:sz="0" w:space="0" w:color="auto"/>
            <w:left w:val="none" w:sz="0" w:space="0" w:color="auto"/>
            <w:bottom w:val="none" w:sz="0" w:space="0" w:color="auto"/>
            <w:right w:val="none" w:sz="0" w:space="0" w:color="auto"/>
          </w:divBdr>
        </w:div>
      </w:divsChild>
    </w:div>
    <w:div w:id="1029382017">
      <w:marLeft w:val="0"/>
      <w:marRight w:val="0"/>
      <w:marTop w:val="60"/>
      <w:marBottom w:val="100"/>
      <w:divBdr>
        <w:top w:val="none" w:sz="0" w:space="0" w:color="auto"/>
        <w:left w:val="none" w:sz="0" w:space="0" w:color="auto"/>
        <w:bottom w:val="none" w:sz="0" w:space="0" w:color="auto"/>
        <w:right w:val="none" w:sz="0" w:space="0" w:color="auto"/>
      </w:divBdr>
    </w:div>
    <w:div w:id="1030378695">
      <w:marLeft w:val="0"/>
      <w:marRight w:val="0"/>
      <w:marTop w:val="180"/>
      <w:marBottom w:val="180"/>
      <w:divBdr>
        <w:top w:val="none" w:sz="0" w:space="0" w:color="auto"/>
        <w:left w:val="none" w:sz="0" w:space="0" w:color="auto"/>
        <w:bottom w:val="none" w:sz="0" w:space="0" w:color="auto"/>
        <w:right w:val="none" w:sz="0" w:space="0" w:color="auto"/>
      </w:divBdr>
    </w:div>
    <w:div w:id="1034885903">
      <w:marLeft w:val="0"/>
      <w:marRight w:val="0"/>
      <w:marTop w:val="180"/>
      <w:marBottom w:val="180"/>
      <w:divBdr>
        <w:top w:val="none" w:sz="0" w:space="0" w:color="auto"/>
        <w:left w:val="none" w:sz="0" w:space="0" w:color="auto"/>
        <w:bottom w:val="none" w:sz="0" w:space="0" w:color="auto"/>
        <w:right w:val="none" w:sz="0" w:space="0" w:color="auto"/>
      </w:divBdr>
    </w:div>
    <w:div w:id="1035538399">
      <w:marLeft w:val="0"/>
      <w:marRight w:val="0"/>
      <w:marTop w:val="0"/>
      <w:marBottom w:val="0"/>
      <w:divBdr>
        <w:top w:val="none" w:sz="0" w:space="0" w:color="auto"/>
        <w:left w:val="none" w:sz="0" w:space="0" w:color="auto"/>
        <w:bottom w:val="none" w:sz="0" w:space="0" w:color="auto"/>
        <w:right w:val="none" w:sz="0" w:space="0" w:color="auto"/>
      </w:divBdr>
      <w:divsChild>
        <w:div w:id="1220629925">
          <w:marLeft w:val="0"/>
          <w:marRight w:val="0"/>
          <w:marTop w:val="60"/>
          <w:marBottom w:val="60"/>
          <w:divBdr>
            <w:top w:val="none" w:sz="0" w:space="0" w:color="auto"/>
            <w:left w:val="none" w:sz="0" w:space="0" w:color="auto"/>
            <w:bottom w:val="none" w:sz="0" w:space="0" w:color="auto"/>
            <w:right w:val="none" w:sz="0" w:space="0" w:color="auto"/>
          </w:divBdr>
        </w:div>
      </w:divsChild>
    </w:div>
    <w:div w:id="1036078793">
      <w:marLeft w:val="0"/>
      <w:marRight w:val="0"/>
      <w:marTop w:val="240"/>
      <w:marBottom w:val="180"/>
      <w:divBdr>
        <w:top w:val="none" w:sz="0" w:space="0" w:color="auto"/>
        <w:left w:val="none" w:sz="0" w:space="0" w:color="auto"/>
        <w:bottom w:val="none" w:sz="0" w:space="0" w:color="auto"/>
        <w:right w:val="none" w:sz="0" w:space="0" w:color="auto"/>
      </w:divBdr>
    </w:div>
    <w:div w:id="1036391530">
      <w:marLeft w:val="0"/>
      <w:marRight w:val="0"/>
      <w:marTop w:val="180"/>
      <w:marBottom w:val="180"/>
      <w:divBdr>
        <w:top w:val="none" w:sz="0" w:space="0" w:color="auto"/>
        <w:left w:val="none" w:sz="0" w:space="0" w:color="auto"/>
        <w:bottom w:val="none" w:sz="0" w:space="0" w:color="auto"/>
        <w:right w:val="none" w:sz="0" w:space="0" w:color="auto"/>
      </w:divBdr>
    </w:div>
    <w:div w:id="1037008809">
      <w:marLeft w:val="0"/>
      <w:marRight w:val="0"/>
      <w:marTop w:val="180"/>
      <w:marBottom w:val="180"/>
      <w:divBdr>
        <w:top w:val="none" w:sz="0" w:space="0" w:color="auto"/>
        <w:left w:val="none" w:sz="0" w:space="0" w:color="auto"/>
        <w:bottom w:val="none" w:sz="0" w:space="0" w:color="auto"/>
        <w:right w:val="none" w:sz="0" w:space="0" w:color="auto"/>
      </w:divBdr>
    </w:div>
    <w:div w:id="1037198069">
      <w:marLeft w:val="0"/>
      <w:marRight w:val="0"/>
      <w:marTop w:val="180"/>
      <w:marBottom w:val="180"/>
      <w:divBdr>
        <w:top w:val="none" w:sz="0" w:space="0" w:color="auto"/>
        <w:left w:val="none" w:sz="0" w:space="0" w:color="auto"/>
        <w:bottom w:val="none" w:sz="0" w:space="0" w:color="auto"/>
        <w:right w:val="none" w:sz="0" w:space="0" w:color="auto"/>
      </w:divBdr>
    </w:div>
    <w:div w:id="1037510821">
      <w:marLeft w:val="0"/>
      <w:marRight w:val="0"/>
      <w:marTop w:val="180"/>
      <w:marBottom w:val="0"/>
      <w:divBdr>
        <w:top w:val="none" w:sz="0" w:space="0" w:color="auto"/>
        <w:left w:val="none" w:sz="0" w:space="0" w:color="auto"/>
        <w:bottom w:val="none" w:sz="0" w:space="0" w:color="auto"/>
        <w:right w:val="none" w:sz="0" w:space="0" w:color="auto"/>
      </w:divBdr>
    </w:div>
    <w:div w:id="1037894308">
      <w:marLeft w:val="0"/>
      <w:marRight w:val="0"/>
      <w:marTop w:val="180"/>
      <w:marBottom w:val="180"/>
      <w:divBdr>
        <w:top w:val="none" w:sz="0" w:space="0" w:color="auto"/>
        <w:left w:val="none" w:sz="0" w:space="0" w:color="auto"/>
        <w:bottom w:val="none" w:sz="0" w:space="0" w:color="auto"/>
        <w:right w:val="none" w:sz="0" w:space="0" w:color="auto"/>
      </w:divBdr>
    </w:div>
    <w:div w:id="1038506816">
      <w:marLeft w:val="0"/>
      <w:marRight w:val="0"/>
      <w:marTop w:val="180"/>
      <w:marBottom w:val="0"/>
      <w:divBdr>
        <w:top w:val="none" w:sz="0" w:space="0" w:color="auto"/>
        <w:left w:val="none" w:sz="0" w:space="0" w:color="auto"/>
        <w:bottom w:val="none" w:sz="0" w:space="0" w:color="auto"/>
        <w:right w:val="none" w:sz="0" w:space="0" w:color="auto"/>
      </w:divBdr>
    </w:div>
    <w:div w:id="1039168341">
      <w:marLeft w:val="0"/>
      <w:marRight w:val="0"/>
      <w:marTop w:val="180"/>
      <w:marBottom w:val="180"/>
      <w:divBdr>
        <w:top w:val="none" w:sz="0" w:space="0" w:color="auto"/>
        <w:left w:val="none" w:sz="0" w:space="0" w:color="auto"/>
        <w:bottom w:val="none" w:sz="0" w:space="0" w:color="auto"/>
        <w:right w:val="none" w:sz="0" w:space="0" w:color="auto"/>
      </w:divBdr>
    </w:div>
    <w:div w:id="1039473241">
      <w:marLeft w:val="0"/>
      <w:marRight w:val="0"/>
      <w:marTop w:val="180"/>
      <w:marBottom w:val="180"/>
      <w:divBdr>
        <w:top w:val="none" w:sz="0" w:space="0" w:color="auto"/>
        <w:left w:val="none" w:sz="0" w:space="0" w:color="auto"/>
        <w:bottom w:val="none" w:sz="0" w:space="0" w:color="auto"/>
        <w:right w:val="none" w:sz="0" w:space="0" w:color="auto"/>
      </w:divBdr>
    </w:div>
    <w:div w:id="1039864355">
      <w:marLeft w:val="0"/>
      <w:marRight w:val="0"/>
      <w:marTop w:val="180"/>
      <w:marBottom w:val="180"/>
      <w:divBdr>
        <w:top w:val="none" w:sz="0" w:space="0" w:color="auto"/>
        <w:left w:val="none" w:sz="0" w:space="0" w:color="auto"/>
        <w:bottom w:val="none" w:sz="0" w:space="0" w:color="auto"/>
        <w:right w:val="none" w:sz="0" w:space="0" w:color="auto"/>
      </w:divBdr>
    </w:div>
    <w:div w:id="1041440577">
      <w:marLeft w:val="0"/>
      <w:marRight w:val="0"/>
      <w:marTop w:val="180"/>
      <w:marBottom w:val="180"/>
      <w:divBdr>
        <w:top w:val="none" w:sz="0" w:space="0" w:color="auto"/>
        <w:left w:val="none" w:sz="0" w:space="0" w:color="auto"/>
        <w:bottom w:val="none" w:sz="0" w:space="0" w:color="auto"/>
        <w:right w:val="none" w:sz="0" w:space="0" w:color="auto"/>
      </w:divBdr>
    </w:div>
    <w:div w:id="1041595395">
      <w:marLeft w:val="0"/>
      <w:marRight w:val="0"/>
      <w:marTop w:val="180"/>
      <w:marBottom w:val="180"/>
      <w:divBdr>
        <w:top w:val="none" w:sz="0" w:space="0" w:color="auto"/>
        <w:left w:val="none" w:sz="0" w:space="0" w:color="auto"/>
        <w:bottom w:val="none" w:sz="0" w:space="0" w:color="auto"/>
        <w:right w:val="none" w:sz="0" w:space="0" w:color="auto"/>
      </w:divBdr>
    </w:div>
    <w:div w:id="1042826529">
      <w:marLeft w:val="0"/>
      <w:marRight w:val="0"/>
      <w:marTop w:val="60"/>
      <w:marBottom w:val="60"/>
      <w:divBdr>
        <w:top w:val="none" w:sz="0" w:space="0" w:color="auto"/>
        <w:left w:val="none" w:sz="0" w:space="0" w:color="auto"/>
        <w:bottom w:val="none" w:sz="0" w:space="0" w:color="auto"/>
        <w:right w:val="none" w:sz="0" w:space="0" w:color="auto"/>
      </w:divBdr>
    </w:div>
    <w:div w:id="1044938492">
      <w:marLeft w:val="0"/>
      <w:marRight w:val="0"/>
      <w:marTop w:val="180"/>
      <w:marBottom w:val="180"/>
      <w:divBdr>
        <w:top w:val="none" w:sz="0" w:space="0" w:color="auto"/>
        <w:left w:val="none" w:sz="0" w:space="0" w:color="auto"/>
        <w:bottom w:val="none" w:sz="0" w:space="0" w:color="auto"/>
        <w:right w:val="none" w:sz="0" w:space="0" w:color="auto"/>
      </w:divBdr>
    </w:div>
    <w:div w:id="1046416311">
      <w:marLeft w:val="0"/>
      <w:marRight w:val="0"/>
      <w:marTop w:val="180"/>
      <w:marBottom w:val="180"/>
      <w:divBdr>
        <w:top w:val="none" w:sz="0" w:space="0" w:color="auto"/>
        <w:left w:val="none" w:sz="0" w:space="0" w:color="auto"/>
        <w:bottom w:val="none" w:sz="0" w:space="0" w:color="auto"/>
        <w:right w:val="none" w:sz="0" w:space="0" w:color="auto"/>
      </w:divBdr>
    </w:div>
    <w:div w:id="1046418874">
      <w:marLeft w:val="0"/>
      <w:marRight w:val="0"/>
      <w:marTop w:val="180"/>
      <w:marBottom w:val="180"/>
      <w:divBdr>
        <w:top w:val="none" w:sz="0" w:space="0" w:color="auto"/>
        <w:left w:val="none" w:sz="0" w:space="0" w:color="auto"/>
        <w:bottom w:val="none" w:sz="0" w:space="0" w:color="auto"/>
        <w:right w:val="none" w:sz="0" w:space="0" w:color="auto"/>
      </w:divBdr>
    </w:div>
    <w:div w:id="1046443587">
      <w:marLeft w:val="0"/>
      <w:marRight w:val="0"/>
      <w:marTop w:val="180"/>
      <w:marBottom w:val="180"/>
      <w:divBdr>
        <w:top w:val="none" w:sz="0" w:space="0" w:color="auto"/>
        <w:left w:val="none" w:sz="0" w:space="0" w:color="auto"/>
        <w:bottom w:val="none" w:sz="0" w:space="0" w:color="auto"/>
        <w:right w:val="none" w:sz="0" w:space="0" w:color="auto"/>
      </w:divBdr>
    </w:div>
    <w:div w:id="1047994565">
      <w:marLeft w:val="0"/>
      <w:marRight w:val="0"/>
      <w:marTop w:val="60"/>
      <w:marBottom w:val="60"/>
      <w:divBdr>
        <w:top w:val="none" w:sz="0" w:space="0" w:color="auto"/>
        <w:left w:val="none" w:sz="0" w:space="0" w:color="auto"/>
        <w:bottom w:val="none" w:sz="0" w:space="0" w:color="auto"/>
        <w:right w:val="none" w:sz="0" w:space="0" w:color="auto"/>
      </w:divBdr>
    </w:div>
    <w:div w:id="1048069191">
      <w:marLeft w:val="0"/>
      <w:marRight w:val="0"/>
      <w:marTop w:val="180"/>
      <w:marBottom w:val="180"/>
      <w:divBdr>
        <w:top w:val="none" w:sz="0" w:space="0" w:color="auto"/>
        <w:left w:val="none" w:sz="0" w:space="0" w:color="auto"/>
        <w:bottom w:val="none" w:sz="0" w:space="0" w:color="auto"/>
        <w:right w:val="none" w:sz="0" w:space="0" w:color="auto"/>
      </w:divBdr>
    </w:div>
    <w:div w:id="1049374756">
      <w:marLeft w:val="0"/>
      <w:marRight w:val="0"/>
      <w:marTop w:val="180"/>
      <w:marBottom w:val="180"/>
      <w:divBdr>
        <w:top w:val="none" w:sz="0" w:space="0" w:color="auto"/>
        <w:left w:val="none" w:sz="0" w:space="0" w:color="auto"/>
        <w:bottom w:val="none" w:sz="0" w:space="0" w:color="auto"/>
        <w:right w:val="none" w:sz="0" w:space="0" w:color="auto"/>
      </w:divBdr>
    </w:div>
    <w:div w:id="1049719684">
      <w:marLeft w:val="0"/>
      <w:marRight w:val="0"/>
      <w:marTop w:val="180"/>
      <w:marBottom w:val="180"/>
      <w:divBdr>
        <w:top w:val="none" w:sz="0" w:space="0" w:color="auto"/>
        <w:left w:val="none" w:sz="0" w:space="0" w:color="auto"/>
        <w:bottom w:val="none" w:sz="0" w:space="0" w:color="auto"/>
        <w:right w:val="none" w:sz="0" w:space="0" w:color="auto"/>
      </w:divBdr>
    </w:div>
    <w:div w:id="1050497965">
      <w:marLeft w:val="0"/>
      <w:marRight w:val="0"/>
      <w:marTop w:val="180"/>
      <w:marBottom w:val="180"/>
      <w:divBdr>
        <w:top w:val="none" w:sz="0" w:space="0" w:color="auto"/>
        <w:left w:val="none" w:sz="0" w:space="0" w:color="auto"/>
        <w:bottom w:val="none" w:sz="0" w:space="0" w:color="auto"/>
        <w:right w:val="none" w:sz="0" w:space="0" w:color="auto"/>
      </w:divBdr>
    </w:div>
    <w:div w:id="1050955529">
      <w:marLeft w:val="0"/>
      <w:marRight w:val="0"/>
      <w:marTop w:val="100"/>
      <w:marBottom w:val="280"/>
      <w:divBdr>
        <w:top w:val="none" w:sz="0" w:space="0" w:color="auto"/>
        <w:left w:val="none" w:sz="0" w:space="0" w:color="auto"/>
        <w:bottom w:val="none" w:sz="0" w:space="0" w:color="auto"/>
        <w:right w:val="none" w:sz="0" w:space="0" w:color="auto"/>
      </w:divBdr>
    </w:div>
    <w:div w:id="1051154432">
      <w:marLeft w:val="0"/>
      <w:marRight w:val="0"/>
      <w:marTop w:val="180"/>
      <w:marBottom w:val="180"/>
      <w:divBdr>
        <w:top w:val="none" w:sz="0" w:space="0" w:color="auto"/>
        <w:left w:val="none" w:sz="0" w:space="0" w:color="auto"/>
        <w:bottom w:val="none" w:sz="0" w:space="0" w:color="auto"/>
        <w:right w:val="none" w:sz="0" w:space="0" w:color="auto"/>
      </w:divBdr>
    </w:div>
    <w:div w:id="1051421708">
      <w:marLeft w:val="0"/>
      <w:marRight w:val="0"/>
      <w:marTop w:val="180"/>
      <w:marBottom w:val="60"/>
      <w:divBdr>
        <w:top w:val="none" w:sz="0" w:space="0" w:color="auto"/>
        <w:left w:val="none" w:sz="0" w:space="0" w:color="auto"/>
        <w:bottom w:val="none" w:sz="0" w:space="0" w:color="auto"/>
        <w:right w:val="none" w:sz="0" w:space="0" w:color="auto"/>
      </w:divBdr>
    </w:div>
    <w:div w:id="1052340443">
      <w:marLeft w:val="0"/>
      <w:marRight w:val="0"/>
      <w:marTop w:val="100"/>
      <w:marBottom w:val="180"/>
      <w:divBdr>
        <w:top w:val="none" w:sz="0" w:space="0" w:color="auto"/>
        <w:left w:val="none" w:sz="0" w:space="0" w:color="auto"/>
        <w:bottom w:val="none" w:sz="0" w:space="0" w:color="auto"/>
        <w:right w:val="none" w:sz="0" w:space="0" w:color="auto"/>
      </w:divBdr>
    </w:div>
    <w:div w:id="1053770466">
      <w:marLeft w:val="0"/>
      <w:marRight w:val="0"/>
      <w:marTop w:val="60"/>
      <w:marBottom w:val="60"/>
      <w:divBdr>
        <w:top w:val="none" w:sz="0" w:space="0" w:color="auto"/>
        <w:left w:val="none" w:sz="0" w:space="0" w:color="auto"/>
        <w:bottom w:val="none" w:sz="0" w:space="0" w:color="auto"/>
        <w:right w:val="none" w:sz="0" w:space="0" w:color="auto"/>
      </w:divBdr>
    </w:div>
    <w:div w:id="1054891821">
      <w:marLeft w:val="0"/>
      <w:marRight w:val="0"/>
      <w:marTop w:val="180"/>
      <w:marBottom w:val="180"/>
      <w:divBdr>
        <w:top w:val="none" w:sz="0" w:space="0" w:color="auto"/>
        <w:left w:val="none" w:sz="0" w:space="0" w:color="auto"/>
        <w:bottom w:val="none" w:sz="0" w:space="0" w:color="auto"/>
        <w:right w:val="none" w:sz="0" w:space="0" w:color="auto"/>
      </w:divBdr>
    </w:div>
    <w:div w:id="1055085042">
      <w:marLeft w:val="0"/>
      <w:marRight w:val="0"/>
      <w:marTop w:val="60"/>
      <w:marBottom w:val="60"/>
      <w:divBdr>
        <w:top w:val="none" w:sz="0" w:space="0" w:color="auto"/>
        <w:left w:val="none" w:sz="0" w:space="0" w:color="auto"/>
        <w:bottom w:val="none" w:sz="0" w:space="0" w:color="auto"/>
        <w:right w:val="none" w:sz="0" w:space="0" w:color="auto"/>
      </w:divBdr>
    </w:div>
    <w:div w:id="1057167381">
      <w:marLeft w:val="0"/>
      <w:marRight w:val="0"/>
      <w:marTop w:val="180"/>
      <w:marBottom w:val="180"/>
      <w:divBdr>
        <w:top w:val="none" w:sz="0" w:space="0" w:color="auto"/>
        <w:left w:val="none" w:sz="0" w:space="0" w:color="auto"/>
        <w:bottom w:val="none" w:sz="0" w:space="0" w:color="auto"/>
        <w:right w:val="none" w:sz="0" w:space="0" w:color="auto"/>
      </w:divBdr>
    </w:div>
    <w:div w:id="1060589509">
      <w:marLeft w:val="0"/>
      <w:marRight w:val="0"/>
      <w:marTop w:val="60"/>
      <w:marBottom w:val="60"/>
      <w:divBdr>
        <w:top w:val="none" w:sz="0" w:space="0" w:color="auto"/>
        <w:left w:val="none" w:sz="0" w:space="0" w:color="auto"/>
        <w:bottom w:val="none" w:sz="0" w:space="0" w:color="auto"/>
        <w:right w:val="none" w:sz="0" w:space="0" w:color="auto"/>
      </w:divBdr>
    </w:div>
    <w:div w:id="1060902019">
      <w:marLeft w:val="0"/>
      <w:marRight w:val="0"/>
      <w:marTop w:val="0"/>
      <w:marBottom w:val="0"/>
      <w:divBdr>
        <w:top w:val="none" w:sz="0" w:space="0" w:color="auto"/>
        <w:left w:val="none" w:sz="0" w:space="0" w:color="auto"/>
        <w:bottom w:val="none" w:sz="0" w:space="0" w:color="auto"/>
        <w:right w:val="none" w:sz="0" w:space="0" w:color="auto"/>
      </w:divBdr>
    </w:div>
    <w:div w:id="1061371633">
      <w:marLeft w:val="0"/>
      <w:marRight w:val="0"/>
      <w:marTop w:val="100"/>
      <w:marBottom w:val="100"/>
      <w:divBdr>
        <w:top w:val="none" w:sz="0" w:space="0" w:color="auto"/>
        <w:left w:val="none" w:sz="0" w:space="0" w:color="auto"/>
        <w:bottom w:val="none" w:sz="0" w:space="0" w:color="auto"/>
        <w:right w:val="none" w:sz="0" w:space="0" w:color="auto"/>
      </w:divBdr>
    </w:div>
    <w:div w:id="1064256026">
      <w:marLeft w:val="0"/>
      <w:marRight w:val="0"/>
      <w:marTop w:val="180"/>
      <w:marBottom w:val="180"/>
      <w:divBdr>
        <w:top w:val="none" w:sz="0" w:space="0" w:color="auto"/>
        <w:left w:val="none" w:sz="0" w:space="0" w:color="auto"/>
        <w:bottom w:val="none" w:sz="0" w:space="0" w:color="auto"/>
        <w:right w:val="none" w:sz="0" w:space="0" w:color="auto"/>
      </w:divBdr>
    </w:div>
    <w:div w:id="1066607218">
      <w:marLeft w:val="0"/>
      <w:marRight w:val="0"/>
      <w:marTop w:val="180"/>
      <w:marBottom w:val="180"/>
      <w:divBdr>
        <w:top w:val="none" w:sz="0" w:space="0" w:color="auto"/>
        <w:left w:val="none" w:sz="0" w:space="0" w:color="auto"/>
        <w:bottom w:val="none" w:sz="0" w:space="0" w:color="auto"/>
        <w:right w:val="none" w:sz="0" w:space="0" w:color="auto"/>
      </w:divBdr>
    </w:div>
    <w:div w:id="1066882095">
      <w:marLeft w:val="0"/>
      <w:marRight w:val="0"/>
      <w:marTop w:val="0"/>
      <w:marBottom w:val="0"/>
      <w:divBdr>
        <w:top w:val="none" w:sz="0" w:space="0" w:color="auto"/>
        <w:left w:val="none" w:sz="0" w:space="0" w:color="auto"/>
        <w:bottom w:val="none" w:sz="0" w:space="0" w:color="auto"/>
        <w:right w:val="none" w:sz="0" w:space="0" w:color="auto"/>
      </w:divBdr>
      <w:divsChild>
        <w:div w:id="199511834">
          <w:marLeft w:val="0"/>
          <w:marRight w:val="0"/>
          <w:marTop w:val="180"/>
          <w:marBottom w:val="180"/>
          <w:divBdr>
            <w:top w:val="none" w:sz="0" w:space="0" w:color="auto"/>
            <w:left w:val="none" w:sz="0" w:space="0" w:color="auto"/>
            <w:bottom w:val="none" w:sz="0" w:space="0" w:color="auto"/>
            <w:right w:val="none" w:sz="0" w:space="0" w:color="auto"/>
          </w:divBdr>
        </w:div>
      </w:divsChild>
    </w:div>
    <w:div w:id="1068384757">
      <w:marLeft w:val="0"/>
      <w:marRight w:val="0"/>
      <w:marTop w:val="180"/>
      <w:marBottom w:val="180"/>
      <w:divBdr>
        <w:top w:val="none" w:sz="0" w:space="0" w:color="auto"/>
        <w:left w:val="none" w:sz="0" w:space="0" w:color="auto"/>
        <w:bottom w:val="none" w:sz="0" w:space="0" w:color="auto"/>
        <w:right w:val="none" w:sz="0" w:space="0" w:color="auto"/>
      </w:divBdr>
    </w:div>
    <w:div w:id="1069424951">
      <w:marLeft w:val="0"/>
      <w:marRight w:val="0"/>
      <w:marTop w:val="60"/>
      <w:marBottom w:val="60"/>
      <w:divBdr>
        <w:top w:val="none" w:sz="0" w:space="0" w:color="auto"/>
        <w:left w:val="none" w:sz="0" w:space="0" w:color="auto"/>
        <w:bottom w:val="none" w:sz="0" w:space="0" w:color="auto"/>
        <w:right w:val="none" w:sz="0" w:space="0" w:color="auto"/>
      </w:divBdr>
    </w:div>
    <w:div w:id="1069427367">
      <w:marLeft w:val="0"/>
      <w:marRight w:val="0"/>
      <w:marTop w:val="0"/>
      <w:marBottom w:val="0"/>
      <w:divBdr>
        <w:top w:val="none" w:sz="0" w:space="0" w:color="auto"/>
        <w:left w:val="none" w:sz="0" w:space="0" w:color="auto"/>
        <w:bottom w:val="none" w:sz="0" w:space="0" w:color="auto"/>
        <w:right w:val="none" w:sz="0" w:space="0" w:color="auto"/>
      </w:divBdr>
      <w:divsChild>
        <w:div w:id="1574000958">
          <w:marLeft w:val="0"/>
          <w:marRight w:val="0"/>
          <w:marTop w:val="0"/>
          <w:marBottom w:val="0"/>
          <w:divBdr>
            <w:top w:val="none" w:sz="0" w:space="0" w:color="auto"/>
            <w:left w:val="none" w:sz="0" w:space="0" w:color="auto"/>
            <w:bottom w:val="none" w:sz="0" w:space="0" w:color="auto"/>
            <w:right w:val="none" w:sz="0" w:space="0" w:color="auto"/>
          </w:divBdr>
          <w:divsChild>
            <w:div w:id="5627159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9613455">
      <w:marLeft w:val="0"/>
      <w:marRight w:val="0"/>
      <w:marTop w:val="180"/>
      <w:marBottom w:val="180"/>
      <w:divBdr>
        <w:top w:val="none" w:sz="0" w:space="0" w:color="auto"/>
        <w:left w:val="none" w:sz="0" w:space="0" w:color="auto"/>
        <w:bottom w:val="none" w:sz="0" w:space="0" w:color="auto"/>
        <w:right w:val="none" w:sz="0" w:space="0" w:color="auto"/>
      </w:divBdr>
    </w:div>
    <w:div w:id="1070807924">
      <w:marLeft w:val="0"/>
      <w:marRight w:val="0"/>
      <w:marTop w:val="0"/>
      <w:marBottom w:val="0"/>
      <w:divBdr>
        <w:top w:val="none" w:sz="0" w:space="0" w:color="auto"/>
        <w:left w:val="none" w:sz="0" w:space="0" w:color="auto"/>
        <w:bottom w:val="none" w:sz="0" w:space="0" w:color="auto"/>
        <w:right w:val="none" w:sz="0" w:space="0" w:color="auto"/>
      </w:divBdr>
      <w:divsChild>
        <w:div w:id="508837323">
          <w:marLeft w:val="0"/>
          <w:marRight w:val="0"/>
          <w:marTop w:val="0"/>
          <w:marBottom w:val="0"/>
          <w:divBdr>
            <w:top w:val="none" w:sz="0" w:space="0" w:color="auto"/>
            <w:left w:val="none" w:sz="0" w:space="0" w:color="auto"/>
            <w:bottom w:val="none" w:sz="0" w:space="0" w:color="auto"/>
            <w:right w:val="none" w:sz="0" w:space="0" w:color="auto"/>
          </w:divBdr>
          <w:divsChild>
            <w:div w:id="10883105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4206483">
      <w:marLeft w:val="0"/>
      <w:marRight w:val="0"/>
      <w:marTop w:val="60"/>
      <w:marBottom w:val="60"/>
      <w:divBdr>
        <w:top w:val="none" w:sz="0" w:space="0" w:color="auto"/>
        <w:left w:val="none" w:sz="0" w:space="0" w:color="auto"/>
        <w:bottom w:val="none" w:sz="0" w:space="0" w:color="auto"/>
        <w:right w:val="none" w:sz="0" w:space="0" w:color="auto"/>
      </w:divBdr>
    </w:div>
    <w:div w:id="1075470548">
      <w:marLeft w:val="0"/>
      <w:marRight w:val="0"/>
      <w:marTop w:val="60"/>
      <w:marBottom w:val="60"/>
      <w:divBdr>
        <w:top w:val="none" w:sz="0" w:space="0" w:color="auto"/>
        <w:left w:val="none" w:sz="0" w:space="0" w:color="auto"/>
        <w:bottom w:val="none" w:sz="0" w:space="0" w:color="auto"/>
        <w:right w:val="none" w:sz="0" w:space="0" w:color="auto"/>
      </w:divBdr>
    </w:div>
    <w:div w:id="1076899007">
      <w:marLeft w:val="0"/>
      <w:marRight w:val="0"/>
      <w:marTop w:val="0"/>
      <w:marBottom w:val="0"/>
      <w:divBdr>
        <w:top w:val="none" w:sz="0" w:space="0" w:color="auto"/>
        <w:left w:val="none" w:sz="0" w:space="0" w:color="auto"/>
        <w:bottom w:val="none" w:sz="0" w:space="0" w:color="auto"/>
        <w:right w:val="none" w:sz="0" w:space="0" w:color="auto"/>
      </w:divBdr>
      <w:divsChild>
        <w:div w:id="806437541">
          <w:marLeft w:val="0"/>
          <w:marRight w:val="0"/>
          <w:marTop w:val="60"/>
          <w:marBottom w:val="60"/>
          <w:divBdr>
            <w:top w:val="none" w:sz="0" w:space="0" w:color="auto"/>
            <w:left w:val="none" w:sz="0" w:space="0" w:color="auto"/>
            <w:bottom w:val="none" w:sz="0" w:space="0" w:color="auto"/>
            <w:right w:val="none" w:sz="0" w:space="0" w:color="auto"/>
          </w:divBdr>
        </w:div>
      </w:divsChild>
    </w:div>
    <w:div w:id="1077747282">
      <w:marLeft w:val="0"/>
      <w:marRight w:val="0"/>
      <w:marTop w:val="100"/>
      <w:marBottom w:val="180"/>
      <w:divBdr>
        <w:top w:val="none" w:sz="0" w:space="0" w:color="auto"/>
        <w:left w:val="none" w:sz="0" w:space="0" w:color="auto"/>
        <w:bottom w:val="none" w:sz="0" w:space="0" w:color="auto"/>
        <w:right w:val="none" w:sz="0" w:space="0" w:color="auto"/>
      </w:divBdr>
    </w:div>
    <w:div w:id="1078942229">
      <w:marLeft w:val="0"/>
      <w:marRight w:val="0"/>
      <w:marTop w:val="180"/>
      <w:marBottom w:val="180"/>
      <w:divBdr>
        <w:top w:val="none" w:sz="0" w:space="0" w:color="auto"/>
        <w:left w:val="none" w:sz="0" w:space="0" w:color="auto"/>
        <w:bottom w:val="none" w:sz="0" w:space="0" w:color="auto"/>
        <w:right w:val="none" w:sz="0" w:space="0" w:color="auto"/>
      </w:divBdr>
    </w:div>
    <w:div w:id="1079910926">
      <w:marLeft w:val="0"/>
      <w:marRight w:val="0"/>
      <w:marTop w:val="180"/>
      <w:marBottom w:val="180"/>
      <w:divBdr>
        <w:top w:val="none" w:sz="0" w:space="0" w:color="auto"/>
        <w:left w:val="none" w:sz="0" w:space="0" w:color="auto"/>
        <w:bottom w:val="none" w:sz="0" w:space="0" w:color="auto"/>
        <w:right w:val="none" w:sz="0" w:space="0" w:color="auto"/>
      </w:divBdr>
    </w:div>
    <w:div w:id="1080130854">
      <w:marLeft w:val="0"/>
      <w:marRight w:val="0"/>
      <w:marTop w:val="180"/>
      <w:marBottom w:val="180"/>
      <w:divBdr>
        <w:top w:val="none" w:sz="0" w:space="0" w:color="auto"/>
        <w:left w:val="none" w:sz="0" w:space="0" w:color="auto"/>
        <w:bottom w:val="none" w:sz="0" w:space="0" w:color="auto"/>
        <w:right w:val="none" w:sz="0" w:space="0" w:color="auto"/>
      </w:divBdr>
    </w:div>
    <w:div w:id="1081560992">
      <w:marLeft w:val="0"/>
      <w:marRight w:val="0"/>
      <w:marTop w:val="0"/>
      <w:marBottom w:val="0"/>
      <w:divBdr>
        <w:top w:val="none" w:sz="0" w:space="0" w:color="auto"/>
        <w:left w:val="none" w:sz="0" w:space="0" w:color="auto"/>
        <w:bottom w:val="none" w:sz="0" w:space="0" w:color="auto"/>
        <w:right w:val="none" w:sz="0" w:space="0" w:color="auto"/>
      </w:divBdr>
      <w:divsChild>
        <w:div w:id="1154033745">
          <w:marLeft w:val="0"/>
          <w:marRight w:val="0"/>
          <w:marTop w:val="180"/>
          <w:marBottom w:val="180"/>
          <w:divBdr>
            <w:top w:val="none" w:sz="0" w:space="0" w:color="auto"/>
            <w:left w:val="none" w:sz="0" w:space="0" w:color="auto"/>
            <w:bottom w:val="none" w:sz="0" w:space="0" w:color="auto"/>
            <w:right w:val="none" w:sz="0" w:space="0" w:color="auto"/>
          </w:divBdr>
        </w:div>
      </w:divsChild>
    </w:div>
    <w:div w:id="1082871319">
      <w:marLeft w:val="0"/>
      <w:marRight w:val="0"/>
      <w:marTop w:val="180"/>
      <w:marBottom w:val="180"/>
      <w:divBdr>
        <w:top w:val="none" w:sz="0" w:space="0" w:color="auto"/>
        <w:left w:val="none" w:sz="0" w:space="0" w:color="auto"/>
        <w:bottom w:val="none" w:sz="0" w:space="0" w:color="auto"/>
        <w:right w:val="none" w:sz="0" w:space="0" w:color="auto"/>
      </w:divBdr>
    </w:div>
    <w:div w:id="1084231191">
      <w:marLeft w:val="0"/>
      <w:marRight w:val="0"/>
      <w:marTop w:val="180"/>
      <w:marBottom w:val="180"/>
      <w:divBdr>
        <w:top w:val="none" w:sz="0" w:space="0" w:color="auto"/>
        <w:left w:val="none" w:sz="0" w:space="0" w:color="auto"/>
        <w:bottom w:val="none" w:sz="0" w:space="0" w:color="auto"/>
        <w:right w:val="none" w:sz="0" w:space="0" w:color="auto"/>
      </w:divBdr>
    </w:div>
    <w:div w:id="1085112179">
      <w:marLeft w:val="0"/>
      <w:marRight w:val="0"/>
      <w:marTop w:val="180"/>
      <w:marBottom w:val="180"/>
      <w:divBdr>
        <w:top w:val="none" w:sz="0" w:space="0" w:color="auto"/>
        <w:left w:val="none" w:sz="0" w:space="0" w:color="auto"/>
        <w:bottom w:val="none" w:sz="0" w:space="0" w:color="auto"/>
        <w:right w:val="none" w:sz="0" w:space="0" w:color="auto"/>
      </w:divBdr>
    </w:div>
    <w:div w:id="1085884428">
      <w:marLeft w:val="0"/>
      <w:marRight w:val="0"/>
      <w:marTop w:val="60"/>
      <w:marBottom w:val="60"/>
      <w:divBdr>
        <w:top w:val="none" w:sz="0" w:space="0" w:color="auto"/>
        <w:left w:val="none" w:sz="0" w:space="0" w:color="auto"/>
        <w:bottom w:val="none" w:sz="0" w:space="0" w:color="auto"/>
        <w:right w:val="none" w:sz="0" w:space="0" w:color="auto"/>
      </w:divBdr>
    </w:div>
    <w:div w:id="1087652384">
      <w:marLeft w:val="0"/>
      <w:marRight w:val="0"/>
      <w:marTop w:val="180"/>
      <w:marBottom w:val="180"/>
      <w:divBdr>
        <w:top w:val="none" w:sz="0" w:space="0" w:color="auto"/>
        <w:left w:val="none" w:sz="0" w:space="0" w:color="auto"/>
        <w:bottom w:val="none" w:sz="0" w:space="0" w:color="auto"/>
        <w:right w:val="none" w:sz="0" w:space="0" w:color="auto"/>
      </w:divBdr>
    </w:div>
    <w:div w:id="1089502034">
      <w:marLeft w:val="0"/>
      <w:marRight w:val="0"/>
      <w:marTop w:val="0"/>
      <w:marBottom w:val="0"/>
      <w:divBdr>
        <w:top w:val="none" w:sz="0" w:space="0" w:color="auto"/>
        <w:left w:val="none" w:sz="0" w:space="0" w:color="auto"/>
        <w:bottom w:val="none" w:sz="0" w:space="0" w:color="auto"/>
        <w:right w:val="none" w:sz="0" w:space="0" w:color="auto"/>
      </w:divBdr>
      <w:divsChild>
        <w:div w:id="544172785">
          <w:marLeft w:val="0"/>
          <w:marRight w:val="0"/>
          <w:marTop w:val="60"/>
          <w:marBottom w:val="60"/>
          <w:divBdr>
            <w:top w:val="none" w:sz="0" w:space="0" w:color="auto"/>
            <w:left w:val="none" w:sz="0" w:space="0" w:color="auto"/>
            <w:bottom w:val="none" w:sz="0" w:space="0" w:color="auto"/>
            <w:right w:val="none" w:sz="0" w:space="0" w:color="auto"/>
          </w:divBdr>
        </w:div>
      </w:divsChild>
    </w:div>
    <w:div w:id="1090010120">
      <w:marLeft w:val="0"/>
      <w:marRight w:val="0"/>
      <w:marTop w:val="60"/>
      <w:marBottom w:val="60"/>
      <w:divBdr>
        <w:top w:val="none" w:sz="0" w:space="0" w:color="auto"/>
        <w:left w:val="none" w:sz="0" w:space="0" w:color="auto"/>
        <w:bottom w:val="none" w:sz="0" w:space="0" w:color="auto"/>
        <w:right w:val="none" w:sz="0" w:space="0" w:color="auto"/>
      </w:divBdr>
    </w:div>
    <w:div w:id="1091050098">
      <w:marLeft w:val="0"/>
      <w:marRight w:val="0"/>
      <w:marTop w:val="180"/>
      <w:marBottom w:val="180"/>
      <w:divBdr>
        <w:top w:val="none" w:sz="0" w:space="0" w:color="auto"/>
        <w:left w:val="none" w:sz="0" w:space="0" w:color="auto"/>
        <w:bottom w:val="none" w:sz="0" w:space="0" w:color="auto"/>
        <w:right w:val="none" w:sz="0" w:space="0" w:color="auto"/>
      </w:divBdr>
    </w:div>
    <w:div w:id="1093090575">
      <w:marLeft w:val="0"/>
      <w:marRight w:val="0"/>
      <w:marTop w:val="0"/>
      <w:marBottom w:val="0"/>
      <w:divBdr>
        <w:top w:val="none" w:sz="0" w:space="0" w:color="auto"/>
        <w:left w:val="none" w:sz="0" w:space="0" w:color="auto"/>
        <w:bottom w:val="none" w:sz="0" w:space="0" w:color="auto"/>
        <w:right w:val="none" w:sz="0" w:space="0" w:color="auto"/>
      </w:divBdr>
      <w:divsChild>
        <w:div w:id="1095832769">
          <w:marLeft w:val="0"/>
          <w:marRight w:val="0"/>
          <w:marTop w:val="60"/>
          <w:marBottom w:val="60"/>
          <w:divBdr>
            <w:top w:val="none" w:sz="0" w:space="0" w:color="auto"/>
            <w:left w:val="none" w:sz="0" w:space="0" w:color="auto"/>
            <w:bottom w:val="none" w:sz="0" w:space="0" w:color="auto"/>
            <w:right w:val="none" w:sz="0" w:space="0" w:color="auto"/>
          </w:divBdr>
        </w:div>
      </w:divsChild>
    </w:div>
    <w:div w:id="1093820721">
      <w:marLeft w:val="0"/>
      <w:marRight w:val="0"/>
      <w:marTop w:val="180"/>
      <w:marBottom w:val="180"/>
      <w:divBdr>
        <w:top w:val="none" w:sz="0" w:space="0" w:color="auto"/>
        <w:left w:val="none" w:sz="0" w:space="0" w:color="auto"/>
        <w:bottom w:val="none" w:sz="0" w:space="0" w:color="auto"/>
        <w:right w:val="none" w:sz="0" w:space="0" w:color="auto"/>
      </w:divBdr>
    </w:div>
    <w:div w:id="1095128176">
      <w:marLeft w:val="0"/>
      <w:marRight w:val="0"/>
      <w:marTop w:val="180"/>
      <w:marBottom w:val="180"/>
      <w:divBdr>
        <w:top w:val="none" w:sz="0" w:space="0" w:color="auto"/>
        <w:left w:val="none" w:sz="0" w:space="0" w:color="auto"/>
        <w:bottom w:val="none" w:sz="0" w:space="0" w:color="auto"/>
        <w:right w:val="none" w:sz="0" w:space="0" w:color="auto"/>
      </w:divBdr>
    </w:div>
    <w:div w:id="1095711766">
      <w:marLeft w:val="0"/>
      <w:marRight w:val="0"/>
      <w:marTop w:val="180"/>
      <w:marBottom w:val="180"/>
      <w:divBdr>
        <w:top w:val="none" w:sz="0" w:space="0" w:color="auto"/>
        <w:left w:val="none" w:sz="0" w:space="0" w:color="auto"/>
        <w:bottom w:val="none" w:sz="0" w:space="0" w:color="auto"/>
        <w:right w:val="none" w:sz="0" w:space="0" w:color="auto"/>
      </w:divBdr>
    </w:div>
    <w:div w:id="1097597268">
      <w:marLeft w:val="0"/>
      <w:marRight w:val="0"/>
      <w:marTop w:val="60"/>
      <w:marBottom w:val="60"/>
      <w:divBdr>
        <w:top w:val="none" w:sz="0" w:space="0" w:color="auto"/>
        <w:left w:val="none" w:sz="0" w:space="0" w:color="auto"/>
        <w:bottom w:val="none" w:sz="0" w:space="0" w:color="auto"/>
        <w:right w:val="none" w:sz="0" w:space="0" w:color="auto"/>
      </w:divBdr>
    </w:div>
    <w:div w:id="1099180090">
      <w:marLeft w:val="0"/>
      <w:marRight w:val="0"/>
      <w:marTop w:val="240"/>
      <w:marBottom w:val="180"/>
      <w:divBdr>
        <w:top w:val="none" w:sz="0" w:space="0" w:color="auto"/>
        <w:left w:val="none" w:sz="0" w:space="0" w:color="auto"/>
        <w:bottom w:val="none" w:sz="0" w:space="0" w:color="auto"/>
        <w:right w:val="none" w:sz="0" w:space="0" w:color="auto"/>
      </w:divBdr>
    </w:div>
    <w:div w:id="1100562621">
      <w:marLeft w:val="0"/>
      <w:marRight w:val="0"/>
      <w:marTop w:val="0"/>
      <w:marBottom w:val="0"/>
      <w:divBdr>
        <w:top w:val="none" w:sz="0" w:space="0" w:color="auto"/>
        <w:left w:val="none" w:sz="0" w:space="0" w:color="auto"/>
        <w:bottom w:val="none" w:sz="0" w:space="0" w:color="auto"/>
        <w:right w:val="none" w:sz="0" w:space="0" w:color="auto"/>
      </w:divBdr>
      <w:divsChild>
        <w:div w:id="1099447055">
          <w:marLeft w:val="0"/>
          <w:marRight w:val="0"/>
          <w:marTop w:val="0"/>
          <w:marBottom w:val="0"/>
          <w:divBdr>
            <w:top w:val="none" w:sz="0" w:space="0" w:color="auto"/>
            <w:left w:val="none" w:sz="0" w:space="0" w:color="auto"/>
            <w:bottom w:val="none" w:sz="0" w:space="0" w:color="auto"/>
            <w:right w:val="none" w:sz="0" w:space="0" w:color="auto"/>
          </w:divBdr>
          <w:divsChild>
            <w:div w:id="5767900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1146579">
      <w:marLeft w:val="0"/>
      <w:marRight w:val="0"/>
      <w:marTop w:val="180"/>
      <w:marBottom w:val="60"/>
      <w:divBdr>
        <w:top w:val="none" w:sz="0" w:space="0" w:color="auto"/>
        <w:left w:val="none" w:sz="0" w:space="0" w:color="auto"/>
        <w:bottom w:val="none" w:sz="0" w:space="0" w:color="auto"/>
        <w:right w:val="none" w:sz="0" w:space="0" w:color="auto"/>
      </w:divBdr>
    </w:div>
    <w:div w:id="1101610186">
      <w:marLeft w:val="0"/>
      <w:marRight w:val="0"/>
      <w:marTop w:val="180"/>
      <w:marBottom w:val="180"/>
      <w:divBdr>
        <w:top w:val="none" w:sz="0" w:space="0" w:color="auto"/>
        <w:left w:val="none" w:sz="0" w:space="0" w:color="auto"/>
        <w:bottom w:val="none" w:sz="0" w:space="0" w:color="auto"/>
        <w:right w:val="none" w:sz="0" w:space="0" w:color="auto"/>
      </w:divBdr>
    </w:div>
    <w:div w:id="1101953722">
      <w:marLeft w:val="0"/>
      <w:marRight w:val="0"/>
      <w:marTop w:val="180"/>
      <w:marBottom w:val="180"/>
      <w:divBdr>
        <w:top w:val="none" w:sz="0" w:space="0" w:color="auto"/>
        <w:left w:val="none" w:sz="0" w:space="0" w:color="auto"/>
        <w:bottom w:val="none" w:sz="0" w:space="0" w:color="auto"/>
        <w:right w:val="none" w:sz="0" w:space="0" w:color="auto"/>
      </w:divBdr>
    </w:div>
    <w:div w:id="1103114277">
      <w:marLeft w:val="0"/>
      <w:marRight w:val="0"/>
      <w:marTop w:val="60"/>
      <w:marBottom w:val="60"/>
      <w:divBdr>
        <w:top w:val="none" w:sz="0" w:space="0" w:color="auto"/>
        <w:left w:val="none" w:sz="0" w:space="0" w:color="auto"/>
        <w:bottom w:val="none" w:sz="0" w:space="0" w:color="auto"/>
        <w:right w:val="none" w:sz="0" w:space="0" w:color="auto"/>
      </w:divBdr>
    </w:div>
    <w:div w:id="1103303744">
      <w:marLeft w:val="0"/>
      <w:marRight w:val="0"/>
      <w:marTop w:val="180"/>
      <w:marBottom w:val="180"/>
      <w:divBdr>
        <w:top w:val="none" w:sz="0" w:space="0" w:color="auto"/>
        <w:left w:val="none" w:sz="0" w:space="0" w:color="auto"/>
        <w:bottom w:val="none" w:sz="0" w:space="0" w:color="auto"/>
        <w:right w:val="none" w:sz="0" w:space="0" w:color="auto"/>
      </w:divBdr>
    </w:div>
    <w:div w:id="1103959398">
      <w:marLeft w:val="0"/>
      <w:marRight w:val="0"/>
      <w:marTop w:val="0"/>
      <w:marBottom w:val="0"/>
      <w:divBdr>
        <w:top w:val="none" w:sz="0" w:space="0" w:color="auto"/>
        <w:left w:val="none" w:sz="0" w:space="0" w:color="auto"/>
        <w:bottom w:val="none" w:sz="0" w:space="0" w:color="auto"/>
        <w:right w:val="none" w:sz="0" w:space="0" w:color="auto"/>
      </w:divBdr>
      <w:divsChild>
        <w:div w:id="306012355">
          <w:marLeft w:val="0"/>
          <w:marRight w:val="0"/>
          <w:marTop w:val="60"/>
          <w:marBottom w:val="60"/>
          <w:divBdr>
            <w:top w:val="none" w:sz="0" w:space="0" w:color="auto"/>
            <w:left w:val="none" w:sz="0" w:space="0" w:color="auto"/>
            <w:bottom w:val="none" w:sz="0" w:space="0" w:color="auto"/>
            <w:right w:val="none" w:sz="0" w:space="0" w:color="auto"/>
          </w:divBdr>
        </w:div>
      </w:divsChild>
    </w:div>
    <w:div w:id="1103962010">
      <w:marLeft w:val="0"/>
      <w:marRight w:val="0"/>
      <w:marTop w:val="180"/>
      <w:marBottom w:val="180"/>
      <w:divBdr>
        <w:top w:val="none" w:sz="0" w:space="0" w:color="auto"/>
        <w:left w:val="none" w:sz="0" w:space="0" w:color="auto"/>
        <w:bottom w:val="none" w:sz="0" w:space="0" w:color="auto"/>
        <w:right w:val="none" w:sz="0" w:space="0" w:color="auto"/>
      </w:divBdr>
    </w:div>
    <w:div w:id="1104153516">
      <w:marLeft w:val="0"/>
      <w:marRight w:val="0"/>
      <w:marTop w:val="180"/>
      <w:marBottom w:val="180"/>
      <w:divBdr>
        <w:top w:val="none" w:sz="0" w:space="0" w:color="auto"/>
        <w:left w:val="none" w:sz="0" w:space="0" w:color="auto"/>
        <w:bottom w:val="none" w:sz="0" w:space="0" w:color="auto"/>
        <w:right w:val="none" w:sz="0" w:space="0" w:color="auto"/>
      </w:divBdr>
    </w:div>
    <w:div w:id="1105613560">
      <w:marLeft w:val="0"/>
      <w:marRight w:val="0"/>
      <w:marTop w:val="100"/>
      <w:marBottom w:val="100"/>
      <w:divBdr>
        <w:top w:val="none" w:sz="0" w:space="0" w:color="auto"/>
        <w:left w:val="none" w:sz="0" w:space="0" w:color="auto"/>
        <w:bottom w:val="none" w:sz="0" w:space="0" w:color="auto"/>
        <w:right w:val="none" w:sz="0" w:space="0" w:color="auto"/>
      </w:divBdr>
      <w:divsChild>
        <w:div w:id="1529562551">
          <w:marLeft w:val="0"/>
          <w:marRight w:val="0"/>
          <w:marTop w:val="0"/>
          <w:marBottom w:val="0"/>
          <w:divBdr>
            <w:top w:val="none" w:sz="0" w:space="0" w:color="auto"/>
            <w:left w:val="none" w:sz="0" w:space="0" w:color="auto"/>
            <w:bottom w:val="none" w:sz="0" w:space="0" w:color="auto"/>
            <w:right w:val="none" w:sz="0" w:space="0" w:color="auto"/>
          </w:divBdr>
        </w:div>
        <w:div w:id="433980576">
          <w:marLeft w:val="0"/>
          <w:marRight w:val="0"/>
          <w:marTop w:val="0"/>
          <w:marBottom w:val="0"/>
          <w:divBdr>
            <w:top w:val="none" w:sz="0" w:space="0" w:color="auto"/>
            <w:left w:val="none" w:sz="0" w:space="0" w:color="auto"/>
            <w:bottom w:val="none" w:sz="0" w:space="0" w:color="auto"/>
            <w:right w:val="none" w:sz="0" w:space="0" w:color="auto"/>
          </w:divBdr>
        </w:div>
        <w:div w:id="141697676">
          <w:marLeft w:val="0"/>
          <w:marRight w:val="0"/>
          <w:marTop w:val="0"/>
          <w:marBottom w:val="0"/>
          <w:divBdr>
            <w:top w:val="none" w:sz="0" w:space="0" w:color="auto"/>
            <w:left w:val="none" w:sz="0" w:space="0" w:color="auto"/>
            <w:bottom w:val="none" w:sz="0" w:space="0" w:color="auto"/>
            <w:right w:val="none" w:sz="0" w:space="0" w:color="auto"/>
          </w:divBdr>
        </w:div>
        <w:div w:id="1906716252">
          <w:marLeft w:val="0"/>
          <w:marRight w:val="0"/>
          <w:marTop w:val="0"/>
          <w:marBottom w:val="0"/>
          <w:divBdr>
            <w:top w:val="none" w:sz="0" w:space="0" w:color="auto"/>
            <w:left w:val="none" w:sz="0" w:space="0" w:color="auto"/>
            <w:bottom w:val="none" w:sz="0" w:space="0" w:color="auto"/>
            <w:right w:val="none" w:sz="0" w:space="0" w:color="auto"/>
          </w:divBdr>
        </w:div>
        <w:div w:id="257568119">
          <w:marLeft w:val="0"/>
          <w:marRight w:val="0"/>
          <w:marTop w:val="0"/>
          <w:marBottom w:val="0"/>
          <w:divBdr>
            <w:top w:val="none" w:sz="0" w:space="0" w:color="auto"/>
            <w:left w:val="none" w:sz="0" w:space="0" w:color="auto"/>
            <w:bottom w:val="none" w:sz="0" w:space="0" w:color="auto"/>
            <w:right w:val="none" w:sz="0" w:space="0" w:color="auto"/>
          </w:divBdr>
        </w:div>
        <w:div w:id="881598772">
          <w:marLeft w:val="0"/>
          <w:marRight w:val="0"/>
          <w:marTop w:val="0"/>
          <w:marBottom w:val="0"/>
          <w:divBdr>
            <w:top w:val="none" w:sz="0" w:space="0" w:color="auto"/>
            <w:left w:val="none" w:sz="0" w:space="0" w:color="auto"/>
            <w:bottom w:val="none" w:sz="0" w:space="0" w:color="auto"/>
            <w:right w:val="none" w:sz="0" w:space="0" w:color="auto"/>
          </w:divBdr>
        </w:div>
        <w:div w:id="1452822647">
          <w:marLeft w:val="0"/>
          <w:marRight w:val="0"/>
          <w:marTop w:val="0"/>
          <w:marBottom w:val="0"/>
          <w:divBdr>
            <w:top w:val="none" w:sz="0" w:space="0" w:color="auto"/>
            <w:left w:val="none" w:sz="0" w:space="0" w:color="auto"/>
            <w:bottom w:val="none" w:sz="0" w:space="0" w:color="auto"/>
            <w:right w:val="none" w:sz="0" w:space="0" w:color="auto"/>
          </w:divBdr>
        </w:div>
        <w:div w:id="207880525">
          <w:marLeft w:val="0"/>
          <w:marRight w:val="0"/>
          <w:marTop w:val="0"/>
          <w:marBottom w:val="0"/>
          <w:divBdr>
            <w:top w:val="none" w:sz="0" w:space="0" w:color="auto"/>
            <w:left w:val="none" w:sz="0" w:space="0" w:color="auto"/>
            <w:bottom w:val="none" w:sz="0" w:space="0" w:color="auto"/>
            <w:right w:val="none" w:sz="0" w:space="0" w:color="auto"/>
          </w:divBdr>
        </w:div>
        <w:div w:id="1635059490">
          <w:marLeft w:val="0"/>
          <w:marRight w:val="0"/>
          <w:marTop w:val="0"/>
          <w:marBottom w:val="0"/>
          <w:divBdr>
            <w:top w:val="none" w:sz="0" w:space="0" w:color="auto"/>
            <w:left w:val="none" w:sz="0" w:space="0" w:color="auto"/>
            <w:bottom w:val="none" w:sz="0" w:space="0" w:color="auto"/>
            <w:right w:val="none" w:sz="0" w:space="0" w:color="auto"/>
          </w:divBdr>
        </w:div>
      </w:divsChild>
    </w:div>
    <w:div w:id="1106274371">
      <w:marLeft w:val="0"/>
      <w:marRight w:val="0"/>
      <w:marTop w:val="0"/>
      <w:marBottom w:val="0"/>
      <w:divBdr>
        <w:top w:val="none" w:sz="0" w:space="0" w:color="auto"/>
        <w:left w:val="none" w:sz="0" w:space="0" w:color="auto"/>
        <w:bottom w:val="none" w:sz="0" w:space="0" w:color="auto"/>
        <w:right w:val="none" w:sz="0" w:space="0" w:color="auto"/>
      </w:divBdr>
      <w:divsChild>
        <w:div w:id="400375150">
          <w:marLeft w:val="0"/>
          <w:marRight w:val="0"/>
          <w:marTop w:val="0"/>
          <w:marBottom w:val="0"/>
          <w:divBdr>
            <w:top w:val="none" w:sz="0" w:space="0" w:color="auto"/>
            <w:left w:val="none" w:sz="0" w:space="0" w:color="auto"/>
            <w:bottom w:val="none" w:sz="0" w:space="0" w:color="auto"/>
            <w:right w:val="none" w:sz="0" w:space="0" w:color="auto"/>
          </w:divBdr>
          <w:divsChild>
            <w:div w:id="18466734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06314288">
      <w:marLeft w:val="0"/>
      <w:marRight w:val="0"/>
      <w:marTop w:val="180"/>
      <w:marBottom w:val="180"/>
      <w:divBdr>
        <w:top w:val="none" w:sz="0" w:space="0" w:color="auto"/>
        <w:left w:val="none" w:sz="0" w:space="0" w:color="auto"/>
        <w:bottom w:val="none" w:sz="0" w:space="0" w:color="auto"/>
        <w:right w:val="none" w:sz="0" w:space="0" w:color="auto"/>
      </w:divBdr>
    </w:div>
    <w:div w:id="1106341025">
      <w:marLeft w:val="0"/>
      <w:marRight w:val="0"/>
      <w:marTop w:val="0"/>
      <w:marBottom w:val="0"/>
      <w:divBdr>
        <w:top w:val="none" w:sz="0" w:space="0" w:color="auto"/>
        <w:left w:val="none" w:sz="0" w:space="0" w:color="auto"/>
        <w:bottom w:val="none" w:sz="0" w:space="0" w:color="auto"/>
        <w:right w:val="none" w:sz="0" w:space="0" w:color="auto"/>
      </w:divBdr>
    </w:div>
    <w:div w:id="1106920356">
      <w:marLeft w:val="0"/>
      <w:marRight w:val="0"/>
      <w:marTop w:val="0"/>
      <w:marBottom w:val="0"/>
      <w:divBdr>
        <w:top w:val="none" w:sz="0" w:space="0" w:color="auto"/>
        <w:left w:val="none" w:sz="0" w:space="0" w:color="auto"/>
        <w:bottom w:val="none" w:sz="0" w:space="0" w:color="auto"/>
        <w:right w:val="none" w:sz="0" w:space="0" w:color="auto"/>
      </w:divBdr>
    </w:div>
    <w:div w:id="1107578258">
      <w:marLeft w:val="0"/>
      <w:marRight w:val="0"/>
      <w:marTop w:val="60"/>
      <w:marBottom w:val="60"/>
      <w:divBdr>
        <w:top w:val="none" w:sz="0" w:space="0" w:color="auto"/>
        <w:left w:val="none" w:sz="0" w:space="0" w:color="auto"/>
        <w:bottom w:val="none" w:sz="0" w:space="0" w:color="auto"/>
        <w:right w:val="none" w:sz="0" w:space="0" w:color="auto"/>
      </w:divBdr>
    </w:div>
    <w:div w:id="1109203841">
      <w:marLeft w:val="0"/>
      <w:marRight w:val="0"/>
      <w:marTop w:val="60"/>
      <w:marBottom w:val="60"/>
      <w:divBdr>
        <w:top w:val="none" w:sz="0" w:space="0" w:color="auto"/>
        <w:left w:val="none" w:sz="0" w:space="0" w:color="auto"/>
        <w:bottom w:val="none" w:sz="0" w:space="0" w:color="auto"/>
        <w:right w:val="none" w:sz="0" w:space="0" w:color="auto"/>
      </w:divBdr>
    </w:div>
    <w:div w:id="1109205841">
      <w:marLeft w:val="0"/>
      <w:marRight w:val="0"/>
      <w:marTop w:val="100"/>
      <w:marBottom w:val="100"/>
      <w:divBdr>
        <w:top w:val="none" w:sz="0" w:space="0" w:color="auto"/>
        <w:left w:val="none" w:sz="0" w:space="0" w:color="auto"/>
        <w:bottom w:val="none" w:sz="0" w:space="0" w:color="auto"/>
        <w:right w:val="none" w:sz="0" w:space="0" w:color="auto"/>
      </w:divBdr>
      <w:divsChild>
        <w:div w:id="1178931461">
          <w:marLeft w:val="0"/>
          <w:marRight w:val="0"/>
          <w:marTop w:val="0"/>
          <w:marBottom w:val="0"/>
          <w:divBdr>
            <w:top w:val="none" w:sz="0" w:space="0" w:color="auto"/>
            <w:left w:val="none" w:sz="0" w:space="0" w:color="auto"/>
            <w:bottom w:val="none" w:sz="0" w:space="0" w:color="auto"/>
            <w:right w:val="none" w:sz="0" w:space="0" w:color="auto"/>
          </w:divBdr>
        </w:div>
        <w:div w:id="2029788867">
          <w:marLeft w:val="0"/>
          <w:marRight w:val="0"/>
          <w:marTop w:val="0"/>
          <w:marBottom w:val="0"/>
          <w:divBdr>
            <w:top w:val="none" w:sz="0" w:space="0" w:color="auto"/>
            <w:left w:val="none" w:sz="0" w:space="0" w:color="auto"/>
            <w:bottom w:val="none" w:sz="0" w:space="0" w:color="auto"/>
            <w:right w:val="none" w:sz="0" w:space="0" w:color="auto"/>
          </w:divBdr>
        </w:div>
      </w:divsChild>
    </w:div>
    <w:div w:id="1109350840">
      <w:marLeft w:val="0"/>
      <w:marRight w:val="0"/>
      <w:marTop w:val="180"/>
      <w:marBottom w:val="180"/>
      <w:divBdr>
        <w:top w:val="none" w:sz="0" w:space="0" w:color="auto"/>
        <w:left w:val="none" w:sz="0" w:space="0" w:color="auto"/>
        <w:bottom w:val="none" w:sz="0" w:space="0" w:color="auto"/>
        <w:right w:val="none" w:sz="0" w:space="0" w:color="auto"/>
      </w:divBdr>
    </w:div>
    <w:div w:id="1109659250">
      <w:marLeft w:val="0"/>
      <w:marRight w:val="0"/>
      <w:marTop w:val="180"/>
      <w:marBottom w:val="180"/>
      <w:divBdr>
        <w:top w:val="none" w:sz="0" w:space="0" w:color="auto"/>
        <w:left w:val="none" w:sz="0" w:space="0" w:color="auto"/>
        <w:bottom w:val="none" w:sz="0" w:space="0" w:color="auto"/>
        <w:right w:val="none" w:sz="0" w:space="0" w:color="auto"/>
      </w:divBdr>
    </w:div>
    <w:div w:id="1109818341">
      <w:marLeft w:val="0"/>
      <w:marRight w:val="0"/>
      <w:marTop w:val="0"/>
      <w:marBottom w:val="0"/>
      <w:divBdr>
        <w:top w:val="none" w:sz="0" w:space="0" w:color="auto"/>
        <w:left w:val="none" w:sz="0" w:space="0" w:color="auto"/>
        <w:bottom w:val="none" w:sz="0" w:space="0" w:color="auto"/>
        <w:right w:val="none" w:sz="0" w:space="0" w:color="auto"/>
      </w:divBdr>
      <w:divsChild>
        <w:div w:id="1242518222">
          <w:marLeft w:val="0"/>
          <w:marRight w:val="0"/>
          <w:marTop w:val="0"/>
          <w:marBottom w:val="0"/>
          <w:divBdr>
            <w:top w:val="none" w:sz="0" w:space="0" w:color="auto"/>
            <w:left w:val="none" w:sz="0" w:space="0" w:color="auto"/>
            <w:bottom w:val="none" w:sz="0" w:space="0" w:color="auto"/>
            <w:right w:val="none" w:sz="0" w:space="0" w:color="auto"/>
          </w:divBdr>
          <w:divsChild>
            <w:div w:id="9038777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0663532">
      <w:marLeft w:val="0"/>
      <w:marRight w:val="0"/>
      <w:marTop w:val="180"/>
      <w:marBottom w:val="180"/>
      <w:divBdr>
        <w:top w:val="none" w:sz="0" w:space="0" w:color="auto"/>
        <w:left w:val="none" w:sz="0" w:space="0" w:color="auto"/>
        <w:bottom w:val="none" w:sz="0" w:space="0" w:color="auto"/>
        <w:right w:val="none" w:sz="0" w:space="0" w:color="auto"/>
      </w:divBdr>
    </w:div>
    <w:div w:id="1110930784">
      <w:marLeft w:val="0"/>
      <w:marRight w:val="0"/>
      <w:marTop w:val="180"/>
      <w:marBottom w:val="180"/>
      <w:divBdr>
        <w:top w:val="none" w:sz="0" w:space="0" w:color="auto"/>
        <w:left w:val="none" w:sz="0" w:space="0" w:color="auto"/>
        <w:bottom w:val="none" w:sz="0" w:space="0" w:color="auto"/>
        <w:right w:val="none" w:sz="0" w:space="0" w:color="auto"/>
      </w:divBdr>
    </w:div>
    <w:div w:id="1112480145">
      <w:marLeft w:val="0"/>
      <w:marRight w:val="0"/>
      <w:marTop w:val="180"/>
      <w:marBottom w:val="60"/>
      <w:divBdr>
        <w:top w:val="none" w:sz="0" w:space="0" w:color="auto"/>
        <w:left w:val="none" w:sz="0" w:space="0" w:color="auto"/>
        <w:bottom w:val="none" w:sz="0" w:space="0" w:color="auto"/>
        <w:right w:val="none" w:sz="0" w:space="0" w:color="auto"/>
      </w:divBdr>
    </w:div>
    <w:div w:id="1113672616">
      <w:marLeft w:val="0"/>
      <w:marRight w:val="0"/>
      <w:marTop w:val="0"/>
      <w:marBottom w:val="15"/>
      <w:divBdr>
        <w:top w:val="none" w:sz="0" w:space="0" w:color="auto"/>
        <w:left w:val="none" w:sz="0" w:space="0" w:color="auto"/>
        <w:bottom w:val="none" w:sz="0" w:space="0" w:color="auto"/>
        <w:right w:val="none" w:sz="0" w:space="0" w:color="auto"/>
      </w:divBdr>
    </w:div>
    <w:div w:id="1113750023">
      <w:marLeft w:val="0"/>
      <w:marRight w:val="0"/>
      <w:marTop w:val="0"/>
      <w:marBottom w:val="0"/>
      <w:divBdr>
        <w:top w:val="none" w:sz="0" w:space="0" w:color="auto"/>
        <w:left w:val="none" w:sz="0" w:space="0" w:color="auto"/>
        <w:bottom w:val="none" w:sz="0" w:space="0" w:color="auto"/>
        <w:right w:val="none" w:sz="0" w:space="0" w:color="auto"/>
      </w:divBdr>
    </w:div>
    <w:div w:id="1114206078">
      <w:marLeft w:val="0"/>
      <w:marRight w:val="0"/>
      <w:marTop w:val="180"/>
      <w:marBottom w:val="180"/>
      <w:divBdr>
        <w:top w:val="none" w:sz="0" w:space="0" w:color="auto"/>
        <w:left w:val="none" w:sz="0" w:space="0" w:color="auto"/>
        <w:bottom w:val="none" w:sz="0" w:space="0" w:color="auto"/>
        <w:right w:val="none" w:sz="0" w:space="0" w:color="auto"/>
      </w:divBdr>
    </w:div>
    <w:div w:id="1114710918">
      <w:marLeft w:val="0"/>
      <w:marRight w:val="0"/>
      <w:marTop w:val="180"/>
      <w:marBottom w:val="180"/>
      <w:divBdr>
        <w:top w:val="none" w:sz="0" w:space="0" w:color="auto"/>
        <w:left w:val="none" w:sz="0" w:space="0" w:color="auto"/>
        <w:bottom w:val="none" w:sz="0" w:space="0" w:color="auto"/>
        <w:right w:val="none" w:sz="0" w:space="0" w:color="auto"/>
      </w:divBdr>
    </w:div>
    <w:div w:id="1115900869">
      <w:marLeft w:val="0"/>
      <w:marRight w:val="0"/>
      <w:marTop w:val="0"/>
      <w:marBottom w:val="0"/>
      <w:divBdr>
        <w:top w:val="none" w:sz="0" w:space="0" w:color="auto"/>
        <w:left w:val="none" w:sz="0" w:space="0" w:color="auto"/>
        <w:bottom w:val="none" w:sz="0" w:space="0" w:color="auto"/>
        <w:right w:val="none" w:sz="0" w:space="0" w:color="auto"/>
      </w:divBdr>
      <w:divsChild>
        <w:div w:id="2138406175">
          <w:marLeft w:val="0"/>
          <w:marRight w:val="0"/>
          <w:marTop w:val="0"/>
          <w:marBottom w:val="0"/>
          <w:divBdr>
            <w:top w:val="none" w:sz="0" w:space="0" w:color="auto"/>
            <w:left w:val="none" w:sz="0" w:space="0" w:color="auto"/>
            <w:bottom w:val="none" w:sz="0" w:space="0" w:color="auto"/>
            <w:right w:val="none" w:sz="0" w:space="0" w:color="auto"/>
          </w:divBdr>
          <w:divsChild>
            <w:div w:id="10635982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18379459">
      <w:marLeft w:val="0"/>
      <w:marRight w:val="0"/>
      <w:marTop w:val="240"/>
      <w:marBottom w:val="180"/>
      <w:divBdr>
        <w:top w:val="none" w:sz="0" w:space="0" w:color="auto"/>
        <w:left w:val="none" w:sz="0" w:space="0" w:color="auto"/>
        <w:bottom w:val="none" w:sz="0" w:space="0" w:color="auto"/>
        <w:right w:val="none" w:sz="0" w:space="0" w:color="auto"/>
      </w:divBdr>
    </w:div>
    <w:div w:id="1118794907">
      <w:marLeft w:val="0"/>
      <w:marRight w:val="0"/>
      <w:marTop w:val="180"/>
      <w:marBottom w:val="180"/>
      <w:divBdr>
        <w:top w:val="none" w:sz="0" w:space="0" w:color="auto"/>
        <w:left w:val="none" w:sz="0" w:space="0" w:color="auto"/>
        <w:bottom w:val="none" w:sz="0" w:space="0" w:color="auto"/>
        <w:right w:val="none" w:sz="0" w:space="0" w:color="auto"/>
      </w:divBdr>
    </w:div>
    <w:div w:id="1120225972">
      <w:marLeft w:val="0"/>
      <w:marRight w:val="0"/>
      <w:marTop w:val="180"/>
      <w:marBottom w:val="180"/>
      <w:divBdr>
        <w:top w:val="none" w:sz="0" w:space="0" w:color="auto"/>
        <w:left w:val="none" w:sz="0" w:space="0" w:color="auto"/>
        <w:bottom w:val="none" w:sz="0" w:space="0" w:color="auto"/>
        <w:right w:val="none" w:sz="0" w:space="0" w:color="auto"/>
      </w:divBdr>
    </w:div>
    <w:div w:id="1120685436">
      <w:marLeft w:val="0"/>
      <w:marRight w:val="0"/>
      <w:marTop w:val="180"/>
      <w:marBottom w:val="180"/>
      <w:divBdr>
        <w:top w:val="none" w:sz="0" w:space="0" w:color="auto"/>
        <w:left w:val="none" w:sz="0" w:space="0" w:color="auto"/>
        <w:bottom w:val="none" w:sz="0" w:space="0" w:color="auto"/>
        <w:right w:val="none" w:sz="0" w:space="0" w:color="auto"/>
      </w:divBdr>
    </w:div>
    <w:div w:id="1120995200">
      <w:marLeft w:val="0"/>
      <w:marRight w:val="0"/>
      <w:marTop w:val="100"/>
      <w:marBottom w:val="100"/>
      <w:divBdr>
        <w:top w:val="none" w:sz="0" w:space="0" w:color="auto"/>
        <w:left w:val="none" w:sz="0" w:space="0" w:color="auto"/>
        <w:bottom w:val="none" w:sz="0" w:space="0" w:color="auto"/>
        <w:right w:val="none" w:sz="0" w:space="0" w:color="auto"/>
      </w:divBdr>
    </w:div>
    <w:div w:id="1121608246">
      <w:marLeft w:val="0"/>
      <w:marRight w:val="0"/>
      <w:marTop w:val="0"/>
      <w:marBottom w:val="0"/>
      <w:divBdr>
        <w:top w:val="none" w:sz="0" w:space="0" w:color="auto"/>
        <w:left w:val="none" w:sz="0" w:space="0" w:color="auto"/>
        <w:bottom w:val="none" w:sz="0" w:space="0" w:color="auto"/>
        <w:right w:val="none" w:sz="0" w:space="0" w:color="auto"/>
      </w:divBdr>
    </w:div>
    <w:div w:id="1122261939">
      <w:marLeft w:val="0"/>
      <w:marRight w:val="0"/>
      <w:marTop w:val="180"/>
      <w:marBottom w:val="180"/>
      <w:divBdr>
        <w:top w:val="none" w:sz="0" w:space="0" w:color="auto"/>
        <w:left w:val="none" w:sz="0" w:space="0" w:color="auto"/>
        <w:bottom w:val="none" w:sz="0" w:space="0" w:color="auto"/>
        <w:right w:val="none" w:sz="0" w:space="0" w:color="auto"/>
      </w:divBdr>
    </w:div>
    <w:div w:id="1122309625">
      <w:marLeft w:val="0"/>
      <w:marRight w:val="0"/>
      <w:marTop w:val="180"/>
      <w:marBottom w:val="180"/>
      <w:divBdr>
        <w:top w:val="none" w:sz="0" w:space="0" w:color="auto"/>
        <w:left w:val="none" w:sz="0" w:space="0" w:color="auto"/>
        <w:bottom w:val="none" w:sz="0" w:space="0" w:color="auto"/>
        <w:right w:val="none" w:sz="0" w:space="0" w:color="auto"/>
      </w:divBdr>
    </w:div>
    <w:div w:id="1123423880">
      <w:marLeft w:val="0"/>
      <w:marRight w:val="0"/>
      <w:marTop w:val="180"/>
      <w:marBottom w:val="180"/>
      <w:divBdr>
        <w:top w:val="none" w:sz="0" w:space="0" w:color="auto"/>
        <w:left w:val="none" w:sz="0" w:space="0" w:color="auto"/>
        <w:bottom w:val="none" w:sz="0" w:space="0" w:color="auto"/>
        <w:right w:val="none" w:sz="0" w:space="0" w:color="auto"/>
      </w:divBdr>
    </w:div>
    <w:div w:id="1123769618">
      <w:marLeft w:val="0"/>
      <w:marRight w:val="0"/>
      <w:marTop w:val="180"/>
      <w:marBottom w:val="180"/>
      <w:divBdr>
        <w:top w:val="none" w:sz="0" w:space="0" w:color="auto"/>
        <w:left w:val="none" w:sz="0" w:space="0" w:color="auto"/>
        <w:bottom w:val="none" w:sz="0" w:space="0" w:color="auto"/>
        <w:right w:val="none" w:sz="0" w:space="0" w:color="auto"/>
      </w:divBdr>
    </w:div>
    <w:div w:id="1124881230">
      <w:marLeft w:val="0"/>
      <w:marRight w:val="0"/>
      <w:marTop w:val="180"/>
      <w:marBottom w:val="180"/>
      <w:divBdr>
        <w:top w:val="none" w:sz="0" w:space="0" w:color="auto"/>
        <w:left w:val="none" w:sz="0" w:space="0" w:color="auto"/>
        <w:bottom w:val="none" w:sz="0" w:space="0" w:color="auto"/>
        <w:right w:val="none" w:sz="0" w:space="0" w:color="auto"/>
      </w:divBdr>
    </w:div>
    <w:div w:id="1125198528">
      <w:marLeft w:val="0"/>
      <w:marRight w:val="0"/>
      <w:marTop w:val="60"/>
      <w:marBottom w:val="60"/>
      <w:divBdr>
        <w:top w:val="none" w:sz="0" w:space="0" w:color="auto"/>
        <w:left w:val="none" w:sz="0" w:space="0" w:color="auto"/>
        <w:bottom w:val="none" w:sz="0" w:space="0" w:color="auto"/>
        <w:right w:val="none" w:sz="0" w:space="0" w:color="auto"/>
      </w:divBdr>
    </w:div>
    <w:div w:id="1125268545">
      <w:marLeft w:val="0"/>
      <w:marRight w:val="0"/>
      <w:marTop w:val="180"/>
      <w:marBottom w:val="180"/>
      <w:divBdr>
        <w:top w:val="none" w:sz="0" w:space="0" w:color="auto"/>
        <w:left w:val="none" w:sz="0" w:space="0" w:color="auto"/>
        <w:bottom w:val="none" w:sz="0" w:space="0" w:color="auto"/>
        <w:right w:val="none" w:sz="0" w:space="0" w:color="auto"/>
      </w:divBdr>
    </w:div>
    <w:div w:id="1125468260">
      <w:marLeft w:val="0"/>
      <w:marRight w:val="0"/>
      <w:marTop w:val="180"/>
      <w:marBottom w:val="180"/>
      <w:divBdr>
        <w:top w:val="none" w:sz="0" w:space="0" w:color="auto"/>
        <w:left w:val="none" w:sz="0" w:space="0" w:color="auto"/>
        <w:bottom w:val="none" w:sz="0" w:space="0" w:color="auto"/>
        <w:right w:val="none" w:sz="0" w:space="0" w:color="auto"/>
      </w:divBdr>
    </w:div>
    <w:div w:id="1125536982">
      <w:marLeft w:val="0"/>
      <w:marRight w:val="0"/>
      <w:marTop w:val="180"/>
      <w:marBottom w:val="180"/>
      <w:divBdr>
        <w:top w:val="none" w:sz="0" w:space="0" w:color="auto"/>
        <w:left w:val="none" w:sz="0" w:space="0" w:color="auto"/>
        <w:bottom w:val="none" w:sz="0" w:space="0" w:color="auto"/>
        <w:right w:val="none" w:sz="0" w:space="0" w:color="auto"/>
      </w:divBdr>
    </w:div>
    <w:div w:id="1125539989">
      <w:marLeft w:val="0"/>
      <w:marRight w:val="0"/>
      <w:marTop w:val="180"/>
      <w:marBottom w:val="180"/>
      <w:divBdr>
        <w:top w:val="none" w:sz="0" w:space="0" w:color="auto"/>
        <w:left w:val="none" w:sz="0" w:space="0" w:color="auto"/>
        <w:bottom w:val="none" w:sz="0" w:space="0" w:color="auto"/>
        <w:right w:val="none" w:sz="0" w:space="0" w:color="auto"/>
      </w:divBdr>
    </w:div>
    <w:div w:id="1126236738">
      <w:marLeft w:val="0"/>
      <w:marRight w:val="0"/>
      <w:marTop w:val="180"/>
      <w:marBottom w:val="180"/>
      <w:divBdr>
        <w:top w:val="none" w:sz="0" w:space="0" w:color="auto"/>
        <w:left w:val="none" w:sz="0" w:space="0" w:color="auto"/>
        <w:bottom w:val="none" w:sz="0" w:space="0" w:color="auto"/>
        <w:right w:val="none" w:sz="0" w:space="0" w:color="auto"/>
      </w:divBdr>
    </w:div>
    <w:div w:id="1127821246">
      <w:marLeft w:val="0"/>
      <w:marRight w:val="0"/>
      <w:marTop w:val="180"/>
      <w:marBottom w:val="180"/>
      <w:divBdr>
        <w:top w:val="none" w:sz="0" w:space="0" w:color="auto"/>
        <w:left w:val="none" w:sz="0" w:space="0" w:color="auto"/>
        <w:bottom w:val="none" w:sz="0" w:space="0" w:color="auto"/>
        <w:right w:val="none" w:sz="0" w:space="0" w:color="auto"/>
      </w:divBdr>
    </w:div>
    <w:div w:id="1128204390">
      <w:marLeft w:val="0"/>
      <w:marRight w:val="0"/>
      <w:marTop w:val="180"/>
      <w:marBottom w:val="180"/>
      <w:divBdr>
        <w:top w:val="none" w:sz="0" w:space="0" w:color="auto"/>
        <w:left w:val="none" w:sz="0" w:space="0" w:color="auto"/>
        <w:bottom w:val="none" w:sz="0" w:space="0" w:color="auto"/>
        <w:right w:val="none" w:sz="0" w:space="0" w:color="auto"/>
      </w:divBdr>
    </w:div>
    <w:div w:id="1129204883">
      <w:marLeft w:val="0"/>
      <w:marRight w:val="0"/>
      <w:marTop w:val="180"/>
      <w:marBottom w:val="180"/>
      <w:divBdr>
        <w:top w:val="none" w:sz="0" w:space="0" w:color="auto"/>
        <w:left w:val="none" w:sz="0" w:space="0" w:color="auto"/>
        <w:bottom w:val="none" w:sz="0" w:space="0" w:color="auto"/>
        <w:right w:val="none" w:sz="0" w:space="0" w:color="auto"/>
      </w:divBdr>
    </w:div>
    <w:div w:id="1131050061">
      <w:marLeft w:val="0"/>
      <w:marRight w:val="0"/>
      <w:marTop w:val="180"/>
      <w:marBottom w:val="0"/>
      <w:divBdr>
        <w:top w:val="none" w:sz="0" w:space="0" w:color="auto"/>
        <w:left w:val="none" w:sz="0" w:space="0" w:color="auto"/>
        <w:bottom w:val="none" w:sz="0" w:space="0" w:color="auto"/>
        <w:right w:val="none" w:sz="0" w:space="0" w:color="auto"/>
      </w:divBdr>
    </w:div>
    <w:div w:id="1133018892">
      <w:marLeft w:val="0"/>
      <w:marRight w:val="0"/>
      <w:marTop w:val="0"/>
      <w:marBottom w:val="0"/>
      <w:divBdr>
        <w:top w:val="none" w:sz="0" w:space="0" w:color="auto"/>
        <w:left w:val="none" w:sz="0" w:space="0" w:color="auto"/>
        <w:bottom w:val="none" w:sz="0" w:space="0" w:color="auto"/>
        <w:right w:val="none" w:sz="0" w:space="0" w:color="auto"/>
      </w:divBdr>
      <w:divsChild>
        <w:div w:id="1682470812">
          <w:marLeft w:val="0"/>
          <w:marRight w:val="0"/>
          <w:marTop w:val="60"/>
          <w:marBottom w:val="60"/>
          <w:divBdr>
            <w:top w:val="none" w:sz="0" w:space="0" w:color="auto"/>
            <w:left w:val="none" w:sz="0" w:space="0" w:color="auto"/>
            <w:bottom w:val="none" w:sz="0" w:space="0" w:color="auto"/>
            <w:right w:val="none" w:sz="0" w:space="0" w:color="auto"/>
          </w:divBdr>
        </w:div>
      </w:divsChild>
    </w:div>
    <w:div w:id="1134906928">
      <w:marLeft w:val="0"/>
      <w:marRight w:val="0"/>
      <w:marTop w:val="60"/>
      <w:marBottom w:val="60"/>
      <w:divBdr>
        <w:top w:val="none" w:sz="0" w:space="0" w:color="auto"/>
        <w:left w:val="none" w:sz="0" w:space="0" w:color="auto"/>
        <w:bottom w:val="none" w:sz="0" w:space="0" w:color="auto"/>
        <w:right w:val="none" w:sz="0" w:space="0" w:color="auto"/>
      </w:divBdr>
    </w:div>
    <w:div w:id="1135215765">
      <w:marLeft w:val="0"/>
      <w:marRight w:val="0"/>
      <w:marTop w:val="0"/>
      <w:marBottom w:val="0"/>
      <w:divBdr>
        <w:top w:val="none" w:sz="0" w:space="0" w:color="auto"/>
        <w:left w:val="none" w:sz="0" w:space="0" w:color="auto"/>
        <w:bottom w:val="none" w:sz="0" w:space="0" w:color="auto"/>
        <w:right w:val="none" w:sz="0" w:space="0" w:color="auto"/>
      </w:divBdr>
    </w:div>
    <w:div w:id="1135440822">
      <w:marLeft w:val="0"/>
      <w:marRight w:val="0"/>
      <w:marTop w:val="0"/>
      <w:marBottom w:val="0"/>
      <w:divBdr>
        <w:top w:val="none" w:sz="0" w:space="0" w:color="auto"/>
        <w:left w:val="none" w:sz="0" w:space="0" w:color="auto"/>
        <w:bottom w:val="none" w:sz="0" w:space="0" w:color="auto"/>
        <w:right w:val="none" w:sz="0" w:space="0" w:color="auto"/>
      </w:divBdr>
      <w:divsChild>
        <w:div w:id="1117723848">
          <w:marLeft w:val="0"/>
          <w:marRight w:val="0"/>
          <w:marTop w:val="60"/>
          <w:marBottom w:val="60"/>
          <w:divBdr>
            <w:top w:val="none" w:sz="0" w:space="0" w:color="auto"/>
            <w:left w:val="none" w:sz="0" w:space="0" w:color="auto"/>
            <w:bottom w:val="none" w:sz="0" w:space="0" w:color="auto"/>
            <w:right w:val="none" w:sz="0" w:space="0" w:color="auto"/>
          </w:divBdr>
        </w:div>
      </w:divsChild>
    </w:div>
    <w:div w:id="1137457747">
      <w:marLeft w:val="0"/>
      <w:marRight w:val="0"/>
      <w:marTop w:val="180"/>
      <w:marBottom w:val="180"/>
      <w:divBdr>
        <w:top w:val="none" w:sz="0" w:space="0" w:color="auto"/>
        <w:left w:val="none" w:sz="0" w:space="0" w:color="auto"/>
        <w:bottom w:val="none" w:sz="0" w:space="0" w:color="auto"/>
        <w:right w:val="none" w:sz="0" w:space="0" w:color="auto"/>
      </w:divBdr>
    </w:div>
    <w:div w:id="1140154903">
      <w:marLeft w:val="0"/>
      <w:marRight w:val="0"/>
      <w:marTop w:val="0"/>
      <w:marBottom w:val="0"/>
      <w:divBdr>
        <w:top w:val="none" w:sz="0" w:space="0" w:color="auto"/>
        <w:left w:val="none" w:sz="0" w:space="0" w:color="auto"/>
        <w:bottom w:val="none" w:sz="0" w:space="0" w:color="auto"/>
        <w:right w:val="none" w:sz="0" w:space="0" w:color="auto"/>
      </w:divBdr>
      <w:divsChild>
        <w:div w:id="1217425017">
          <w:marLeft w:val="0"/>
          <w:marRight w:val="0"/>
          <w:marTop w:val="0"/>
          <w:marBottom w:val="0"/>
          <w:divBdr>
            <w:top w:val="none" w:sz="0" w:space="0" w:color="auto"/>
            <w:left w:val="none" w:sz="0" w:space="0" w:color="auto"/>
            <w:bottom w:val="none" w:sz="0" w:space="0" w:color="auto"/>
            <w:right w:val="none" w:sz="0" w:space="0" w:color="auto"/>
          </w:divBdr>
          <w:divsChild>
            <w:div w:id="18995866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0729764">
      <w:marLeft w:val="0"/>
      <w:marRight w:val="0"/>
      <w:marTop w:val="0"/>
      <w:marBottom w:val="0"/>
      <w:divBdr>
        <w:top w:val="none" w:sz="0" w:space="0" w:color="auto"/>
        <w:left w:val="none" w:sz="0" w:space="0" w:color="auto"/>
        <w:bottom w:val="none" w:sz="0" w:space="0" w:color="auto"/>
        <w:right w:val="none" w:sz="0" w:space="0" w:color="auto"/>
      </w:divBdr>
    </w:div>
    <w:div w:id="1141457023">
      <w:marLeft w:val="0"/>
      <w:marRight w:val="0"/>
      <w:marTop w:val="180"/>
      <w:marBottom w:val="180"/>
      <w:divBdr>
        <w:top w:val="none" w:sz="0" w:space="0" w:color="auto"/>
        <w:left w:val="none" w:sz="0" w:space="0" w:color="auto"/>
        <w:bottom w:val="none" w:sz="0" w:space="0" w:color="auto"/>
        <w:right w:val="none" w:sz="0" w:space="0" w:color="auto"/>
      </w:divBdr>
    </w:div>
    <w:div w:id="1142037152">
      <w:marLeft w:val="0"/>
      <w:marRight w:val="0"/>
      <w:marTop w:val="0"/>
      <w:marBottom w:val="0"/>
      <w:divBdr>
        <w:top w:val="none" w:sz="0" w:space="0" w:color="auto"/>
        <w:left w:val="none" w:sz="0" w:space="0" w:color="auto"/>
        <w:bottom w:val="none" w:sz="0" w:space="0" w:color="auto"/>
        <w:right w:val="none" w:sz="0" w:space="0" w:color="auto"/>
      </w:divBdr>
      <w:divsChild>
        <w:div w:id="1587180517">
          <w:marLeft w:val="0"/>
          <w:marRight w:val="0"/>
          <w:marTop w:val="60"/>
          <w:marBottom w:val="60"/>
          <w:divBdr>
            <w:top w:val="none" w:sz="0" w:space="0" w:color="auto"/>
            <w:left w:val="none" w:sz="0" w:space="0" w:color="auto"/>
            <w:bottom w:val="none" w:sz="0" w:space="0" w:color="auto"/>
            <w:right w:val="none" w:sz="0" w:space="0" w:color="auto"/>
          </w:divBdr>
        </w:div>
      </w:divsChild>
    </w:div>
    <w:div w:id="1143549185">
      <w:marLeft w:val="0"/>
      <w:marRight w:val="0"/>
      <w:marTop w:val="180"/>
      <w:marBottom w:val="180"/>
      <w:divBdr>
        <w:top w:val="none" w:sz="0" w:space="0" w:color="auto"/>
        <w:left w:val="none" w:sz="0" w:space="0" w:color="auto"/>
        <w:bottom w:val="none" w:sz="0" w:space="0" w:color="auto"/>
        <w:right w:val="none" w:sz="0" w:space="0" w:color="auto"/>
      </w:divBdr>
    </w:div>
    <w:div w:id="1144814397">
      <w:marLeft w:val="0"/>
      <w:marRight w:val="0"/>
      <w:marTop w:val="180"/>
      <w:marBottom w:val="180"/>
      <w:divBdr>
        <w:top w:val="none" w:sz="0" w:space="0" w:color="auto"/>
        <w:left w:val="none" w:sz="0" w:space="0" w:color="auto"/>
        <w:bottom w:val="none" w:sz="0" w:space="0" w:color="auto"/>
        <w:right w:val="none" w:sz="0" w:space="0" w:color="auto"/>
      </w:divBdr>
    </w:div>
    <w:div w:id="1144851276">
      <w:marLeft w:val="0"/>
      <w:marRight w:val="0"/>
      <w:marTop w:val="100"/>
      <w:marBottom w:val="100"/>
      <w:divBdr>
        <w:top w:val="none" w:sz="0" w:space="0" w:color="auto"/>
        <w:left w:val="none" w:sz="0" w:space="0" w:color="auto"/>
        <w:bottom w:val="none" w:sz="0" w:space="0" w:color="auto"/>
        <w:right w:val="none" w:sz="0" w:space="0" w:color="auto"/>
      </w:divBdr>
    </w:div>
    <w:div w:id="1145395516">
      <w:marLeft w:val="0"/>
      <w:marRight w:val="0"/>
      <w:marTop w:val="100"/>
      <w:marBottom w:val="100"/>
      <w:divBdr>
        <w:top w:val="none" w:sz="0" w:space="0" w:color="auto"/>
        <w:left w:val="none" w:sz="0" w:space="0" w:color="auto"/>
        <w:bottom w:val="none" w:sz="0" w:space="0" w:color="auto"/>
        <w:right w:val="none" w:sz="0" w:space="0" w:color="auto"/>
      </w:divBdr>
    </w:div>
    <w:div w:id="1145440035">
      <w:marLeft w:val="0"/>
      <w:marRight w:val="0"/>
      <w:marTop w:val="0"/>
      <w:marBottom w:val="0"/>
      <w:divBdr>
        <w:top w:val="none" w:sz="0" w:space="0" w:color="auto"/>
        <w:left w:val="none" w:sz="0" w:space="0" w:color="auto"/>
        <w:bottom w:val="none" w:sz="0" w:space="0" w:color="auto"/>
        <w:right w:val="none" w:sz="0" w:space="0" w:color="auto"/>
      </w:divBdr>
      <w:divsChild>
        <w:div w:id="1541550462">
          <w:marLeft w:val="0"/>
          <w:marRight w:val="0"/>
          <w:marTop w:val="60"/>
          <w:marBottom w:val="60"/>
          <w:divBdr>
            <w:top w:val="none" w:sz="0" w:space="0" w:color="auto"/>
            <w:left w:val="none" w:sz="0" w:space="0" w:color="auto"/>
            <w:bottom w:val="none" w:sz="0" w:space="0" w:color="auto"/>
            <w:right w:val="none" w:sz="0" w:space="0" w:color="auto"/>
          </w:divBdr>
        </w:div>
      </w:divsChild>
    </w:div>
    <w:div w:id="1145855402">
      <w:marLeft w:val="0"/>
      <w:marRight w:val="0"/>
      <w:marTop w:val="180"/>
      <w:marBottom w:val="180"/>
      <w:divBdr>
        <w:top w:val="none" w:sz="0" w:space="0" w:color="auto"/>
        <w:left w:val="none" w:sz="0" w:space="0" w:color="auto"/>
        <w:bottom w:val="none" w:sz="0" w:space="0" w:color="auto"/>
        <w:right w:val="none" w:sz="0" w:space="0" w:color="auto"/>
      </w:divBdr>
    </w:div>
    <w:div w:id="1146239032">
      <w:marLeft w:val="0"/>
      <w:marRight w:val="0"/>
      <w:marTop w:val="0"/>
      <w:marBottom w:val="0"/>
      <w:divBdr>
        <w:top w:val="none" w:sz="0" w:space="0" w:color="auto"/>
        <w:left w:val="none" w:sz="0" w:space="0" w:color="auto"/>
        <w:bottom w:val="none" w:sz="0" w:space="0" w:color="auto"/>
        <w:right w:val="none" w:sz="0" w:space="0" w:color="auto"/>
      </w:divBdr>
    </w:div>
    <w:div w:id="1147207899">
      <w:marLeft w:val="0"/>
      <w:marRight w:val="0"/>
      <w:marTop w:val="60"/>
      <w:marBottom w:val="60"/>
      <w:divBdr>
        <w:top w:val="none" w:sz="0" w:space="0" w:color="auto"/>
        <w:left w:val="none" w:sz="0" w:space="0" w:color="auto"/>
        <w:bottom w:val="none" w:sz="0" w:space="0" w:color="auto"/>
        <w:right w:val="none" w:sz="0" w:space="0" w:color="auto"/>
      </w:divBdr>
    </w:div>
    <w:div w:id="1147283046">
      <w:marLeft w:val="0"/>
      <w:marRight w:val="0"/>
      <w:marTop w:val="100"/>
      <w:marBottom w:val="60"/>
      <w:divBdr>
        <w:top w:val="none" w:sz="0" w:space="0" w:color="auto"/>
        <w:left w:val="none" w:sz="0" w:space="0" w:color="auto"/>
        <w:bottom w:val="none" w:sz="0" w:space="0" w:color="auto"/>
        <w:right w:val="none" w:sz="0" w:space="0" w:color="auto"/>
      </w:divBdr>
      <w:divsChild>
        <w:div w:id="768543634">
          <w:marLeft w:val="0"/>
          <w:marRight w:val="0"/>
          <w:marTop w:val="0"/>
          <w:marBottom w:val="0"/>
          <w:divBdr>
            <w:top w:val="none" w:sz="0" w:space="0" w:color="auto"/>
            <w:left w:val="none" w:sz="0" w:space="0" w:color="auto"/>
            <w:bottom w:val="none" w:sz="0" w:space="0" w:color="auto"/>
            <w:right w:val="none" w:sz="0" w:space="0" w:color="auto"/>
          </w:divBdr>
        </w:div>
        <w:div w:id="1635940483">
          <w:marLeft w:val="0"/>
          <w:marRight w:val="0"/>
          <w:marTop w:val="0"/>
          <w:marBottom w:val="0"/>
          <w:divBdr>
            <w:top w:val="none" w:sz="0" w:space="0" w:color="auto"/>
            <w:left w:val="none" w:sz="0" w:space="0" w:color="auto"/>
            <w:bottom w:val="none" w:sz="0" w:space="0" w:color="auto"/>
            <w:right w:val="none" w:sz="0" w:space="0" w:color="auto"/>
          </w:divBdr>
        </w:div>
        <w:div w:id="1890410434">
          <w:marLeft w:val="0"/>
          <w:marRight w:val="0"/>
          <w:marTop w:val="0"/>
          <w:marBottom w:val="0"/>
          <w:divBdr>
            <w:top w:val="none" w:sz="0" w:space="0" w:color="auto"/>
            <w:left w:val="none" w:sz="0" w:space="0" w:color="auto"/>
            <w:bottom w:val="none" w:sz="0" w:space="0" w:color="auto"/>
            <w:right w:val="none" w:sz="0" w:space="0" w:color="auto"/>
          </w:divBdr>
        </w:div>
        <w:div w:id="1040285454">
          <w:marLeft w:val="0"/>
          <w:marRight w:val="0"/>
          <w:marTop w:val="0"/>
          <w:marBottom w:val="0"/>
          <w:divBdr>
            <w:top w:val="none" w:sz="0" w:space="0" w:color="auto"/>
            <w:left w:val="none" w:sz="0" w:space="0" w:color="auto"/>
            <w:bottom w:val="none" w:sz="0" w:space="0" w:color="auto"/>
            <w:right w:val="none" w:sz="0" w:space="0" w:color="auto"/>
          </w:divBdr>
        </w:div>
        <w:div w:id="1735814047">
          <w:marLeft w:val="0"/>
          <w:marRight w:val="0"/>
          <w:marTop w:val="0"/>
          <w:marBottom w:val="0"/>
          <w:divBdr>
            <w:top w:val="none" w:sz="0" w:space="0" w:color="auto"/>
            <w:left w:val="none" w:sz="0" w:space="0" w:color="auto"/>
            <w:bottom w:val="none" w:sz="0" w:space="0" w:color="auto"/>
            <w:right w:val="none" w:sz="0" w:space="0" w:color="auto"/>
          </w:divBdr>
        </w:div>
        <w:div w:id="1284578093">
          <w:marLeft w:val="0"/>
          <w:marRight w:val="0"/>
          <w:marTop w:val="0"/>
          <w:marBottom w:val="0"/>
          <w:divBdr>
            <w:top w:val="none" w:sz="0" w:space="0" w:color="auto"/>
            <w:left w:val="none" w:sz="0" w:space="0" w:color="auto"/>
            <w:bottom w:val="none" w:sz="0" w:space="0" w:color="auto"/>
            <w:right w:val="none" w:sz="0" w:space="0" w:color="auto"/>
          </w:divBdr>
        </w:div>
        <w:div w:id="172958786">
          <w:marLeft w:val="0"/>
          <w:marRight w:val="0"/>
          <w:marTop w:val="0"/>
          <w:marBottom w:val="0"/>
          <w:divBdr>
            <w:top w:val="none" w:sz="0" w:space="0" w:color="auto"/>
            <w:left w:val="none" w:sz="0" w:space="0" w:color="auto"/>
            <w:bottom w:val="none" w:sz="0" w:space="0" w:color="auto"/>
            <w:right w:val="none" w:sz="0" w:space="0" w:color="auto"/>
          </w:divBdr>
        </w:div>
        <w:div w:id="214392804">
          <w:marLeft w:val="0"/>
          <w:marRight w:val="0"/>
          <w:marTop w:val="0"/>
          <w:marBottom w:val="0"/>
          <w:divBdr>
            <w:top w:val="none" w:sz="0" w:space="0" w:color="auto"/>
            <w:left w:val="none" w:sz="0" w:space="0" w:color="auto"/>
            <w:bottom w:val="none" w:sz="0" w:space="0" w:color="auto"/>
            <w:right w:val="none" w:sz="0" w:space="0" w:color="auto"/>
          </w:divBdr>
        </w:div>
      </w:divsChild>
    </w:div>
    <w:div w:id="1149008249">
      <w:marLeft w:val="0"/>
      <w:marRight w:val="0"/>
      <w:marTop w:val="60"/>
      <w:marBottom w:val="60"/>
      <w:divBdr>
        <w:top w:val="none" w:sz="0" w:space="0" w:color="auto"/>
        <w:left w:val="none" w:sz="0" w:space="0" w:color="auto"/>
        <w:bottom w:val="none" w:sz="0" w:space="0" w:color="auto"/>
        <w:right w:val="none" w:sz="0" w:space="0" w:color="auto"/>
      </w:divBdr>
    </w:div>
    <w:div w:id="1149252339">
      <w:marLeft w:val="0"/>
      <w:marRight w:val="0"/>
      <w:marTop w:val="180"/>
      <w:marBottom w:val="180"/>
      <w:divBdr>
        <w:top w:val="none" w:sz="0" w:space="0" w:color="auto"/>
        <w:left w:val="none" w:sz="0" w:space="0" w:color="auto"/>
        <w:bottom w:val="none" w:sz="0" w:space="0" w:color="auto"/>
        <w:right w:val="none" w:sz="0" w:space="0" w:color="auto"/>
      </w:divBdr>
    </w:div>
    <w:div w:id="1149980716">
      <w:marLeft w:val="0"/>
      <w:marRight w:val="0"/>
      <w:marTop w:val="0"/>
      <w:marBottom w:val="180"/>
      <w:divBdr>
        <w:top w:val="none" w:sz="0" w:space="0" w:color="auto"/>
        <w:left w:val="none" w:sz="0" w:space="0" w:color="auto"/>
        <w:bottom w:val="none" w:sz="0" w:space="0" w:color="auto"/>
        <w:right w:val="none" w:sz="0" w:space="0" w:color="auto"/>
      </w:divBdr>
    </w:div>
    <w:div w:id="1150515458">
      <w:marLeft w:val="0"/>
      <w:marRight w:val="0"/>
      <w:marTop w:val="180"/>
      <w:marBottom w:val="180"/>
      <w:divBdr>
        <w:top w:val="none" w:sz="0" w:space="0" w:color="auto"/>
        <w:left w:val="none" w:sz="0" w:space="0" w:color="auto"/>
        <w:bottom w:val="none" w:sz="0" w:space="0" w:color="auto"/>
        <w:right w:val="none" w:sz="0" w:space="0" w:color="auto"/>
      </w:divBdr>
    </w:div>
    <w:div w:id="1150634685">
      <w:marLeft w:val="0"/>
      <w:marRight w:val="0"/>
      <w:marTop w:val="180"/>
      <w:marBottom w:val="180"/>
      <w:divBdr>
        <w:top w:val="none" w:sz="0" w:space="0" w:color="auto"/>
        <w:left w:val="none" w:sz="0" w:space="0" w:color="auto"/>
        <w:bottom w:val="none" w:sz="0" w:space="0" w:color="auto"/>
        <w:right w:val="none" w:sz="0" w:space="0" w:color="auto"/>
      </w:divBdr>
    </w:div>
    <w:div w:id="1155685587">
      <w:marLeft w:val="0"/>
      <w:marRight w:val="0"/>
      <w:marTop w:val="180"/>
      <w:marBottom w:val="180"/>
      <w:divBdr>
        <w:top w:val="none" w:sz="0" w:space="0" w:color="auto"/>
        <w:left w:val="none" w:sz="0" w:space="0" w:color="auto"/>
        <w:bottom w:val="none" w:sz="0" w:space="0" w:color="auto"/>
        <w:right w:val="none" w:sz="0" w:space="0" w:color="auto"/>
      </w:divBdr>
    </w:div>
    <w:div w:id="1155991501">
      <w:marLeft w:val="0"/>
      <w:marRight w:val="0"/>
      <w:marTop w:val="180"/>
      <w:marBottom w:val="180"/>
      <w:divBdr>
        <w:top w:val="none" w:sz="0" w:space="0" w:color="auto"/>
        <w:left w:val="none" w:sz="0" w:space="0" w:color="auto"/>
        <w:bottom w:val="none" w:sz="0" w:space="0" w:color="auto"/>
        <w:right w:val="none" w:sz="0" w:space="0" w:color="auto"/>
      </w:divBdr>
    </w:div>
    <w:div w:id="1156648891">
      <w:marLeft w:val="0"/>
      <w:marRight w:val="0"/>
      <w:marTop w:val="180"/>
      <w:marBottom w:val="180"/>
      <w:divBdr>
        <w:top w:val="none" w:sz="0" w:space="0" w:color="auto"/>
        <w:left w:val="none" w:sz="0" w:space="0" w:color="auto"/>
        <w:bottom w:val="none" w:sz="0" w:space="0" w:color="auto"/>
        <w:right w:val="none" w:sz="0" w:space="0" w:color="auto"/>
      </w:divBdr>
    </w:div>
    <w:div w:id="1158957325">
      <w:marLeft w:val="0"/>
      <w:marRight w:val="0"/>
      <w:marTop w:val="0"/>
      <w:marBottom w:val="0"/>
      <w:divBdr>
        <w:top w:val="none" w:sz="0" w:space="0" w:color="auto"/>
        <w:left w:val="none" w:sz="0" w:space="0" w:color="auto"/>
        <w:bottom w:val="none" w:sz="0" w:space="0" w:color="auto"/>
        <w:right w:val="none" w:sz="0" w:space="0" w:color="auto"/>
      </w:divBdr>
    </w:div>
    <w:div w:id="1161652501">
      <w:marLeft w:val="0"/>
      <w:marRight w:val="0"/>
      <w:marTop w:val="60"/>
      <w:marBottom w:val="60"/>
      <w:divBdr>
        <w:top w:val="none" w:sz="0" w:space="0" w:color="auto"/>
        <w:left w:val="none" w:sz="0" w:space="0" w:color="auto"/>
        <w:bottom w:val="none" w:sz="0" w:space="0" w:color="auto"/>
        <w:right w:val="none" w:sz="0" w:space="0" w:color="auto"/>
      </w:divBdr>
    </w:div>
    <w:div w:id="1161701438">
      <w:marLeft w:val="0"/>
      <w:marRight w:val="0"/>
      <w:marTop w:val="0"/>
      <w:marBottom w:val="0"/>
      <w:divBdr>
        <w:top w:val="none" w:sz="0" w:space="0" w:color="auto"/>
        <w:left w:val="none" w:sz="0" w:space="0" w:color="auto"/>
        <w:bottom w:val="none" w:sz="0" w:space="0" w:color="auto"/>
        <w:right w:val="none" w:sz="0" w:space="0" w:color="auto"/>
      </w:divBdr>
      <w:divsChild>
        <w:div w:id="685785484">
          <w:marLeft w:val="0"/>
          <w:marRight w:val="0"/>
          <w:marTop w:val="0"/>
          <w:marBottom w:val="0"/>
          <w:divBdr>
            <w:top w:val="none" w:sz="0" w:space="0" w:color="auto"/>
            <w:left w:val="none" w:sz="0" w:space="0" w:color="auto"/>
            <w:bottom w:val="none" w:sz="0" w:space="0" w:color="auto"/>
            <w:right w:val="none" w:sz="0" w:space="0" w:color="auto"/>
          </w:divBdr>
          <w:divsChild>
            <w:div w:id="10262484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1967322">
      <w:marLeft w:val="0"/>
      <w:marRight w:val="0"/>
      <w:marTop w:val="180"/>
      <w:marBottom w:val="180"/>
      <w:divBdr>
        <w:top w:val="none" w:sz="0" w:space="0" w:color="auto"/>
        <w:left w:val="none" w:sz="0" w:space="0" w:color="auto"/>
        <w:bottom w:val="none" w:sz="0" w:space="0" w:color="auto"/>
        <w:right w:val="none" w:sz="0" w:space="0" w:color="auto"/>
      </w:divBdr>
    </w:div>
    <w:div w:id="1161968886">
      <w:marLeft w:val="0"/>
      <w:marRight w:val="0"/>
      <w:marTop w:val="0"/>
      <w:marBottom w:val="0"/>
      <w:divBdr>
        <w:top w:val="none" w:sz="0" w:space="0" w:color="auto"/>
        <w:left w:val="none" w:sz="0" w:space="0" w:color="auto"/>
        <w:bottom w:val="none" w:sz="0" w:space="0" w:color="auto"/>
        <w:right w:val="none" w:sz="0" w:space="0" w:color="auto"/>
      </w:divBdr>
      <w:divsChild>
        <w:div w:id="1967084939">
          <w:marLeft w:val="0"/>
          <w:marRight w:val="0"/>
          <w:marTop w:val="0"/>
          <w:marBottom w:val="0"/>
          <w:divBdr>
            <w:top w:val="none" w:sz="0" w:space="0" w:color="auto"/>
            <w:left w:val="none" w:sz="0" w:space="0" w:color="auto"/>
            <w:bottom w:val="none" w:sz="0" w:space="0" w:color="auto"/>
            <w:right w:val="none" w:sz="0" w:space="0" w:color="auto"/>
          </w:divBdr>
          <w:divsChild>
            <w:div w:id="16071541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2040563">
      <w:marLeft w:val="0"/>
      <w:marRight w:val="0"/>
      <w:marTop w:val="180"/>
      <w:marBottom w:val="180"/>
      <w:divBdr>
        <w:top w:val="none" w:sz="0" w:space="0" w:color="auto"/>
        <w:left w:val="none" w:sz="0" w:space="0" w:color="auto"/>
        <w:bottom w:val="none" w:sz="0" w:space="0" w:color="auto"/>
        <w:right w:val="none" w:sz="0" w:space="0" w:color="auto"/>
      </w:divBdr>
    </w:div>
    <w:div w:id="1162544721">
      <w:marLeft w:val="0"/>
      <w:marRight w:val="0"/>
      <w:marTop w:val="180"/>
      <w:marBottom w:val="180"/>
      <w:divBdr>
        <w:top w:val="none" w:sz="0" w:space="0" w:color="auto"/>
        <w:left w:val="none" w:sz="0" w:space="0" w:color="auto"/>
        <w:bottom w:val="none" w:sz="0" w:space="0" w:color="auto"/>
        <w:right w:val="none" w:sz="0" w:space="0" w:color="auto"/>
      </w:divBdr>
    </w:div>
    <w:div w:id="1162895908">
      <w:marLeft w:val="0"/>
      <w:marRight w:val="0"/>
      <w:marTop w:val="180"/>
      <w:marBottom w:val="180"/>
      <w:divBdr>
        <w:top w:val="none" w:sz="0" w:space="0" w:color="auto"/>
        <w:left w:val="none" w:sz="0" w:space="0" w:color="auto"/>
        <w:bottom w:val="none" w:sz="0" w:space="0" w:color="auto"/>
        <w:right w:val="none" w:sz="0" w:space="0" w:color="auto"/>
      </w:divBdr>
    </w:div>
    <w:div w:id="1163350579">
      <w:marLeft w:val="0"/>
      <w:marRight w:val="0"/>
      <w:marTop w:val="0"/>
      <w:marBottom w:val="0"/>
      <w:divBdr>
        <w:top w:val="none" w:sz="0" w:space="0" w:color="auto"/>
        <w:left w:val="none" w:sz="0" w:space="0" w:color="auto"/>
        <w:bottom w:val="none" w:sz="0" w:space="0" w:color="auto"/>
        <w:right w:val="none" w:sz="0" w:space="0" w:color="auto"/>
      </w:divBdr>
      <w:divsChild>
        <w:div w:id="559828812">
          <w:marLeft w:val="0"/>
          <w:marRight w:val="0"/>
          <w:marTop w:val="0"/>
          <w:marBottom w:val="0"/>
          <w:divBdr>
            <w:top w:val="none" w:sz="0" w:space="0" w:color="auto"/>
            <w:left w:val="none" w:sz="0" w:space="0" w:color="auto"/>
            <w:bottom w:val="none" w:sz="0" w:space="0" w:color="auto"/>
            <w:right w:val="none" w:sz="0" w:space="0" w:color="auto"/>
          </w:divBdr>
          <w:divsChild>
            <w:div w:id="930238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4200903">
      <w:marLeft w:val="0"/>
      <w:marRight w:val="0"/>
      <w:marTop w:val="180"/>
      <w:marBottom w:val="60"/>
      <w:divBdr>
        <w:top w:val="none" w:sz="0" w:space="0" w:color="auto"/>
        <w:left w:val="none" w:sz="0" w:space="0" w:color="auto"/>
        <w:bottom w:val="none" w:sz="0" w:space="0" w:color="auto"/>
        <w:right w:val="none" w:sz="0" w:space="0" w:color="auto"/>
      </w:divBdr>
    </w:div>
    <w:div w:id="1165825514">
      <w:marLeft w:val="0"/>
      <w:marRight w:val="0"/>
      <w:marTop w:val="180"/>
      <w:marBottom w:val="180"/>
      <w:divBdr>
        <w:top w:val="none" w:sz="0" w:space="0" w:color="auto"/>
        <w:left w:val="none" w:sz="0" w:space="0" w:color="auto"/>
        <w:bottom w:val="none" w:sz="0" w:space="0" w:color="auto"/>
        <w:right w:val="none" w:sz="0" w:space="0" w:color="auto"/>
      </w:divBdr>
    </w:div>
    <w:div w:id="1167477574">
      <w:marLeft w:val="0"/>
      <w:marRight w:val="0"/>
      <w:marTop w:val="180"/>
      <w:marBottom w:val="180"/>
      <w:divBdr>
        <w:top w:val="none" w:sz="0" w:space="0" w:color="auto"/>
        <w:left w:val="none" w:sz="0" w:space="0" w:color="auto"/>
        <w:bottom w:val="none" w:sz="0" w:space="0" w:color="auto"/>
        <w:right w:val="none" w:sz="0" w:space="0" w:color="auto"/>
      </w:divBdr>
    </w:div>
    <w:div w:id="1168130745">
      <w:marLeft w:val="0"/>
      <w:marRight w:val="0"/>
      <w:marTop w:val="180"/>
      <w:marBottom w:val="180"/>
      <w:divBdr>
        <w:top w:val="none" w:sz="0" w:space="0" w:color="auto"/>
        <w:left w:val="none" w:sz="0" w:space="0" w:color="auto"/>
        <w:bottom w:val="none" w:sz="0" w:space="0" w:color="auto"/>
        <w:right w:val="none" w:sz="0" w:space="0" w:color="auto"/>
      </w:divBdr>
    </w:div>
    <w:div w:id="1170564709">
      <w:marLeft w:val="0"/>
      <w:marRight w:val="0"/>
      <w:marTop w:val="180"/>
      <w:marBottom w:val="180"/>
      <w:divBdr>
        <w:top w:val="none" w:sz="0" w:space="0" w:color="auto"/>
        <w:left w:val="none" w:sz="0" w:space="0" w:color="auto"/>
        <w:bottom w:val="none" w:sz="0" w:space="0" w:color="auto"/>
        <w:right w:val="none" w:sz="0" w:space="0" w:color="auto"/>
      </w:divBdr>
    </w:div>
    <w:div w:id="1170679758">
      <w:marLeft w:val="0"/>
      <w:marRight w:val="0"/>
      <w:marTop w:val="60"/>
      <w:marBottom w:val="60"/>
      <w:divBdr>
        <w:top w:val="none" w:sz="0" w:space="0" w:color="auto"/>
        <w:left w:val="none" w:sz="0" w:space="0" w:color="auto"/>
        <w:bottom w:val="none" w:sz="0" w:space="0" w:color="auto"/>
        <w:right w:val="none" w:sz="0" w:space="0" w:color="auto"/>
      </w:divBdr>
    </w:div>
    <w:div w:id="1172065190">
      <w:marLeft w:val="0"/>
      <w:marRight w:val="0"/>
      <w:marTop w:val="180"/>
      <w:marBottom w:val="60"/>
      <w:divBdr>
        <w:top w:val="none" w:sz="0" w:space="0" w:color="auto"/>
        <w:left w:val="none" w:sz="0" w:space="0" w:color="auto"/>
        <w:bottom w:val="none" w:sz="0" w:space="0" w:color="auto"/>
        <w:right w:val="none" w:sz="0" w:space="0" w:color="auto"/>
      </w:divBdr>
    </w:div>
    <w:div w:id="1173956786">
      <w:marLeft w:val="0"/>
      <w:marRight w:val="0"/>
      <w:marTop w:val="180"/>
      <w:marBottom w:val="180"/>
      <w:divBdr>
        <w:top w:val="none" w:sz="0" w:space="0" w:color="auto"/>
        <w:left w:val="none" w:sz="0" w:space="0" w:color="auto"/>
        <w:bottom w:val="none" w:sz="0" w:space="0" w:color="auto"/>
        <w:right w:val="none" w:sz="0" w:space="0" w:color="auto"/>
      </w:divBdr>
    </w:div>
    <w:div w:id="1173958891">
      <w:marLeft w:val="0"/>
      <w:marRight w:val="0"/>
      <w:marTop w:val="180"/>
      <w:marBottom w:val="180"/>
      <w:divBdr>
        <w:top w:val="none" w:sz="0" w:space="0" w:color="auto"/>
        <w:left w:val="none" w:sz="0" w:space="0" w:color="auto"/>
        <w:bottom w:val="none" w:sz="0" w:space="0" w:color="auto"/>
        <w:right w:val="none" w:sz="0" w:space="0" w:color="auto"/>
      </w:divBdr>
    </w:div>
    <w:div w:id="1174414894">
      <w:marLeft w:val="0"/>
      <w:marRight w:val="0"/>
      <w:marTop w:val="180"/>
      <w:marBottom w:val="180"/>
      <w:divBdr>
        <w:top w:val="none" w:sz="0" w:space="0" w:color="auto"/>
        <w:left w:val="none" w:sz="0" w:space="0" w:color="auto"/>
        <w:bottom w:val="none" w:sz="0" w:space="0" w:color="auto"/>
        <w:right w:val="none" w:sz="0" w:space="0" w:color="auto"/>
      </w:divBdr>
    </w:div>
    <w:div w:id="1175220219">
      <w:marLeft w:val="0"/>
      <w:marRight w:val="0"/>
      <w:marTop w:val="0"/>
      <w:marBottom w:val="0"/>
      <w:divBdr>
        <w:top w:val="none" w:sz="0" w:space="0" w:color="auto"/>
        <w:left w:val="none" w:sz="0" w:space="0" w:color="auto"/>
        <w:bottom w:val="none" w:sz="0" w:space="0" w:color="auto"/>
        <w:right w:val="none" w:sz="0" w:space="0" w:color="auto"/>
      </w:divBdr>
      <w:divsChild>
        <w:div w:id="1770001711">
          <w:marLeft w:val="0"/>
          <w:marRight w:val="0"/>
          <w:marTop w:val="0"/>
          <w:marBottom w:val="0"/>
          <w:divBdr>
            <w:top w:val="none" w:sz="0" w:space="0" w:color="auto"/>
            <w:left w:val="none" w:sz="0" w:space="0" w:color="auto"/>
            <w:bottom w:val="none" w:sz="0" w:space="0" w:color="auto"/>
            <w:right w:val="none" w:sz="0" w:space="0" w:color="auto"/>
          </w:divBdr>
          <w:divsChild>
            <w:div w:id="10911189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75267648">
      <w:marLeft w:val="0"/>
      <w:marRight w:val="0"/>
      <w:marTop w:val="60"/>
      <w:marBottom w:val="60"/>
      <w:divBdr>
        <w:top w:val="none" w:sz="0" w:space="0" w:color="auto"/>
        <w:left w:val="none" w:sz="0" w:space="0" w:color="auto"/>
        <w:bottom w:val="none" w:sz="0" w:space="0" w:color="auto"/>
        <w:right w:val="none" w:sz="0" w:space="0" w:color="auto"/>
      </w:divBdr>
    </w:div>
    <w:div w:id="1175342292">
      <w:marLeft w:val="0"/>
      <w:marRight w:val="0"/>
      <w:marTop w:val="180"/>
      <w:marBottom w:val="180"/>
      <w:divBdr>
        <w:top w:val="none" w:sz="0" w:space="0" w:color="auto"/>
        <w:left w:val="none" w:sz="0" w:space="0" w:color="auto"/>
        <w:bottom w:val="none" w:sz="0" w:space="0" w:color="auto"/>
        <w:right w:val="none" w:sz="0" w:space="0" w:color="auto"/>
      </w:divBdr>
    </w:div>
    <w:div w:id="1175458127">
      <w:marLeft w:val="0"/>
      <w:marRight w:val="0"/>
      <w:marTop w:val="0"/>
      <w:marBottom w:val="0"/>
      <w:divBdr>
        <w:top w:val="none" w:sz="0" w:space="0" w:color="auto"/>
        <w:left w:val="none" w:sz="0" w:space="0" w:color="auto"/>
        <w:bottom w:val="none" w:sz="0" w:space="0" w:color="auto"/>
        <w:right w:val="none" w:sz="0" w:space="0" w:color="auto"/>
      </w:divBdr>
      <w:divsChild>
        <w:div w:id="918757970">
          <w:marLeft w:val="0"/>
          <w:marRight w:val="0"/>
          <w:marTop w:val="180"/>
          <w:marBottom w:val="180"/>
          <w:divBdr>
            <w:top w:val="none" w:sz="0" w:space="0" w:color="auto"/>
            <w:left w:val="none" w:sz="0" w:space="0" w:color="auto"/>
            <w:bottom w:val="none" w:sz="0" w:space="0" w:color="auto"/>
            <w:right w:val="none" w:sz="0" w:space="0" w:color="auto"/>
          </w:divBdr>
        </w:div>
      </w:divsChild>
    </w:div>
    <w:div w:id="1176068544">
      <w:marLeft w:val="0"/>
      <w:marRight w:val="0"/>
      <w:marTop w:val="180"/>
      <w:marBottom w:val="180"/>
      <w:divBdr>
        <w:top w:val="none" w:sz="0" w:space="0" w:color="auto"/>
        <w:left w:val="none" w:sz="0" w:space="0" w:color="auto"/>
        <w:bottom w:val="none" w:sz="0" w:space="0" w:color="auto"/>
        <w:right w:val="none" w:sz="0" w:space="0" w:color="auto"/>
      </w:divBdr>
    </w:div>
    <w:div w:id="1176457728">
      <w:marLeft w:val="0"/>
      <w:marRight w:val="0"/>
      <w:marTop w:val="180"/>
      <w:marBottom w:val="180"/>
      <w:divBdr>
        <w:top w:val="none" w:sz="0" w:space="0" w:color="auto"/>
        <w:left w:val="none" w:sz="0" w:space="0" w:color="auto"/>
        <w:bottom w:val="none" w:sz="0" w:space="0" w:color="auto"/>
        <w:right w:val="none" w:sz="0" w:space="0" w:color="auto"/>
      </w:divBdr>
    </w:div>
    <w:div w:id="1177229234">
      <w:marLeft w:val="0"/>
      <w:marRight w:val="0"/>
      <w:marTop w:val="180"/>
      <w:marBottom w:val="180"/>
      <w:divBdr>
        <w:top w:val="none" w:sz="0" w:space="0" w:color="auto"/>
        <w:left w:val="none" w:sz="0" w:space="0" w:color="auto"/>
        <w:bottom w:val="none" w:sz="0" w:space="0" w:color="auto"/>
        <w:right w:val="none" w:sz="0" w:space="0" w:color="auto"/>
      </w:divBdr>
    </w:div>
    <w:div w:id="1177384395">
      <w:marLeft w:val="0"/>
      <w:marRight w:val="0"/>
      <w:marTop w:val="0"/>
      <w:marBottom w:val="0"/>
      <w:divBdr>
        <w:top w:val="none" w:sz="0" w:space="0" w:color="auto"/>
        <w:left w:val="none" w:sz="0" w:space="0" w:color="auto"/>
        <w:bottom w:val="none" w:sz="0" w:space="0" w:color="auto"/>
        <w:right w:val="none" w:sz="0" w:space="0" w:color="auto"/>
      </w:divBdr>
    </w:div>
    <w:div w:id="1177577786">
      <w:marLeft w:val="0"/>
      <w:marRight w:val="0"/>
      <w:marTop w:val="180"/>
      <w:marBottom w:val="180"/>
      <w:divBdr>
        <w:top w:val="none" w:sz="0" w:space="0" w:color="auto"/>
        <w:left w:val="none" w:sz="0" w:space="0" w:color="auto"/>
        <w:bottom w:val="none" w:sz="0" w:space="0" w:color="auto"/>
        <w:right w:val="none" w:sz="0" w:space="0" w:color="auto"/>
      </w:divBdr>
    </w:div>
    <w:div w:id="1178041778">
      <w:marLeft w:val="0"/>
      <w:marRight w:val="0"/>
      <w:marTop w:val="0"/>
      <w:marBottom w:val="0"/>
      <w:divBdr>
        <w:top w:val="none" w:sz="0" w:space="0" w:color="auto"/>
        <w:left w:val="none" w:sz="0" w:space="0" w:color="auto"/>
        <w:bottom w:val="none" w:sz="0" w:space="0" w:color="auto"/>
        <w:right w:val="none" w:sz="0" w:space="0" w:color="auto"/>
      </w:divBdr>
    </w:div>
    <w:div w:id="1178614348">
      <w:marLeft w:val="0"/>
      <w:marRight w:val="0"/>
      <w:marTop w:val="180"/>
      <w:marBottom w:val="180"/>
      <w:divBdr>
        <w:top w:val="none" w:sz="0" w:space="0" w:color="auto"/>
        <w:left w:val="none" w:sz="0" w:space="0" w:color="auto"/>
        <w:bottom w:val="none" w:sz="0" w:space="0" w:color="auto"/>
        <w:right w:val="none" w:sz="0" w:space="0" w:color="auto"/>
      </w:divBdr>
    </w:div>
    <w:div w:id="1179345399">
      <w:marLeft w:val="0"/>
      <w:marRight w:val="0"/>
      <w:marTop w:val="180"/>
      <w:marBottom w:val="60"/>
      <w:divBdr>
        <w:top w:val="none" w:sz="0" w:space="0" w:color="auto"/>
        <w:left w:val="none" w:sz="0" w:space="0" w:color="auto"/>
        <w:bottom w:val="none" w:sz="0" w:space="0" w:color="auto"/>
        <w:right w:val="none" w:sz="0" w:space="0" w:color="auto"/>
      </w:divBdr>
    </w:div>
    <w:div w:id="1179469367">
      <w:marLeft w:val="0"/>
      <w:marRight w:val="0"/>
      <w:marTop w:val="180"/>
      <w:marBottom w:val="180"/>
      <w:divBdr>
        <w:top w:val="none" w:sz="0" w:space="0" w:color="auto"/>
        <w:left w:val="none" w:sz="0" w:space="0" w:color="auto"/>
        <w:bottom w:val="none" w:sz="0" w:space="0" w:color="auto"/>
        <w:right w:val="none" w:sz="0" w:space="0" w:color="auto"/>
      </w:divBdr>
    </w:div>
    <w:div w:id="1179929608">
      <w:marLeft w:val="0"/>
      <w:marRight w:val="0"/>
      <w:marTop w:val="60"/>
      <w:marBottom w:val="60"/>
      <w:divBdr>
        <w:top w:val="none" w:sz="0" w:space="0" w:color="auto"/>
        <w:left w:val="none" w:sz="0" w:space="0" w:color="auto"/>
        <w:bottom w:val="none" w:sz="0" w:space="0" w:color="auto"/>
        <w:right w:val="none" w:sz="0" w:space="0" w:color="auto"/>
      </w:divBdr>
    </w:div>
    <w:div w:id="1181893877">
      <w:marLeft w:val="0"/>
      <w:marRight w:val="0"/>
      <w:marTop w:val="240"/>
      <w:marBottom w:val="180"/>
      <w:divBdr>
        <w:top w:val="none" w:sz="0" w:space="0" w:color="auto"/>
        <w:left w:val="none" w:sz="0" w:space="0" w:color="auto"/>
        <w:bottom w:val="none" w:sz="0" w:space="0" w:color="auto"/>
        <w:right w:val="none" w:sz="0" w:space="0" w:color="auto"/>
      </w:divBdr>
    </w:div>
    <w:div w:id="1183011094">
      <w:marLeft w:val="0"/>
      <w:marRight w:val="0"/>
      <w:marTop w:val="180"/>
      <w:marBottom w:val="180"/>
      <w:divBdr>
        <w:top w:val="none" w:sz="0" w:space="0" w:color="auto"/>
        <w:left w:val="none" w:sz="0" w:space="0" w:color="auto"/>
        <w:bottom w:val="none" w:sz="0" w:space="0" w:color="auto"/>
        <w:right w:val="none" w:sz="0" w:space="0" w:color="auto"/>
      </w:divBdr>
    </w:div>
    <w:div w:id="1183279614">
      <w:marLeft w:val="0"/>
      <w:marRight w:val="0"/>
      <w:marTop w:val="180"/>
      <w:marBottom w:val="180"/>
      <w:divBdr>
        <w:top w:val="none" w:sz="0" w:space="0" w:color="auto"/>
        <w:left w:val="none" w:sz="0" w:space="0" w:color="auto"/>
        <w:bottom w:val="none" w:sz="0" w:space="0" w:color="auto"/>
        <w:right w:val="none" w:sz="0" w:space="0" w:color="auto"/>
      </w:divBdr>
    </w:div>
    <w:div w:id="1184857953">
      <w:marLeft w:val="0"/>
      <w:marRight w:val="0"/>
      <w:marTop w:val="220"/>
      <w:marBottom w:val="180"/>
      <w:divBdr>
        <w:top w:val="none" w:sz="0" w:space="0" w:color="auto"/>
        <w:left w:val="none" w:sz="0" w:space="0" w:color="auto"/>
        <w:bottom w:val="none" w:sz="0" w:space="0" w:color="auto"/>
        <w:right w:val="none" w:sz="0" w:space="0" w:color="auto"/>
      </w:divBdr>
    </w:div>
    <w:div w:id="1186627029">
      <w:marLeft w:val="0"/>
      <w:marRight w:val="0"/>
      <w:marTop w:val="180"/>
      <w:marBottom w:val="180"/>
      <w:divBdr>
        <w:top w:val="none" w:sz="0" w:space="0" w:color="auto"/>
        <w:left w:val="none" w:sz="0" w:space="0" w:color="auto"/>
        <w:bottom w:val="none" w:sz="0" w:space="0" w:color="auto"/>
        <w:right w:val="none" w:sz="0" w:space="0" w:color="auto"/>
      </w:divBdr>
    </w:div>
    <w:div w:id="1187863470">
      <w:marLeft w:val="0"/>
      <w:marRight w:val="0"/>
      <w:marTop w:val="60"/>
      <w:marBottom w:val="60"/>
      <w:divBdr>
        <w:top w:val="none" w:sz="0" w:space="0" w:color="auto"/>
        <w:left w:val="none" w:sz="0" w:space="0" w:color="auto"/>
        <w:bottom w:val="none" w:sz="0" w:space="0" w:color="auto"/>
        <w:right w:val="none" w:sz="0" w:space="0" w:color="auto"/>
      </w:divBdr>
      <w:divsChild>
        <w:div w:id="454836510">
          <w:marLeft w:val="0"/>
          <w:marRight w:val="0"/>
          <w:marTop w:val="0"/>
          <w:marBottom w:val="0"/>
          <w:divBdr>
            <w:top w:val="none" w:sz="0" w:space="0" w:color="auto"/>
            <w:left w:val="none" w:sz="0" w:space="0" w:color="auto"/>
            <w:bottom w:val="none" w:sz="0" w:space="0" w:color="auto"/>
            <w:right w:val="none" w:sz="0" w:space="0" w:color="auto"/>
          </w:divBdr>
        </w:div>
      </w:divsChild>
    </w:div>
    <w:div w:id="1188180484">
      <w:marLeft w:val="0"/>
      <w:marRight w:val="0"/>
      <w:marTop w:val="180"/>
      <w:marBottom w:val="180"/>
      <w:divBdr>
        <w:top w:val="none" w:sz="0" w:space="0" w:color="auto"/>
        <w:left w:val="none" w:sz="0" w:space="0" w:color="auto"/>
        <w:bottom w:val="none" w:sz="0" w:space="0" w:color="auto"/>
        <w:right w:val="none" w:sz="0" w:space="0" w:color="auto"/>
      </w:divBdr>
    </w:div>
    <w:div w:id="1188911235">
      <w:marLeft w:val="0"/>
      <w:marRight w:val="0"/>
      <w:marTop w:val="180"/>
      <w:marBottom w:val="180"/>
      <w:divBdr>
        <w:top w:val="none" w:sz="0" w:space="0" w:color="auto"/>
        <w:left w:val="none" w:sz="0" w:space="0" w:color="auto"/>
        <w:bottom w:val="none" w:sz="0" w:space="0" w:color="auto"/>
        <w:right w:val="none" w:sz="0" w:space="0" w:color="auto"/>
      </w:divBdr>
    </w:div>
    <w:div w:id="1189491940">
      <w:marLeft w:val="0"/>
      <w:marRight w:val="0"/>
      <w:marTop w:val="180"/>
      <w:marBottom w:val="180"/>
      <w:divBdr>
        <w:top w:val="none" w:sz="0" w:space="0" w:color="auto"/>
        <w:left w:val="none" w:sz="0" w:space="0" w:color="auto"/>
        <w:bottom w:val="none" w:sz="0" w:space="0" w:color="auto"/>
        <w:right w:val="none" w:sz="0" w:space="0" w:color="auto"/>
      </w:divBdr>
    </w:div>
    <w:div w:id="1190800633">
      <w:marLeft w:val="0"/>
      <w:marRight w:val="0"/>
      <w:marTop w:val="0"/>
      <w:marBottom w:val="180"/>
      <w:divBdr>
        <w:top w:val="none" w:sz="0" w:space="0" w:color="auto"/>
        <w:left w:val="none" w:sz="0" w:space="0" w:color="auto"/>
        <w:bottom w:val="none" w:sz="0" w:space="0" w:color="auto"/>
        <w:right w:val="none" w:sz="0" w:space="0" w:color="auto"/>
      </w:divBdr>
    </w:div>
    <w:div w:id="1191141204">
      <w:marLeft w:val="0"/>
      <w:marRight w:val="0"/>
      <w:marTop w:val="180"/>
      <w:marBottom w:val="60"/>
      <w:divBdr>
        <w:top w:val="none" w:sz="0" w:space="0" w:color="auto"/>
        <w:left w:val="none" w:sz="0" w:space="0" w:color="auto"/>
        <w:bottom w:val="none" w:sz="0" w:space="0" w:color="auto"/>
        <w:right w:val="none" w:sz="0" w:space="0" w:color="auto"/>
      </w:divBdr>
    </w:div>
    <w:div w:id="1194660222">
      <w:marLeft w:val="0"/>
      <w:marRight w:val="0"/>
      <w:marTop w:val="180"/>
      <w:marBottom w:val="100"/>
      <w:divBdr>
        <w:top w:val="none" w:sz="0" w:space="0" w:color="auto"/>
        <w:left w:val="none" w:sz="0" w:space="0" w:color="auto"/>
        <w:bottom w:val="none" w:sz="0" w:space="0" w:color="auto"/>
        <w:right w:val="none" w:sz="0" w:space="0" w:color="auto"/>
      </w:divBdr>
    </w:div>
    <w:div w:id="1197308731">
      <w:marLeft w:val="0"/>
      <w:marRight w:val="0"/>
      <w:marTop w:val="100"/>
      <w:marBottom w:val="180"/>
      <w:divBdr>
        <w:top w:val="none" w:sz="0" w:space="0" w:color="auto"/>
        <w:left w:val="none" w:sz="0" w:space="0" w:color="auto"/>
        <w:bottom w:val="none" w:sz="0" w:space="0" w:color="auto"/>
        <w:right w:val="none" w:sz="0" w:space="0" w:color="auto"/>
      </w:divBdr>
    </w:div>
    <w:div w:id="1198619638">
      <w:marLeft w:val="0"/>
      <w:marRight w:val="0"/>
      <w:marTop w:val="60"/>
      <w:marBottom w:val="60"/>
      <w:divBdr>
        <w:top w:val="none" w:sz="0" w:space="0" w:color="auto"/>
        <w:left w:val="none" w:sz="0" w:space="0" w:color="auto"/>
        <w:bottom w:val="none" w:sz="0" w:space="0" w:color="auto"/>
        <w:right w:val="none" w:sz="0" w:space="0" w:color="auto"/>
      </w:divBdr>
    </w:div>
    <w:div w:id="1199046996">
      <w:marLeft w:val="0"/>
      <w:marRight w:val="0"/>
      <w:marTop w:val="180"/>
      <w:marBottom w:val="180"/>
      <w:divBdr>
        <w:top w:val="none" w:sz="0" w:space="0" w:color="auto"/>
        <w:left w:val="none" w:sz="0" w:space="0" w:color="auto"/>
        <w:bottom w:val="none" w:sz="0" w:space="0" w:color="auto"/>
        <w:right w:val="none" w:sz="0" w:space="0" w:color="auto"/>
      </w:divBdr>
    </w:div>
    <w:div w:id="1199666777">
      <w:marLeft w:val="0"/>
      <w:marRight w:val="0"/>
      <w:marTop w:val="60"/>
      <w:marBottom w:val="60"/>
      <w:divBdr>
        <w:top w:val="none" w:sz="0" w:space="0" w:color="auto"/>
        <w:left w:val="none" w:sz="0" w:space="0" w:color="auto"/>
        <w:bottom w:val="none" w:sz="0" w:space="0" w:color="auto"/>
        <w:right w:val="none" w:sz="0" w:space="0" w:color="auto"/>
      </w:divBdr>
    </w:div>
    <w:div w:id="1200321006">
      <w:marLeft w:val="0"/>
      <w:marRight w:val="0"/>
      <w:marTop w:val="180"/>
      <w:marBottom w:val="180"/>
      <w:divBdr>
        <w:top w:val="none" w:sz="0" w:space="0" w:color="auto"/>
        <w:left w:val="none" w:sz="0" w:space="0" w:color="auto"/>
        <w:bottom w:val="none" w:sz="0" w:space="0" w:color="auto"/>
        <w:right w:val="none" w:sz="0" w:space="0" w:color="auto"/>
      </w:divBdr>
    </w:div>
    <w:div w:id="1200514953">
      <w:marLeft w:val="0"/>
      <w:marRight w:val="0"/>
      <w:marTop w:val="60"/>
      <w:marBottom w:val="60"/>
      <w:divBdr>
        <w:top w:val="none" w:sz="0" w:space="0" w:color="auto"/>
        <w:left w:val="none" w:sz="0" w:space="0" w:color="auto"/>
        <w:bottom w:val="none" w:sz="0" w:space="0" w:color="auto"/>
        <w:right w:val="none" w:sz="0" w:space="0" w:color="auto"/>
      </w:divBdr>
    </w:div>
    <w:div w:id="1201699049">
      <w:marLeft w:val="0"/>
      <w:marRight w:val="0"/>
      <w:marTop w:val="180"/>
      <w:marBottom w:val="180"/>
      <w:divBdr>
        <w:top w:val="none" w:sz="0" w:space="0" w:color="auto"/>
        <w:left w:val="none" w:sz="0" w:space="0" w:color="auto"/>
        <w:bottom w:val="none" w:sz="0" w:space="0" w:color="auto"/>
        <w:right w:val="none" w:sz="0" w:space="0" w:color="auto"/>
      </w:divBdr>
    </w:div>
    <w:div w:id="1202206454">
      <w:marLeft w:val="0"/>
      <w:marRight w:val="0"/>
      <w:marTop w:val="60"/>
      <w:marBottom w:val="60"/>
      <w:divBdr>
        <w:top w:val="none" w:sz="0" w:space="0" w:color="auto"/>
        <w:left w:val="none" w:sz="0" w:space="0" w:color="auto"/>
        <w:bottom w:val="none" w:sz="0" w:space="0" w:color="auto"/>
        <w:right w:val="none" w:sz="0" w:space="0" w:color="auto"/>
      </w:divBdr>
    </w:div>
    <w:div w:id="1203639333">
      <w:marLeft w:val="0"/>
      <w:marRight w:val="0"/>
      <w:marTop w:val="100"/>
      <w:marBottom w:val="100"/>
      <w:divBdr>
        <w:top w:val="none" w:sz="0" w:space="0" w:color="auto"/>
        <w:left w:val="none" w:sz="0" w:space="0" w:color="auto"/>
        <w:bottom w:val="none" w:sz="0" w:space="0" w:color="auto"/>
        <w:right w:val="none" w:sz="0" w:space="0" w:color="auto"/>
      </w:divBdr>
      <w:divsChild>
        <w:div w:id="188107437">
          <w:marLeft w:val="0"/>
          <w:marRight w:val="0"/>
          <w:marTop w:val="0"/>
          <w:marBottom w:val="0"/>
          <w:divBdr>
            <w:top w:val="none" w:sz="0" w:space="0" w:color="auto"/>
            <w:left w:val="none" w:sz="0" w:space="0" w:color="auto"/>
            <w:bottom w:val="none" w:sz="0" w:space="0" w:color="auto"/>
            <w:right w:val="none" w:sz="0" w:space="0" w:color="auto"/>
          </w:divBdr>
        </w:div>
        <w:div w:id="1765758257">
          <w:marLeft w:val="0"/>
          <w:marRight w:val="0"/>
          <w:marTop w:val="0"/>
          <w:marBottom w:val="0"/>
          <w:divBdr>
            <w:top w:val="none" w:sz="0" w:space="0" w:color="auto"/>
            <w:left w:val="none" w:sz="0" w:space="0" w:color="auto"/>
            <w:bottom w:val="none" w:sz="0" w:space="0" w:color="auto"/>
            <w:right w:val="none" w:sz="0" w:space="0" w:color="auto"/>
          </w:divBdr>
        </w:div>
      </w:divsChild>
    </w:div>
    <w:div w:id="1204246715">
      <w:marLeft w:val="0"/>
      <w:marRight w:val="0"/>
      <w:marTop w:val="180"/>
      <w:marBottom w:val="60"/>
      <w:divBdr>
        <w:top w:val="none" w:sz="0" w:space="0" w:color="auto"/>
        <w:left w:val="none" w:sz="0" w:space="0" w:color="auto"/>
        <w:bottom w:val="none" w:sz="0" w:space="0" w:color="auto"/>
        <w:right w:val="none" w:sz="0" w:space="0" w:color="auto"/>
      </w:divBdr>
    </w:div>
    <w:div w:id="1204562777">
      <w:marLeft w:val="0"/>
      <w:marRight w:val="0"/>
      <w:marTop w:val="180"/>
      <w:marBottom w:val="180"/>
      <w:divBdr>
        <w:top w:val="none" w:sz="0" w:space="0" w:color="auto"/>
        <w:left w:val="none" w:sz="0" w:space="0" w:color="auto"/>
        <w:bottom w:val="none" w:sz="0" w:space="0" w:color="auto"/>
        <w:right w:val="none" w:sz="0" w:space="0" w:color="auto"/>
      </w:divBdr>
    </w:div>
    <w:div w:id="1204944902">
      <w:marLeft w:val="0"/>
      <w:marRight w:val="0"/>
      <w:marTop w:val="180"/>
      <w:marBottom w:val="180"/>
      <w:divBdr>
        <w:top w:val="none" w:sz="0" w:space="0" w:color="auto"/>
        <w:left w:val="none" w:sz="0" w:space="0" w:color="auto"/>
        <w:bottom w:val="none" w:sz="0" w:space="0" w:color="auto"/>
        <w:right w:val="none" w:sz="0" w:space="0" w:color="auto"/>
      </w:divBdr>
    </w:div>
    <w:div w:id="1206798417">
      <w:marLeft w:val="0"/>
      <w:marRight w:val="0"/>
      <w:marTop w:val="0"/>
      <w:marBottom w:val="0"/>
      <w:divBdr>
        <w:top w:val="none" w:sz="0" w:space="0" w:color="auto"/>
        <w:left w:val="none" w:sz="0" w:space="0" w:color="auto"/>
        <w:bottom w:val="none" w:sz="0" w:space="0" w:color="auto"/>
        <w:right w:val="none" w:sz="0" w:space="0" w:color="auto"/>
      </w:divBdr>
      <w:divsChild>
        <w:div w:id="633371034">
          <w:marLeft w:val="0"/>
          <w:marRight w:val="0"/>
          <w:marTop w:val="180"/>
          <w:marBottom w:val="180"/>
          <w:divBdr>
            <w:top w:val="none" w:sz="0" w:space="0" w:color="auto"/>
            <w:left w:val="none" w:sz="0" w:space="0" w:color="auto"/>
            <w:bottom w:val="none" w:sz="0" w:space="0" w:color="auto"/>
            <w:right w:val="none" w:sz="0" w:space="0" w:color="auto"/>
          </w:divBdr>
        </w:div>
      </w:divsChild>
    </w:div>
    <w:div w:id="1206866609">
      <w:marLeft w:val="0"/>
      <w:marRight w:val="0"/>
      <w:marTop w:val="0"/>
      <w:marBottom w:val="0"/>
      <w:divBdr>
        <w:top w:val="none" w:sz="0" w:space="0" w:color="auto"/>
        <w:left w:val="none" w:sz="0" w:space="0" w:color="auto"/>
        <w:bottom w:val="none" w:sz="0" w:space="0" w:color="auto"/>
        <w:right w:val="none" w:sz="0" w:space="0" w:color="auto"/>
      </w:divBdr>
      <w:divsChild>
        <w:div w:id="1325088037">
          <w:marLeft w:val="0"/>
          <w:marRight w:val="0"/>
          <w:marTop w:val="60"/>
          <w:marBottom w:val="60"/>
          <w:divBdr>
            <w:top w:val="none" w:sz="0" w:space="0" w:color="auto"/>
            <w:left w:val="none" w:sz="0" w:space="0" w:color="auto"/>
            <w:bottom w:val="none" w:sz="0" w:space="0" w:color="auto"/>
            <w:right w:val="none" w:sz="0" w:space="0" w:color="auto"/>
          </w:divBdr>
        </w:div>
      </w:divsChild>
    </w:div>
    <w:div w:id="1206917204">
      <w:marLeft w:val="0"/>
      <w:marRight w:val="0"/>
      <w:marTop w:val="0"/>
      <w:marBottom w:val="0"/>
      <w:divBdr>
        <w:top w:val="none" w:sz="0" w:space="0" w:color="auto"/>
        <w:left w:val="none" w:sz="0" w:space="0" w:color="auto"/>
        <w:bottom w:val="none" w:sz="0" w:space="0" w:color="auto"/>
        <w:right w:val="none" w:sz="0" w:space="0" w:color="auto"/>
      </w:divBdr>
    </w:div>
    <w:div w:id="1207991056">
      <w:marLeft w:val="0"/>
      <w:marRight w:val="0"/>
      <w:marTop w:val="180"/>
      <w:marBottom w:val="180"/>
      <w:divBdr>
        <w:top w:val="none" w:sz="0" w:space="0" w:color="auto"/>
        <w:left w:val="none" w:sz="0" w:space="0" w:color="auto"/>
        <w:bottom w:val="none" w:sz="0" w:space="0" w:color="auto"/>
        <w:right w:val="none" w:sz="0" w:space="0" w:color="auto"/>
      </w:divBdr>
    </w:div>
    <w:div w:id="1208713138">
      <w:marLeft w:val="0"/>
      <w:marRight w:val="0"/>
      <w:marTop w:val="180"/>
      <w:marBottom w:val="180"/>
      <w:divBdr>
        <w:top w:val="none" w:sz="0" w:space="0" w:color="auto"/>
        <w:left w:val="none" w:sz="0" w:space="0" w:color="auto"/>
        <w:bottom w:val="none" w:sz="0" w:space="0" w:color="auto"/>
        <w:right w:val="none" w:sz="0" w:space="0" w:color="auto"/>
      </w:divBdr>
    </w:div>
    <w:div w:id="1208951105">
      <w:marLeft w:val="0"/>
      <w:marRight w:val="0"/>
      <w:marTop w:val="0"/>
      <w:marBottom w:val="15"/>
      <w:divBdr>
        <w:top w:val="none" w:sz="0" w:space="0" w:color="auto"/>
        <w:left w:val="none" w:sz="0" w:space="0" w:color="auto"/>
        <w:bottom w:val="none" w:sz="0" w:space="0" w:color="auto"/>
        <w:right w:val="none" w:sz="0" w:space="0" w:color="auto"/>
      </w:divBdr>
    </w:div>
    <w:div w:id="1209756561">
      <w:marLeft w:val="0"/>
      <w:marRight w:val="0"/>
      <w:marTop w:val="180"/>
      <w:marBottom w:val="180"/>
      <w:divBdr>
        <w:top w:val="none" w:sz="0" w:space="0" w:color="auto"/>
        <w:left w:val="none" w:sz="0" w:space="0" w:color="auto"/>
        <w:bottom w:val="none" w:sz="0" w:space="0" w:color="auto"/>
        <w:right w:val="none" w:sz="0" w:space="0" w:color="auto"/>
      </w:divBdr>
    </w:div>
    <w:div w:id="1210342608">
      <w:marLeft w:val="0"/>
      <w:marRight w:val="0"/>
      <w:marTop w:val="0"/>
      <w:marBottom w:val="0"/>
      <w:divBdr>
        <w:top w:val="none" w:sz="0" w:space="0" w:color="auto"/>
        <w:left w:val="none" w:sz="0" w:space="0" w:color="auto"/>
        <w:bottom w:val="none" w:sz="0" w:space="0" w:color="auto"/>
        <w:right w:val="none" w:sz="0" w:space="0" w:color="auto"/>
      </w:divBdr>
      <w:divsChild>
        <w:div w:id="705913224">
          <w:marLeft w:val="0"/>
          <w:marRight w:val="0"/>
          <w:marTop w:val="180"/>
          <w:marBottom w:val="180"/>
          <w:divBdr>
            <w:top w:val="none" w:sz="0" w:space="0" w:color="auto"/>
            <w:left w:val="none" w:sz="0" w:space="0" w:color="auto"/>
            <w:bottom w:val="none" w:sz="0" w:space="0" w:color="auto"/>
            <w:right w:val="none" w:sz="0" w:space="0" w:color="auto"/>
          </w:divBdr>
        </w:div>
      </w:divsChild>
    </w:div>
    <w:div w:id="1210460836">
      <w:marLeft w:val="0"/>
      <w:marRight w:val="0"/>
      <w:marTop w:val="180"/>
      <w:marBottom w:val="180"/>
      <w:divBdr>
        <w:top w:val="none" w:sz="0" w:space="0" w:color="auto"/>
        <w:left w:val="none" w:sz="0" w:space="0" w:color="auto"/>
        <w:bottom w:val="none" w:sz="0" w:space="0" w:color="auto"/>
        <w:right w:val="none" w:sz="0" w:space="0" w:color="auto"/>
      </w:divBdr>
    </w:div>
    <w:div w:id="1211185058">
      <w:marLeft w:val="0"/>
      <w:marRight w:val="0"/>
      <w:marTop w:val="180"/>
      <w:marBottom w:val="180"/>
      <w:divBdr>
        <w:top w:val="none" w:sz="0" w:space="0" w:color="auto"/>
        <w:left w:val="none" w:sz="0" w:space="0" w:color="auto"/>
        <w:bottom w:val="none" w:sz="0" w:space="0" w:color="auto"/>
        <w:right w:val="none" w:sz="0" w:space="0" w:color="auto"/>
      </w:divBdr>
    </w:div>
    <w:div w:id="1211260698">
      <w:marLeft w:val="0"/>
      <w:marRight w:val="0"/>
      <w:marTop w:val="180"/>
      <w:marBottom w:val="180"/>
      <w:divBdr>
        <w:top w:val="none" w:sz="0" w:space="0" w:color="auto"/>
        <w:left w:val="none" w:sz="0" w:space="0" w:color="auto"/>
        <w:bottom w:val="none" w:sz="0" w:space="0" w:color="auto"/>
        <w:right w:val="none" w:sz="0" w:space="0" w:color="auto"/>
      </w:divBdr>
    </w:div>
    <w:div w:id="1211766532">
      <w:marLeft w:val="0"/>
      <w:marRight w:val="0"/>
      <w:marTop w:val="100"/>
      <w:marBottom w:val="100"/>
      <w:divBdr>
        <w:top w:val="none" w:sz="0" w:space="0" w:color="auto"/>
        <w:left w:val="none" w:sz="0" w:space="0" w:color="auto"/>
        <w:bottom w:val="none" w:sz="0" w:space="0" w:color="auto"/>
        <w:right w:val="none" w:sz="0" w:space="0" w:color="auto"/>
      </w:divBdr>
      <w:divsChild>
        <w:div w:id="1121144163">
          <w:marLeft w:val="0"/>
          <w:marRight w:val="0"/>
          <w:marTop w:val="0"/>
          <w:marBottom w:val="0"/>
          <w:divBdr>
            <w:top w:val="none" w:sz="0" w:space="0" w:color="auto"/>
            <w:left w:val="none" w:sz="0" w:space="0" w:color="auto"/>
            <w:bottom w:val="none" w:sz="0" w:space="0" w:color="auto"/>
            <w:right w:val="none" w:sz="0" w:space="0" w:color="auto"/>
          </w:divBdr>
        </w:div>
        <w:div w:id="1679383691">
          <w:marLeft w:val="0"/>
          <w:marRight w:val="0"/>
          <w:marTop w:val="0"/>
          <w:marBottom w:val="0"/>
          <w:divBdr>
            <w:top w:val="none" w:sz="0" w:space="0" w:color="auto"/>
            <w:left w:val="none" w:sz="0" w:space="0" w:color="auto"/>
            <w:bottom w:val="none" w:sz="0" w:space="0" w:color="auto"/>
            <w:right w:val="none" w:sz="0" w:space="0" w:color="auto"/>
          </w:divBdr>
        </w:div>
        <w:div w:id="1396080033">
          <w:marLeft w:val="0"/>
          <w:marRight w:val="0"/>
          <w:marTop w:val="0"/>
          <w:marBottom w:val="0"/>
          <w:divBdr>
            <w:top w:val="none" w:sz="0" w:space="0" w:color="auto"/>
            <w:left w:val="none" w:sz="0" w:space="0" w:color="auto"/>
            <w:bottom w:val="none" w:sz="0" w:space="0" w:color="auto"/>
            <w:right w:val="none" w:sz="0" w:space="0" w:color="auto"/>
          </w:divBdr>
        </w:div>
      </w:divsChild>
    </w:div>
    <w:div w:id="1212612840">
      <w:marLeft w:val="0"/>
      <w:marRight w:val="0"/>
      <w:marTop w:val="180"/>
      <w:marBottom w:val="180"/>
      <w:divBdr>
        <w:top w:val="none" w:sz="0" w:space="0" w:color="auto"/>
        <w:left w:val="none" w:sz="0" w:space="0" w:color="auto"/>
        <w:bottom w:val="none" w:sz="0" w:space="0" w:color="auto"/>
        <w:right w:val="none" w:sz="0" w:space="0" w:color="auto"/>
      </w:divBdr>
    </w:div>
    <w:div w:id="1213882775">
      <w:marLeft w:val="0"/>
      <w:marRight w:val="0"/>
      <w:marTop w:val="180"/>
      <w:marBottom w:val="180"/>
      <w:divBdr>
        <w:top w:val="none" w:sz="0" w:space="0" w:color="auto"/>
        <w:left w:val="none" w:sz="0" w:space="0" w:color="auto"/>
        <w:bottom w:val="none" w:sz="0" w:space="0" w:color="auto"/>
        <w:right w:val="none" w:sz="0" w:space="0" w:color="auto"/>
      </w:divBdr>
    </w:div>
    <w:div w:id="1215582980">
      <w:marLeft w:val="0"/>
      <w:marRight w:val="0"/>
      <w:marTop w:val="180"/>
      <w:marBottom w:val="180"/>
      <w:divBdr>
        <w:top w:val="none" w:sz="0" w:space="0" w:color="auto"/>
        <w:left w:val="none" w:sz="0" w:space="0" w:color="auto"/>
        <w:bottom w:val="none" w:sz="0" w:space="0" w:color="auto"/>
        <w:right w:val="none" w:sz="0" w:space="0" w:color="auto"/>
      </w:divBdr>
    </w:div>
    <w:div w:id="1216314964">
      <w:marLeft w:val="0"/>
      <w:marRight w:val="0"/>
      <w:marTop w:val="180"/>
      <w:marBottom w:val="180"/>
      <w:divBdr>
        <w:top w:val="none" w:sz="0" w:space="0" w:color="auto"/>
        <w:left w:val="none" w:sz="0" w:space="0" w:color="auto"/>
        <w:bottom w:val="none" w:sz="0" w:space="0" w:color="auto"/>
        <w:right w:val="none" w:sz="0" w:space="0" w:color="auto"/>
      </w:divBdr>
    </w:div>
    <w:div w:id="1216745020">
      <w:marLeft w:val="0"/>
      <w:marRight w:val="0"/>
      <w:marTop w:val="180"/>
      <w:marBottom w:val="180"/>
      <w:divBdr>
        <w:top w:val="none" w:sz="0" w:space="0" w:color="auto"/>
        <w:left w:val="none" w:sz="0" w:space="0" w:color="auto"/>
        <w:bottom w:val="none" w:sz="0" w:space="0" w:color="auto"/>
        <w:right w:val="none" w:sz="0" w:space="0" w:color="auto"/>
      </w:divBdr>
    </w:div>
    <w:div w:id="1216939037">
      <w:marLeft w:val="0"/>
      <w:marRight w:val="0"/>
      <w:marTop w:val="180"/>
      <w:marBottom w:val="180"/>
      <w:divBdr>
        <w:top w:val="none" w:sz="0" w:space="0" w:color="auto"/>
        <w:left w:val="none" w:sz="0" w:space="0" w:color="auto"/>
        <w:bottom w:val="none" w:sz="0" w:space="0" w:color="auto"/>
        <w:right w:val="none" w:sz="0" w:space="0" w:color="auto"/>
      </w:divBdr>
    </w:div>
    <w:div w:id="1217737885">
      <w:marLeft w:val="0"/>
      <w:marRight w:val="0"/>
      <w:marTop w:val="0"/>
      <w:marBottom w:val="0"/>
      <w:divBdr>
        <w:top w:val="none" w:sz="0" w:space="0" w:color="auto"/>
        <w:left w:val="none" w:sz="0" w:space="0" w:color="auto"/>
        <w:bottom w:val="none" w:sz="0" w:space="0" w:color="auto"/>
        <w:right w:val="none" w:sz="0" w:space="0" w:color="auto"/>
      </w:divBdr>
      <w:divsChild>
        <w:div w:id="1406147237">
          <w:marLeft w:val="0"/>
          <w:marRight w:val="0"/>
          <w:marTop w:val="0"/>
          <w:marBottom w:val="0"/>
          <w:divBdr>
            <w:top w:val="none" w:sz="0" w:space="0" w:color="auto"/>
            <w:left w:val="none" w:sz="0" w:space="0" w:color="auto"/>
            <w:bottom w:val="none" w:sz="0" w:space="0" w:color="auto"/>
            <w:right w:val="none" w:sz="0" w:space="0" w:color="auto"/>
          </w:divBdr>
          <w:divsChild>
            <w:div w:id="12540486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8005742">
      <w:marLeft w:val="0"/>
      <w:marRight w:val="0"/>
      <w:marTop w:val="180"/>
      <w:marBottom w:val="60"/>
      <w:divBdr>
        <w:top w:val="none" w:sz="0" w:space="0" w:color="auto"/>
        <w:left w:val="none" w:sz="0" w:space="0" w:color="auto"/>
        <w:bottom w:val="none" w:sz="0" w:space="0" w:color="auto"/>
        <w:right w:val="none" w:sz="0" w:space="0" w:color="auto"/>
      </w:divBdr>
    </w:div>
    <w:div w:id="1218127185">
      <w:marLeft w:val="0"/>
      <w:marRight w:val="0"/>
      <w:marTop w:val="180"/>
      <w:marBottom w:val="180"/>
      <w:divBdr>
        <w:top w:val="none" w:sz="0" w:space="0" w:color="auto"/>
        <w:left w:val="none" w:sz="0" w:space="0" w:color="auto"/>
        <w:bottom w:val="none" w:sz="0" w:space="0" w:color="auto"/>
        <w:right w:val="none" w:sz="0" w:space="0" w:color="auto"/>
      </w:divBdr>
    </w:div>
    <w:div w:id="1218281465">
      <w:marLeft w:val="0"/>
      <w:marRight w:val="0"/>
      <w:marTop w:val="180"/>
      <w:marBottom w:val="180"/>
      <w:divBdr>
        <w:top w:val="none" w:sz="0" w:space="0" w:color="auto"/>
        <w:left w:val="none" w:sz="0" w:space="0" w:color="auto"/>
        <w:bottom w:val="none" w:sz="0" w:space="0" w:color="auto"/>
        <w:right w:val="none" w:sz="0" w:space="0" w:color="auto"/>
      </w:divBdr>
    </w:div>
    <w:div w:id="1218587538">
      <w:marLeft w:val="0"/>
      <w:marRight w:val="0"/>
      <w:marTop w:val="0"/>
      <w:marBottom w:val="0"/>
      <w:divBdr>
        <w:top w:val="none" w:sz="0" w:space="0" w:color="auto"/>
        <w:left w:val="none" w:sz="0" w:space="0" w:color="auto"/>
        <w:bottom w:val="none" w:sz="0" w:space="0" w:color="auto"/>
        <w:right w:val="none" w:sz="0" w:space="0" w:color="auto"/>
      </w:divBdr>
      <w:divsChild>
        <w:div w:id="1210923784">
          <w:marLeft w:val="0"/>
          <w:marRight w:val="0"/>
          <w:marTop w:val="60"/>
          <w:marBottom w:val="60"/>
          <w:divBdr>
            <w:top w:val="none" w:sz="0" w:space="0" w:color="auto"/>
            <w:left w:val="none" w:sz="0" w:space="0" w:color="auto"/>
            <w:bottom w:val="none" w:sz="0" w:space="0" w:color="auto"/>
            <w:right w:val="none" w:sz="0" w:space="0" w:color="auto"/>
          </w:divBdr>
        </w:div>
      </w:divsChild>
    </w:div>
    <w:div w:id="1218977258">
      <w:marLeft w:val="0"/>
      <w:marRight w:val="0"/>
      <w:marTop w:val="180"/>
      <w:marBottom w:val="180"/>
      <w:divBdr>
        <w:top w:val="none" w:sz="0" w:space="0" w:color="auto"/>
        <w:left w:val="none" w:sz="0" w:space="0" w:color="auto"/>
        <w:bottom w:val="none" w:sz="0" w:space="0" w:color="auto"/>
        <w:right w:val="none" w:sz="0" w:space="0" w:color="auto"/>
      </w:divBdr>
    </w:div>
    <w:div w:id="1219393836">
      <w:marLeft w:val="0"/>
      <w:marRight w:val="0"/>
      <w:marTop w:val="180"/>
      <w:marBottom w:val="180"/>
      <w:divBdr>
        <w:top w:val="none" w:sz="0" w:space="0" w:color="auto"/>
        <w:left w:val="none" w:sz="0" w:space="0" w:color="auto"/>
        <w:bottom w:val="none" w:sz="0" w:space="0" w:color="auto"/>
        <w:right w:val="none" w:sz="0" w:space="0" w:color="auto"/>
      </w:divBdr>
    </w:div>
    <w:div w:id="1219822579">
      <w:marLeft w:val="0"/>
      <w:marRight w:val="0"/>
      <w:marTop w:val="180"/>
      <w:marBottom w:val="60"/>
      <w:divBdr>
        <w:top w:val="none" w:sz="0" w:space="0" w:color="auto"/>
        <w:left w:val="none" w:sz="0" w:space="0" w:color="auto"/>
        <w:bottom w:val="none" w:sz="0" w:space="0" w:color="auto"/>
        <w:right w:val="none" w:sz="0" w:space="0" w:color="auto"/>
      </w:divBdr>
    </w:div>
    <w:div w:id="1220437337">
      <w:marLeft w:val="0"/>
      <w:marRight w:val="0"/>
      <w:marTop w:val="180"/>
      <w:marBottom w:val="180"/>
      <w:divBdr>
        <w:top w:val="none" w:sz="0" w:space="0" w:color="auto"/>
        <w:left w:val="none" w:sz="0" w:space="0" w:color="auto"/>
        <w:bottom w:val="none" w:sz="0" w:space="0" w:color="auto"/>
        <w:right w:val="none" w:sz="0" w:space="0" w:color="auto"/>
      </w:divBdr>
    </w:div>
    <w:div w:id="1222207521">
      <w:marLeft w:val="0"/>
      <w:marRight w:val="0"/>
      <w:marTop w:val="180"/>
      <w:marBottom w:val="180"/>
      <w:divBdr>
        <w:top w:val="none" w:sz="0" w:space="0" w:color="auto"/>
        <w:left w:val="none" w:sz="0" w:space="0" w:color="auto"/>
        <w:bottom w:val="none" w:sz="0" w:space="0" w:color="auto"/>
        <w:right w:val="none" w:sz="0" w:space="0" w:color="auto"/>
      </w:divBdr>
    </w:div>
    <w:div w:id="1222598999">
      <w:marLeft w:val="0"/>
      <w:marRight w:val="0"/>
      <w:marTop w:val="180"/>
      <w:marBottom w:val="180"/>
      <w:divBdr>
        <w:top w:val="none" w:sz="0" w:space="0" w:color="auto"/>
        <w:left w:val="none" w:sz="0" w:space="0" w:color="auto"/>
        <w:bottom w:val="none" w:sz="0" w:space="0" w:color="auto"/>
        <w:right w:val="none" w:sz="0" w:space="0" w:color="auto"/>
      </w:divBdr>
    </w:div>
    <w:div w:id="1223061828">
      <w:marLeft w:val="0"/>
      <w:marRight w:val="0"/>
      <w:marTop w:val="0"/>
      <w:marBottom w:val="0"/>
      <w:divBdr>
        <w:top w:val="none" w:sz="0" w:space="0" w:color="auto"/>
        <w:left w:val="none" w:sz="0" w:space="0" w:color="auto"/>
        <w:bottom w:val="none" w:sz="0" w:space="0" w:color="auto"/>
        <w:right w:val="none" w:sz="0" w:space="0" w:color="auto"/>
      </w:divBdr>
      <w:divsChild>
        <w:div w:id="1780026431">
          <w:marLeft w:val="0"/>
          <w:marRight w:val="0"/>
          <w:marTop w:val="180"/>
          <w:marBottom w:val="180"/>
          <w:divBdr>
            <w:top w:val="none" w:sz="0" w:space="0" w:color="auto"/>
            <w:left w:val="none" w:sz="0" w:space="0" w:color="auto"/>
            <w:bottom w:val="none" w:sz="0" w:space="0" w:color="auto"/>
            <w:right w:val="none" w:sz="0" w:space="0" w:color="auto"/>
          </w:divBdr>
        </w:div>
      </w:divsChild>
    </w:div>
    <w:div w:id="1223836180">
      <w:marLeft w:val="0"/>
      <w:marRight w:val="0"/>
      <w:marTop w:val="180"/>
      <w:marBottom w:val="180"/>
      <w:divBdr>
        <w:top w:val="none" w:sz="0" w:space="0" w:color="auto"/>
        <w:left w:val="none" w:sz="0" w:space="0" w:color="auto"/>
        <w:bottom w:val="none" w:sz="0" w:space="0" w:color="auto"/>
        <w:right w:val="none" w:sz="0" w:space="0" w:color="auto"/>
      </w:divBdr>
    </w:div>
    <w:div w:id="1224561209">
      <w:marLeft w:val="0"/>
      <w:marRight w:val="0"/>
      <w:marTop w:val="180"/>
      <w:marBottom w:val="180"/>
      <w:divBdr>
        <w:top w:val="none" w:sz="0" w:space="0" w:color="auto"/>
        <w:left w:val="none" w:sz="0" w:space="0" w:color="auto"/>
        <w:bottom w:val="none" w:sz="0" w:space="0" w:color="auto"/>
        <w:right w:val="none" w:sz="0" w:space="0" w:color="auto"/>
      </w:divBdr>
    </w:div>
    <w:div w:id="1225986856">
      <w:marLeft w:val="0"/>
      <w:marRight w:val="0"/>
      <w:marTop w:val="0"/>
      <w:marBottom w:val="0"/>
      <w:divBdr>
        <w:top w:val="none" w:sz="0" w:space="0" w:color="auto"/>
        <w:left w:val="none" w:sz="0" w:space="0" w:color="auto"/>
        <w:bottom w:val="none" w:sz="0" w:space="0" w:color="auto"/>
        <w:right w:val="none" w:sz="0" w:space="0" w:color="auto"/>
      </w:divBdr>
      <w:divsChild>
        <w:div w:id="998077523">
          <w:marLeft w:val="0"/>
          <w:marRight w:val="0"/>
          <w:marTop w:val="60"/>
          <w:marBottom w:val="60"/>
          <w:divBdr>
            <w:top w:val="none" w:sz="0" w:space="0" w:color="auto"/>
            <w:left w:val="none" w:sz="0" w:space="0" w:color="auto"/>
            <w:bottom w:val="none" w:sz="0" w:space="0" w:color="auto"/>
            <w:right w:val="none" w:sz="0" w:space="0" w:color="auto"/>
          </w:divBdr>
        </w:div>
      </w:divsChild>
    </w:div>
    <w:div w:id="1228035611">
      <w:marLeft w:val="0"/>
      <w:marRight w:val="0"/>
      <w:marTop w:val="100"/>
      <w:marBottom w:val="100"/>
      <w:divBdr>
        <w:top w:val="none" w:sz="0" w:space="0" w:color="auto"/>
        <w:left w:val="none" w:sz="0" w:space="0" w:color="auto"/>
        <w:bottom w:val="none" w:sz="0" w:space="0" w:color="auto"/>
        <w:right w:val="none" w:sz="0" w:space="0" w:color="auto"/>
      </w:divBdr>
      <w:divsChild>
        <w:div w:id="1112044726">
          <w:marLeft w:val="0"/>
          <w:marRight w:val="0"/>
          <w:marTop w:val="0"/>
          <w:marBottom w:val="0"/>
          <w:divBdr>
            <w:top w:val="none" w:sz="0" w:space="0" w:color="auto"/>
            <w:left w:val="none" w:sz="0" w:space="0" w:color="auto"/>
            <w:bottom w:val="none" w:sz="0" w:space="0" w:color="auto"/>
            <w:right w:val="none" w:sz="0" w:space="0" w:color="auto"/>
          </w:divBdr>
        </w:div>
      </w:divsChild>
    </w:div>
    <w:div w:id="1229000043">
      <w:marLeft w:val="0"/>
      <w:marRight w:val="0"/>
      <w:marTop w:val="60"/>
      <w:marBottom w:val="60"/>
      <w:divBdr>
        <w:top w:val="none" w:sz="0" w:space="0" w:color="auto"/>
        <w:left w:val="none" w:sz="0" w:space="0" w:color="auto"/>
        <w:bottom w:val="none" w:sz="0" w:space="0" w:color="auto"/>
        <w:right w:val="none" w:sz="0" w:space="0" w:color="auto"/>
      </w:divBdr>
    </w:div>
    <w:div w:id="1229612157">
      <w:marLeft w:val="0"/>
      <w:marRight w:val="0"/>
      <w:marTop w:val="0"/>
      <w:marBottom w:val="0"/>
      <w:divBdr>
        <w:top w:val="none" w:sz="0" w:space="0" w:color="auto"/>
        <w:left w:val="none" w:sz="0" w:space="0" w:color="auto"/>
        <w:bottom w:val="none" w:sz="0" w:space="0" w:color="auto"/>
        <w:right w:val="none" w:sz="0" w:space="0" w:color="auto"/>
      </w:divBdr>
    </w:div>
    <w:div w:id="1229724357">
      <w:marLeft w:val="0"/>
      <w:marRight w:val="0"/>
      <w:marTop w:val="0"/>
      <w:marBottom w:val="0"/>
      <w:divBdr>
        <w:top w:val="none" w:sz="0" w:space="0" w:color="auto"/>
        <w:left w:val="none" w:sz="0" w:space="0" w:color="auto"/>
        <w:bottom w:val="none" w:sz="0" w:space="0" w:color="auto"/>
        <w:right w:val="none" w:sz="0" w:space="0" w:color="auto"/>
      </w:divBdr>
    </w:div>
    <w:div w:id="1229918453">
      <w:marLeft w:val="0"/>
      <w:marRight w:val="0"/>
      <w:marTop w:val="0"/>
      <w:marBottom w:val="0"/>
      <w:divBdr>
        <w:top w:val="none" w:sz="0" w:space="0" w:color="auto"/>
        <w:left w:val="none" w:sz="0" w:space="0" w:color="auto"/>
        <w:bottom w:val="none" w:sz="0" w:space="0" w:color="auto"/>
        <w:right w:val="none" w:sz="0" w:space="0" w:color="auto"/>
      </w:divBdr>
      <w:divsChild>
        <w:div w:id="1753887242">
          <w:marLeft w:val="0"/>
          <w:marRight w:val="0"/>
          <w:marTop w:val="0"/>
          <w:marBottom w:val="0"/>
          <w:divBdr>
            <w:top w:val="none" w:sz="0" w:space="0" w:color="auto"/>
            <w:left w:val="none" w:sz="0" w:space="0" w:color="auto"/>
            <w:bottom w:val="none" w:sz="0" w:space="0" w:color="auto"/>
            <w:right w:val="none" w:sz="0" w:space="0" w:color="auto"/>
          </w:divBdr>
          <w:divsChild>
            <w:div w:id="17829166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29924549">
      <w:marLeft w:val="0"/>
      <w:marRight w:val="0"/>
      <w:marTop w:val="180"/>
      <w:marBottom w:val="180"/>
      <w:divBdr>
        <w:top w:val="none" w:sz="0" w:space="0" w:color="auto"/>
        <w:left w:val="none" w:sz="0" w:space="0" w:color="auto"/>
        <w:bottom w:val="none" w:sz="0" w:space="0" w:color="auto"/>
        <w:right w:val="none" w:sz="0" w:space="0" w:color="auto"/>
      </w:divBdr>
    </w:div>
    <w:div w:id="1230338727">
      <w:marLeft w:val="0"/>
      <w:marRight w:val="0"/>
      <w:marTop w:val="180"/>
      <w:marBottom w:val="180"/>
      <w:divBdr>
        <w:top w:val="none" w:sz="0" w:space="0" w:color="auto"/>
        <w:left w:val="none" w:sz="0" w:space="0" w:color="auto"/>
        <w:bottom w:val="none" w:sz="0" w:space="0" w:color="auto"/>
        <w:right w:val="none" w:sz="0" w:space="0" w:color="auto"/>
      </w:divBdr>
    </w:div>
    <w:div w:id="1231037681">
      <w:marLeft w:val="0"/>
      <w:marRight w:val="0"/>
      <w:marTop w:val="100"/>
      <w:marBottom w:val="100"/>
      <w:divBdr>
        <w:top w:val="none" w:sz="0" w:space="0" w:color="auto"/>
        <w:left w:val="none" w:sz="0" w:space="0" w:color="auto"/>
        <w:bottom w:val="none" w:sz="0" w:space="0" w:color="auto"/>
        <w:right w:val="none" w:sz="0" w:space="0" w:color="auto"/>
      </w:divBdr>
    </w:div>
    <w:div w:id="1231691923">
      <w:marLeft w:val="0"/>
      <w:marRight w:val="0"/>
      <w:marTop w:val="180"/>
      <w:marBottom w:val="180"/>
      <w:divBdr>
        <w:top w:val="none" w:sz="0" w:space="0" w:color="auto"/>
        <w:left w:val="none" w:sz="0" w:space="0" w:color="auto"/>
        <w:bottom w:val="none" w:sz="0" w:space="0" w:color="auto"/>
        <w:right w:val="none" w:sz="0" w:space="0" w:color="auto"/>
      </w:divBdr>
    </w:div>
    <w:div w:id="1231963866">
      <w:marLeft w:val="0"/>
      <w:marRight w:val="0"/>
      <w:marTop w:val="240"/>
      <w:marBottom w:val="180"/>
      <w:divBdr>
        <w:top w:val="none" w:sz="0" w:space="0" w:color="auto"/>
        <w:left w:val="none" w:sz="0" w:space="0" w:color="auto"/>
        <w:bottom w:val="none" w:sz="0" w:space="0" w:color="auto"/>
        <w:right w:val="none" w:sz="0" w:space="0" w:color="auto"/>
      </w:divBdr>
    </w:div>
    <w:div w:id="1233853820">
      <w:marLeft w:val="0"/>
      <w:marRight w:val="0"/>
      <w:marTop w:val="0"/>
      <w:marBottom w:val="0"/>
      <w:divBdr>
        <w:top w:val="none" w:sz="0" w:space="0" w:color="auto"/>
        <w:left w:val="none" w:sz="0" w:space="0" w:color="auto"/>
        <w:bottom w:val="none" w:sz="0" w:space="0" w:color="auto"/>
        <w:right w:val="none" w:sz="0" w:space="0" w:color="auto"/>
      </w:divBdr>
      <w:divsChild>
        <w:div w:id="2009014773">
          <w:marLeft w:val="0"/>
          <w:marRight w:val="0"/>
          <w:marTop w:val="60"/>
          <w:marBottom w:val="60"/>
          <w:divBdr>
            <w:top w:val="none" w:sz="0" w:space="0" w:color="auto"/>
            <w:left w:val="none" w:sz="0" w:space="0" w:color="auto"/>
            <w:bottom w:val="none" w:sz="0" w:space="0" w:color="auto"/>
            <w:right w:val="none" w:sz="0" w:space="0" w:color="auto"/>
          </w:divBdr>
        </w:div>
      </w:divsChild>
    </w:div>
    <w:div w:id="1233857681">
      <w:marLeft w:val="0"/>
      <w:marRight w:val="0"/>
      <w:marTop w:val="0"/>
      <w:marBottom w:val="0"/>
      <w:divBdr>
        <w:top w:val="none" w:sz="0" w:space="0" w:color="auto"/>
        <w:left w:val="none" w:sz="0" w:space="0" w:color="auto"/>
        <w:bottom w:val="none" w:sz="0" w:space="0" w:color="auto"/>
        <w:right w:val="none" w:sz="0" w:space="0" w:color="auto"/>
      </w:divBdr>
      <w:divsChild>
        <w:div w:id="1574512845">
          <w:marLeft w:val="0"/>
          <w:marRight w:val="0"/>
          <w:marTop w:val="180"/>
          <w:marBottom w:val="180"/>
          <w:divBdr>
            <w:top w:val="none" w:sz="0" w:space="0" w:color="auto"/>
            <w:left w:val="none" w:sz="0" w:space="0" w:color="auto"/>
            <w:bottom w:val="none" w:sz="0" w:space="0" w:color="auto"/>
            <w:right w:val="none" w:sz="0" w:space="0" w:color="auto"/>
          </w:divBdr>
        </w:div>
      </w:divsChild>
    </w:div>
    <w:div w:id="1234050418">
      <w:marLeft w:val="0"/>
      <w:marRight w:val="0"/>
      <w:marTop w:val="180"/>
      <w:marBottom w:val="180"/>
      <w:divBdr>
        <w:top w:val="none" w:sz="0" w:space="0" w:color="auto"/>
        <w:left w:val="none" w:sz="0" w:space="0" w:color="auto"/>
        <w:bottom w:val="none" w:sz="0" w:space="0" w:color="auto"/>
        <w:right w:val="none" w:sz="0" w:space="0" w:color="auto"/>
      </w:divBdr>
    </w:div>
    <w:div w:id="1234390175">
      <w:marLeft w:val="0"/>
      <w:marRight w:val="0"/>
      <w:marTop w:val="180"/>
      <w:marBottom w:val="180"/>
      <w:divBdr>
        <w:top w:val="none" w:sz="0" w:space="0" w:color="auto"/>
        <w:left w:val="none" w:sz="0" w:space="0" w:color="auto"/>
        <w:bottom w:val="none" w:sz="0" w:space="0" w:color="auto"/>
        <w:right w:val="none" w:sz="0" w:space="0" w:color="auto"/>
      </w:divBdr>
    </w:div>
    <w:div w:id="1234514012">
      <w:marLeft w:val="0"/>
      <w:marRight w:val="0"/>
      <w:marTop w:val="0"/>
      <w:marBottom w:val="0"/>
      <w:divBdr>
        <w:top w:val="none" w:sz="0" w:space="0" w:color="auto"/>
        <w:left w:val="none" w:sz="0" w:space="0" w:color="auto"/>
        <w:bottom w:val="none" w:sz="0" w:space="0" w:color="auto"/>
        <w:right w:val="none" w:sz="0" w:space="0" w:color="auto"/>
      </w:divBdr>
      <w:divsChild>
        <w:div w:id="489753486">
          <w:marLeft w:val="0"/>
          <w:marRight w:val="0"/>
          <w:marTop w:val="180"/>
          <w:marBottom w:val="180"/>
          <w:divBdr>
            <w:top w:val="none" w:sz="0" w:space="0" w:color="auto"/>
            <w:left w:val="none" w:sz="0" w:space="0" w:color="auto"/>
            <w:bottom w:val="none" w:sz="0" w:space="0" w:color="auto"/>
            <w:right w:val="none" w:sz="0" w:space="0" w:color="auto"/>
          </w:divBdr>
        </w:div>
      </w:divsChild>
    </w:div>
    <w:div w:id="1235242792">
      <w:marLeft w:val="0"/>
      <w:marRight w:val="0"/>
      <w:marTop w:val="180"/>
      <w:marBottom w:val="180"/>
      <w:divBdr>
        <w:top w:val="none" w:sz="0" w:space="0" w:color="auto"/>
        <w:left w:val="none" w:sz="0" w:space="0" w:color="auto"/>
        <w:bottom w:val="none" w:sz="0" w:space="0" w:color="auto"/>
        <w:right w:val="none" w:sz="0" w:space="0" w:color="auto"/>
      </w:divBdr>
    </w:div>
    <w:div w:id="1235579751">
      <w:marLeft w:val="0"/>
      <w:marRight w:val="0"/>
      <w:marTop w:val="180"/>
      <w:marBottom w:val="60"/>
      <w:divBdr>
        <w:top w:val="none" w:sz="0" w:space="0" w:color="auto"/>
        <w:left w:val="none" w:sz="0" w:space="0" w:color="auto"/>
        <w:bottom w:val="none" w:sz="0" w:space="0" w:color="auto"/>
        <w:right w:val="none" w:sz="0" w:space="0" w:color="auto"/>
      </w:divBdr>
    </w:div>
    <w:div w:id="1235970758">
      <w:marLeft w:val="0"/>
      <w:marRight w:val="0"/>
      <w:marTop w:val="240"/>
      <w:marBottom w:val="180"/>
      <w:divBdr>
        <w:top w:val="none" w:sz="0" w:space="0" w:color="auto"/>
        <w:left w:val="none" w:sz="0" w:space="0" w:color="auto"/>
        <w:bottom w:val="none" w:sz="0" w:space="0" w:color="auto"/>
        <w:right w:val="none" w:sz="0" w:space="0" w:color="auto"/>
      </w:divBdr>
    </w:div>
    <w:div w:id="1236281273">
      <w:marLeft w:val="0"/>
      <w:marRight w:val="0"/>
      <w:marTop w:val="180"/>
      <w:marBottom w:val="180"/>
      <w:divBdr>
        <w:top w:val="none" w:sz="0" w:space="0" w:color="auto"/>
        <w:left w:val="none" w:sz="0" w:space="0" w:color="auto"/>
        <w:bottom w:val="none" w:sz="0" w:space="0" w:color="auto"/>
        <w:right w:val="none" w:sz="0" w:space="0" w:color="auto"/>
      </w:divBdr>
    </w:div>
    <w:div w:id="1236890395">
      <w:marLeft w:val="0"/>
      <w:marRight w:val="0"/>
      <w:marTop w:val="180"/>
      <w:marBottom w:val="180"/>
      <w:divBdr>
        <w:top w:val="none" w:sz="0" w:space="0" w:color="auto"/>
        <w:left w:val="none" w:sz="0" w:space="0" w:color="auto"/>
        <w:bottom w:val="none" w:sz="0" w:space="0" w:color="auto"/>
        <w:right w:val="none" w:sz="0" w:space="0" w:color="auto"/>
      </w:divBdr>
    </w:div>
    <w:div w:id="1237008080">
      <w:marLeft w:val="0"/>
      <w:marRight w:val="0"/>
      <w:marTop w:val="60"/>
      <w:marBottom w:val="60"/>
      <w:divBdr>
        <w:top w:val="none" w:sz="0" w:space="0" w:color="auto"/>
        <w:left w:val="none" w:sz="0" w:space="0" w:color="auto"/>
        <w:bottom w:val="none" w:sz="0" w:space="0" w:color="auto"/>
        <w:right w:val="none" w:sz="0" w:space="0" w:color="auto"/>
      </w:divBdr>
    </w:div>
    <w:div w:id="1237327013">
      <w:marLeft w:val="0"/>
      <w:marRight w:val="0"/>
      <w:marTop w:val="180"/>
      <w:marBottom w:val="180"/>
      <w:divBdr>
        <w:top w:val="none" w:sz="0" w:space="0" w:color="auto"/>
        <w:left w:val="none" w:sz="0" w:space="0" w:color="auto"/>
        <w:bottom w:val="none" w:sz="0" w:space="0" w:color="auto"/>
        <w:right w:val="none" w:sz="0" w:space="0" w:color="auto"/>
      </w:divBdr>
    </w:div>
    <w:div w:id="1237983495">
      <w:marLeft w:val="0"/>
      <w:marRight w:val="0"/>
      <w:marTop w:val="0"/>
      <w:marBottom w:val="0"/>
      <w:divBdr>
        <w:top w:val="none" w:sz="0" w:space="0" w:color="auto"/>
        <w:left w:val="none" w:sz="0" w:space="0" w:color="auto"/>
        <w:bottom w:val="none" w:sz="0" w:space="0" w:color="auto"/>
        <w:right w:val="none" w:sz="0" w:space="0" w:color="auto"/>
      </w:divBdr>
      <w:divsChild>
        <w:div w:id="1743523940">
          <w:marLeft w:val="0"/>
          <w:marRight w:val="0"/>
          <w:marTop w:val="0"/>
          <w:marBottom w:val="0"/>
          <w:divBdr>
            <w:top w:val="none" w:sz="0" w:space="0" w:color="auto"/>
            <w:left w:val="none" w:sz="0" w:space="0" w:color="auto"/>
            <w:bottom w:val="none" w:sz="0" w:space="0" w:color="auto"/>
            <w:right w:val="none" w:sz="0" w:space="0" w:color="auto"/>
          </w:divBdr>
          <w:divsChild>
            <w:div w:id="17159601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0870051">
      <w:marLeft w:val="0"/>
      <w:marRight w:val="0"/>
      <w:marTop w:val="180"/>
      <w:marBottom w:val="180"/>
      <w:divBdr>
        <w:top w:val="none" w:sz="0" w:space="0" w:color="auto"/>
        <w:left w:val="none" w:sz="0" w:space="0" w:color="auto"/>
        <w:bottom w:val="none" w:sz="0" w:space="0" w:color="auto"/>
        <w:right w:val="none" w:sz="0" w:space="0" w:color="auto"/>
      </w:divBdr>
    </w:div>
    <w:div w:id="1243831024">
      <w:marLeft w:val="0"/>
      <w:marRight w:val="0"/>
      <w:marTop w:val="180"/>
      <w:marBottom w:val="180"/>
      <w:divBdr>
        <w:top w:val="none" w:sz="0" w:space="0" w:color="auto"/>
        <w:left w:val="none" w:sz="0" w:space="0" w:color="auto"/>
        <w:bottom w:val="none" w:sz="0" w:space="0" w:color="auto"/>
        <w:right w:val="none" w:sz="0" w:space="0" w:color="auto"/>
      </w:divBdr>
    </w:div>
    <w:div w:id="1244795276">
      <w:marLeft w:val="0"/>
      <w:marRight w:val="0"/>
      <w:marTop w:val="0"/>
      <w:marBottom w:val="0"/>
      <w:divBdr>
        <w:top w:val="none" w:sz="0" w:space="0" w:color="auto"/>
        <w:left w:val="none" w:sz="0" w:space="0" w:color="auto"/>
        <w:bottom w:val="none" w:sz="0" w:space="0" w:color="auto"/>
        <w:right w:val="none" w:sz="0" w:space="0" w:color="auto"/>
      </w:divBdr>
      <w:divsChild>
        <w:div w:id="145827741">
          <w:marLeft w:val="0"/>
          <w:marRight w:val="0"/>
          <w:marTop w:val="0"/>
          <w:marBottom w:val="0"/>
          <w:divBdr>
            <w:top w:val="none" w:sz="0" w:space="0" w:color="auto"/>
            <w:left w:val="none" w:sz="0" w:space="0" w:color="auto"/>
            <w:bottom w:val="none" w:sz="0" w:space="0" w:color="auto"/>
            <w:right w:val="none" w:sz="0" w:space="0" w:color="auto"/>
          </w:divBdr>
          <w:divsChild>
            <w:div w:id="21182573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5918503">
      <w:marLeft w:val="0"/>
      <w:marRight w:val="0"/>
      <w:marTop w:val="180"/>
      <w:marBottom w:val="180"/>
      <w:divBdr>
        <w:top w:val="none" w:sz="0" w:space="0" w:color="auto"/>
        <w:left w:val="none" w:sz="0" w:space="0" w:color="auto"/>
        <w:bottom w:val="none" w:sz="0" w:space="0" w:color="auto"/>
        <w:right w:val="none" w:sz="0" w:space="0" w:color="auto"/>
      </w:divBdr>
    </w:div>
    <w:div w:id="1246383107">
      <w:marLeft w:val="0"/>
      <w:marRight w:val="0"/>
      <w:marTop w:val="180"/>
      <w:marBottom w:val="180"/>
      <w:divBdr>
        <w:top w:val="none" w:sz="0" w:space="0" w:color="auto"/>
        <w:left w:val="none" w:sz="0" w:space="0" w:color="auto"/>
        <w:bottom w:val="none" w:sz="0" w:space="0" w:color="auto"/>
        <w:right w:val="none" w:sz="0" w:space="0" w:color="auto"/>
      </w:divBdr>
    </w:div>
    <w:div w:id="1246769916">
      <w:marLeft w:val="0"/>
      <w:marRight w:val="0"/>
      <w:marTop w:val="180"/>
      <w:marBottom w:val="180"/>
      <w:divBdr>
        <w:top w:val="none" w:sz="0" w:space="0" w:color="auto"/>
        <w:left w:val="none" w:sz="0" w:space="0" w:color="auto"/>
        <w:bottom w:val="none" w:sz="0" w:space="0" w:color="auto"/>
        <w:right w:val="none" w:sz="0" w:space="0" w:color="auto"/>
      </w:divBdr>
    </w:div>
    <w:div w:id="1247038478">
      <w:marLeft w:val="0"/>
      <w:marRight w:val="0"/>
      <w:marTop w:val="0"/>
      <w:marBottom w:val="0"/>
      <w:divBdr>
        <w:top w:val="none" w:sz="0" w:space="0" w:color="auto"/>
        <w:left w:val="none" w:sz="0" w:space="0" w:color="auto"/>
        <w:bottom w:val="none" w:sz="0" w:space="0" w:color="auto"/>
        <w:right w:val="none" w:sz="0" w:space="0" w:color="auto"/>
      </w:divBdr>
    </w:div>
    <w:div w:id="1250845701">
      <w:marLeft w:val="0"/>
      <w:marRight w:val="0"/>
      <w:marTop w:val="180"/>
      <w:marBottom w:val="180"/>
      <w:divBdr>
        <w:top w:val="none" w:sz="0" w:space="0" w:color="auto"/>
        <w:left w:val="none" w:sz="0" w:space="0" w:color="auto"/>
        <w:bottom w:val="none" w:sz="0" w:space="0" w:color="auto"/>
        <w:right w:val="none" w:sz="0" w:space="0" w:color="auto"/>
      </w:divBdr>
    </w:div>
    <w:div w:id="1252471608">
      <w:marLeft w:val="0"/>
      <w:marRight w:val="0"/>
      <w:marTop w:val="180"/>
      <w:marBottom w:val="180"/>
      <w:divBdr>
        <w:top w:val="none" w:sz="0" w:space="0" w:color="auto"/>
        <w:left w:val="none" w:sz="0" w:space="0" w:color="auto"/>
        <w:bottom w:val="none" w:sz="0" w:space="0" w:color="auto"/>
        <w:right w:val="none" w:sz="0" w:space="0" w:color="auto"/>
      </w:divBdr>
    </w:div>
    <w:div w:id="1253464577">
      <w:marLeft w:val="0"/>
      <w:marRight w:val="0"/>
      <w:marTop w:val="180"/>
      <w:marBottom w:val="180"/>
      <w:divBdr>
        <w:top w:val="none" w:sz="0" w:space="0" w:color="auto"/>
        <w:left w:val="none" w:sz="0" w:space="0" w:color="auto"/>
        <w:bottom w:val="none" w:sz="0" w:space="0" w:color="auto"/>
        <w:right w:val="none" w:sz="0" w:space="0" w:color="auto"/>
      </w:divBdr>
    </w:div>
    <w:div w:id="1253733923">
      <w:marLeft w:val="0"/>
      <w:marRight w:val="0"/>
      <w:marTop w:val="180"/>
      <w:marBottom w:val="180"/>
      <w:divBdr>
        <w:top w:val="none" w:sz="0" w:space="0" w:color="auto"/>
        <w:left w:val="none" w:sz="0" w:space="0" w:color="auto"/>
        <w:bottom w:val="none" w:sz="0" w:space="0" w:color="auto"/>
        <w:right w:val="none" w:sz="0" w:space="0" w:color="auto"/>
      </w:divBdr>
    </w:div>
    <w:div w:id="1254824536">
      <w:marLeft w:val="0"/>
      <w:marRight w:val="0"/>
      <w:marTop w:val="0"/>
      <w:marBottom w:val="0"/>
      <w:divBdr>
        <w:top w:val="none" w:sz="0" w:space="0" w:color="auto"/>
        <w:left w:val="none" w:sz="0" w:space="0" w:color="auto"/>
        <w:bottom w:val="none" w:sz="0" w:space="0" w:color="auto"/>
        <w:right w:val="none" w:sz="0" w:space="0" w:color="auto"/>
      </w:divBdr>
    </w:div>
    <w:div w:id="1254971136">
      <w:marLeft w:val="0"/>
      <w:marRight w:val="0"/>
      <w:marTop w:val="180"/>
      <w:marBottom w:val="180"/>
      <w:divBdr>
        <w:top w:val="none" w:sz="0" w:space="0" w:color="auto"/>
        <w:left w:val="none" w:sz="0" w:space="0" w:color="auto"/>
        <w:bottom w:val="none" w:sz="0" w:space="0" w:color="auto"/>
        <w:right w:val="none" w:sz="0" w:space="0" w:color="auto"/>
      </w:divBdr>
    </w:div>
    <w:div w:id="1257909917">
      <w:marLeft w:val="0"/>
      <w:marRight w:val="0"/>
      <w:marTop w:val="180"/>
      <w:marBottom w:val="180"/>
      <w:divBdr>
        <w:top w:val="none" w:sz="0" w:space="0" w:color="auto"/>
        <w:left w:val="none" w:sz="0" w:space="0" w:color="auto"/>
        <w:bottom w:val="none" w:sz="0" w:space="0" w:color="auto"/>
        <w:right w:val="none" w:sz="0" w:space="0" w:color="auto"/>
      </w:divBdr>
    </w:div>
    <w:div w:id="1258295468">
      <w:marLeft w:val="0"/>
      <w:marRight w:val="0"/>
      <w:marTop w:val="180"/>
      <w:marBottom w:val="180"/>
      <w:divBdr>
        <w:top w:val="none" w:sz="0" w:space="0" w:color="auto"/>
        <w:left w:val="none" w:sz="0" w:space="0" w:color="auto"/>
        <w:bottom w:val="none" w:sz="0" w:space="0" w:color="auto"/>
        <w:right w:val="none" w:sz="0" w:space="0" w:color="auto"/>
      </w:divBdr>
    </w:div>
    <w:div w:id="1259948987">
      <w:marLeft w:val="0"/>
      <w:marRight w:val="0"/>
      <w:marTop w:val="180"/>
      <w:marBottom w:val="180"/>
      <w:divBdr>
        <w:top w:val="none" w:sz="0" w:space="0" w:color="auto"/>
        <w:left w:val="none" w:sz="0" w:space="0" w:color="auto"/>
        <w:bottom w:val="none" w:sz="0" w:space="0" w:color="auto"/>
        <w:right w:val="none" w:sz="0" w:space="0" w:color="auto"/>
      </w:divBdr>
    </w:div>
    <w:div w:id="1260523680">
      <w:marLeft w:val="0"/>
      <w:marRight w:val="0"/>
      <w:marTop w:val="180"/>
      <w:marBottom w:val="0"/>
      <w:divBdr>
        <w:top w:val="none" w:sz="0" w:space="0" w:color="auto"/>
        <w:left w:val="none" w:sz="0" w:space="0" w:color="auto"/>
        <w:bottom w:val="none" w:sz="0" w:space="0" w:color="auto"/>
        <w:right w:val="none" w:sz="0" w:space="0" w:color="auto"/>
      </w:divBdr>
    </w:div>
    <w:div w:id="1260606429">
      <w:marLeft w:val="0"/>
      <w:marRight w:val="0"/>
      <w:marTop w:val="60"/>
      <w:marBottom w:val="60"/>
      <w:divBdr>
        <w:top w:val="none" w:sz="0" w:space="0" w:color="auto"/>
        <w:left w:val="none" w:sz="0" w:space="0" w:color="auto"/>
        <w:bottom w:val="none" w:sz="0" w:space="0" w:color="auto"/>
        <w:right w:val="none" w:sz="0" w:space="0" w:color="auto"/>
      </w:divBdr>
    </w:div>
    <w:div w:id="1260914961">
      <w:marLeft w:val="0"/>
      <w:marRight w:val="0"/>
      <w:marTop w:val="180"/>
      <w:marBottom w:val="180"/>
      <w:divBdr>
        <w:top w:val="none" w:sz="0" w:space="0" w:color="auto"/>
        <w:left w:val="none" w:sz="0" w:space="0" w:color="auto"/>
        <w:bottom w:val="none" w:sz="0" w:space="0" w:color="auto"/>
        <w:right w:val="none" w:sz="0" w:space="0" w:color="auto"/>
      </w:divBdr>
    </w:div>
    <w:div w:id="1262029256">
      <w:marLeft w:val="0"/>
      <w:marRight w:val="0"/>
      <w:marTop w:val="180"/>
      <w:marBottom w:val="180"/>
      <w:divBdr>
        <w:top w:val="none" w:sz="0" w:space="0" w:color="auto"/>
        <w:left w:val="none" w:sz="0" w:space="0" w:color="auto"/>
        <w:bottom w:val="none" w:sz="0" w:space="0" w:color="auto"/>
        <w:right w:val="none" w:sz="0" w:space="0" w:color="auto"/>
      </w:divBdr>
    </w:div>
    <w:div w:id="1263300087">
      <w:marLeft w:val="0"/>
      <w:marRight w:val="0"/>
      <w:marTop w:val="60"/>
      <w:marBottom w:val="60"/>
      <w:divBdr>
        <w:top w:val="none" w:sz="0" w:space="0" w:color="auto"/>
        <w:left w:val="none" w:sz="0" w:space="0" w:color="auto"/>
        <w:bottom w:val="none" w:sz="0" w:space="0" w:color="auto"/>
        <w:right w:val="none" w:sz="0" w:space="0" w:color="auto"/>
      </w:divBdr>
    </w:div>
    <w:div w:id="1263607213">
      <w:marLeft w:val="0"/>
      <w:marRight w:val="0"/>
      <w:marTop w:val="0"/>
      <w:marBottom w:val="0"/>
      <w:divBdr>
        <w:top w:val="none" w:sz="0" w:space="0" w:color="auto"/>
        <w:left w:val="none" w:sz="0" w:space="0" w:color="auto"/>
        <w:bottom w:val="none" w:sz="0" w:space="0" w:color="auto"/>
        <w:right w:val="none" w:sz="0" w:space="0" w:color="auto"/>
      </w:divBdr>
    </w:div>
    <w:div w:id="1264024342">
      <w:marLeft w:val="0"/>
      <w:marRight w:val="0"/>
      <w:marTop w:val="180"/>
      <w:marBottom w:val="180"/>
      <w:divBdr>
        <w:top w:val="none" w:sz="0" w:space="0" w:color="auto"/>
        <w:left w:val="none" w:sz="0" w:space="0" w:color="auto"/>
        <w:bottom w:val="none" w:sz="0" w:space="0" w:color="auto"/>
        <w:right w:val="none" w:sz="0" w:space="0" w:color="auto"/>
      </w:divBdr>
    </w:div>
    <w:div w:id="1266838614">
      <w:marLeft w:val="0"/>
      <w:marRight w:val="0"/>
      <w:marTop w:val="180"/>
      <w:marBottom w:val="180"/>
      <w:divBdr>
        <w:top w:val="none" w:sz="0" w:space="0" w:color="auto"/>
        <w:left w:val="none" w:sz="0" w:space="0" w:color="auto"/>
        <w:bottom w:val="none" w:sz="0" w:space="0" w:color="auto"/>
        <w:right w:val="none" w:sz="0" w:space="0" w:color="auto"/>
      </w:divBdr>
    </w:div>
    <w:div w:id="1267233619">
      <w:marLeft w:val="0"/>
      <w:marRight w:val="0"/>
      <w:marTop w:val="0"/>
      <w:marBottom w:val="0"/>
      <w:divBdr>
        <w:top w:val="none" w:sz="0" w:space="0" w:color="auto"/>
        <w:left w:val="none" w:sz="0" w:space="0" w:color="auto"/>
        <w:bottom w:val="none" w:sz="0" w:space="0" w:color="auto"/>
        <w:right w:val="none" w:sz="0" w:space="0" w:color="auto"/>
      </w:divBdr>
      <w:divsChild>
        <w:div w:id="1873033142">
          <w:marLeft w:val="0"/>
          <w:marRight w:val="0"/>
          <w:marTop w:val="0"/>
          <w:marBottom w:val="0"/>
          <w:divBdr>
            <w:top w:val="none" w:sz="0" w:space="0" w:color="auto"/>
            <w:left w:val="none" w:sz="0" w:space="0" w:color="auto"/>
            <w:bottom w:val="none" w:sz="0" w:space="0" w:color="auto"/>
            <w:right w:val="none" w:sz="0" w:space="0" w:color="auto"/>
          </w:divBdr>
          <w:divsChild>
            <w:div w:id="5650671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9653258">
      <w:marLeft w:val="0"/>
      <w:marRight w:val="0"/>
      <w:marTop w:val="180"/>
      <w:marBottom w:val="180"/>
      <w:divBdr>
        <w:top w:val="none" w:sz="0" w:space="0" w:color="auto"/>
        <w:left w:val="none" w:sz="0" w:space="0" w:color="auto"/>
        <w:bottom w:val="none" w:sz="0" w:space="0" w:color="auto"/>
        <w:right w:val="none" w:sz="0" w:space="0" w:color="auto"/>
      </w:divBdr>
    </w:div>
    <w:div w:id="1269699470">
      <w:marLeft w:val="0"/>
      <w:marRight w:val="0"/>
      <w:marTop w:val="180"/>
      <w:marBottom w:val="180"/>
      <w:divBdr>
        <w:top w:val="none" w:sz="0" w:space="0" w:color="auto"/>
        <w:left w:val="none" w:sz="0" w:space="0" w:color="auto"/>
        <w:bottom w:val="none" w:sz="0" w:space="0" w:color="auto"/>
        <w:right w:val="none" w:sz="0" w:space="0" w:color="auto"/>
      </w:divBdr>
    </w:div>
    <w:div w:id="1269897475">
      <w:marLeft w:val="0"/>
      <w:marRight w:val="0"/>
      <w:marTop w:val="0"/>
      <w:marBottom w:val="0"/>
      <w:divBdr>
        <w:top w:val="none" w:sz="0" w:space="0" w:color="auto"/>
        <w:left w:val="none" w:sz="0" w:space="0" w:color="auto"/>
        <w:bottom w:val="none" w:sz="0" w:space="0" w:color="auto"/>
        <w:right w:val="none" w:sz="0" w:space="0" w:color="auto"/>
      </w:divBdr>
      <w:divsChild>
        <w:div w:id="1516504830">
          <w:marLeft w:val="0"/>
          <w:marRight w:val="0"/>
          <w:marTop w:val="0"/>
          <w:marBottom w:val="0"/>
          <w:divBdr>
            <w:top w:val="none" w:sz="0" w:space="0" w:color="auto"/>
            <w:left w:val="none" w:sz="0" w:space="0" w:color="auto"/>
            <w:bottom w:val="none" w:sz="0" w:space="0" w:color="auto"/>
            <w:right w:val="none" w:sz="0" w:space="0" w:color="auto"/>
          </w:divBdr>
          <w:divsChild>
            <w:div w:id="16954175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0040550">
      <w:marLeft w:val="0"/>
      <w:marRight w:val="0"/>
      <w:marTop w:val="0"/>
      <w:marBottom w:val="60"/>
      <w:divBdr>
        <w:top w:val="none" w:sz="0" w:space="0" w:color="auto"/>
        <w:left w:val="none" w:sz="0" w:space="0" w:color="auto"/>
        <w:bottom w:val="none" w:sz="0" w:space="0" w:color="auto"/>
        <w:right w:val="none" w:sz="0" w:space="0" w:color="auto"/>
      </w:divBdr>
    </w:div>
    <w:div w:id="1270773394">
      <w:marLeft w:val="0"/>
      <w:marRight w:val="0"/>
      <w:marTop w:val="60"/>
      <w:marBottom w:val="60"/>
      <w:divBdr>
        <w:top w:val="none" w:sz="0" w:space="0" w:color="auto"/>
        <w:left w:val="none" w:sz="0" w:space="0" w:color="auto"/>
        <w:bottom w:val="none" w:sz="0" w:space="0" w:color="auto"/>
        <w:right w:val="none" w:sz="0" w:space="0" w:color="auto"/>
      </w:divBdr>
    </w:div>
    <w:div w:id="1270813690">
      <w:marLeft w:val="0"/>
      <w:marRight w:val="0"/>
      <w:marTop w:val="180"/>
      <w:marBottom w:val="180"/>
      <w:divBdr>
        <w:top w:val="none" w:sz="0" w:space="0" w:color="auto"/>
        <w:left w:val="none" w:sz="0" w:space="0" w:color="auto"/>
        <w:bottom w:val="none" w:sz="0" w:space="0" w:color="auto"/>
        <w:right w:val="none" w:sz="0" w:space="0" w:color="auto"/>
      </w:divBdr>
    </w:div>
    <w:div w:id="1271814938">
      <w:marLeft w:val="0"/>
      <w:marRight w:val="0"/>
      <w:marTop w:val="180"/>
      <w:marBottom w:val="180"/>
      <w:divBdr>
        <w:top w:val="none" w:sz="0" w:space="0" w:color="auto"/>
        <w:left w:val="none" w:sz="0" w:space="0" w:color="auto"/>
        <w:bottom w:val="none" w:sz="0" w:space="0" w:color="auto"/>
        <w:right w:val="none" w:sz="0" w:space="0" w:color="auto"/>
      </w:divBdr>
    </w:div>
    <w:div w:id="1272318399">
      <w:marLeft w:val="0"/>
      <w:marRight w:val="0"/>
      <w:marTop w:val="180"/>
      <w:marBottom w:val="180"/>
      <w:divBdr>
        <w:top w:val="none" w:sz="0" w:space="0" w:color="auto"/>
        <w:left w:val="none" w:sz="0" w:space="0" w:color="auto"/>
        <w:bottom w:val="none" w:sz="0" w:space="0" w:color="auto"/>
        <w:right w:val="none" w:sz="0" w:space="0" w:color="auto"/>
      </w:divBdr>
    </w:div>
    <w:div w:id="1272783854">
      <w:marLeft w:val="0"/>
      <w:marRight w:val="0"/>
      <w:marTop w:val="0"/>
      <w:marBottom w:val="0"/>
      <w:divBdr>
        <w:top w:val="none" w:sz="0" w:space="0" w:color="auto"/>
        <w:left w:val="none" w:sz="0" w:space="0" w:color="auto"/>
        <w:bottom w:val="none" w:sz="0" w:space="0" w:color="auto"/>
        <w:right w:val="none" w:sz="0" w:space="0" w:color="auto"/>
      </w:divBdr>
      <w:divsChild>
        <w:div w:id="1985041896">
          <w:marLeft w:val="0"/>
          <w:marRight w:val="0"/>
          <w:marTop w:val="0"/>
          <w:marBottom w:val="0"/>
          <w:divBdr>
            <w:top w:val="none" w:sz="0" w:space="0" w:color="auto"/>
            <w:left w:val="none" w:sz="0" w:space="0" w:color="auto"/>
            <w:bottom w:val="none" w:sz="0" w:space="0" w:color="auto"/>
            <w:right w:val="none" w:sz="0" w:space="0" w:color="auto"/>
          </w:divBdr>
          <w:divsChild>
            <w:div w:id="2675845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73588497">
      <w:marLeft w:val="0"/>
      <w:marRight w:val="0"/>
      <w:marTop w:val="180"/>
      <w:marBottom w:val="180"/>
      <w:divBdr>
        <w:top w:val="none" w:sz="0" w:space="0" w:color="auto"/>
        <w:left w:val="none" w:sz="0" w:space="0" w:color="auto"/>
        <w:bottom w:val="none" w:sz="0" w:space="0" w:color="auto"/>
        <w:right w:val="none" w:sz="0" w:space="0" w:color="auto"/>
      </w:divBdr>
    </w:div>
    <w:div w:id="1276139174">
      <w:marLeft w:val="0"/>
      <w:marRight w:val="0"/>
      <w:marTop w:val="180"/>
      <w:marBottom w:val="180"/>
      <w:divBdr>
        <w:top w:val="none" w:sz="0" w:space="0" w:color="auto"/>
        <w:left w:val="none" w:sz="0" w:space="0" w:color="auto"/>
        <w:bottom w:val="none" w:sz="0" w:space="0" w:color="auto"/>
        <w:right w:val="none" w:sz="0" w:space="0" w:color="auto"/>
      </w:divBdr>
    </w:div>
    <w:div w:id="1276208340">
      <w:marLeft w:val="0"/>
      <w:marRight w:val="0"/>
      <w:marTop w:val="240"/>
      <w:marBottom w:val="180"/>
      <w:divBdr>
        <w:top w:val="none" w:sz="0" w:space="0" w:color="auto"/>
        <w:left w:val="none" w:sz="0" w:space="0" w:color="auto"/>
        <w:bottom w:val="none" w:sz="0" w:space="0" w:color="auto"/>
        <w:right w:val="none" w:sz="0" w:space="0" w:color="auto"/>
      </w:divBdr>
    </w:div>
    <w:div w:id="1277523677">
      <w:marLeft w:val="0"/>
      <w:marRight w:val="0"/>
      <w:marTop w:val="180"/>
      <w:marBottom w:val="180"/>
      <w:divBdr>
        <w:top w:val="none" w:sz="0" w:space="0" w:color="auto"/>
        <w:left w:val="none" w:sz="0" w:space="0" w:color="auto"/>
        <w:bottom w:val="none" w:sz="0" w:space="0" w:color="auto"/>
        <w:right w:val="none" w:sz="0" w:space="0" w:color="auto"/>
      </w:divBdr>
    </w:div>
    <w:div w:id="1278483086">
      <w:marLeft w:val="0"/>
      <w:marRight w:val="0"/>
      <w:marTop w:val="60"/>
      <w:marBottom w:val="60"/>
      <w:divBdr>
        <w:top w:val="none" w:sz="0" w:space="0" w:color="auto"/>
        <w:left w:val="none" w:sz="0" w:space="0" w:color="auto"/>
        <w:bottom w:val="none" w:sz="0" w:space="0" w:color="auto"/>
        <w:right w:val="none" w:sz="0" w:space="0" w:color="auto"/>
      </w:divBdr>
    </w:div>
    <w:div w:id="1278609621">
      <w:marLeft w:val="0"/>
      <w:marRight w:val="0"/>
      <w:marTop w:val="0"/>
      <w:marBottom w:val="0"/>
      <w:divBdr>
        <w:top w:val="none" w:sz="0" w:space="0" w:color="auto"/>
        <w:left w:val="none" w:sz="0" w:space="0" w:color="auto"/>
        <w:bottom w:val="none" w:sz="0" w:space="0" w:color="auto"/>
        <w:right w:val="none" w:sz="0" w:space="0" w:color="auto"/>
      </w:divBdr>
      <w:divsChild>
        <w:div w:id="579413343">
          <w:marLeft w:val="0"/>
          <w:marRight w:val="0"/>
          <w:marTop w:val="60"/>
          <w:marBottom w:val="60"/>
          <w:divBdr>
            <w:top w:val="none" w:sz="0" w:space="0" w:color="auto"/>
            <w:left w:val="none" w:sz="0" w:space="0" w:color="auto"/>
            <w:bottom w:val="none" w:sz="0" w:space="0" w:color="auto"/>
            <w:right w:val="none" w:sz="0" w:space="0" w:color="auto"/>
          </w:divBdr>
        </w:div>
      </w:divsChild>
    </w:div>
    <w:div w:id="1278679257">
      <w:marLeft w:val="0"/>
      <w:marRight w:val="0"/>
      <w:marTop w:val="60"/>
      <w:marBottom w:val="60"/>
      <w:divBdr>
        <w:top w:val="none" w:sz="0" w:space="0" w:color="auto"/>
        <w:left w:val="none" w:sz="0" w:space="0" w:color="auto"/>
        <w:bottom w:val="none" w:sz="0" w:space="0" w:color="auto"/>
        <w:right w:val="none" w:sz="0" w:space="0" w:color="auto"/>
      </w:divBdr>
    </w:div>
    <w:div w:id="1279068307">
      <w:marLeft w:val="0"/>
      <w:marRight w:val="0"/>
      <w:marTop w:val="180"/>
      <w:marBottom w:val="180"/>
      <w:divBdr>
        <w:top w:val="none" w:sz="0" w:space="0" w:color="auto"/>
        <w:left w:val="none" w:sz="0" w:space="0" w:color="auto"/>
        <w:bottom w:val="none" w:sz="0" w:space="0" w:color="auto"/>
        <w:right w:val="none" w:sz="0" w:space="0" w:color="auto"/>
      </w:divBdr>
    </w:div>
    <w:div w:id="1279095806">
      <w:marLeft w:val="0"/>
      <w:marRight w:val="0"/>
      <w:marTop w:val="100"/>
      <w:marBottom w:val="100"/>
      <w:divBdr>
        <w:top w:val="none" w:sz="0" w:space="0" w:color="auto"/>
        <w:left w:val="none" w:sz="0" w:space="0" w:color="auto"/>
        <w:bottom w:val="none" w:sz="0" w:space="0" w:color="auto"/>
        <w:right w:val="none" w:sz="0" w:space="0" w:color="auto"/>
      </w:divBdr>
      <w:divsChild>
        <w:div w:id="557129827">
          <w:marLeft w:val="0"/>
          <w:marRight w:val="0"/>
          <w:marTop w:val="0"/>
          <w:marBottom w:val="0"/>
          <w:divBdr>
            <w:top w:val="none" w:sz="0" w:space="0" w:color="auto"/>
            <w:left w:val="none" w:sz="0" w:space="0" w:color="auto"/>
            <w:bottom w:val="none" w:sz="0" w:space="0" w:color="auto"/>
            <w:right w:val="none" w:sz="0" w:space="0" w:color="auto"/>
          </w:divBdr>
        </w:div>
        <w:div w:id="196360118">
          <w:marLeft w:val="0"/>
          <w:marRight w:val="0"/>
          <w:marTop w:val="0"/>
          <w:marBottom w:val="0"/>
          <w:divBdr>
            <w:top w:val="none" w:sz="0" w:space="0" w:color="auto"/>
            <w:left w:val="none" w:sz="0" w:space="0" w:color="auto"/>
            <w:bottom w:val="none" w:sz="0" w:space="0" w:color="auto"/>
            <w:right w:val="none" w:sz="0" w:space="0" w:color="auto"/>
          </w:divBdr>
        </w:div>
      </w:divsChild>
    </w:div>
    <w:div w:id="1279872012">
      <w:marLeft w:val="0"/>
      <w:marRight w:val="0"/>
      <w:marTop w:val="180"/>
      <w:marBottom w:val="180"/>
      <w:divBdr>
        <w:top w:val="none" w:sz="0" w:space="0" w:color="auto"/>
        <w:left w:val="none" w:sz="0" w:space="0" w:color="auto"/>
        <w:bottom w:val="none" w:sz="0" w:space="0" w:color="auto"/>
        <w:right w:val="none" w:sz="0" w:space="0" w:color="auto"/>
      </w:divBdr>
    </w:div>
    <w:div w:id="1279991377">
      <w:marLeft w:val="0"/>
      <w:marRight w:val="0"/>
      <w:marTop w:val="0"/>
      <w:marBottom w:val="0"/>
      <w:divBdr>
        <w:top w:val="none" w:sz="0" w:space="0" w:color="auto"/>
        <w:left w:val="none" w:sz="0" w:space="0" w:color="auto"/>
        <w:bottom w:val="none" w:sz="0" w:space="0" w:color="auto"/>
        <w:right w:val="none" w:sz="0" w:space="0" w:color="auto"/>
      </w:divBdr>
    </w:div>
    <w:div w:id="1281036092">
      <w:marLeft w:val="0"/>
      <w:marRight w:val="0"/>
      <w:marTop w:val="180"/>
      <w:marBottom w:val="180"/>
      <w:divBdr>
        <w:top w:val="none" w:sz="0" w:space="0" w:color="auto"/>
        <w:left w:val="none" w:sz="0" w:space="0" w:color="auto"/>
        <w:bottom w:val="none" w:sz="0" w:space="0" w:color="auto"/>
        <w:right w:val="none" w:sz="0" w:space="0" w:color="auto"/>
      </w:divBdr>
    </w:div>
    <w:div w:id="1282153372">
      <w:marLeft w:val="0"/>
      <w:marRight w:val="0"/>
      <w:marTop w:val="180"/>
      <w:marBottom w:val="180"/>
      <w:divBdr>
        <w:top w:val="none" w:sz="0" w:space="0" w:color="auto"/>
        <w:left w:val="none" w:sz="0" w:space="0" w:color="auto"/>
        <w:bottom w:val="none" w:sz="0" w:space="0" w:color="auto"/>
        <w:right w:val="none" w:sz="0" w:space="0" w:color="auto"/>
      </w:divBdr>
    </w:div>
    <w:div w:id="1282692289">
      <w:marLeft w:val="0"/>
      <w:marRight w:val="0"/>
      <w:marTop w:val="60"/>
      <w:marBottom w:val="60"/>
      <w:divBdr>
        <w:top w:val="none" w:sz="0" w:space="0" w:color="auto"/>
        <w:left w:val="none" w:sz="0" w:space="0" w:color="auto"/>
        <w:bottom w:val="none" w:sz="0" w:space="0" w:color="auto"/>
        <w:right w:val="none" w:sz="0" w:space="0" w:color="auto"/>
      </w:divBdr>
    </w:div>
    <w:div w:id="1282961279">
      <w:marLeft w:val="0"/>
      <w:marRight w:val="0"/>
      <w:marTop w:val="180"/>
      <w:marBottom w:val="180"/>
      <w:divBdr>
        <w:top w:val="none" w:sz="0" w:space="0" w:color="auto"/>
        <w:left w:val="none" w:sz="0" w:space="0" w:color="auto"/>
        <w:bottom w:val="none" w:sz="0" w:space="0" w:color="auto"/>
        <w:right w:val="none" w:sz="0" w:space="0" w:color="auto"/>
      </w:divBdr>
    </w:div>
    <w:div w:id="1283153444">
      <w:marLeft w:val="0"/>
      <w:marRight w:val="0"/>
      <w:marTop w:val="60"/>
      <w:marBottom w:val="60"/>
      <w:divBdr>
        <w:top w:val="none" w:sz="0" w:space="0" w:color="auto"/>
        <w:left w:val="none" w:sz="0" w:space="0" w:color="auto"/>
        <w:bottom w:val="none" w:sz="0" w:space="0" w:color="auto"/>
        <w:right w:val="none" w:sz="0" w:space="0" w:color="auto"/>
      </w:divBdr>
    </w:div>
    <w:div w:id="1283654205">
      <w:marLeft w:val="0"/>
      <w:marRight w:val="0"/>
      <w:marTop w:val="0"/>
      <w:marBottom w:val="0"/>
      <w:divBdr>
        <w:top w:val="none" w:sz="0" w:space="0" w:color="auto"/>
        <w:left w:val="none" w:sz="0" w:space="0" w:color="auto"/>
        <w:bottom w:val="none" w:sz="0" w:space="0" w:color="auto"/>
        <w:right w:val="none" w:sz="0" w:space="0" w:color="auto"/>
      </w:divBdr>
    </w:div>
    <w:div w:id="1283728975">
      <w:marLeft w:val="0"/>
      <w:marRight w:val="0"/>
      <w:marTop w:val="180"/>
      <w:marBottom w:val="180"/>
      <w:divBdr>
        <w:top w:val="none" w:sz="0" w:space="0" w:color="auto"/>
        <w:left w:val="none" w:sz="0" w:space="0" w:color="auto"/>
        <w:bottom w:val="none" w:sz="0" w:space="0" w:color="auto"/>
        <w:right w:val="none" w:sz="0" w:space="0" w:color="auto"/>
      </w:divBdr>
    </w:div>
    <w:div w:id="1284842110">
      <w:marLeft w:val="0"/>
      <w:marRight w:val="0"/>
      <w:marTop w:val="180"/>
      <w:marBottom w:val="0"/>
      <w:divBdr>
        <w:top w:val="none" w:sz="0" w:space="0" w:color="auto"/>
        <w:left w:val="none" w:sz="0" w:space="0" w:color="auto"/>
        <w:bottom w:val="none" w:sz="0" w:space="0" w:color="auto"/>
        <w:right w:val="none" w:sz="0" w:space="0" w:color="auto"/>
      </w:divBdr>
    </w:div>
    <w:div w:id="1285771242">
      <w:marLeft w:val="0"/>
      <w:marRight w:val="0"/>
      <w:marTop w:val="180"/>
      <w:marBottom w:val="180"/>
      <w:divBdr>
        <w:top w:val="none" w:sz="0" w:space="0" w:color="auto"/>
        <w:left w:val="none" w:sz="0" w:space="0" w:color="auto"/>
        <w:bottom w:val="none" w:sz="0" w:space="0" w:color="auto"/>
        <w:right w:val="none" w:sz="0" w:space="0" w:color="auto"/>
      </w:divBdr>
    </w:div>
    <w:div w:id="1286156515">
      <w:marLeft w:val="0"/>
      <w:marRight w:val="0"/>
      <w:marTop w:val="180"/>
      <w:marBottom w:val="180"/>
      <w:divBdr>
        <w:top w:val="none" w:sz="0" w:space="0" w:color="auto"/>
        <w:left w:val="none" w:sz="0" w:space="0" w:color="auto"/>
        <w:bottom w:val="none" w:sz="0" w:space="0" w:color="auto"/>
        <w:right w:val="none" w:sz="0" w:space="0" w:color="auto"/>
      </w:divBdr>
    </w:div>
    <w:div w:id="1286353740">
      <w:marLeft w:val="0"/>
      <w:marRight w:val="0"/>
      <w:marTop w:val="180"/>
      <w:marBottom w:val="180"/>
      <w:divBdr>
        <w:top w:val="none" w:sz="0" w:space="0" w:color="auto"/>
        <w:left w:val="none" w:sz="0" w:space="0" w:color="auto"/>
        <w:bottom w:val="none" w:sz="0" w:space="0" w:color="auto"/>
        <w:right w:val="none" w:sz="0" w:space="0" w:color="auto"/>
      </w:divBdr>
    </w:div>
    <w:div w:id="1286426852">
      <w:marLeft w:val="0"/>
      <w:marRight w:val="0"/>
      <w:marTop w:val="60"/>
      <w:marBottom w:val="60"/>
      <w:divBdr>
        <w:top w:val="none" w:sz="0" w:space="0" w:color="auto"/>
        <w:left w:val="none" w:sz="0" w:space="0" w:color="auto"/>
        <w:bottom w:val="none" w:sz="0" w:space="0" w:color="auto"/>
        <w:right w:val="none" w:sz="0" w:space="0" w:color="auto"/>
      </w:divBdr>
    </w:div>
    <w:div w:id="1287471296">
      <w:marLeft w:val="0"/>
      <w:marRight w:val="0"/>
      <w:marTop w:val="180"/>
      <w:marBottom w:val="180"/>
      <w:divBdr>
        <w:top w:val="none" w:sz="0" w:space="0" w:color="auto"/>
        <w:left w:val="none" w:sz="0" w:space="0" w:color="auto"/>
        <w:bottom w:val="none" w:sz="0" w:space="0" w:color="auto"/>
        <w:right w:val="none" w:sz="0" w:space="0" w:color="auto"/>
      </w:divBdr>
    </w:div>
    <w:div w:id="1287926418">
      <w:marLeft w:val="0"/>
      <w:marRight w:val="0"/>
      <w:marTop w:val="60"/>
      <w:marBottom w:val="60"/>
      <w:divBdr>
        <w:top w:val="none" w:sz="0" w:space="0" w:color="auto"/>
        <w:left w:val="none" w:sz="0" w:space="0" w:color="auto"/>
        <w:bottom w:val="none" w:sz="0" w:space="0" w:color="auto"/>
        <w:right w:val="none" w:sz="0" w:space="0" w:color="auto"/>
      </w:divBdr>
    </w:div>
    <w:div w:id="1289628546">
      <w:marLeft w:val="0"/>
      <w:marRight w:val="0"/>
      <w:marTop w:val="0"/>
      <w:marBottom w:val="0"/>
      <w:divBdr>
        <w:top w:val="none" w:sz="0" w:space="0" w:color="auto"/>
        <w:left w:val="none" w:sz="0" w:space="0" w:color="auto"/>
        <w:bottom w:val="none" w:sz="0" w:space="0" w:color="auto"/>
        <w:right w:val="none" w:sz="0" w:space="0" w:color="auto"/>
      </w:divBdr>
    </w:div>
    <w:div w:id="1291715615">
      <w:marLeft w:val="0"/>
      <w:marRight w:val="0"/>
      <w:marTop w:val="60"/>
      <w:marBottom w:val="60"/>
      <w:divBdr>
        <w:top w:val="none" w:sz="0" w:space="0" w:color="auto"/>
        <w:left w:val="none" w:sz="0" w:space="0" w:color="auto"/>
        <w:bottom w:val="none" w:sz="0" w:space="0" w:color="auto"/>
        <w:right w:val="none" w:sz="0" w:space="0" w:color="auto"/>
      </w:divBdr>
    </w:div>
    <w:div w:id="1293824698">
      <w:marLeft w:val="0"/>
      <w:marRight w:val="0"/>
      <w:marTop w:val="180"/>
      <w:marBottom w:val="180"/>
      <w:divBdr>
        <w:top w:val="none" w:sz="0" w:space="0" w:color="auto"/>
        <w:left w:val="none" w:sz="0" w:space="0" w:color="auto"/>
        <w:bottom w:val="none" w:sz="0" w:space="0" w:color="auto"/>
        <w:right w:val="none" w:sz="0" w:space="0" w:color="auto"/>
      </w:divBdr>
    </w:div>
    <w:div w:id="1293905491">
      <w:marLeft w:val="0"/>
      <w:marRight w:val="0"/>
      <w:marTop w:val="0"/>
      <w:marBottom w:val="0"/>
      <w:divBdr>
        <w:top w:val="none" w:sz="0" w:space="0" w:color="auto"/>
        <w:left w:val="none" w:sz="0" w:space="0" w:color="auto"/>
        <w:bottom w:val="none" w:sz="0" w:space="0" w:color="auto"/>
        <w:right w:val="none" w:sz="0" w:space="0" w:color="auto"/>
      </w:divBdr>
      <w:divsChild>
        <w:div w:id="1268151686">
          <w:marLeft w:val="0"/>
          <w:marRight w:val="0"/>
          <w:marTop w:val="0"/>
          <w:marBottom w:val="0"/>
          <w:divBdr>
            <w:top w:val="none" w:sz="0" w:space="0" w:color="auto"/>
            <w:left w:val="none" w:sz="0" w:space="0" w:color="auto"/>
            <w:bottom w:val="none" w:sz="0" w:space="0" w:color="auto"/>
            <w:right w:val="none" w:sz="0" w:space="0" w:color="auto"/>
          </w:divBdr>
          <w:divsChild>
            <w:div w:id="14518946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5406202">
      <w:marLeft w:val="0"/>
      <w:marRight w:val="0"/>
      <w:marTop w:val="60"/>
      <w:marBottom w:val="60"/>
      <w:divBdr>
        <w:top w:val="none" w:sz="0" w:space="0" w:color="auto"/>
        <w:left w:val="none" w:sz="0" w:space="0" w:color="auto"/>
        <w:bottom w:val="none" w:sz="0" w:space="0" w:color="auto"/>
        <w:right w:val="none" w:sz="0" w:space="0" w:color="auto"/>
      </w:divBdr>
    </w:div>
    <w:div w:id="1296369494">
      <w:marLeft w:val="0"/>
      <w:marRight w:val="0"/>
      <w:marTop w:val="0"/>
      <w:marBottom w:val="0"/>
      <w:divBdr>
        <w:top w:val="none" w:sz="0" w:space="0" w:color="auto"/>
        <w:left w:val="none" w:sz="0" w:space="0" w:color="auto"/>
        <w:bottom w:val="none" w:sz="0" w:space="0" w:color="auto"/>
        <w:right w:val="none" w:sz="0" w:space="0" w:color="auto"/>
      </w:divBdr>
    </w:div>
    <w:div w:id="1296527611">
      <w:marLeft w:val="0"/>
      <w:marRight w:val="0"/>
      <w:marTop w:val="0"/>
      <w:marBottom w:val="0"/>
      <w:divBdr>
        <w:top w:val="none" w:sz="0" w:space="0" w:color="auto"/>
        <w:left w:val="none" w:sz="0" w:space="0" w:color="auto"/>
        <w:bottom w:val="none" w:sz="0" w:space="0" w:color="auto"/>
        <w:right w:val="none" w:sz="0" w:space="0" w:color="auto"/>
      </w:divBdr>
    </w:div>
    <w:div w:id="1297301787">
      <w:marLeft w:val="0"/>
      <w:marRight w:val="0"/>
      <w:marTop w:val="180"/>
      <w:marBottom w:val="180"/>
      <w:divBdr>
        <w:top w:val="none" w:sz="0" w:space="0" w:color="auto"/>
        <w:left w:val="none" w:sz="0" w:space="0" w:color="auto"/>
        <w:bottom w:val="none" w:sz="0" w:space="0" w:color="auto"/>
        <w:right w:val="none" w:sz="0" w:space="0" w:color="auto"/>
      </w:divBdr>
    </w:div>
    <w:div w:id="1297564960">
      <w:marLeft w:val="0"/>
      <w:marRight w:val="0"/>
      <w:marTop w:val="180"/>
      <w:marBottom w:val="180"/>
      <w:divBdr>
        <w:top w:val="none" w:sz="0" w:space="0" w:color="auto"/>
        <w:left w:val="none" w:sz="0" w:space="0" w:color="auto"/>
        <w:bottom w:val="none" w:sz="0" w:space="0" w:color="auto"/>
        <w:right w:val="none" w:sz="0" w:space="0" w:color="auto"/>
      </w:divBdr>
    </w:div>
    <w:div w:id="1298612256">
      <w:marLeft w:val="0"/>
      <w:marRight w:val="0"/>
      <w:marTop w:val="0"/>
      <w:marBottom w:val="0"/>
      <w:divBdr>
        <w:top w:val="none" w:sz="0" w:space="0" w:color="auto"/>
        <w:left w:val="none" w:sz="0" w:space="0" w:color="auto"/>
        <w:bottom w:val="none" w:sz="0" w:space="0" w:color="auto"/>
        <w:right w:val="none" w:sz="0" w:space="0" w:color="auto"/>
      </w:divBdr>
      <w:divsChild>
        <w:div w:id="1970628974">
          <w:marLeft w:val="0"/>
          <w:marRight w:val="0"/>
          <w:marTop w:val="0"/>
          <w:marBottom w:val="0"/>
          <w:divBdr>
            <w:top w:val="none" w:sz="0" w:space="0" w:color="auto"/>
            <w:left w:val="none" w:sz="0" w:space="0" w:color="auto"/>
            <w:bottom w:val="none" w:sz="0" w:space="0" w:color="auto"/>
            <w:right w:val="none" w:sz="0" w:space="0" w:color="auto"/>
          </w:divBdr>
          <w:divsChild>
            <w:div w:id="6893760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99456807">
      <w:marLeft w:val="0"/>
      <w:marRight w:val="0"/>
      <w:marTop w:val="180"/>
      <w:marBottom w:val="180"/>
      <w:divBdr>
        <w:top w:val="none" w:sz="0" w:space="0" w:color="auto"/>
        <w:left w:val="none" w:sz="0" w:space="0" w:color="auto"/>
        <w:bottom w:val="none" w:sz="0" w:space="0" w:color="auto"/>
        <w:right w:val="none" w:sz="0" w:space="0" w:color="auto"/>
      </w:divBdr>
    </w:div>
    <w:div w:id="1300184513">
      <w:marLeft w:val="0"/>
      <w:marRight w:val="0"/>
      <w:marTop w:val="180"/>
      <w:marBottom w:val="0"/>
      <w:divBdr>
        <w:top w:val="none" w:sz="0" w:space="0" w:color="auto"/>
        <w:left w:val="none" w:sz="0" w:space="0" w:color="auto"/>
        <w:bottom w:val="none" w:sz="0" w:space="0" w:color="auto"/>
        <w:right w:val="none" w:sz="0" w:space="0" w:color="auto"/>
      </w:divBdr>
    </w:div>
    <w:div w:id="1300647345">
      <w:marLeft w:val="0"/>
      <w:marRight w:val="0"/>
      <w:marTop w:val="180"/>
      <w:marBottom w:val="180"/>
      <w:divBdr>
        <w:top w:val="none" w:sz="0" w:space="0" w:color="auto"/>
        <w:left w:val="none" w:sz="0" w:space="0" w:color="auto"/>
        <w:bottom w:val="none" w:sz="0" w:space="0" w:color="auto"/>
        <w:right w:val="none" w:sz="0" w:space="0" w:color="auto"/>
      </w:divBdr>
    </w:div>
    <w:div w:id="1303344530">
      <w:marLeft w:val="0"/>
      <w:marRight w:val="0"/>
      <w:marTop w:val="180"/>
      <w:marBottom w:val="180"/>
      <w:divBdr>
        <w:top w:val="none" w:sz="0" w:space="0" w:color="auto"/>
        <w:left w:val="none" w:sz="0" w:space="0" w:color="auto"/>
        <w:bottom w:val="none" w:sz="0" w:space="0" w:color="auto"/>
        <w:right w:val="none" w:sz="0" w:space="0" w:color="auto"/>
      </w:divBdr>
    </w:div>
    <w:div w:id="1303466447">
      <w:marLeft w:val="0"/>
      <w:marRight w:val="0"/>
      <w:marTop w:val="180"/>
      <w:marBottom w:val="180"/>
      <w:divBdr>
        <w:top w:val="none" w:sz="0" w:space="0" w:color="auto"/>
        <w:left w:val="none" w:sz="0" w:space="0" w:color="auto"/>
        <w:bottom w:val="none" w:sz="0" w:space="0" w:color="auto"/>
        <w:right w:val="none" w:sz="0" w:space="0" w:color="auto"/>
      </w:divBdr>
    </w:div>
    <w:div w:id="1304769992">
      <w:marLeft w:val="0"/>
      <w:marRight w:val="0"/>
      <w:marTop w:val="60"/>
      <w:marBottom w:val="60"/>
      <w:divBdr>
        <w:top w:val="none" w:sz="0" w:space="0" w:color="auto"/>
        <w:left w:val="none" w:sz="0" w:space="0" w:color="auto"/>
        <w:bottom w:val="none" w:sz="0" w:space="0" w:color="auto"/>
        <w:right w:val="none" w:sz="0" w:space="0" w:color="auto"/>
      </w:divBdr>
    </w:div>
    <w:div w:id="1305164045">
      <w:marLeft w:val="0"/>
      <w:marRight w:val="0"/>
      <w:marTop w:val="0"/>
      <w:marBottom w:val="0"/>
      <w:divBdr>
        <w:top w:val="none" w:sz="0" w:space="0" w:color="auto"/>
        <w:left w:val="none" w:sz="0" w:space="0" w:color="auto"/>
        <w:bottom w:val="none" w:sz="0" w:space="0" w:color="auto"/>
        <w:right w:val="none" w:sz="0" w:space="0" w:color="auto"/>
      </w:divBdr>
      <w:divsChild>
        <w:div w:id="2067876878">
          <w:marLeft w:val="0"/>
          <w:marRight w:val="0"/>
          <w:marTop w:val="60"/>
          <w:marBottom w:val="60"/>
          <w:divBdr>
            <w:top w:val="none" w:sz="0" w:space="0" w:color="auto"/>
            <w:left w:val="none" w:sz="0" w:space="0" w:color="auto"/>
            <w:bottom w:val="none" w:sz="0" w:space="0" w:color="auto"/>
            <w:right w:val="none" w:sz="0" w:space="0" w:color="auto"/>
          </w:divBdr>
        </w:div>
      </w:divsChild>
    </w:div>
    <w:div w:id="1305742628">
      <w:marLeft w:val="0"/>
      <w:marRight w:val="0"/>
      <w:marTop w:val="180"/>
      <w:marBottom w:val="180"/>
      <w:divBdr>
        <w:top w:val="none" w:sz="0" w:space="0" w:color="auto"/>
        <w:left w:val="none" w:sz="0" w:space="0" w:color="auto"/>
        <w:bottom w:val="none" w:sz="0" w:space="0" w:color="auto"/>
        <w:right w:val="none" w:sz="0" w:space="0" w:color="auto"/>
      </w:divBdr>
    </w:div>
    <w:div w:id="1306426561">
      <w:marLeft w:val="0"/>
      <w:marRight w:val="0"/>
      <w:marTop w:val="180"/>
      <w:marBottom w:val="60"/>
      <w:divBdr>
        <w:top w:val="none" w:sz="0" w:space="0" w:color="auto"/>
        <w:left w:val="none" w:sz="0" w:space="0" w:color="auto"/>
        <w:bottom w:val="none" w:sz="0" w:space="0" w:color="auto"/>
        <w:right w:val="none" w:sz="0" w:space="0" w:color="auto"/>
      </w:divBdr>
    </w:div>
    <w:div w:id="1306818627">
      <w:marLeft w:val="0"/>
      <w:marRight w:val="0"/>
      <w:marTop w:val="180"/>
      <w:marBottom w:val="180"/>
      <w:divBdr>
        <w:top w:val="none" w:sz="0" w:space="0" w:color="auto"/>
        <w:left w:val="none" w:sz="0" w:space="0" w:color="auto"/>
        <w:bottom w:val="none" w:sz="0" w:space="0" w:color="auto"/>
        <w:right w:val="none" w:sz="0" w:space="0" w:color="auto"/>
      </w:divBdr>
    </w:div>
    <w:div w:id="1307509007">
      <w:marLeft w:val="0"/>
      <w:marRight w:val="0"/>
      <w:marTop w:val="180"/>
      <w:marBottom w:val="180"/>
      <w:divBdr>
        <w:top w:val="none" w:sz="0" w:space="0" w:color="auto"/>
        <w:left w:val="none" w:sz="0" w:space="0" w:color="auto"/>
        <w:bottom w:val="none" w:sz="0" w:space="0" w:color="auto"/>
        <w:right w:val="none" w:sz="0" w:space="0" w:color="auto"/>
      </w:divBdr>
    </w:div>
    <w:div w:id="1307856800">
      <w:marLeft w:val="0"/>
      <w:marRight w:val="0"/>
      <w:marTop w:val="180"/>
      <w:marBottom w:val="180"/>
      <w:divBdr>
        <w:top w:val="none" w:sz="0" w:space="0" w:color="auto"/>
        <w:left w:val="none" w:sz="0" w:space="0" w:color="auto"/>
        <w:bottom w:val="none" w:sz="0" w:space="0" w:color="auto"/>
        <w:right w:val="none" w:sz="0" w:space="0" w:color="auto"/>
      </w:divBdr>
    </w:div>
    <w:div w:id="1309288739">
      <w:marLeft w:val="0"/>
      <w:marRight w:val="0"/>
      <w:marTop w:val="180"/>
      <w:marBottom w:val="180"/>
      <w:divBdr>
        <w:top w:val="none" w:sz="0" w:space="0" w:color="auto"/>
        <w:left w:val="none" w:sz="0" w:space="0" w:color="auto"/>
        <w:bottom w:val="none" w:sz="0" w:space="0" w:color="auto"/>
        <w:right w:val="none" w:sz="0" w:space="0" w:color="auto"/>
      </w:divBdr>
    </w:div>
    <w:div w:id="1310406338">
      <w:marLeft w:val="0"/>
      <w:marRight w:val="0"/>
      <w:marTop w:val="180"/>
      <w:marBottom w:val="180"/>
      <w:divBdr>
        <w:top w:val="none" w:sz="0" w:space="0" w:color="auto"/>
        <w:left w:val="none" w:sz="0" w:space="0" w:color="auto"/>
        <w:bottom w:val="none" w:sz="0" w:space="0" w:color="auto"/>
        <w:right w:val="none" w:sz="0" w:space="0" w:color="auto"/>
      </w:divBdr>
    </w:div>
    <w:div w:id="1310406638">
      <w:marLeft w:val="0"/>
      <w:marRight w:val="0"/>
      <w:marTop w:val="60"/>
      <w:marBottom w:val="0"/>
      <w:divBdr>
        <w:top w:val="none" w:sz="0" w:space="0" w:color="auto"/>
        <w:left w:val="none" w:sz="0" w:space="0" w:color="auto"/>
        <w:bottom w:val="none" w:sz="0" w:space="0" w:color="auto"/>
        <w:right w:val="none" w:sz="0" w:space="0" w:color="auto"/>
      </w:divBdr>
    </w:div>
    <w:div w:id="1310553808">
      <w:marLeft w:val="0"/>
      <w:marRight w:val="0"/>
      <w:marTop w:val="0"/>
      <w:marBottom w:val="0"/>
      <w:divBdr>
        <w:top w:val="none" w:sz="0" w:space="0" w:color="auto"/>
        <w:left w:val="none" w:sz="0" w:space="0" w:color="auto"/>
        <w:bottom w:val="none" w:sz="0" w:space="0" w:color="auto"/>
        <w:right w:val="none" w:sz="0" w:space="0" w:color="auto"/>
      </w:divBdr>
    </w:div>
    <w:div w:id="1312444164">
      <w:marLeft w:val="0"/>
      <w:marRight w:val="0"/>
      <w:marTop w:val="180"/>
      <w:marBottom w:val="180"/>
      <w:divBdr>
        <w:top w:val="none" w:sz="0" w:space="0" w:color="auto"/>
        <w:left w:val="none" w:sz="0" w:space="0" w:color="auto"/>
        <w:bottom w:val="none" w:sz="0" w:space="0" w:color="auto"/>
        <w:right w:val="none" w:sz="0" w:space="0" w:color="auto"/>
      </w:divBdr>
    </w:div>
    <w:div w:id="1312826663">
      <w:marLeft w:val="0"/>
      <w:marRight w:val="0"/>
      <w:marTop w:val="180"/>
      <w:marBottom w:val="180"/>
      <w:divBdr>
        <w:top w:val="none" w:sz="0" w:space="0" w:color="auto"/>
        <w:left w:val="none" w:sz="0" w:space="0" w:color="auto"/>
        <w:bottom w:val="none" w:sz="0" w:space="0" w:color="auto"/>
        <w:right w:val="none" w:sz="0" w:space="0" w:color="auto"/>
      </w:divBdr>
    </w:div>
    <w:div w:id="1312978658">
      <w:marLeft w:val="0"/>
      <w:marRight w:val="0"/>
      <w:marTop w:val="180"/>
      <w:marBottom w:val="180"/>
      <w:divBdr>
        <w:top w:val="none" w:sz="0" w:space="0" w:color="auto"/>
        <w:left w:val="none" w:sz="0" w:space="0" w:color="auto"/>
        <w:bottom w:val="none" w:sz="0" w:space="0" w:color="auto"/>
        <w:right w:val="none" w:sz="0" w:space="0" w:color="auto"/>
      </w:divBdr>
    </w:div>
    <w:div w:id="1314724005">
      <w:marLeft w:val="0"/>
      <w:marRight w:val="0"/>
      <w:marTop w:val="180"/>
      <w:marBottom w:val="180"/>
      <w:divBdr>
        <w:top w:val="none" w:sz="0" w:space="0" w:color="auto"/>
        <w:left w:val="none" w:sz="0" w:space="0" w:color="auto"/>
        <w:bottom w:val="none" w:sz="0" w:space="0" w:color="auto"/>
        <w:right w:val="none" w:sz="0" w:space="0" w:color="auto"/>
      </w:divBdr>
    </w:div>
    <w:div w:id="1314791803">
      <w:marLeft w:val="0"/>
      <w:marRight w:val="0"/>
      <w:marTop w:val="60"/>
      <w:marBottom w:val="60"/>
      <w:divBdr>
        <w:top w:val="none" w:sz="0" w:space="0" w:color="auto"/>
        <w:left w:val="none" w:sz="0" w:space="0" w:color="auto"/>
        <w:bottom w:val="none" w:sz="0" w:space="0" w:color="auto"/>
        <w:right w:val="none" w:sz="0" w:space="0" w:color="auto"/>
      </w:divBdr>
    </w:div>
    <w:div w:id="1316563618">
      <w:marLeft w:val="0"/>
      <w:marRight w:val="0"/>
      <w:marTop w:val="0"/>
      <w:marBottom w:val="0"/>
      <w:divBdr>
        <w:top w:val="none" w:sz="0" w:space="0" w:color="auto"/>
        <w:left w:val="none" w:sz="0" w:space="0" w:color="auto"/>
        <w:bottom w:val="none" w:sz="0" w:space="0" w:color="auto"/>
        <w:right w:val="none" w:sz="0" w:space="0" w:color="auto"/>
      </w:divBdr>
      <w:divsChild>
        <w:div w:id="369576614">
          <w:marLeft w:val="0"/>
          <w:marRight w:val="0"/>
          <w:marTop w:val="0"/>
          <w:marBottom w:val="0"/>
          <w:divBdr>
            <w:top w:val="none" w:sz="0" w:space="0" w:color="auto"/>
            <w:left w:val="none" w:sz="0" w:space="0" w:color="auto"/>
            <w:bottom w:val="none" w:sz="0" w:space="0" w:color="auto"/>
            <w:right w:val="none" w:sz="0" w:space="0" w:color="auto"/>
          </w:divBdr>
          <w:divsChild>
            <w:div w:id="21090332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16645500">
      <w:marLeft w:val="0"/>
      <w:marRight w:val="0"/>
      <w:marTop w:val="180"/>
      <w:marBottom w:val="180"/>
      <w:divBdr>
        <w:top w:val="none" w:sz="0" w:space="0" w:color="auto"/>
        <w:left w:val="none" w:sz="0" w:space="0" w:color="auto"/>
        <w:bottom w:val="none" w:sz="0" w:space="0" w:color="auto"/>
        <w:right w:val="none" w:sz="0" w:space="0" w:color="auto"/>
      </w:divBdr>
    </w:div>
    <w:div w:id="1319386729">
      <w:marLeft w:val="0"/>
      <w:marRight w:val="0"/>
      <w:marTop w:val="180"/>
      <w:marBottom w:val="180"/>
      <w:divBdr>
        <w:top w:val="none" w:sz="0" w:space="0" w:color="auto"/>
        <w:left w:val="none" w:sz="0" w:space="0" w:color="auto"/>
        <w:bottom w:val="none" w:sz="0" w:space="0" w:color="auto"/>
        <w:right w:val="none" w:sz="0" w:space="0" w:color="auto"/>
      </w:divBdr>
    </w:div>
    <w:div w:id="1320234267">
      <w:marLeft w:val="0"/>
      <w:marRight w:val="0"/>
      <w:marTop w:val="0"/>
      <w:marBottom w:val="0"/>
      <w:divBdr>
        <w:top w:val="none" w:sz="0" w:space="0" w:color="auto"/>
        <w:left w:val="none" w:sz="0" w:space="0" w:color="auto"/>
        <w:bottom w:val="none" w:sz="0" w:space="0" w:color="auto"/>
        <w:right w:val="none" w:sz="0" w:space="0" w:color="auto"/>
      </w:divBdr>
      <w:divsChild>
        <w:div w:id="1677345021">
          <w:marLeft w:val="0"/>
          <w:marRight w:val="0"/>
          <w:marTop w:val="0"/>
          <w:marBottom w:val="0"/>
          <w:divBdr>
            <w:top w:val="none" w:sz="0" w:space="0" w:color="auto"/>
            <w:left w:val="none" w:sz="0" w:space="0" w:color="auto"/>
            <w:bottom w:val="none" w:sz="0" w:space="0" w:color="auto"/>
            <w:right w:val="none" w:sz="0" w:space="0" w:color="auto"/>
          </w:divBdr>
          <w:divsChild>
            <w:div w:id="7387933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1041483">
      <w:marLeft w:val="0"/>
      <w:marRight w:val="0"/>
      <w:marTop w:val="180"/>
      <w:marBottom w:val="180"/>
      <w:divBdr>
        <w:top w:val="none" w:sz="0" w:space="0" w:color="auto"/>
        <w:left w:val="none" w:sz="0" w:space="0" w:color="auto"/>
        <w:bottom w:val="none" w:sz="0" w:space="0" w:color="auto"/>
        <w:right w:val="none" w:sz="0" w:space="0" w:color="auto"/>
      </w:divBdr>
    </w:div>
    <w:div w:id="1323193901">
      <w:marLeft w:val="0"/>
      <w:marRight w:val="0"/>
      <w:marTop w:val="60"/>
      <w:marBottom w:val="60"/>
      <w:divBdr>
        <w:top w:val="none" w:sz="0" w:space="0" w:color="auto"/>
        <w:left w:val="none" w:sz="0" w:space="0" w:color="auto"/>
        <w:bottom w:val="none" w:sz="0" w:space="0" w:color="auto"/>
        <w:right w:val="none" w:sz="0" w:space="0" w:color="auto"/>
      </w:divBdr>
    </w:div>
    <w:div w:id="1323969188">
      <w:marLeft w:val="0"/>
      <w:marRight w:val="0"/>
      <w:marTop w:val="0"/>
      <w:marBottom w:val="180"/>
      <w:divBdr>
        <w:top w:val="none" w:sz="0" w:space="0" w:color="auto"/>
        <w:left w:val="none" w:sz="0" w:space="0" w:color="auto"/>
        <w:bottom w:val="none" w:sz="0" w:space="0" w:color="auto"/>
        <w:right w:val="none" w:sz="0" w:space="0" w:color="auto"/>
      </w:divBdr>
    </w:div>
    <w:div w:id="1324045560">
      <w:marLeft w:val="0"/>
      <w:marRight w:val="0"/>
      <w:marTop w:val="0"/>
      <w:marBottom w:val="0"/>
      <w:divBdr>
        <w:top w:val="none" w:sz="0" w:space="0" w:color="auto"/>
        <w:left w:val="none" w:sz="0" w:space="0" w:color="auto"/>
        <w:bottom w:val="none" w:sz="0" w:space="0" w:color="auto"/>
        <w:right w:val="none" w:sz="0" w:space="0" w:color="auto"/>
      </w:divBdr>
      <w:divsChild>
        <w:div w:id="40444202">
          <w:marLeft w:val="0"/>
          <w:marRight w:val="0"/>
          <w:marTop w:val="0"/>
          <w:marBottom w:val="0"/>
          <w:divBdr>
            <w:top w:val="none" w:sz="0" w:space="0" w:color="auto"/>
            <w:left w:val="none" w:sz="0" w:space="0" w:color="auto"/>
            <w:bottom w:val="none" w:sz="0" w:space="0" w:color="auto"/>
            <w:right w:val="none" w:sz="0" w:space="0" w:color="auto"/>
          </w:divBdr>
          <w:divsChild>
            <w:div w:id="3879178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5620734">
      <w:marLeft w:val="0"/>
      <w:marRight w:val="0"/>
      <w:marTop w:val="180"/>
      <w:marBottom w:val="180"/>
      <w:divBdr>
        <w:top w:val="none" w:sz="0" w:space="0" w:color="auto"/>
        <w:left w:val="none" w:sz="0" w:space="0" w:color="auto"/>
        <w:bottom w:val="none" w:sz="0" w:space="0" w:color="auto"/>
        <w:right w:val="none" w:sz="0" w:space="0" w:color="auto"/>
      </w:divBdr>
    </w:div>
    <w:div w:id="1326015480">
      <w:marLeft w:val="0"/>
      <w:marRight w:val="0"/>
      <w:marTop w:val="0"/>
      <w:marBottom w:val="0"/>
      <w:divBdr>
        <w:top w:val="none" w:sz="0" w:space="0" w:color="auto"/>
        <w:left w:val="none" w:sz="0" w:space="0" w:color="auto"/>
        <w:bottom w:val="none" w:sz="0" w:space="0" w:color="auto"/>
        <w:right w:val="none" w:sz="0" w:space="0" w:color="auto"/>
      </w:divBdr>
      <w:divsChild>
        <w:div w:id="1708946886">
          <w:marLeft w:val="0"/>
          <w:marRight w:val="0"/>
          <w:marTop w:val="0"/>
          <w:marBottom w:val="0"/>
          <w:divBdr>
            <w:top w:val="none" w:sz="0" w:space="0" w:color="auto"/>
            <w:left w:val="none" w:sz="0" w:space="0" w:color="auto"/>
            <w:bottom w:val="none" w:sz="0" w:space="0" w:color="auto"/>
            <w:right w:val="none" w:sz="0" w:space="0" w:color="auto"/>
          </w:divBdr>
          <w:divsChild>
            <w:div w:id="9919795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200264">
      <w:marLeft w:val="0"/>
      <w:marRight w:val="0"/>
      <w:marTop w:val="60"/>
      <w:marBottom w:val="60"/>
      <w:divBdr>
        <w:top w:val="none" w:sz="0" w:space="0" w:color="auto"/>
        <w:left w:val="none" w:sz="0" w:space="0" w:color="auto"/>
        <w:bottom w:val="none" w:sz="0" w:space="0" w:color="auto"/>
        <w:right w:val="none" w:sz="0" w:space="0" w:color="auto"/>
      </w:divBdr>
    </w:div>
    <w:div w:id="1326737127">
      <w:marLeft w:val="0"/>
      <w:marRight w:val="0"/>
      <w:marTop w:val="60"/>
      <w:marBottom w:val="60"/>
      <w:divBdr>
        <w:top w:val="none" w:sz="0" w:space="0" w:color="auto"/>
        <w:left w:val="none" w:sz="0" w:space="0" w:color="auto"/>
        <w:bottom w:val="none" w:sz="0" w:space="0" w:color="auto"/>
        <w:right w:val="none" w:sz="0" w:space="0" w:color="auto"/>
      </w:divBdr>
    </w:div>
    <w:div w:id="1328047969">
      <w:marLeft w:val="0"/>
      <w:marRight w:val="0"/>
      <w:marTop w:val="60"/>
      <w:marBottom w:val="60"/>
      <w:divBdr>
        <w:top w:val="none" w:sz="0" w:space="0" w:color="auto"/>
        <w:left w:val="none" w:sz="0" w:space="0" w:color="auto"/>
        <w:bottom w:val="none" w:sz="0" w:space="0" w:color="auto"/>
        <w:right w:val="none" w:sz="0" w:space="0" w:color="auto"/>
      </w:divBdr>
      <w:divsChild>
        <w:div w:id="665862439">
          <w:marLeft w:val="0"/>
          <w:marRight w:val="0"/>
          <w:marTop w:val="0"/>
          <w:marBottom w:val="0"/>
          <w:divBdr>
            <w:top w:val="none" w:sz="0" w:space="0" w:color="auto"/>
            <w:left w:val="none" w:sz="0" w:space="0" w:color="auto"/>
            <w:bottom w:val="none" w:sz="0" w:space="0" w:color="auto"/>
            <w:right w:val="none" w:sz="0" w:space="0" w:color="auto"/>
          </w:divBdr>
        </w:div>
      </w:divsChild>
    </w:div>
    <w:div w:id="1328243205">
      <w:marLeft w:val="0"/>
      <w:marRight w:val="0"/>
      <w:marTop w:val="180"/>
      <w:marBottom w:val="180"/>
      <w:divBdr>
        <w:top w:val="none" w:sz="0" w:space="0" w:color="auto"/>
        <w:left w:val="none" w:sz="0" w:space="0" w:color="auto"/>
        <w:bottom w:val="none" w:sz="0" w:space="0" w:color="auto"/>
        <w:right w:val="none" w:sz="0" w:space="0" w:color="auto"/>
      </w:divBdr>
    </w:div>
    <w:div w:id="1329939245">
      <w:marLeft w:val="0"/>
      <w:marRight w:val="0"/>
      <w:marTop w:val="180"/>
      <w:marBottom w:val="180"/>
      <w:divBdr>
        <w:top w:val="none" w:sz="0" w:space="0" w:color="auto"/>
        <w:left w:val="none" w:sz="0" w:space="0" w:color="auto"/>
        <w:bottom w:val="none" w:sz="0" w:space="0" w:color="auto"/>
        <w:right w:val="none" w:sz="0" w:space="0" w:color="auto"/>
      </w:divBdr>
    </w:div>
    <w:div w:id="1330787451">
      <w:marLeft w:val="0"/>
      <w:marRight w:val="0"/>
      <w:marTop w:val="180"/>
      <w:marBottom w:val="60"/>
      <w:divBdr>
        <w:top w:val="none" w:sz="0" w:space="0" w:color="auto"/>
        <w:left w:val="none" w:sz="0" w:space="0" w:color="auto"/>
        <w:bottom w:val="none" w:sz="0" w:space="0" w:color="auto"/>
        <w:right w:val="none" w:sz="0" w:space="0" w:color="auto"/>
      </w:divBdr>
    </w:div>
    <w:div w:id="1332030565">
      <w:marLeft w:val="0"/>
      <w:marRight w:val="0"/>
      <w:marTop w:val="0"/>
      <w:marBottom w:val="0"/>
      <w:divBdr>
        <w:top w:val="none" w:sz="0" w:space="0" w:color="auto"/>
        <w:left w:val="none" w:sz="0" w:space="0" w:color="auto"/>
        <w:bottom w:val="none" w:sz="0" w:space="0" w:color="auto"/>
        <w:right w:val="none" w:sz="0" w:space="0" w:color="auto"/>
      </w:divBdr>
      <w:divsChild>
        <w:div w:id="483543691">
          <w:marLeft w:val="0"/>
          <w:marRight w:val="0"/>
          <w:marTop w:val="180"/>
          <w:marBottom w:val="180"/>
          <w:divBdr>
            <w:top w:val="none" w:sz="0" w:space="0" w:color="auto"/>
            <w:left w:val="none" w:sz="0" w:space="0" w:color="auto"/>
            <w:bottom w:val="none" w:sz="0" w:space="0" w:color="auto"/>
            <w:right w:val="none" w:sz="0" w:space="0" w:color="auto"/>
          </w:divBdr>
        </w:div>
      </w:divsChild>
    </w:div>
    <w:div w:id="1333532845">
      <w:marLeft w:val="0"/>
      <w:marRight w:val="0"/>
      <w:marTop w:val="0"/>
      <w:marBottom w:val="0"/>
      <w:divBdr>
        <w:top w:val="none" w:sz="0" w:space="0" w:color="auto"/>
        <w:left w:val="none" w:sz="0" w:space="0" w:color="auto"/>
        <w:bottom w:val="none" w:sz="0" w:space="0" w:color="auto"/>
        <w:right w:val="none" w:sz="0" w:space="0" w:color="auto"/>
      </w:divBdr>
      <w:divsChild>
        <w:div w:id="194972815">
          <w:marLeft w:val="0"/>
          <w:marRight w:val="0"/>
          <w:marTop w:val="0"/>
          <w:marBottom w:val="0"/>
          <w:divBdr>
            <w:top w:val="none" w:sz="0" w:space="0" w:color="auto"/>
            <w:left w:val="none" w:sz="0" w:space="0" w:color="auto"/>
            <w:bottom w:val="none" w:sz="0" w:space="0" w:color="auto"/>
            <w:right w:val="none" w:sz="0" w:space="0" w:color="auto"/>
          </w:divBdr>
          <w:divsChild>
            <w:div w:id="4244233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3603496">
      <w:marLeft w:val="0"/>
      <w:marRight w:val="0"/>
      <w:marTop w:val="60"/>
      <w:marBottom w:val="60"/>
      <w:divBdr>
        <w:top w:val="none" w:sz="0" w:space="0" w:color="auto"/>
        <w:left w:val="none" w:sz="0" w:space="0" w:color="auto"/>
        <w:bottom w:val="none" w:sz="0" w:space="0" w:color="auto"/>
        <w:right w:val="none" w:sz="0" w:space="0" w:color="auto"/>
      </w:divBdr>
    </w:div>
    <w:div w:id="1334264503">
      <w:marLeft w:val="0"/>
      <w:marRight w:val="0"/>
      <w:marTop w:val="180"/>
      <w:marBottom w:val="180"/>
      <w:divBdr>
        <w:top w:val="none" w:sz="0" w:space="0" w:color="auto"/>
        <w:left w:val="none" w:sz="0" w:space="0" w:color="auto"/>
        <w:bottom w:val="none" w:sz="0" w:space="0" w:color="auto"/>
        <w:right w:val="none" w:sz="0" w:space="0" w:color="auto"/>
      </w:divBdr>
    </w:div>
    <w:div w:id="1334333230">
      <w:marLeft w:val="0"/>
      <w:marRight w:val="0"/>
      <w:marTop w:val="180"/>
      <w:marBottom w:val="180"/>
      <w:divBdr>
        <w:top w:val="none" w:sz="0" w:space="0" w:color="auto"/>
        <w:left w:val="none" w:sz="0" w:space="0" w:color="auto"/>
        <w:bottom w:val="none" w:sz="0" w:space="0" w:color="auto"/>
        <w:right w:val="none" w:sz="0" w:space="0" w:color="auto"/>
      </w:divBdr>
    </w:div>
    <w:div w:id="1334646211">
      <w:marLeft w:val="0"/>
      <w:marRight w:val="0"/>
      <w:marTop w:val="180"/>
      <w:marBottom w:val="180"/>
      <w:divBdr>
        <w:top w:val="none" w:sz="0" w:space="0" w:color="auto"/>
        <w:left w:val="none" w:sz="0" w:space="0" w:color="auto"/>
        <w:bottom w:val="none" w:sz="0" w:space="0" w:color="auto"/>
        <w:right w:val="none" w:sz="0" w:space="0" w:color="auto"/>
      </w:divBdr>
    </w:div>
    <w:div w:id="1335380951">
      <w:marLeft w:val="0"/>
      <w:marRight w:val="0"/>
      <w:marTop w:val="180"/>
      <w:marBottom w:val="180"/>
      <w:divBdr>
        <w:top w:val="none" w:sz="0" w:space="0" w:color="auto"/>
        <w:left w:val="none" w:sz="0" w:space="0" w:color="auto"/>
        <w:bottom w:val="none" w:sz="0" w:space="0" w:color="auto"/>
        <w:right w:val="none" w:sz="0" w:space="0" w:color="auto"/>
      </w:divBdr>
    </w:div>
    <w:div w:id="1336150108">
      <w:marLeft w:val="0"/>
      <w:marRight w:val="0"/>
      <w:marTop w:val="180"/>
      <w:marBottom w:val="60"/>
      <w:divBdr>
        <w:top w:val="none" w:sz="0" w:space="0" w:color="auto"/>
        <w:left w:val="none" w:sz="0" w:space="0" w:color="auto"/>
        <w:bottom w:val="none" w:sz="0" w:space="0" w:color="auto"/>
        <w:right w:val="none" w:sz="0" w:space="0" w:color="auto"/>
      </w:divBdr>
    </w:div>
    <w:div w:id="1338465601">
      <w:marLeft w:val="0"/>
      <w:marRight w:val="0"/>
      <w:marTop w:val="60"/>
      <w:marBottom w:val="60"/>
      <w:divBdr>
        <w:top w:val="none" w:sz="0" w:space="0" w:color="auto"/>
        <w:left w:val="none" w:sz="0" w:space="0" w:color="auto"/>
        <w:bottom w:val="none" w:sz="0" w:space="0" w:color="auto"/>
        <w:right w:val="none" w:sz="0" w:space="0" w:color="auto"/>
      </w:divBdr>
    </w:div>
    <w:div w:id="1340503495">
      <w:marLeft w:val="0"/>
      <w:marRight w:val="0"/>
      <w:marTop w:val="180"/>
      <w:marBottom w:val="180"/>
      <w:divBdr>
        <w:top w:val="none" w:sz="0" w:space="0" w:color="auto"/>
        <w:left w:val="none" w:sz="0" w:space="0" w:color="auto"/>
        <w:bottom w:val="none" w:sz="0" w:space="0" w:color="auto"/>
        <w:right w:val="none" w:sz="0" w:space="0" w:color="auto"/>
      </w:divBdr>
    </w:div>
    <w:div w:id="1341346924">
      <w:marLeft w:val="0"/>
      <w:marRight w:val="0"/>
      <w:marTop w:val="60"/>
      <w:marBottom w:val="60"/>
      <w:divBdr>
        <w:top w:val="none" w:sz="0" w:space="0" w:color="auto"/>
        <w:left w:val="none" w:sz="0" w:space="0" w:color="auto"/>
        <w:bottom w:val="none" w:sz="0" w:space="0" w:color="auto"/>
        <w:right w:val="none" w:sz="0" w:space="0" w:color="auto"/>
      </w:divBdr>
    </w:div>
    <w:div w:id="1343434020">
      <w:marLeft w:val="0"/>
      <w:marRight w:val="0"/>
      <w:marTop w:val="180"/>
      <w:marBottom w:val="180"/>
      <w:divBdr>
        <w:top w:val="none" w:sz="0" w:space="0" w:color="auto"/>
        <w:left w:val="none" w:sz="0" w:space="0" w:color="auto"/>
        <w:bottom w:val="none" w:sz="0" w:space="0" w:color="auto"/>
        <w:right w:val="none" w:sz="0" w:space="0" w:color="auto"/>
      </w:divBdr>
    </w:div>
    <w:div w:id="1343581898">
      <w:marLeft w:val="0"/>
      <w:marRight w:val="0"/>
      <w:marTop w:val="60"/>
      <w:marBottom w:val="60"/>
      <w:divBdr>
        <w:top w:val="none" w:sz="0" w:space="0" w:color="auto"/>
        <w:left w:val="none" w:sz="0" w:space="0" w:color="auto"/>
        <w:bottom w:val="none" w:sz="0" w:space="0" w:color="auto"/>
        <w:right w:val="none" w:sz="0" w:space="0" w:color="auto"/>
      </w:divBdr>
    </w:div>
    <w:div w:id="1344238112">
      <w:marLeft w:val="0"/>
      <w:marRight w:val="0"/>
      <w:marTop w:val="0"/>
      <w:marBottom w:val="0"/>
      <w:divBdr>
        <w:top w:val="none" w:sz="0" w:space="0" w:color="auto"/>
        <w:left w:val="none" w:sz="0" w:space="0" w:color="auto"/>
        <w:bottom w:val="none" w:sz="0" w:space="0" w:color="auto"/>
        <w:right w:val="none" w:sz="0" w:space="0" w:color="auto"/>
      </w:divBdr>
    </w:div>
    <w:div w:id="1344674429">
      <w:marLeft w:val="0"/>
      <w:marRight w:val="0"/>
      <w:marTop w:val="180"/>
      <w:marBottom w:val="180"/>
      <w:divBdr>
        <w:top w:val="none" w:sz="0" w:space="0" w:color="auto"/>
        <w:left w:val="none" w:sz="0" w:space="0" w:color="auto"/>
        <w:bottom w:val="none" w:sz="0" w:space="0" w:color="auto"/>
        <w:right w:val="none" w:sz="0" w:space="0" w:color="auto"/>
      </w:divBdr>
    </w:div>
    <w:div w:id="1346636758">
      <w:marLeft w:val="0"/>
      <w:marRight w:val="0"/>
      <w:marTop w:val="180"/>
      <w:marBottom w:val="180"/>
      <w:divBdr>
        <w:top w:val="none" w:sz="0" w:space="0" w:color="auto"/>
        <w:left w:val="none" w:sz="0" w:space="0" w:color="auto"/>
        <w:bottom w:val="none" w:sz="0" w:space="0" w:color="auto"/>
        <w:right w:val="none" w:sz="0" w:space="0" w:color="auto"/>
      </w:divBdr>
    </w:div>
    <w:div w:id="1346788793">
      <w:marLeft w:val="0"/>
      <w:marRight w:val="0"/>
      <w:marTop w:val="180"/>
      <w:marBottom w:val="180"/>
      <w:divBdr>
        <w:top w:val="none" w:sz="0" w:space="0" w:color="auto"/>
        <w:left w:val="none" w:sz="0" w:space="0" w:color="auto"/>
        <w:bottom w:val="none" w:sz="0" w:space="0" w:color="auto"/>
        <w:right w:val="none" w:sz="0" w:space="0" w:color="auto"/>
      </w:divBdr>
    </w:div>
    <w:div w:id="1346909066">
      <w:marLeft w:val="0"/>
      <w:marRight w:val="0"/>
      <w:marTop w:val="180"/>
      <w:marBottom w:val="180"/>
      <w:divBdr>
        <w:top w:val="none" w:sz="0" w:space="0" w:color="auto"/>
        <w:left w:val="none" w:sz="0" w:space="0" w:color="auto"/>
        <w:bottom w:val="none" w:sz="0" w:space="0" w:color="auto"/>
        <w:right w:val="none" w:sz="0" w:space="0" w:color="auto"/>
      </w:divBdr>
    </w:div>
    <w:div w:id="1347364958">
      <w:marLeft w:val="0"/>
      <w:marRight w:val="0"/>
      <w:marTop w:val="180"/>
      <w:marBottom w:val="180"/>
      <w:divBdr>
        <w:top w:val="none" w:sz="0" w:space="0" w:color="auto"/>
        <w:left w:val="none" w:sz="0" w:space="0" w:color="auto"/>
        <w:bottom w:val="none" w:sz="0" w:space="0" w:color="auto"/>
        <w:right w:val="none" w:sz="0" w:space="0" w:color="auto"/>
      </w:divBdr>
    </w:div>
    <w:div w:id="1347828744">
      <w:marLeft w:val="0"/>
      <w:marRight w:val="0"/>
      <w:marTop w:val="60"/>
      <w:marBottom w:val="60"/>
      <w:divBdr>
        <w:top w:val="none" w:sz="0" w:space="0" w:color="auto"/>
        <w:left w:val="none" w:sz="0" w:space="0" w:color="auto"/>
        <w:bottom w:val="none" w:sz="0" w:space="0" w:color="auto"/>
        <w:right w:val="none" w:sz="0" w:space="0" w:color="auto"/>
      </w:divBdr>
    </w:div>
    <w:div w:id="1349870372">
      <w:marLeft w:val="0"/>
      <w:marRight w:val="0"/>
      <w:marTop w:val="100"/>
      <w:marBottom w:val="100"/>
      <w:divBdr>
        <w:top w:val="none" w:sz="0" w:space="0" w:color="auto"/>
        <w:left w:val="none" w:sz="0" w:space="0" w:color="auto"/>
        <w:bottom w:val="none" w:sz="0" w:space="0" w:color="auto"/>
        <w:right w:val="none" w:sz="0" w:space="0" w:color="auto"/>
      </w:divBdr>
    </w:div>
    <w:div w:id="1350721684">
      <w:marLeft w:val="0"/>
      <w:marRight w:val="0"/>
      <w:marTop w:val="60"/>
      <w:marBottom w:val="60"/>
      <w:divBdr>
        <w:top w:val="none" w:sz="0" w:space="0" w:color="auto"/>
        <w:left w:val="none" w:sz="0" w:space="0" w:color="auto"/>
        <w:bottom w:val="none" w:sz="0" w:space="0" w:color="auto"/>
        <w:right w:val="none" w:sz="0" w:space="0" w:color="auto"/>
      </w:divBdr>
      <w:divsChild>
        <w:div w:id="46881770">
          <w:marLeft w:val="0"/>
          <w:marRight w:val="0"/>
          <w:marTop w:val="0"/>
          <w:marBottom w:val="0"/>
          <w:divBdr>
            <w:top w:val="none" w:sz="0" w:space="0" w:color="auto"/>
            <w:left w:val="none" w:sz="0" w:space="0" w:color="auto"/>
            <w:bottom w:val="none" w:sz="0" w:space="0" w:color="auto"/>
            <w:right w:val="none" w:sz="0" w:space="0" w:color="auto"/>
          </w:divBdr>
        </w:div>
      </w:divsChild>
    </w:div>
    <w:div w:id="1350983251">
      <w:marLeft w:val="0"/>
      <w:marRight w:val="0"/>
      <w:marTop w:val="180"/>
      <w:marBottom w:val="180"/>
      <w:divBdr>
        <w:top w:val="none" w:sz="0" w:space="0" w:color="auto"/>
        <w:left w:val="none" w:sz="0" w:space="0" w:color="auto"/>
        <w:bottom w:val="none" w:sz="0" w:space="0" w:color="auto"/>
        <w:right w:val="none" w:sz="0" w:space="0" w:color="auto"/>
      </w:divBdr>
    </w:div>
    <w:div w:id="1352610983">
      <w:marLeft w:val="0"/>
      <w:marRight w:val="0"/>
      <w:marTop w:val="180"/>
      <w:marBottom w:val="180"/>
      <w:divBdr>
        <w:top w:val="none" w:sz="0" w:space="0" w:color="auto"/>
        <w:left w:val="none" w:sz="0" w:space="0" w:color="auto"/>
        <w:bottom w:val="none" w:sz="0" w:space="0" w:color="auto"/>
        <w:right w:val="none" w:sz="0" w:space="0" w:color="auto"/>
      </w:divBdr>
    </w:div>
    <w:div w:id="1353262579">
      <w:marLeft w:val="0"/>
      <w:marRight w:val="0"/>
      <w:marTop w:val="0"/>
      <w:marBottom w:val="0"/>
      <w:divBdr>
        <w:top w:val="none" w:sz="0" w:space="0" w:color="auto"/>
        <w:left w:val="none" w:sz="0" w:space="0" w:color="auto"/>
        <w:bottom w:val="none" w:sz="0" w:space="0" w:color="auto"/>
        <w:right w:val="none" w:sz="0" w:space="0" w:color="auto"/>
      </w:divBdr>
    </w:div>
    <w:div w:id="1354308176">
      <w:marLeft w:val="0"/>
      <w:marRight w:val="0"/>
      <w:marTop w:val="180"/>
      <w:marBottom w:val="180"/>
      <w:divBdr>
        <w:top w:val="none" w:sz="0" w:space="0" w:color="auto"/>
        <w:left w:val="none" w:sz="0" w:space="0" w:color="auto"/>
        <w:bottom w:val="none" w:sz="0" w:space="0" w:color="auto"/>
        <w:right w:val="none" w:sz="0" w:space="0" w:color="auto"/>
      </w:divBdr>
    </w:div>
    <w:div w:id="1354725537">
      <w:marLeft w:val="0"/>
      <w:marRight w:val="0"/>
      <w:marTop w:val="180"/>
      <w:marBottom w:val="180"/>
      <w:divBdr>
        <w:top w:val="none" w:sz="0" w:space="0" w:color="auto"/>
        <w:left w:val="none" w:sz="0" w:space="0" w:color="auto"/>
        <w:bottom w:val="none" w:sz="0" w:space="0" w:color="auto"/>
        <w:right w:val="none" w:sz="0" w:space="0" w:color="auto"/>
      </w:divBdr>
    </w:div>
    <w:div w:id="1356005581">
      <w:marLeft w:val="0"/>
      <w:marRight w:val="0"/>
      <w:marTop w:val="0"/>
      <w:marBottom w:val="0"/>
      <w:divBdr>
        <w:top w:val="none" w:sz="0" w:space="0" w:color="auto"/>
        <w:left w:val="none" w:sz="0" w:space="0" w:color="auto"/>
        <w:bottom w:val="none" w:sz="0" w:space="0" w:color="auto"/>
        <w:right w:val="none" w:sz="0" w:space="0" w:color="auto"/>
      </w:divBdr>
    </w:div>
    <w:div w:id="1356157183">
      <w:marLeft w:val="0"/>
      <w:marRight w:val="0"/>
      <w:marTop w:val="180"/>
      <w:marBottom w:val="180"/>
      <w:divBdr>
        <w:top w:val="none" w:sz="0" w:space="0" w:color="auto"/>
        <w:left w:val="none" w:sz="0" w:space="0" w:color="auto"/>
        <w:bottom w:val="none" w:sz="0" w:space="0" w:color="auto"/>
        <w:right w:val="none" w:sz="0" w:space="0" w:color="auto"/>
      </w:divBdr>
    </w:div>
    <w:div w:id="1356271938">
      <w:marLeft w:val="0"/>
      <w:marRight w:val="0"/>
      <w:marTop w:val="180"/>
      <w:marBottom w:val="180"/>
      <w:divBdr>
        <w:top w:val="none" w:sz="0" w:space="0" w:color="auto"/>
        <w:left w:val="none" w:sz="0" w:space="0" w:color="auto"/>
        <w:bottom w:val="none" w:sz="0" w:space="0" w:color="auto"/>
        <w:right w:val="none" w:sz="0" w:space="0" w:color="auto"/>
      </w:divBdr>
    </w:div>
    <w:div w:id="1357274466">
      <w:marLeft w:val="0"/>
      <w:marRight w:val="0"/>
      <w:marTop w:val="180"/>
      <w:marBottom w:val="180"/>
      <w:divBdr>
        <w:top w:val="none" w:sz="0" w:space="0" w:color="auto"/>
        <w:left w:val="none" w:sz="0" w:space="0" w:color="auto"/>
        <w:bottom w:val="none" w:sz="0" w:space="0" w:color="auto"/>
        <w:right w:val="none" w:sz="0" w:space="0" w:color="auto"/>
      </w:divBdr>
    </w:div>
    <w:div w:id="1357467619">
      <w:marLeft w:val="0"/>
      <w:marRight w:val="0"/>
      <w:marTop w:val="180"/>
      <w:marBottom w:val="180"/>
      <w:divBdr>
        <w:top w:val="none" w:sz="0" w:space="0" w:color="auto"/>
        <w:left w:val="none" w:sz="0" w:space="0" w:color="auto"/>
        <w:bottom w:val="none" w:sz="0" w:space="0" w:color="auto"/>
        <w:right w:val="none" w:sz="0" w:space="0" w:color="auto"/>
      </w:divBdr>
    </w:div>
    <w:div w:id="1358963397">
      <w:marLeft w:val="0"/>
      <w:marRight w:val="0"/>
      <w:marTop w:val="180"/>
      <w:marBottom w:val="60"/>
      <w:divBdr>
        <w:top w:val="none" w:sz="0" w:space="0" w:color="auto"/>
        <w:left w:val="none" w:sz="0" w:space="0" w:color="auto"/>
        <w:bottom w:val="none" w:sz="0" w:space="0" w:color="auto"/>
        <w:right w:val="none" w:sz="0" w:space="0" w:color="auto"/>
      </w:divBdr>
    </w:div>
    <w:div w:id="1359695567">
      <w:marLeft w:val="0"/>
      <w:marRight w:val="0"/>
      <w:marTop w:val="60"/>
      <w:marBottom w:val="60"/>
      <w:divBdr>
        <w:top w:val="none" w:sz="0" w:space="0" w:color="auto"/>
        <w:left w:val="none" w:sz="0" w:space="0" w:color="auto"/>
        <w:bottom w:val="none" w:sz="0" w:space="0" w:color="auto"/>
        <w:right w:val="none" w:sz="0" w:space="0" w:color="auto"/>
      </w:divBdr>
    </w:div>
    <w:div w:id="1362127892">
      <w:marLeft w:val="0"/>
      <w:marRight w:val="0"/>
      <w:marTop w:val="0"/>
      <w:marBottom w:val="0"/>
      <w:divBdr>
        <w:top w:val="none" w:sz="0" w:space="0" w:color="auto"/>
        <w:left w:val="none" w:sz="0" w:space="0" w:color="auto"/>
        <w:bottom w:val="none" w:sz="0" w:space="0" w:color="auto"/>
        <w:right w:val="none" w:sz="0" w:space="0" w:color="auto"/>
      </w:divBdr>
    </w:div>
    <w:div w:id="1362784141">
      <w:marLeft w:val="0"/>
      <w:marRight w:val="0"/>
      <w:marTop w:val="180"/>
      <w:marBottom w:val="60"/>
      <w:divBdr>
        <w:top w:val="none" w:sz="0" w:space="0" w:color="auto"/>
        <w:left w:val="none" w:sz="0" w:space="0" w:color="auto"/>
        <w:bottom w:val="none" w:sz="0" w:space="0" w:color="auto"/>
        <w:right w:val="none" w:sz="0" w:space="0" w:color="auto"/>
      </w:divBdr>
    </w:div>
    <w:div w:id="1363359094">
      <w:marLeft w:val="0"/>
      <w:marRight w:val="0"/>
      <w:marTop w:val="0"/>
      <w:marBottom w:val="0"/>
      <w:divBdr>
        <w:top w:val="none" w:sz="0" w:space="0" w:color="auto"/>
        <w:left w:val="none" w:sz="0" w:space="0" w:color="auto"/>
        <w:bottom w:val="none" w:sz="0" w:space="0" w:color="auto"/>
        <w:right w:val="none" w:sz="0" w:space="0" w:color="auto"/>
      </w:divBdr>
      <w:divsChild>
        <w:div w:id="1423988677">
          <w:marLeft w:val="0"/>
          <w:marRight w:val="0"/>
          <w:marTop w:val="0"/>
          <w:marBottom w:val="0"/>
          <w:divBdr>
            <w:top w:val="none" w:sz="0" w:space="0" w:color="auto"/>
            <w:left w:val="none" w:sz="0" w:space="0" w:color="auto"/>
            <w:bottom w:val="none" w:sz="0" w:space="0" w:color="auto"/>
            <w:right w:val="none" w:sz="0" w:space="0" w:color="auto"/>
          </w:divBdr>
          <w:divsChild>
            <w:div w:id="5462649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63897243">
      <w:marLeft w:val="0"/>
      <w:marRight w:val="0"/>
      <w:marTop w:val="60"/>
      <w:marBottom w:val="60"/>
      <w:divBdr>
        <w:top w:val="none" w:sz="0" w:space="0" w:color="auto"/>
        <w:left w:val="none" w:sz="0" w:space="0" w:color="auto"/>
        <w:bottom w:val="none" w:sz="0" w:space="0" w:color="auto"/>
        <w:right w:val="none" w:sz="0" w:space="0" w:color="auto"/>
      </w:divBdr>
    </w:div>
    <w:div w:id="1365325061">
      <w:marLeft w:val="0"/>
      <w:marRight w:val="0"/>
      <w:marTop w:val="0"/>
      <w:marBottom w:val="0"/>
      <w:divBdr>
        <w:top w:val="none" w:sz="0" w:space="0" w:color="auto"/>
        <w:left w:val="none" w:sz="0" w:space="0" w:color="auto"/>
        <w:bottom w:val="none" w:sz="0" w:space="0" w:color="auto"/>
        <w:right w:val="none" w:sz="0" w:space="0" w:color="auto"/>
      </w:divBdr>
    </w:div>
    <w:div w:id="1366562231">
      <w:marLeft w:val="0"/>
      <w:marRight w:val="0"/>
      <w:marTop w:val="60"/>
      <w:marBottom w:val="60"/>
      <w:divBdr>
        <w:top w:val="none" w:sz="0" w:space="0" w:color="auto"/>
        <w:left w:val="none" w:sz="0" w:space="0" w:color="auto"/>
        <w:bottom w:val="none" w:sz="0" w:space="0" w:color="auto"/>
        <w:right w:val="none" w:sz="0" w:space="0" w:color="auto"/>
      </w:divBdr>
    </w:div>
    <w:div w:id="1367026625">
      <w:marLeft w:val="0"/>
      <w:marRight w:val="0"/>
      <w:marTop w:val="180"/>
      <w:marBottom w:val="180"/>
      <w:divBdr>
        <w:top w:val="none" w:sz="0" w:space="0" w:color="auto"/>
        <w:left w:val="none" w:sz="0" w:space="0" w:color="auto"/>
        <w:bottom w:val="none" w:sz="0" w:space="0" w:color="auto"/>
        <w:right w:val="none" w:sz="0" w:space="0" w:color="auto"/>
      </w:divBdr>
    </w:div>
    <w:div w:id="1367221689">
      <w:marLeft w:val="0"/>
      <w:marRight w:val="0"/>
      <w:marTop w:val="180"/>
      <w:marBottom w:val="180"/>
      <w:divBdr>
        <w:top w:val="none" w:sz="0" w:space="0" w:color="auto"/>
        <w:left w:val="none" w:sz="0" w:space="0" w:color="auto"/>
        <w:bottom w:val="none" w:sz="0" w:space="0" w:color="auto"/>
        <w:right w:val="none" w:sz="0" w:space="0" w:color="auto"/>
      </w:divBdr>
    </w:div>
    <w:div w:id="1367409195">
      <w:marLeft w:val="0"/>
      <w:marRight w:val="0"/>
      <w:marTop w:val="180"/>
      <w:marBottom w:val="180"/>
      <w:divBdr>
        <w:top w:val="none" w:sz="0" w:space="0" w:color="auto"/>
        <w:left w:val="none" w:sz="0" w:space="0" w:color="auto"/>
        <w:bottom w:val="none" w:sz="0" w:space="0" w:color="auto"/>
        <w:right w:val="none" w:sz="0" w:space="0" w:color="auto"/>
      </w:divBdr>
    </w:div>
    <w:div w:id="1368019086">
      <w:marLeft w:val="0"/>
      <w:marRight w:val="0"/>
      <w:marTop w:val="60"/>
      <w:marBottom w:val="60"/>
      <w:divBdr>
        <w:top w:val="none" w:sz="0" w:space="0" w:color="auto"/>
        <w:left w:val="none" w:sz="0" w:space="0" w:color="auto"/>
        <w:bottom w:val="none" w:sz="0" w:space="0" w:color="auto"/>
        <w:right w:val="none" w:sz="0" w:space="0" w:color="auto"/>
      </w:divBdr>
    </w:div>
    <w:div w:id="1371031453">
      <w:marLeft w:val="0"/>
      <w:marRight w:val="0"/>
      <w:marTop w:val="180"/>
      <w:marBottom w:val="180"/>
      <w:divBdr>
        <w:top w:val="none" w:sz="0" w:space="0" w:color="auto"/>
        <w:left w:val="none" w:sz="0" w:space="0" w:color="auto"/>
        <w:bottom w:val="none" w:sz="0" w:space="0" w:color="auto"/>
        <w:right w:val="none" w:sz="0" w:space="0" w:color="auto"/>
      </w:divBdr>
    </w:div>
    <w:div w:id="137114686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7153482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71414638">
      <w:marLeft w:val="0"/>
      <w:marRight w:val="0"/>
      <w:marTop w:val="180"/>
      <w:marBottom w:val="180"/>
      <w:divBdr>
        <w:top w:val="none" w:sz="0" w:space="0" w:color="auto"/>
        <w:left w:val="none" w:sz="0" w:space="0" w:color="auto"/>
        <w:bottom w:val="none" w:sz="0" w:space="0" w:color="auto"/>
        <w:right w:val="none" w:sz="0" w:space="0" w:color="auto"/>
      </w:divBdr>
    </w:div>
    <w:div w:id="1373067873">
      <w:marLeft w:val="0"/>
      <w:marRight w:val="0"/>
      <w:marTop w:val="180"/>
      <w:marBottom w:val="180"/>
      <w:divBdr>
        <w:top w:val="none" w:sz="0" w:space="0" w:color="auto"/>
        <w:left w:val="none" w:sz="0" w:space="0" w:color="auto"/>
        <w:bottom w:val="none" w:sz="0" w:space="0" w:color="auto"/>
        <w:right w:val="none" w:sz="0" w:space="0" w:color="auto"/>
      </w:divBdr>
    </w:div>
    <w:div w:id="1374572803">
      <w:marLeft w:val="0"/>
      <w:marRight w:val="0"/>
      <w:marTop w:val="180"/>
      <w:marBottom w:val="60"/>
      <w:divBdr>
        <w:top w:val="none" w:sz="0" w:space="0" w:color="auto"/>
        <w:left w:val="none" w:sz="0" w:space="0" w:color="auto"/>
        <w:bottom w:val="none" w:sz="0" w:space="0" w:color="auto"/>
        <w:right w:val="none" w:sz="0" w:space="0" w:color="auto"/>
      </w:divBdr>
    </w:div>
    <w:div w:id="1375231176">
      <w:marLeft w:val="0"/>
      <w:marRight w:val="0"/>
      <w:marTop w:val="180"/>
      <w:marBottom w:val="180"/>
      <w:divBdr>
        <w:top w:val="none" w:sz="0" w:space="0" w:color="auto"/>
        <w:left w:val="none" w:sz="0" w:space="0" w:color="auto"/>
        <w:bottom w:val="none" w:sz="0" w:space="0" w:color="auto"/>
        <w:right w:val="none" w:sz="0" w:space="0" w:color="auto"/>
      </w:divBdr>
    </w:div>
    <w:div w:id="1376273085">
      <w:marLeft w:val="0"/>
      <w:marRight w:val="0"/>
      <w:marTop w:val="180"/>
      <w:marBottom w:val="180"/>
      <w:divBdr>
        <w:top w:val="none" w:sz="0" w:space="0" w:color="auto"/>
        <w:left w:val="none" w:sz="0" w:space="0" w:color="auto"/>
        <w:bottom w:val="none" w:sz="0" w:space="0" w:color="auto"/>
        <w:right w:val="none" w:sz="0" w:space="0" w:color="auto"/>
      </w:divBdr>
    </w:div>
    <w:div w:id="1378357421">
      <w:marLeft w:val="0"/>
      <w:marRight w:val="0"/>
      <w:marTop w:val="240"/>
      <w:marBottom w:val="180"/>
      <w:divBdr>
        <w:top w:val="none" w:sz="0" w:space="0" w:color="auto"/>
        <w:left w:val="none" w:sz="0" w:space="0" w:color="auto"/>
        <w:bottom w:val="none" w:sz="0" w:space="0" w:color="auto"/>
        <w:right w:val="none" w:sz="0" w:space="0" w:color="auto"/>
      </w:divBdr>
    </w:div>
    <w:div w:id="1379279776">
      <w:marLeft w:val="0"/>
      <w:marRight w:val="0"/>
      <w:marTop w:val="180"/>
      <w:marBottom w:val="180"/>
      <w:divBdr>
        <w:top w:val="none" w:sz="0" w:space="0" w:color="auto"/>
        <w:left w:val="none" w:sz="0" w:space="0" w:color="auto"/>
        <w:bottom w:val="none" w:sz="0" w:space="0" w:color="auto"/>
        <w:right w:val="none" w:sz="0" w:space="0" w:color="auto"/>
      </w:divBdr>
    </w:div>
    <w:div w:id="1380281231">
      <w:marLeft w:val="0"/>
      <w:marRight w:val="0"/>
      <w:marTop w:val="0"/>
      <w:marBottom w:val="0"/>
      <w:divBdr>
        <w:top w:val="none" w:sz="0" w:space="0" w:color="auto"/>
        <w:left w:val="none" w:sz="0" w:space="0" w:color="auto"/>
        <w:bottom w:val="none" w:sz="0" w:space="0" w:color="auto"/>
        <w:right w:val="none" w:sz="0" w:space="0" w:color="auto"/>
      </w:divBdr>
      <w:divsChild>
        <w:div w:id="607007413">
          <w:marLeft w:val="0"/>
          <w:marRight w:val="0"/>
          <w:marTop w:val="0"/>
          <w:marBottom w:val="0"/>
          <w:divBdr>
            <w:top w:val="none" w:sz="0" w:space="0" w:color="auto"/>
            <w:left w:val="none" w:sz="0" w:space="0" w:color="auto"/>
            <w:bottom w:val="none" w:sz="0" w:space="0" w:color="auto"/>
            <w:right w:val="none" w:sz="0" w:space="0" w:color="auto"/>
          </w:divBdr>
          <w:divsChild>
            <w:div w:id="5476439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0322121">
      <w:marLeft w:val="0"/>
      <w:marRight w:val="0"/>
      <w:marTop w:val="100"/>
      <w:marBottom w:val="100"/>
      <w:divBdr>
        <w:top w:val="none" w:sz="0" w:space="0" w:color="auto"/>
        <w:left w:val="none" w:sz="0" w:space="0" w:color="auto"/>
        <w:bottom w:val="none" w:sz="0" w:space="0" w:color="auto"/>
        <w:right w:val="none" w:sz="0" w:space="0" w:color="auto"/>
      </w:divBdr>
    </w:div>
    <w:div w:id="1381200932">
      <w:marLeft w:val="0"/>
      <w:marRight w:val="0"/>
      <w:marTop w:val="180"/>
      <w:marBottom w:val="180"/>
      <w:divBdr>
        <w:top w:val="none" w:sz="0" w:space="0" w:color="auto"/>
        <w:left w:val="none" w:sz="0" w:space="0" w:color="auto"/>
        <w:bottom w:val="none" w:sz="0" w:space="0" w:color="auto"/>
        <w:right w:val="none" w:sz="0" w:space="0" w:color="auto"/>
      </w:divBdr>
    </w:div>
    <w:div w:id="1381901619">
      <w:marLeft w:val="0"/>
      <w:marRight w:val="0"/>
      <w:marTop w:val="60"/>
      <w:marBottom w:val="60"/>
      <w:divBdr>
        <w:top w:val="none" w:sz="0" w:space="0" w:color="auto"/>
        <w:left w:val="none" w:sz="0" w:space="0" w:color="auto"/>
        <w:bottom w:val="none" w:sz="0" w:space="0" w:color="auto"/>
        <w:right w:val="none" w:sz="0" w:space="0" w:color="auto"/>
      </w:divBdr>
    </w:div>
    <w:div w:id="1383140593">
      <w:marLeft w:val="0"/>
      <w:marRight w:val="0"/>
      <w:marTop w:val="180"/>
      <w:marBottom w:val="180"/>
      <w:divBdr>
        <w:top w:val="none" w:sz="0" w:space="0" w:color="auto"/>
        <w:left w:val="none" w:sz="0" w:space="0" w:color="auto"/>
        <w:bottom w:val="none" w:sz="0" w:space="0" w:color="auto"/>
        <w:right w:val="none" w:sz="0" w:space="0" w:color="auto"/>
      </w:divBdr>
    </w:div>
    <w:div w:id="1384333970">
      <w:marLeft w:val="0"/>
      <w:marRight w:val="0"/>
      <w:marTop w:val="180"/>
      <w:marBottom w:val="180"/>
      <w:divBdr>
        <w:top w:val="none" w:sz="0" w:space="0" w:color="auto"/>
        <w:left w:val="none" w:sz="0" w:space="0" w:color="auto"/>
        <w:bottom w:val="none" w:sz="0" w:space="0" w:color="auto"/>
        <w:right w:val="none" w:sz="0" w:space="0" w:color="auto"/>
      </w:divBdr>
    </w:div>
    <w:div w:id="1385565306">
      <w:marLeft w:val="0"/>
      <w:marRight w:val="0"/>
      <w:marTop w:val="0"/>
      <w:marBottom w:val="0"/>
      <w:divBdr>
        <w:top w:val="none" w:sz="0" w:space="0" w:color="auto"/>
        <w:left w:val="none" w:sz="0" w:space="0" w:color="auto"/>
        <w:bottom w:val="none" w:sz="0" w:space="0" w:color="auto"/>
        <w:right w:val="none" w:sz="0" w:space="0" w:color="auto"/>
      </w:divBdr>
      <w:divsChild>
        <w:div w:id="1162699541">
          <w:marLeft w:val="0"/>
          <w:marRight w:val="0"/>
          <w:marTop w:val="180"/>
          <w:marBottom w:val="180"/>
          <w:divBdr>
            <w:top w:val="none" w:sz="0" w:space="0" w:color="auto"/>
            <w:left w:val="none" w:sz="0" w:space="0" w:color="auto"/>
            <w:bottom w:val="none" w:sz="0" w:space="0" w:color="auto"/>
            <w:right w:val="none" w:sz="0" w:space="0" w:color="auto"/>
          </w:divBdr>
        </w:div>
      </w:divsChild>
    </w:div>
    <w:div w:id="1386180581">
      <w:marLeft w:val="0"/>
      <w:marRight w:val="0"/>
      <w:marTop w:val="180"/>
      <w:marBottom w:val="180"/>
      <w:divBdr>
        <w:top w:val="none" w:sz="0" w:space="0" w:color="auto"/>
        <w:left w:val="none" w:sz="0" w:space="0" w:color="auto"/>
        <w:bottom w:val="none" w:sz="0" w:space="0" w:color="auto"/>
        <w:right w:val="none" w:sz="0" w:space="0" w:color="auto"/>
      </w:divBdr>
    </w:div>
    <w:div w:id="1389762861">
      <w:marLeft w:val="0"/>
      <w:marRight w:val="0"/>
      <w:marTop w:val="0"/>
      <w:marBottom w:val="0"/>
      <w:divBdr>
        <w:top w:val="none" w:sz="0" w:space="0" w:color="auto"/>
        <w:left w:val="none" w:sz="0" w:space="0" w:color="auto"/>
        <w:bottom w:val="none" w:sz="0" w:space="0" w:color="auto"/>
        <w:right w:val="none" w:sz="0" w:space="0" w:color="auto"/>
      </w:divBdr>
      <w:divsChild>
        <w:div w:id="1561135677">
          <w:marLeft w:val="0"/>
          <w:marRight w:val="0"/>
          <w:marTop w:val="180"/>
          <w:marBottom w:val="180"/>
          <w:divBdr>
            <w:top w:val="none" w:sz="0" w:space="0" w:color="auto"/>
            <w:left w:val="none" w:sz="0" w:space="0" w:color="auto"/>
            <w:bottom w:val="none" w:sz="0" w:space="0" w:color="auto"/>
            <w:right w:val="none" w:sz="0" w:space="0" w:color="auto"/>
          </w:divBdr>
        </w:div>
      </w:divsChild>
    </w:div>
    <w:div w:id="1390762119">
      <w:marLeft w:val="0"/>
      <w:marRight w:val="0"/>
      <w:marTop w:val="180"/>
      <w:marBottom w:val="180"/>
      <w:divBdr>
        <w:top w:val="none" w:sz="0" w:space="0" w:color="auto"/>
        <w:left w:val="none" w:sz="0" w:space="0" w:color="auto"/>
        <w:bottom w:val="none" w:sz="0" w:space="0" w:color="auto"/>
        <w:right w:val="none" w:sz="0" w:space="0" w:color="auto"/>
      </w:divBdr>
    </w:div>
    <w:div w:id="1391033595">
      <w:marLeft w:val="0"/>
      <w:marRight w:val="0"/>
      <w:marTop w:val="180"/>
      <w:marBottom w:val="180"/>
      <w:divBdr>
        <w:top w:val="none" w:sz="0" w:space="0" w:color="auto"/>
        <w:left w:val="none" w:sz="0" w:space="0" w:color="auto"/>
        <w:bottom w:val="none" w:sz="0" w:space="0" w:color="auto"/>
        <w:right w:val="none" w:sz="0" w:space="0" w:color="auto"/>
      </w:divBdr>
    </w:div>
    <w:div w:id="1391730802">
      <w:marLeft w:val="0"/>
      <w:marRight w:val="0"/>
      <w:marTop w:val="180"/>
      <w:marBottom w:val="180"/>
      <w:divBdr>
        <w:top w:val="none" w:sz="0" w:space="0" w:color="auto"/>
        <w:left w:val="none" w:sz="0" w:space="0" w:color="auto"/>
        <w:bottom w:val="none" w:sz="0" w:space="0" w:color="auto"/>
        <w:right w:val="none" w:sz="0" w:space="0" w:color="auto"/>
      </w:divBdr>
    </w:div>
    <w:div w:id="1394036889">
      <w:marLeft w:val="0"/>
      <w:marRight w:val="0"/>
      <w:marTop w:val="180"/>
      <w:marBottom w:val="180"/>
      <w:divBdr>
        <w:top w:val="none" w:sz="0" w:space="0" w:color="auto"/>
        <w:left w:val="none" w:sz="0" w:space="0" w:color="auto"/>
        <w:bottom w:val="none" w:sz="0" w:space="0" w:color="auto"/>
        <w:right w:val="none" w:sz="0" w:space="0" w:color="auto"/>
      </w:divBdr>
    </w:div>
    <w:div w:id="1394041283">
      <w:marLeft w:val="0"/>
      <w:marRight w:val="0"/>
      <w:marTop w:val="0"/>
      <w:marBottom w:val="15"/>
      <w:divBdr>
        <w:top w:val="none" w:sz="0" w:space="0" w:color="auto"/>
        <w:left w:val="none" w:sz="0" w:space="0" w:color="auto"/>
        <w:bottom w:val="none" w:sz="0" w:space="0" w:color="auto"/>
        <w:right w:val="none" w:sz="0" w:space="0" w:color="auto"/>
      </w:divBdr>
    </w:div>
    <w:div w:id="1394428013">
      <w:marLeft w:val="0"/>
      <w:marRight w:val="0"/>
      <w:marTop w:val="180"/>
      <w:marBottom w:val="180"/>
      <w:divBdr>
        <w:top w:val="none" w:sz="0" w:space="0" w:color="auto"/>
        <w:left w:val="none" w:sz="0" w:space="0" w:color="auto"/>
        <w:bottom w:val="none" w:sz="0" w:space="0" w:color="auto"/>
        <w:right w:val="none" w:sz="0" w:space="0" w:color="auto"/>
      </w:divBdr>
    </w:div>
    <w:div w:id="1394695506">
      <w:marLeft w:val="0"/>
      <w:marRight w:val="0"/>
      <w:marTop w:val="60"/>
      <w:marBottom w:val="60"/>
      <w:divBdr>
        <w:top w:val="none" w:sz="0" w:space="0" w:color="auto"/>
        <w:left w:val="none" w:sz="0" w:space="0" w:color="auto"/>
        <w:bottom w:val="none" w:sz="0" w:space="0" w:color="auto"/>
        <w:right w:val="none" w:sz="0" w:space="0" w:color="auto"/>
      </w:divBdr>
    </w:div>
    <w:div w:id="1394700359">
      <w:marLeft w:val="0"/>
      <w:marRight w:val="0"/>
      <w:marTop w:val="180"/>
      <w:marBottom w:val="180"/>
      <w:divBdr>
        <w:top w:val="none" w:sz="0" w:space="0" w:color="auto"/>
        <w:left w:val="none" w:sz="0" w:space="0" w:color="auto"/>
        <w:bottom w:val="none" w:sz="0" w:space="0" w:color="auto"/>
        <w:right w:val="none" w:sz="0" w:space="0" w:color="auto"/>
      </w:divBdr>
    </w:div>
    <w:div w:id="1394964049">
      <w:marLeft w:val="0"/>
      <w:marRight w:val="0"/>
      <w:marTop w:val="60"/>
      <w:marBottom w:val="60"/>
      <w:divBdr>
        <w:top w:val="none" w:sz="0" w:space="0" w:color="auto"/>
        <w:left w:val="none" w:sz="0" w:space="0" w:color="auto"/>
        <w:bottom w:val="none" w:sz="0" w:space="0" w:color="auto"/>
        <w:right w:val="none" w:sz="0" w:space="0" w:color="auto"/>
      </w:divBdr>
    </w:div>
    <w:div w:id="1395279587">
      <w:marLeft w:val="0"/>
      <w:marRight w:val="0"/>
      <w:marTop w:val="180"/>
      <w:marBottom w:val="180"/>
      <w:divBdr>
        <w:top w:val="none" w:sz="0" w:space="0" w:color="auto"/>
        <w:left w:val="none" w:sz="0" w:space="0" w:color="auto"/>
        <w:bottom w:val="none" w:sz="0" w:space="0" w:color="auto"/>
        <w:right w:val="none" w:sz="0" w:space="0" w:color="auto"/>
      </w:divBdr>
    </w:div>
    <w:div w:id="1397817720">
      <w:marLeft w:val="0"/>
      <w:marRight w:val="0"/>
      <w:marTop w:val="180"/>
      <w:marBottom w:val="180"/>
      <w:divBdr>
        <w:top w:val="none" w:sz="0" w:space="0" w:color="auto"/>
        <w:left w:val="none" w:sz="0" w:space="0" w:color="auto"/>
        <w:bottom w:val="none" w:sz="0" w:space="0" w:color="auto"/>
        <w:right w:val="none" w:sz="0" w:space="0" w:color="auto"/>
      </w:divBdr>
    </w:div>
    <w:div w:id="1398435982">
      <w:marLeft w:val="0"/>
      <w:marRight w:val="0"/>
      <w:marTop w:val="0"/>
      <w:marBottom w:val="0"/>
      <w:divBdr>
        <w:top w:val="none" w:sz="0" w:space="0" w:color="auto"/>
        <w:left w:val="none" w:sz="0" w:space="0" w:color="auto"/>
        <w:bottom w:val="none" w:sz="0" w:space="0" w:color="auto"/>
        <w:right w:val="none" w:sz="0" w:space="0" w:color="auto"/>
      </w:divBdr>
    </w:div>
    <w:div w:id="1398550998">
      <w:marLeft w:val="0"/>
      <w:marRight w:val="0"/>
      <w:marTop w:val="180"/>
      <w:marBottom w:val="0"/>
      <w:divBdr>
        <w:top w:val="none" w:sz="0" w:space="0" w:color="auto"/>
        <w:left w:val="none" w:sz="0" w:space="0" w:color="auto"/>
        <w:bottom w:val="none" w:sz="0" w:space="0" w:color="auto"/>
        <w:right w:val="none" w:sz="0" w:space="0" w:color="auto"/>
      </w:divBdr>
    </w:div>
    <w:div w:id="1398701335">
      <w:marLeft w:val="0"/>
      <w:marRight w:val="0"/>
      <w:marTop w:val="180"/>
      <w:marBottom w:val="180"/>
      <w:divBdr>
        <w:top w:val="none" w:sz="0" w:space="0" w:color="auto"/>
        <w:left w:val="none" w:sz="0" w:space="0" w:color="auto"/>
        <w:bottom w:val="none" w:sz="0" w:space="0" w:color="auto"/>
        <w:right w:val="none" w:sz="0" w:space="0" w:color="auto"/>
      </w:divBdr>
    </w:div>
    <w:div w:id="1398749773">
      <w:marLeft w:val="0"/>
      <w:marRight w:val="0"/>
      <w:marTop w:val="60"/>
      <w:marBottom w:val="60"/>
      <w:divBdr>
        <w:top w:val="none" w:sz="0" w:space="0" w:color="auto"/>
        <w:left w:val="none" w:sz="0" w:space="0" w:color="auto"/>
        <w:bottom w:val="none" w:sz="0" w:space="0" w:color="auto"/>
        <w:right w:val="none" w:sz="0" w:space="0" w:color="auto"/>
      </w:divBdr>
    </w:div>
    <w:div w:id="1399087579">
      <w:marLeft w:val="0"/>
      <w:marRight w:val="0"/>
      <w:marTop w:val="180"/>
      <w:marBottom w:val="180"/>
      <w:divBdr>
        <w:top w:val="none" w:sz="0" w:space="0" w:color="auto"/>
        <w:left w:val="none" w:sz="0" w:space="0" w:color="auto"/>
        <w:bottom w:val="none" w:sz="0" w:space="0" w:color="auto"/>
        <w:right w:val="none" w:sz="0" w:space="0" w:color="auto"/>
      </w:divBdr>
    </w:div>
    <w:div w:id="1399090836">
      <w:marLeft w:val="0"/>
      <w:marRight w:val="0"/>
      <w:marTop w:val="180"/>
      <w:marBottom w:val="180"/>
      <w:divBdr>
        <w:top w:val="none" w:sz="0" w:space="0" w:color="auto"/>
        <w:left w:val="none" w:sz="0" w:space="0" w:color="auto"/>
        <w:bottom w:val="none" w:sz="0" w:space="0" w:color="auto"/>
        <w:right w:val="none" w:sz="0" w:space="0" w:color="auto"/>
      </w:divBdr>
    </w:div>
    <w:div w:id="1400245562">
      <w:marLeft w:val="0"/>
      <w:marRight w:val="0"/>
      <w:marTop w:val="180"/>
      <w:marBottom w:val="180"/>
      <w:divBdr>
        <w:top w:val="none" w:sz="0" w:space="0" w:color="auto"/>
        <w:left w:val="none" w:sz="0" w:space="0" w:color="auto"/>
        <w:bottom w:val="none" w:sz="0" w:space="0" w:color="auto"/>
        <w:right w:val="none" w:sz="0" w:space="0" w:color="auto"/>
      </w:divBdr>
    </w:div>
    <w:div w:id="1400640740">
      <w:marLeft w:val="0"/>
      <w:marRight w:val="0"/>
      <w:marTop w:val="180"/>
      <w:marBottom w:val="180"/>
      <w:divBdr>
        <w:top w:val="none" w:sz="0" w:space="0" w:color="auto"/>
        <w:left w:val="none" w:sz="0" w:space="0" w:color="auto"/>
        <w:bottom w:val="none" w:sz="0" w:space="0" w:color="auto"/>
        <w:right w:val="none" w:sz="0" w:space="0" w:color="auto"/>
      </w:divBdr>
    </w:div>
    <w:div w:id="1400711739">
      <w:marLeft w:val="0"/>
      <w:marRight w:val="0"/>
      <w:marTop w:val="180"/>
      <w:marBottom w:val="180"/>
      <w:divBdr>
        <w:top w:val="none" w:sz="0" w:space="0" w:color="auto"/>
        <w:left w:val="none" w:sz="0" w:space="0" w:color="auto"/>
        <w:bottom w:val="none" w:sz="0" w:space="0" w:color="auto"/>
        <w:right w:val="none" w:sz="0" w:space="0" w:color="auto"/>
      </w:divBdr>
    </w:div>
    <w:div w:id="1401369611">
      <w:marLeft w:val="0"/>
      <w:marRight w:val="0"/>
      <w:marTop w:val="180"/>
      <w:marBottom w:val="180"/>
      <w:divBdr>
        <w:top w:val="none" w:sz="0" w:space="0" w:color="auto"/>
        <w:left w:val="none" w:sz="0" w:space="0" w:color="auto"/>
        <w:bottom w:val="none" w:sz="0" w:space="0" w:color="auto"/>
        <w:right w:val="none" w:sz="0" w:space="0" w:color="auto"/>
      </w:divBdr>
    </w:div>
    <w:div w:id="1402099150">
      <w:marLeft w:val="0"/>
      <w:marRight w:val="0"/>
      <w:marTop w:val="0"/>
      <w:marBottom w:val="0"/>
      <w:divBdr>
        <w:top w:val="none" w:sz="0" w:space="0" w:color="auto"/>
        <w:left w:val="none" w:sz="0" w:space="0" w:color="auto"/>
        <w:bottom w:val="none" w:sz="0" w:space="0" w:color="auto"/>
        <w:right w:val="none" w:sz="0" w:space="0" w:color="auto"/>
      </w:divBdr>
      <w:divsChild>
        <w:div w:id="1222867899">
          <w:marLeft w:val="0"/>
          <w:marRight w:val="0"/>
          <w:marTop w:val="0"/>
          <w:marBottom w:val="0"/>
          <w:divBdr>
            <w:top w:val="none" w:sz="0" w:space="0" w:color="auto"/>
            <w:left w:val="none" w:sz="0" w:space="0" w:color="auto"/>
            <w:bottom w:val="none" w:sz="0" w:space="0" w:color="auto"/>
            <w:right w:val="none" w:sz="0" w:space="0" w:color="auto"/>
          </w:divBdr>
          <w:divsChild>
            <w:div w:id="10689633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04912388">
      <w:marLeft w:val="0"/>
      <w:marRight w:val="0"/>
      <w:marTop w:val="180"/>
      <w:marBottom w:val="60"/>
      <w:divBdr>
        <w:top w:val="none" w:sz="0" w:space="0" w:color="auto"/>
        <w:left w:val="none" w:sz="0" w:space="0" w:color="auto"/>
        <w:bottom w:val="none" w:sz="0" w:space="0" w:color="auto"/>
        <w:right w:val="none" w:sz="0" w:space="0" w:color="auto"/>
      </w:divBdr>
    </w:div>
    <w:div w:id="1405419667">
      <w:marLeft w:val="0"/>
      <w:marRight w:val="0"/>
      <w:marTop w:val="180"/>
      <w:marBottom w:val="60"/>
      <w:divBdr>
        <w:top w:val="none" w:sz="0" w:space="0" w:color="auto"/>
        <w:left w:val="none" w:sz="0" w:space="0" w:color="auto"/>
        <w:bottom w:val="none" w:sz="0" w:space="0" w:color="auto"/>
        <w:right w:val="none" w:sz="0" w:space="0" w:color="auto"/>
      </w:divBdr>
    </w:div>
    <w:div w:id="1405565724">
      <w:marLeft w:val="0"/>
      <w:marRight w:val="0"/>
      <w:marTop w:val="60"/>
      <w:marBottom w:val="100"/>
      <w:divBdr>
        <w:top w:val="none" w:sz="0" w:space="0" w:color="auto"/>
        <w:left w:val="none" w:sz="0" w:space="0" w:color="auto"/>
        <w:bottom w:val="none" w:sz="0" w:space="0" w:color="auto"/>
        <w:right w:val="none" w:sz="0" w:space="0" w:color="auto"/>
      </w:divBdr>
    </w:div>
    <w:div w:id="1406075181">
      <w:marLeft w:val="0"/>
      <w:marRight w:val="0"/>
      <w:marTop w:val="60"/>
      <w:marBottom w:val="60"/>
      <w:divBdr>
        <w:top w:val="none" w:sz="0" w:space="0" w:color="auto"/>
        <w:left w:val="none" w:sz="0" w:space="0" w:color="auto"/>
        <w:bottom w:val="none" w:sz="0" w:space="0" w:color="auto"/>
        <w:right w:val="none" w:sz="0" w:space="0" w:color="auto"/>
      </w:divBdr>
    </w:div>
    <w:div w:id="1406489470">
      <w:marLeft w:val="0"/>
      <w:marRight w:val="0"/>
      <w:marTop w:val="0"/>
      <w:marBottom w:val="0"/>
      <w:divBdr>
        <w:top w:val="none" w:sz="0" w:space="0" w:color="auto"/>
        <w:left w:val="none" w:sz="0" w:space="0" w:color="auto"/>
        <w:bottom w:val="none" w:sz="0" w:space="0" w:color="auto"/>
        <w:right w:val="none" w:sz="0" w:space="0" w:color="auto"/>
      </w:divBdr>
    </w:div>
    <w:div w:id="1407655479">
      <w:marLeft w:val="0"/>
      <w:marRight w:val="0"/>
      <w:marTop w:val="180"/>
      <w:marBottom w:val="180"/>
      <w:divBdr>
        <w:top w:val="none" w:sz="0" w:space="0" w:color="auto"/>
        <w:left w:val="none" w:sz="0" w:space="0" w:color="auto"/>
        <w:bottom w:val="none" w:sz="0" w:space="0" w:color="auto"/>
        <w:right w:val="none" w:sz="0" w:space="0" w:color="auto"/>
      </w:divBdr>
    </w:div>
    <w:div w:id="1408722212">
      <w:marLeft w:val="0"/>
      <w:marRight w:val="0"/>
      <w:marTop w:val="180"/>
      <w:marBottom w:val="60"/>
      <w:divBdr>
        <w:top w:val="none" w:sz="0" w:space="0" w:color="auto"/>
        <w:left w:val="none" w:sz="0" w:space="0" w:color="auto"/>
        <w:bottom w:val="none" w:sz="0" w:space="0" w:color="auto"/>
        <w:right w:val="none" w:sz="0" w:space="0" w:color="auto"/>
      </w:divBdr>
    </w:div>
    <w:div w:id="1409810579">
      <w:marLeft w:val="0"/>
      <w:marRight w:val="0"/>
      <w:marTop w:val="180"/>
      <w:marBottom w:val="180"/>
      <w:divBdr>
        <w:top w:val="none" w:sz="0" w:space="0" w:color="auto"/>
        <w:left w:val="none" w:sz="0" w:space="0" w:color="auto"/>
        <w:bottom w:val="none" w:sz="0" w:space="0" w:color="auto"/>
        <w:right w:val="none" w:sz="0" w:space="0" w:color="auto"/>
      </w:divBdr>
    </w:div>
    <w:div w:id="1409812187">
      <w:marLeft w:val="0"/>
      <w:marRight w:val="0"/>
      <w:marTop w:val="0"/>
      <w:marBottom w:val="0"/>
      <w:divBdr>
        <w:top w:val="none" w:sz="0" w:space="0" w:color="auto"/>
        <w:left w:val="none" w:sz="0" w:space="0" w:color="auto"/>
        <w:bottom w:val="none" w:sz="0" w:space="0" w:color="auto"/>
        <w:right w:val="none" w:sz="0" w:space="0" w:color="auto"/>
      </w:divBdr>
      <w:divsChild>
        <w:div w:id="1103500361">
          <w:marLeft w:val="0"/>
          <w:marRight w:val="0"/>
          <w:marTop w:val="0"/>
          <w:marBottom w:val="0"/>
          <w:divBdr>
            <w:top w:val="none" w:sz="0" w:space="0" w:color="auto"/>
            <w:left w:val="none" w:sz="0" w:space="0" w:color="auto"/>
            <w:bottom w:val="none" w:sz="0" w:space="0" w:color="auto"/>
            <w:right w:val="none" w:sz="0" w:space="0" w:color="auto"/>
          </w:divBdr>
          <w:divsChild>
            <w:div w:id="13155235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2578396">
      <w:marLeft w:val="0"/>
      <w:marRight w:val="0"/>
      <w:marTop w:val="180"/>
      <w:marBottom w:val="180"/>
      <w:divBdr>
        <w:top w:val="none" w:sz="0" w:space="0" w:color="auto"/>
        <w:left w:val="none" w:sz="0" w:space="0" w:color="auto"/>
        <w:bottom w:val="none" w:sz="0" w:space="0" w:color="auto"/>
        <w:right w:val="none" w:sz="0" w:space="0" w:color="auto"/>
      </w:divBdr>
    </w:div>
    <w:div w:id="1412967830">
      <w:marLeft w:val="0"/>
      <w:marRight w:val="0"/>
      <w:marTop w:val="180"/>
      <w:marBottom w:val="180"/>
      <w:divBdr>
        <w:top w:val="none" w:sz="0" w:space="0" w:color="auto"/>
        <w:left w:val="none" w:sz="0" w:space="0" w:color="auto"/>
        <w:bottom w:val="none" w:sz="0" w:space="0" w:color="auto"/>
        <w:right w:val="none" w:sz="0" w:space="0" w:color="auto"/>
      </w:divBdr>
    </w:div>
    <w:div w:id="1413355239">
      <w:marLeft w:val="0"/>
      <w:marRight w:val="0"/>
      <w:marTop w:val="180"/>
      <w:marBottom w:val="180"/>
      <w:divBdr>
        <w:top w:val="none" w:sz="0" w:space="0" w:color="auto"/>
        <w:left w:val="none" w:sz="0" w:space="0" w:color="auto"/>
        <w:bottom w:val="none" w:sz="0" w:space="0" w:color="auto"/>
        <w:right w:val="none" w:sz="0" w:space="0" w:color="auto"/>
      </w:divBdr>
    </w:div>
    <w:div w:id="1413742645">
      <w:marLeft w:val="0"/>
      <w:marRight w:val="0"/>
      <w:marTop w:val="180"/>
      <w:marBottom w:val="180"/>
      <w:divBdr>
        <w:top w:val="none" w:sz="0" w:space="0" w:color="auto"/>
        <w:left w:val="none" w:sz="0" w:space="0" w:color="auto"/>
        <w:bottom w:val="none" w:sz="0" w:space="0" w:color="auto"/>
        <w:right w:val="none" w:sz="0" w:space="0" w:color="auto"/>
      </w:divBdr>
    </w:div>
    <w:div w:id="1414666045">
      <w:marLeft w:val="0"/>
      <w:marRight w:val="0"/>
      <w:marTop w:val="60"/>
      <w:marBottom w:val="60"/>
      <w:divBdr>
        <w:top w:val="none" w:sz="0" w:space="0" w:color="auto"/>
        <w:left w:val="none" w:sz="0" w:space="0" w:color="auto"/>
        <w:bottom w:val="none" w:sz="0" w:space="0" w:color="auto"/>
        <w:right w:val="none" w:sz="0" w:space="0" w:color="auto"/>
      </w:divBdr>
    </w:div>
    <w:div w:id="1415006261">
      <w:marLeft w:val="0"/>
      <w:marRight w:val="0"/>
      <w:marTop w:val="180"/>
      <w:marBottom w:val="180"/>
      <w:divBdr>
        <w:top w:val="none" w:sz="0" w:space="0" w:color="auto"/>
        <w:left w:val="none" w:sz="0" w:space="0" w:color="auto"/>
        <w:bottom w:val="none" w:sz="0" w:space="0" w:color="auto"/>
        <w:right w:val="none" w:sz="0" w:space="0" w:color="auto"/>
      </w:divBdr>
    </w:div>
    <w:div w:id="1416442894">
      <w:marLeft w:val="0"/>
      <w:marRight w:val="0"/>
      <w:marTop w:val="0"/>
      <w:marBottom w:val="0"/>
      <w:divBdr>
        <w:top w:val="none" w:sz="0" w:space="0" w:color="auto"/>
        <w:left w:val="none" w:sz="0" w:space="0" w:color="auto"/>
        <w:bottom w:val="none" w:sz="0" w:space="0" w:color="auto"/>
        <w:right w:val="none" w:sz="0" w:space="0" w:color="auto"/>
      </w:divBdr>
      <w:divsChild>
        <w:div w:id="1560362130">
          <w:marLeft w:val="0"/>
          <w:marRight w:val="0"/>
          <w:marTop w:val="0"/>
          <w:marBottom w:val="0"/>
          <w:divBdr>
            <w:top w:val="none" w:sz="0" w:space="0" w:color="auto"/>
            <w:left w:val="none" w:sz="0" w:space="0" w:color="auto"/>
            <w:bottom w:val="none" w:sz="0" w:space="0" w:color="auto"/>
            <w:right w:val="none" w:sz="0" w:space="0" w:color="auto"/>
          </w:divBdr>
          <w:divsChild>
            <w:div w:id="21046407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6852815">
      <w:marLeft w:val="0"/>
      <w:marRight w:val="0"/>
      <w:marTop w:val="180"/>
      <w:marBottom w:val="180"/>
      <w:divBdr>
        <w:top w:val="none" w:sz="0" w:space="0" w:color="auto"/>
        <w:left w:val="none" w:sz="0" w:space="0" w:color="auto"/>
        <w:bottom w:val="none" w:sz="0" w:space="0" w:color="auto"/>
        <w:right w:val="none" w:sz="0" w:space="0" w:color="auto"/>
      </w:divBdr>
    </w:div>
    <w:div w:id="1418207640">
      <w:marLeft w:val="0"/>
      <w:marRight w:val="0"/>
      <w:marTop w:val="180"/>
      <w:marBottom w:val="180"/>
      <w:divBdr>
        <w:top w:val="none" w:sz="0" w:space="0" w:color="auto"/>
        <w:left w:val="none" w:sz="0" w:space="0" w:color="auto"/>
        <w:bottom w:val="none" w:sz="0" w:space="0" w:color="auto"/>
        <w:right w:val="none" w:sz="0" w:space="0" w:color="auto"/>
      </w:divBdr>
    </w:div>
    <w:div w:id="1418209833">
      <w:marLeft w:val="0"/>
      <w:marRight w:val="0"/>
      <w:marTop w:val="180"/>
      <w:marBottom w:val="180"/>
      <w:divBdr>
        <w:top w:val="none" w:sz="0" w:space="0" w:color="auto"/>
        <w:left w:val="none" w:sz="0" w:space="0" w:color="auto"/>
        <w:bottom w:val="none" w:sz="0" w:space="0" w:color="auto"/>
        <w:right w:val="none" w:sz="0" w:space="0" w:color="auto"/>
      </w:divBdr>
    </w:div>
    <w:div w:id="1418285416">
      <w:marLeft w:val="0"/>
      <w:marRight w:val="0"/>
      <w:marTop w:val="0"/>
      <w:marBottom w:val="0"/>
      <w:divBdr>
        <w:top w:val="none" w:sz="0" w:space="0" w:color="auto"/>
        <w:left w:val="none" w:sz="0" w:space="0" w:color="auto"/>
        <w:bottom w:val="none" w:sz="0" w:space="0" w:color="auto"/>
        <w:right w:val="none" w:sz="0" w:space="0" w:color="auto"/>
      </w:divBdr>
      <w:divsChild>
        <w:div w:id="1738164241">
          <w:marLeft w:val="0"/>
          <w:marRight w:val="0"/>
          <w:marTop w:val="0"/>
          <w:marBottom w:val="0"/>
          <w:divBdr>
            <w:top w:val="none" w:sz="0" w:space="0" w:color="auto"/>
            <w:left w:val="none" w:sz="0" w:space="0" w:color="auto"/>
            <w:bottom w:val="none" w:sz="0" w:space="0" w:color="auto"/>
            <w:right w:val="none" w:sz="0" w:space="0" w:color="auto"/>
          </w:divBdr>
          <w:divsChild>
            <w:div w:id="18763844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18288644">
      <w:marLeft w:val="0"/>
      <w:marRight w:val="0"/>
      <w:marTop w:val="180"/>
      <w:marBottom w:val="180"/>
      <w:divBdr>
        <w:top w:val="none" w:sz="0" w:space="0" w:color="auto"/>
        <w:left w:val="none" w:sz="0" w:space="0" w:color="auto"/>
        <w:bottom w:val="none" w:sz="0" w:space="0" w:color="auto"/>
        <w:right w:val="none" w:sz="0" w:space="0" w:color="auto"/>
      </w:divBdr>
    </w:div>
    <w:div w:id="1419400417">
      <w:marLeft w:val="0"/>
      <w:marRight w:val="0"/>
      <w:marTop w:val="180"/>
      <w:marBottom w:val="180"/>
      <w:divBdr>
        <w:top w:val="none" w:sz="0" w:space="0" w:color="auto"/>
        <w:left w:val="none" w:sz="0" w:space="0" w:color="auto"/>
        <w:bottom w:val="none" w:sz="0" w:space="0" w:color="auto"/>
        <w:right w:val="none" w:sz="0" w:space="0" w:color="auto"/>
      </w:divBdr>
    </w:div>
    <w:div w:id="1420521979">
      <w:marLeft w:val="0"/>
      <w:marRight w:val="0"/>
      <w:marTop w:val="0"/>
      <w:marBottom w:val="0"/>
      <w:divBdr>
        <w:top w:val="none" w:sz="0" w:space="0" w:color="auto"/>
        <w:left w:val="none" w:sz="0" w:space="0" w:color="auto"/>
        <w:bottom w:val="none" w:sz="0" w:space="0" w:color="auto"/>
        <w:right w:val="none" w:sz="0" w:space="0" w:color="auto"/>
      </w:divBdr>
      <w:divsChild>
        <w:div w:id="215624122">
          <w:marLeft w:val="0"/>
          <w:marRight w:val="0"/>
          <w:marTop w:val="60"/>
          <w:marBottom w:val="60"/>
          <w:divBdr>
            <w:top w:val="none" w:sz="0" w:space="0" w:color="auto"/>
            <w:left w:val="none" w:sz="0" w:space="0" w:color="auto"/>
            <w:bottom w:val="none" w:sz="0" w:space="0" w:color="auto"/>
            <w:right w:val="none" w:sz="0" w:space="0" w:color="auto"/>
          </w:divBdr>
        </w:div>
      </w:divsChild>
    </w:div>
    <w:div w:id="1421214721">
      <w:marLeft w:val="0"/>
      <w:marRight w:val="0"/>
      <w:marTop w:val="60"/>
      <w:marBottom w:val="60"/>
      <w:divBdr>
        <w:top w:val="none" w:sz="0" w:space="0" w:color="auto"/>
        <w:left w:val="none" w:sz="0" w:space="0" w:color="auto"/>
        <w:bottom w:val="none" w:sz="0" w:space="0" w:color="auto"/>
        <w:right w:val="none" w:sz="0" w:space="0" w:color="auto"/>
      </w:divBdr>
    </w:div>
    <w:div w:id="1422680455">
      <w:marLeft w:val="0"/>
      <w:marRight w:val="0"/>
      <w:marTop w:val="0"/>
      <w:marBottom w:val="0"/>
      <w:divBdr>
        <w:top w:val="none" w:sz="0" w:space="0" w:color="auto"/>
        <w:left w:val="none" w:sz="0" w:space="0" w:color="auto"/>
        <w:bottom w:val="none" w:sz="0" w:space="0" w:color="auto"/>
        <w:right w:val="none" w:sz="0" w:space="0" w:color="auto"/>
      </w:divBdr>
      <w:divsChild>
        <w:div w:id="966199285">
          <w:marLeft w:val="0"/>
          <w:marRight w:val="0"/>
          <w:marTop w:val="60"/>
          <w:marBottom w:val="60"/>
          <w:divBdr>
            <w:top w:val="none" w:sz="0" w:space="0" w:color="auto"/>
            <w:left w:val="none" w:sz="0" w:space="0" w:color="auto"/>
            <w:bottom w:val="none" w:sz="0" w:space="0" w:color="auto"/>
            <w:right w:val="none" w:sz="0" w:space="0" w:color="auto"/>
          </w:divBdr>
        </w:div>
      </w:divsChild>
    </w:div>
    <w:div w:id="1423722619">
      <w:marLeft w:val="0"/>
      <w:marRight w:val="0"/>
      <w:marTop w:val="180"/>
      <w:marBottom w:val="180"/>
      <w:divBdr>
        <w:top w:val="none" w:sz="0" w:space="0" w:color="auto"/>
        <w:left w:val="none" w:sz="0" w:space="0" w:color="auto"/>
        <w:bottom w:val="none" w:sz="0" w:space="0" w:color="auto"/>
        <w:right w:val="none" w:sz="0" w:space="0" w:color="auto"/>
      </w:divBdr>
    </w:div>
    <w:div w:id="1424260603">
      <w:marLeft w:val="0"/>
      <w:marRight w:val="0"/>
      <w:marTop w:val="180"/>
      <w:marBottom w:val="180"/>
      <w:divBdr>
        <w:top w:val="none" w:sz="0" w:space="0" w:color="auto"/>
        <w:left w:val="none" w:sz="0" w:space="0" w:color="auto"/>
        <w:bottom w:val="none" w:sz="0" w:space="0" w:color="auto"/>
        <w:right w:val="none" w:sz="0" w:space="0" w:color="auto"/>
      </w:divBdr>
    </w:div>
    <w:div w:id="1425102916">
      <w:marLeft w:val="0"/>
      <w:marRight w:val="0"/>
      <w:marTop w:val="240"/>
      <w:marBottom w:val="180"/>
      <w:divBdr>
        <w:top w:val="none" w:sz="0" w:space="0" w:color="auto"/>
        <w:left w:val="none" w:sz="0" w:space="0" w:color="auto"/>
        <w:bottom w:val="none" w:sz="0" w:space="0" w:color="auto"/>
        <w:right w:val="none" w:sz="0" w:space="0" w:color="auto"/>
      </w:divBdr>
    </w:div>
    <w:div w:id="1425225866">
      <w:marLeft w:val="0"/>
      <w:marRight w:val="0"/>
      <w:marTop w:val="0"/>
      <w:marBottom w:val="0"/>
      <w:divBdr>
        <w:top w:val="none" w:sz="0" w:space="0" w:color="auto"/>
        <w:left w:val="none" w:sz="0" w:space="0" w:color="auto"/>
        <w:bottom w:val="none" w:sz="0" w:space="0" w:color="auto"/>
        <w:right w:val="none" w:sz="0" w:space="0" w:color="auto"/>
      </w:divBdr>
    </w:div>
    <w:div w:id="1425498674">
      <w:marLeft w:val="0"/>
      <w:marRight w:val="0"/>
      <w:marTop w:val="180"/>
      <w:marBottom w:val="180"/>
      <w:divBdr>
        <w:top w:val="none" w:sz="0" w:space="0" w:color="auto"/>
        <w:left w:val="none" w:sz="0" w:space="0" w:color="auto"/>
        <w:bottom w:val="none" w:sz="0" w:space="0" w:color="auto"/>
        <w:right w:val="none" w:sz="0" w:space="0" w:color="auto"/>
      </w:divBdr>
    </w:div>
    <w:div w:id="1425954534">
      <w:marLeft w:val="0"/>
      <w:marRight w:val="0"/>
      <w:marTop w:val="60"/>
      <w:marBottom w:val="60"/>
      <w:divBdr>
        <w:top w:val="none" w:sz="0" w:space="0" w:color="auto"/>
        <w:left w:val="none" w:sz="0" w:space="0" w:color="auto"/>
        <w:bottom w:val="none" w:sz="0" w:space="0" w:color="auto"/>
        <w:right w:val="none" w:sz="0" w:space="0" w:color="auto"/>
      </w:divBdr>
    </w:div>
    <w:div w:id="1426151343">
      <w:marLeft w:val="0"/>
      <w:marRight w:val="0"/>
      <w:marTop w:val="60"/>
      <w:marBottom w:val="60"/>
      <w:divBdr>
        <w:top w:val="none" w:sz="0" w:space="0" w:color="auto"/>
        <w:left w:val="none" w:sz="0" w:space="0" w:color="auto"/>
        <w:bottom w:val="none" w:sz="0" w:space="0" w:color="auto"/>
        <w:right w:val="none" w:sz="0" w:space="0" w:color="auto"/>
      </w:divBdr>
    </w:div>
    <w:div w:id="1426683112">
      <w:marLeft w:val="0"/>
      <w:marRight w:val="0"/>
      <w:marTop w:val="60"/>
      <w:marBottom w:val="60"/>
      <w:divBdr>
        <w:top w:val="none" w:sz="0" w:space="0" w:color="auto"/>
        <w:left w:val="none" w:sz="0" w:space="0" w:color="auto"/>
        <w:bottom w:val="none" w:sz="0" w:space="0" w:color="auto"/>
        <w:right w:val="none" w:sz="0" w:space="0" w:color="auto"/>
      </w:divBdr>
    </w:div>
    <w:div w:id="1427582290">
      <w:marLeft w:val="0"/>
      <w:marRight w:val="0"/>
      <w:marTop w:val="180"/>
      <w:marBottom w:val="180"/>
      <w:divBdr>
        <w:top w:val="none" w:sz="0" w:space="0" w:color="auto"/>
        <w:left w:val="none" w:sz="0" w:space="0" w:color="auto"/>
        <w:bottom w:val="none" w:sz="0" w:space="0" w:color="auto"/>
        <w:right w:val="none" w:sz="0" w:space="0" w:color="auto"/>
      </w:divBdr>
    </w:div>
    <w:div w:id="1428383796">
      <w:marLeft w:val="0"/>
      <w:marRight w:val="0"/>
      <w:marTop w:val="180"/>
      <w:marBottom w:val="180"/>
      <w:divBdr>
        <w:top w:val="none" w:sz="0" w:space="0" w:color="auto"/>
        <w:left w:val="none" w:sz="0" w:space="0" w:color="auto"/>
        <w:bottom w:val="none" w:sz="0" w:space="0" w:color="auto"/>
        <w:right w:val="none" w:sz="0" w:space="0" w:color="auto"/>
      </w:divBdr>
    </w:div>
    <w:div w:id="1428884565">
      <w:marLeft w:val="0"/>
      <w:marRight w:val="0"/>
      <w:marTop w:val="180"/>
      <w:marBottom w:val="180"/>
      <w:divBdr>
        <w:top w:val="none" w:sz="0" w:space="0" w:color="auto"/>
        <w:left w:val="none" w:sz="0" w:space="0" w:color="auto"/>
        <w:bottom w:val="none" w:sz="0" w:space="0" w:color="auto"/>
        <w:right w:val="none" w:sz="0" w:space="0" w:color="auto"/>
      </w:divBdr>
    </w:div>
    <w:div w:id="1428890848">
      <w:marLeft w:val="0"/>
      <w:marRight w:val="0"/>
      <w:marTop w:val="60"/>
      <w:marBottom w:val="60"/>
      <w:divBdr>
        <w:top w:val="none" w:sz="0" w:space="0" w:color="auto"/>
        <w:left w:val="none" w:sz="0" w:space="0" w:color="auto"/>
        <w:bottom w:val="none" w:sz="0" w:space="0" w:color="auto"/>
        <w:right w:val="none" w:sz="0" w:space="0" w:color="auto"/>
      </w:divBdr>
    </w:div>
    <w:div w:id="1429622291">
      <w:marLeft w:val="0"/>
      <w:marRight w:val="0"/>
      <w:marTop w:val="180"/>
      <w:marBottom w:val="180"/>
      <w:divBdr>
        <w:top w:val="none" w:sz="0" w:space="0" w:color="auto"/>
        <w:left w:val="none" w:sz="0" w:space="0" w:color="auto"/>
        <w:bottom w:val="none" w:sz="0" w:space="0" w:color="auto"/>
        <w:right w:val="none" w:sz="0" w:space="0" w:color="auto"/>
      </w:divBdr>
    </w:div>
    <w:div w:id="1429960567">
      <w:marLeft w:val="0"/>
      <w:marRight w:val="0"/>
      <w:marTop w:val="0"/>
      <w:marBottom w:val="0"/>
      <w:divBdr>
        <w:top w:val="none" w:sz="0" w:space="0" w:color="auto"/>
        <w:left w:val="none" w:sz="0" w:space="0" w:color="auto"/>
        <w:bottom w:val="none" w:sz="0" w:space="0" w:color="auto"/>
        <w:right w:val="none" w:sz="0" w:space="0" w:color="auto"/>
      </w:divBdr>
    </w:div>
    <w:div w:id="1430347562">
      <w:marLeft w:val="0"/>
      <w:marRight w:val="0"/>
      <w:marTop w:val="0"/>
      <w:marBottom w:val="0"/>
      <w:divBdr>
        <w:top w:val="none" w:sz="0" w:space="0" w:color="auto"/>
        <w:left w:val="none" w:sz="0" w:space="0" w:color="auto"/>
        <w:bottom w:val="none" w:sz="0" w:space="0" w:color="auto"/>
        <w:right w:val="none" w:sz="0" w:space="0" w:color="auto"/>
      </w:divBdr>
    </w:div>
    <w:div w:id="1430663371">
      <w:marLeft w:val="0"/>
      <w:marRight w:val="0"/>
      <w:marTop w:val="180"/>
      <w:marBottom w:val="180"/>
      <w:divBdr>
        <w:top w:val="none" w:sz="0" w:space="0" w:color="auto"/>
        <w:left w:val="none" w:sz="0" w:space="0" w:color="auto"/>
        <w:bottom w:val="none" w:sz="0" w:space="0" w:color="auto"/>
        <w:right w:val="none" w:sz="0" w:space="0" w:color="auto"/>
      </w:divBdr>
    </w:div>
    <w:div w:id="1430857882">
      <w:marLeft w:val="0"/>
      <w:marRight w:val="0"/>
      <w:marTop w:val="180"/>
      <w:marBottom w:val="180"/>
      <w:divBdr>
        <w:top w:val="none" w:sz="0" w:space="0" w:color="auto"/>
        <w:left w:val="none" w:sz="0" w:space="0" w:color="auto"/>
        <w:bottom w:val="none" w:sz="0" w:space="0" w:color="auto"/>
        <w:right w:val="none" w:sz="0" w:space="0" w:color="auto"/>
      </w:divBdr>
    </w:div>
    <w:div w:id="1431270901">
      <w:marLeft w:val="0"/>
      <w:marRight w:val="0"/>
      <w:marTop w:val="180"/>
      <w:marBottom w:val="180"/>
      <w:divBdr>
        <w:top w:val="none" w:sz="0" w:space="0" w:color="auto"/>
        <w:left w:val="none" w:sz="0" w:space="0" w:color="auto"/>
        <w:bottom w:val="none" w:sz="0" w:space="0" w:color="auto"/>
        <w:right w:val="none" w:sz="0" w:space="0" w:color="auto"/>
      </w:divBdr>
    </w:div>
    <w:div w:id="1431320149">
      <w:marLeft w:val="0"/>
      <w:marRight w:val="0"/>
      <w:marTop w:val="180"/>
      <w:marBottom w:val="180"/>
      <w:divBdr>
        <w:top w:val="none" w:sz="0" w:space="0" w:color="auto"/>
        <w:left w:val="none" w:sz="0" w:space="0" w:color="auto"/>
        <w:bottom w:val="none" w:sz="0" w:space="0" w:color="auto"/>
        <w:right w:val="none" w:sz="0" w:space="0" w:color="auto"/>
      </w:divBdr>
    </w:div>
    <w:div w:id="1432314633">
      <w:marLeft w:val="0"/>
      <w:marRight w:val="0"/>
      <w:marTop w:val="180"/>
      <w:marBottom w:val="180"/>
      <w:divBdr>
        <w:top w:val="none" w:sz="0" w:space="0" w:color="auto"/>
        <w:left w:val="none" w:sz="0" w:space="0" w:color="auto"/>
        <w:bottom w:val="none" w:sz="0" w:space="0" w:color="auto"/>
        <w:right w:val="none" w:sz="0" w:space="0" w:color="auto"/>
      </w:divBdr>
    </w:div>
    <w:div w:id="1435050192">
      <w:marLeft w:val="0"/>
      <w:marRight w:val="0"/>
      <w:marTop w:val="180"/>
      <w:marBottom w:val="180"/>
      <w:divBdr>
        <w:top w:val="none" w:sz="0" w:space="0" w:color="auto"/>
        <w:left w:val="none" w:sz="0" w:space="0" w:color="auto"/>
        <w:bottom w:val="none" w:sz="0" w:space="0" w:color="auto"/>
        <w:right w:val="none" w:sz="0" w:space="0" w:color="auto"/>
      </w:divBdr>
    </w:div>
    <w:div w:id="1437024132">
      <w:marLeft w:val="0"/>
      <w:marRight w:val="0"/>
      <w:marTop w:val="180"/>
      <w:marBottom w:val="180"/>
      <w:divBdr>
        <w:top w:val="none" w:sz="0" w:space="0" w:color="auto"/>
        <w:left w:val="none" w:sz="0" w:space="0" w:color="auto"/>
        <w:bottom w:val="none" w:sz="0" w:space="0" w:color="auto"/>
        <w:right w:val="none" w:sz="0" w:space="0" w:color="auto"/>
      </w:divBdr>
    </w:div>
    <w:div w:id="1439639213">
      <w:marLeft w:val="0"/>
      <w:marRight w:val="0"/>
      <w:marTop w:val="180"/>
      <w:marBottom w:val="180"/>
      <w:divBdr>
        <w:top w:val="none" w:sz="0" w:space="0" w:color="auto"/>
        <w:left w:val="none" w:sz="0" w:space="0" w:color="auto"/>
        <w:bottom w:val="none" w:sz="0" w:space="0" w:color="auto"/>
        <w:right w:val="none" w:sz="0" w:space="0" w:color="auto"/>
      </w:divBdr>
    </w:div>
    <w:div w:id="1441608783">
      <w:marLeft w:val="0"/>
      <w:marRight w:val="0"/>
      <w:marTop w:val="180"/>
      <w:marBottom w:val="180"/>
      <w:divBdr>
        <w:top w:val="none" w:sz="0" w:space="0" w:color="auto"/>
        <w:left w:val="none" w:sz="0" w:space="0" w:color="auto"/>
        <w:bottom w:val="none" w:sz="0" w:space="0" w:color="auto"/>
        <w:right w:val="none" w:sz="0" w:space="0" w:color="auto"/>
      </w:divBdr>
    </w:div>
    <w:div w:id="1442651298">
      <w:marLeft w:val="0"/>
      <w:marRight w:val="0"/>
      <w:marTop w:val="60"/>
      <w:marBottom w:val="60"/>
      <w:divBdr>
        <w:top w:val="none" w:sz="0" w:space="0" w:color="auto"/>
        <w:left w:val="none" w:sz="0" w:space="0" w:color="auto"/>
        <w:bottom w:val="none" w:sz="0" w:space="0" w:color="auto"/>
        <w:right w:val="none" w:sz="0" w:space="0" w:color="auto"/>
      </w:divBdr>
    </w:div>
    <w:div w:id="1442728044">
      <w:marLeft w:val="0"/>
      <w:marRight w:val="0"/>
      <w:marTop w:val="60"/>
      <w:marBottom w:val="60"/>
      <w:divBdr>
        <w:top w:val="none" w:sz="0" w:space="0" w:color="auto"/>
        <w:left w:val="none" w:sz="0" w:space="0" w:color="auto"/>
        <w:bottom w:val="none" w:sz="0" w:space="0" w:color="auto"/>
        <w:right w:val="none" w:sz="0" w:space="0" w:color="auto"/>
      </w:divBdr>
    </w:div>
    <w:div w:id="1443183515">
      <w:marLeft w:val="0"/>
      <w:marRight w:val="0"/>
      <w:marTop w:val="100"/>
      <w:marBottom w:val="100"/>
      <w:divBdr>
        <w:top w:val="none" w:sz="0" w:space="0" w:color="auto"/>
        <w:left w:val="none" w:sz="0" w:space="0" w:color="auto"/>
        <w:bottom w:val="none" w:sz="0" w:space="0" w:color="auto"/>
        <w:right w:val="none" w:sz="0" w:space="0" w:color="auto"/>
      </w:divBdr>
      <w:divsChild>
        <w:div w:id="538202131">
          <w:marLeft w:val="0"/>
          <w:marRight w:val="0"/>
          <w:marTop w:val="0"/>
          <w:marBottom w:val="0"/>
          <w:divBdr>
            <w:top w:val="none" w:sz="0" w:space="0" w:color="auto"/>
            <w:left w:val="none" w:sz="0" w:space="0" w:color="auto"/>
            <w:bottom w:val="none" w:sz="0" w:space="0" w:color="auto"/>
            <w:right w:val="none" w:sz="0" w:space="0" w:color="auto"/>
          </w:divBdr>
        </w:div>
      </w:divsChild>
    </w:div>
    <w:div w:id="1444107352">
      <w:marLeft w:val="0"/>
      <w:marRight w:val="0"/>
      <w:marTop w:val="180"/>
      <w:marBottom w:val="180"/>
      <w:divBdr>
        <w:top w:val="none" w:sz="0" w:space="0" w:color="auto"/>
        <w:left w:val="none" w:sz="0" w:space="0" w:color="auto"/>
        <w:bottom w:val="none" w:sz="0" w:space="0" w:color="auto"/>
        <w:right w:val="none" w:sz="0" w:space="0" w:color="auto"/>
      </w:divBdr>
    </w:div>
    <w:div w:id="1444611479">
      <w:marLeft w:val="0"/>
      <w:marRight w:val="0"/>
      <w:marTop w:val="180"/>
      <w:marBottom w:val="180"/>
      <w:divBdr>
        <w:top w:val="none" w:sz="0" w:space="0" w:color="auto"/>
        <w:left w:val="none" w:sz="0" w:space="0" w:color="auto"/>
        <w:bottom w:val="none" w:sz="0" w:space="0" w:color="auto"/>
        <w:right w:val="none" w:sz="0" w:space="0" w:color="auto"/>
      </w:divBdr>
    </w:div>
    <w:div w:id="1447195002">
      <w:marLeft w:val="0"/>
      <w:marRight w:val="0"/>
      <w:marTop w:val="0"/>
      <w:marBottom w:val="0"/>
      <w:divBdr>
        <w:top w:val="none" w:sz="0" w:space="0" w:color="auto"/>
        <w:left w:val="none" w:sz="0" w:space="0" w:color="auto"/>
        <w:bottom w:val="none" w:sz="0" w:space="0" w:color="auto"/>
        <w:right w:val="none" w:sz="0" w:space="0" w:color="auto"/>
      </w:divBdr>
      <w:divsChild>
        <w:div w:id="1871380756">
          <w:marLeft w:val="0"/>
          <w:marRight w:val="0"/>
          <w:marTop w:val="0"/>
          <w:marBottom w:val="0"/>
          <w:divBdr>
            <w:top w:val="none" w:sz="0" w:space="0" w:color="auto"/>
            <w:left w:val="none" w:sz="0" w:space="0" w:color="auto"/>
            <w:bottom w:val="none" w:sz="0" w:space="0" w:color="auto"/>
            <w:right w:val="none" w:sz="0" w:space="0" w:color="auto"/>
          </w:divBdr>
          <w:divsChild>
            <w:div w:id="6323735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7770696">
      <w:marLeft w:val="0"/>
      <w:marRight w:val="0"/>
      <w:marTop w:val="180"/>
      <w:marBottom w:val="180"/>
      <w:divBdr>
        <w:top w:val="none" w:sz="0" w:space="0" w:color="auto"/>
        <w:left w:val="none" w:sz="0" w:space="0" w:color="auto"/>
        <w:bottom w:val="none" w:sz="0" w:space="0" w:color="auto"/>
        <w:right w:val="none" w:sz="0" w:space="0" w:color="auto"/>
      </w:divBdr>
    </w:div>
    <w:div w:id="1448042882">
      <w:marLeft w:val="0"/>
      <w:marRight w:val="0"/>
      <w:marTop w:val="180"/>
      <w:marBottom w:val="180"/>
      <w:divBdr>
        <w:top w:val="none" w:sz="0" w:space="0" w:color="auto"/>
        <w:left w:val="none" w:sz="0" w:space="0" w:color="auto"/>
        <w:bottom w:val="none" w:sz="0" w:space="0" w:color="auto"/>
        <w:right w:val="none" w:sz="0" w:space="0" w:color="auto"/>
      </w:divBdr>
    </w:div>
    <w:div w:id="1448425083">
      <w:marLeft w:val="0"/>
      <w:marRight w:val="0"/>
      <w:marTop w:val="100"/>
      <w:marBottom w:val="100"/>
      <w:divBdr>
        <w:top w:val="none" w:sz="0" w:space="0" w:color="auto"/>
        <w:left w:val="none" w:sz="0" w:space="0" w:color="auto"/>
        <w:bottom w:val="none" w:sz="0" w:space="0" w:color="auto"/>
        <w:right w:val="none" w:sz="0" w:space="0" w:color="auto"/>
      </w:divBdr>
      <w:divsChild>
        <w:div w:id="1135870963">
          <w:marLeft w:val="0"/>
          <w:marRight w:val="0"/>
          <w:marTop w:val="0"/>
          <w:marBottom w:val="0"/>
          <w:divBdr>
            <w:top w:val="none" w:sz="0" w:space="0" w:color="auto"/>
            <w:left w:val="none" w:sz="0" w:space="0" w:color="auto"/>
            <w:bottom w:val="none" w:sz="0" w:space="0" w:color="auto"/>
            <w:right w:val="none" w:sz="0" w:space="0" w:color="auto"/>
          </w:divBdr>
        </w:div>
        <w:div w:id="69695423">
          <w:marLeft w:val="0"/>
          <w:marRight w:val="0"/>
          <w:marTop w:val="0"/>
          <w:marBottom w:val="0"/>
          <w:divBdr>
            <w:top w:val="none" w:sz="0" w:space="0" w:color="auto"/>
            <w:left w:val="none" w:sz="0" w:space="0" w:color="auto"/>
            <w:bottom w:val="none" w:sz="0" w:space="0" w:color="auto"/>
            <w:right w:val="none" w:sz="0" w:space="0" w:color="auto"/>
          </w:divBdr>
        </w:div>
      </w:divsChild>
    </w:div>
    <w:div w:id="1448698361">
      <w:marLeft w:val="0"/>
      <w:marRight w:val="0"/>
      <w:marTop w:val="180"/>
      <w:marBottom w:val="180"/>
      <w:divBdr>
        <w:top w:val="none" w:sz="0" w:space="0" w:color="auto"/>
        <w:left w:val="none" w:sz="0" w:space="0" w:color="auto"/>
        <w:bottom w:val="none" w:sz="0" w:space="0" w:color="auto"/>
        <w:right w:val="none" w:sz="0" w:space="0" w:color="auto"/>
      </w:divBdr>
    </w:div>
    <w:div w:id="1449349810">
      <w:marLeft w:val="0"/>
      <w:marRight w:val="0"/>
      <w:marTop w:val="180"/>
      <w:marBottom w:val="180"/>
      <w:divBdr>
        <w:top w:val="none" w:sz="0" w:space="0" w:color="auto"/>
        <w:left w:val="none" w:sz="0" w:space="0" w:color="auto"/>
        <w:bottom w:val="none" w:sz="0" w:space="0" w:color="auto"/>
        <w:right w:val="none" w:sz="0" w:space="0" w:color="auto"/>
      </w:divBdr>
    </w:div>
    <w:div w:id="1449547272">
      <w:marLeft w:val="0"/>
      <w:marRight w:val="0"/>
      <w:marTop w:val="180"/>
      <w:marBottom w:val="180"/>
      <w:divBdr>
        <w:top w:val="none" w:sz="0" w:space="0" w:color="auto"/>
        <w:left w:val="none" w:sz="0" w:space="0" w:color="auto"/>
        <w:bottom w:val="none" w:sz="0" w:space="0" w:color="auto"/>
        <w:right w:val="none" w:sz="0" w:space="0" w:color="auto"/>
      </w:divBdr>
    </w:div>
    <w:div w:id="1450398608">
      <w:marLeft w:val="0"/>
      <w:marRight w:val="0"/>
      <w:marTop w:val="0"/>
      <w:marBottom w:val="0"/>
      <w:divBdr>
        <w:top w:val="none" w:sz="0" w:space="0" w:color="auto"/>
        <w:left w:val="none" w:sz="0" w:space="0" w:color="auto"/>
        <w:bottom w:val="none" w:sz="0" w:space="0" w:color="auto"/>
        <w:right w:val="none" w:sz="0" w:space="0" w:color="auto"/>
      </w:divBdr>
      <w:divsChild>
        <w:div w:id="226839226">
          <w:marLeft w:val="0"/>
          <w:marRight w:val="0"/>
          <w:marTop w:val="0"/>
          <w:marBottom w:val="0"/>
          <w:divBdr>
            <w:top w:val="none" w:sz="0" w:space="0" w:color="auto"/>
            <w:left w:val="none" w:sz="0" w:space="0" w:color="auto"/>
            <w:bottom w:val="none" w:sz="0" w:space="0" w:color="auto"/>
            <w:right w:val="none" w:sz="0" w:space="0" w:color="auto"/>
          </w:divBdr>
          <w:divsChild>
            <w:div w:id="27690968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0785584">
      <w:marLeft w:val="0"/>
      <w:marRight w:val="0"/>
      <w:marTop w:val="100"/>
      <w:marBottom w:val="100"/>
      <w:divBdr>
        <w:top w:val="none" w:sz="0" w:space="0" w:color="auto"/>
        <w:left w:val="none" w:sz="0" w:space="0" w:color="auto"/>
        <w:bottom w:val="none" w:sz="0" w:space="0" w:color="auto"/>
        <w:right w:val="none" w:sz="0" w:space="0" w:color="auto"/>
      </w:divBdr>
    </w:div>
    <w:div w:id="1452751155">
      <w:marLeft w:val="0"/>
      <w:marRight w:val="0"/>
      <w:marTop w:val="180"/>
      <w:marBottom w:val="180"/>
      <w:divBdr>
        <w:top w:val="none" w:sz="0" w:space="0" w:color="auto"/>
        <w:left w:val="none" w:sz="0" w:space="0" w:color="auto"/>
        <w:bottom w:val="none" w:sz="0" w:space="0" w:color="auto"/>
        <w:right w:val="none" w:sz="0" w:space="0" w:color="auto"/>
      </w:divBdr>
    </w:div>
    <w:div w:id="1454252440">
      <w:marLeft w:val="0"/>
      <w:marRight w:val="0"/>
      <w:marTop w:val="0"/>
      <w:marBottom w:val="0"/>
      <w:divBdr>
        <w:top w:val="none" w:sz="0" w:space="0" w:color="auto"/>
        <w:left w:val="none" w:sz="0" w:space="0" w:color="auto"/>
        <w:bottom w:val="none" w:sz="0" w:space="0" w:color="auto"/>
        <w:right w:val="none" w:sz="0" w:space="0" w:color="auto"/>
      </w:divBdr>
    </w:div>
    <w:div w:id="1454716940">
      <w:marLeft w:val="0"/>
      <w:marRight w:val="0"/>
      <w:marTop w:val="180"/>
      <w:marBottom w:val="180"/>
      <w:divBdr>
        <w:top w:val="none" w:sz="0" w:space="0" w:color="auto"/>
        <w:left w:val="none" w:sz="0" w:space="0" w:color="auto"/>
        <w:bottom w:val="none" w:sz="0" w:space="0" w:color="auto"/>
        <w:right w:val="none" w:sz="0" w:space="0" w:color="auto"/>
      </w:divBdr>
    </w:div>
    <w:div w:id="1455172844">
      <w:marLeft w:val="0"/>
      <w:marRight w:val="0"/>
      <w:marTop w:val="60"/>
      <w:marBottom w:val="60"/>
      <w:divBdr>
        <w:top w:val="none" w:sz="0" w:space="0" w:color="auto"/>
        <w:left w:val="none" w:sz="0" w:space="0" w:color="auto"/>
        <w:bottom w:val="none" w:sz="0" w:space="0" w:color="auto"/>
        <w:right w:val="none" w:sz="0" w:space="0" w:color="auto"/>
      </w:divBdr>
    </w:div>
    <w:div w:id="1455295280">
      <w:marLeft w:val="0"/>
      <w:marRight w:val="0"/>
      <w:marTop w:val="0"/>
      <w:marBottom w:val="0"/>
      <w:divBdr>
        <w:top w:val="none" w:sz="0" w:space="0" w:color="auto"/>
        <w:left w:val="none" w:sz="0" w:space="0" w:color="auto"/>
        <w:bottom w:val="none" w:sz="0" w:space="0" w:color="auto"/>
        <w:right w:val="none" w:sz="0" w:space="0" w:color="auto"/>
      </w:divBdr>
      <w:divsChild>
        <w:div w:id="380130172">
          <w:marLeft w:val="0"/>
          <w:marRight w:val="0"/>
          <w:marTop w:val="60"/>
          <w:marBottom w:val="60"/>
          <w:divBdr>
            <w:top w:val="none" w:sz="0" w:space="0" w:color="auto"/>
            <w:left w:val="none" w:sz="0" w:space="0" w:color="auto"/>
            <w:bottom w:val="none" w:sz="0" w:space="0" w:color="auto"/>
            <w:right w:val="none" w:sz="0" w:space="0" w:color="auto"/>
          </w:divBdr>
        </w:div>
      </w:divsChild>
    </w:div>
    <w:div w:id="1455439327">
      <w:marLeft w:val="0"/>
      <w:marRight w:val="0"/>
      <w:marTop w:val="180"/>
      <w:marBottom w:val="180"/>
      <w:divBdr>
        <w:top w:val="none" w:sz="0" w:space="0" w:color="auto"/>
        <w:left w:val="none" w:sz="0" w:space="0" w:color="auto"/>
        <w:bottom w:val="none" w:sz="0" w:space="0" w:color="auto"/>
        <w:right w:val="none" w:sz="0" w:space="0" w:color="auto"/>
      </w:divBdr>
    </w:div>
    <w:div w:id="1457874085">
      <w:marLeft w:val="0"/>
      <w:marRight w:val="0"/>
      <w:marTop w:val="60"/>
      <w:marBottom w:val="60"/>
      <w:divBdr>
        <w:top w:val="none" w:sz="0" w:space="0" w:color="auto"/>
        <w:left w:val="none" w:sz="0" w:space="0" w:color="auto"/>
        <w:bottom w:val="none" w:sz="0" w:space="0" w:color="auto"/>
        <w:right w:val="none" w:sz="0" w:space="0" w:color="auto"/>
      </w:divBdr>
    </w:div>
    <w:div w:id="1458067512">
      <w:marLeft w:val="0"/>
      <w:marRight w:val="0"/>
      <w:marTop w:val="180"/>
      <w:marBottom w:val="180"/>
      <w:divBdr>
        <w:top w:val="none" w:sz="0" w:space="0" w:color="auto"/>
        <w:left w:val="none" w:sz="0" w:space="0" w:color="auto"/>
        <w:bottom w:val="none" w:sz="0" w:space="0" w:color="auto"/>
        <w:right w:val="none" w:sz="0" w:space="0" w:color="auto"/>
      </w:divBdr>
    </w:div>
    <w:div w:id="1458261090">
      <w:marLeft w:val="0"/>
      <w:marRight w:val="0"/>
      <w:marTop w:val="180"/>
      <w:marBottom w:val="180"/>
      <w:divBdr>
        <w:top w:val="none" w:sz="0" w:space="0" w:color="auto"/>
        <w:left w:val="none" w:sz="0" w:space="0" w:color="auto"/>
        <w:bottom w:val="none" w:sz="0" w:space="0" w:color="auto"/>
        <w:right w:val="none" w:sz="0" w:space="0" w:color="auto"/>
      </w:divBdr>
    </w:div>
    <w:div w:id="1459567125">
      <w:marLeft w:val="0"/>
      <w:marRight w:val="0"/>
      <w:marTop w:val="180"/>
      <w:marBottom w:val="180"/>
      <w:divBdr>
        <w:top w:val="none" w:sz="0" w:space="0" w:color="auto"/>
        <w:left w:val="none" w:sz="0" w:space="0" w:color="auto"/>
        <w:bottom w:val="none" w:sz="0" w:space="0" w:color="auto"/>
        <w:right w:val="none" w:sz="0" w:space="0" w:color="auto"/>
      </w:divBdr>
    </w:div>
    <w:div w:id="1460686564">
      <w:marLeft w:val="0"/>
      <w:marRight w:val="0"/>
      <w:marTop w:val="60"/>
      <w:marBottom w:val="60"/>
      <w:divBdr>
        <w:top w:val="none" w:sz="0" w:space="0" w:color="auto"/>
        <w:left w:val="none" w:sz="0" w:space="0" w:color="auto"/>
        <w:bottom w:val="none" w:sz="0" w:space="0" w:color="auto"/>
        <w:right w:val="none" w:sz="0" w:space="0" w:color="auto"/>
      </w:divBdr>
    </w:div>
    <w:div w:id="1460764159">
      <w:marLeft w:val="0"/>
      <w:marRight w:val="0"/>
      <w:marTop w:val="60"/>
      <w:marBottom w:val="60"/>
      <w:divBdr>
        <w:top w:val="none" w:sz="0" w:space="0" w:color="auto"/>
        <w:left w:val="none" w:sz="0" w:space="0" w:color="auto"/>
        <w:bottom w:val="none" w:sz="0" w:space="0" w:color="auto"/>
        <w:right w:val="none" w:sz="0" w:space="0" w:color="auto"/>
      </w:divBdr>
      <w:divsChild>
        <w:div w:id="1709523139">
          <w:marLeft w:val="0"/>
          <w:marRight w:val="0"/>
          <w:marTop w:val="0"/>
          <w:marBottom w:val="0"/>
          <w:divBdr>
            <w:top w:val="none" w:sz="0" w:space="0" w:color="auto"/>
            <w:left w:val="none" w:sz="0" w:space="0" w:color="auto"/>
            <w:bottom w:val="none" w:sz="0" w:space="0" w:color="auto"/>
            <w:right w:val="none" w:sz="0" w:space="0" w:color="auto"/>
          </w:divBdr>
        </w:div>
        <w:div w:id="238294175">
          <w:marLeft w:val="0"/>
          <w:marRight w:val="0"/>
          <w:marTop w:val="0"/>
          <w:marBottom w:val="0"/>
          <w:divBdr>
            <w:top w:val="none" w:sz="0" w:space="0" w:color="auto"/>
            <w:left w:val="none" w:sz="0" w:space="0" w:color="auto"/>
            <w:bottom w:val="none" w:sz="0" w:space="0" w:color="auto"/>
            <w:right w:val="none" w:sz="0" w:space="0" w:color="auto"/>
          </w:divBdr>
        </w:div>
      </w:divsChild>
    </w:div>
    <w:div w:id="1464154238">
      <w:marLeft w:val="0"/>
      <w:marRight w:val="0"/>
      <w:marTop w:val="0"/>
      <w:marBottom w:val="0"/>
      <w:divBdr>
        <w:top w:val="none" w:sz="0" w:space="0" w:color="auto"/>
        <w:left w:val="none" w:sz="0" w:space="0" w:color="auto"/>
        <w:bottom w:val="none" w:sz="0" w:space="0" w:color="auto"/>
        <w:right w:val="none" w:sz="0" w:space="0" w:color="auto"/>
      </w:divBdr>
    </w:div>
    <w:div w:id="1464351548">
      <w:marLeft w:val="0"/>
      <w:marRight w:val="0"/>
      <w:marTop w:val="0"/>
      <w:marBottom w:val="0"/>
      <w:divBdr>
        <w:top w:val="none" w:sz="0" w:space="0" w:color="auto"/>
        <w:left w:val="none" w:sz="0" w:space="0" w:color="auto"/>
        <w:bottom w:val="none" w:sz="0" w:space="0" w:color="auto"/>
        <w:right w:val="none" w:sz="0" w:space="0" w:color="auto"/>
      </w:divBdr>
      <w:divsChild>
        <w:div w:id="420028530">
          <w:marLeft w:val="0"/>
          <w:marRight w:val="0"/>
          <w:marTop w:val="0"/>
          <w:marBottom w:val="0"/>
          <w:divBdr>
            <w:top w:val="none" w:sz="0" w:space="0" w:color="auto"/>
            <w:left w:val="none" w:sz="0" w:space="0" w:color="auto"/>
            <w:bottom w:val="none" w:sz="0" w:space="0" w:color="auto"/>
            <w:right w:val="none" w:sz="0" w:space="0" w:color="auto"/>
          </w:divBdr>
          <w:divsChild>
            <w:div w:id="13484104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4931683">
      <w:marLeft w:val="0"/>
      <w:marRight w:val="0"/>
      <w:marTop w:val="180"/>
      <w:marBottom w:val="180"/>
      <w:divBdr>
        <w:top w:val="none" w:sz="0" w:space="0" w:color="auto"/>
        <w:left w:val="none" w:sz="0" w:space="0" w:color="auto"/>
        <w:bottom w:val="none" w:sz="0" w:space="0" w:color="auto"/>
        <w:right w:val="none" w:sz="0" w:space="0" w:color="auto"/>
      </w:divBdr>
    </w:div>
    <w:div w:id="1465810291">
      <w:marLeft w:val="0"/>
      <w:marRight w:val="0"/>
      <w:marTop w:val="60"/>
      <w:marBottom w:val="60"/>
      <w:divBdr>
        <w:top w:val="none" w:sz="0" w:space="0" w:color="auto"/>
        <w:left w:val="none" w:sz="0" w:space="0" w:color="auto"/>
        <w:bottom w:val="none" w:sz="0" w:space="0" w:color="auto"/>
        <w:right w:val="none" w:sz="0" w:space="0" w:color="auto"/>
      </w:divBdr>
    </w:div>
    <w:div w:id="1465847079">
      <w:marLeft w:val="0"/>
      <w:marRight w:val="0"/>
      <w:marTop w:val="180"/>
      <w:marBottom w:val="180"/>
      <w:divBdr>
        <w:top w:val="none" w:sz="0" w:space="0" w:color="auto"/>
        <w:left w:val="none" w:sz="0" w:space="0" w:color="auto"/>
        <w:bottom w:val="none" w:sz="0" w:space="0" w:color="auto"/>
        <w:right w:val="none" w:sz="0" w:space="0" w:color="auto"/>
      </w:divBdr>
    </w:div>
    <w:div w:id="1466005994">
      <w:marLeft w:val="0"/>
      <w:marRight w:val="0"/>
      <w:marTop w:val="180"/>
      <w:marBottom w:val="180"/>
      <w:divBdr>
        <w:top w:val="none" w:sz="0" w:space="0" w:color="auto"/>
        <w:left w:val="none" w:sz="0" w:space="0" w:color="auto"/>
        <w:bottom w:val="none" w:sz="0" w:space="0" w:color="auto"/>
        <w:right w:val="none" w:sz="0" w:space="0" w:color="auto"/>
      </w:divBdr>
    </w:div>
    <w:div w:id="1467578451">
      <w:marLeft w:val="0"/>
      <w:marRight w:val="0"/>
      <w:marTop w:val="180"/>
      <w:marBottom w:val="180"/>
      <w:divBdr>
        <w:top w:val="none" w:sz="0" w:space="0" w:color="auto"/>
        <w:left w:val="none" w:sz="0" w:space="0" w:color="auto"/>
        <w:bottom w:val="none" w:sz="0" w:space="0" w:color="auto"/>
        <w:right w:val="none" w:sz="0" w:space="0" w:color="auto"/>
      </w:divBdr>
    </w:div>
    <w:div w:id="1468662418">
      <w:marLeft w:val="0"/>
      <w:marRight w:val="0"/>
      <w:marTop w:val="180"/>
      <w:marBottom w:val="180"/>
      <w:divBdr>
        <w:top w:val="none" w:sz="0" w:space="0" w:color="auto"/>
        <w:left w:val="none" w:sz="0" w:space="0" w:color="auto"/>
        <w:bottom w:val="none" w:sz="0" w:space="0" w:color="auto"/>
        <w:right w:val="none" w:sz="0" w:space="0" w:color="auto"/>
      </w:divBdr>
    </w:div>
    <w:div w:id="1468937848">
      <w:marLeft w:val="0"/>
      <w:marRight w:val="0"/>
      <w:marTop w:val="180"/>
      <w:marBottom w:val="180"/>
      <w:divBdr>
        <w:top w:val="none" w:sz="0" w:space="0" w:color="auto"/>
        <w:left w:val="none" w:sz="0" w:space="0" w:color="auto"/>
        <w:bottom w:val="none" w:sz="0" w:space="0" w:color="auto"/>
        <w:right w:val="none" w:sz="0" w:space="0" w:color="auto"/>
      </w:divBdr>
    </w:div>
    <w:div w:id="1470323100">
      <w:marLeft w:val="0"/>
      <w:marRight w:val="0"/>
      <w:marTop w:val="240"/>
      <w:marBottom w:val="180"/>
      <w:divBdr>
        <w:top w:val="none" w:sz="0" w:space="0" w:color="auto"/>
        <w:left w:val="none" w:sz="0" w:space="0" w:color="auto"/>
        <w:bottom w:val="none" w:sz="0" w:space="0" w:color="auto"/>
        <w:right w:val="none" w:sz="0" w:space="0" w:color="auto"/>
      </w:divBdr>
    </w:div>
    <w:div w:id="1471288785">
      <w:marLeft w:val="0"/>
      <w:marRight w:val="0"/>
      <w:marTop w:val="180"/>
      <w:marBottom w:val="180"/>
      <w:divBdr>
        <w:top w:val="none" w:sz="0" w:space="0" w:color="auto"/>
        <w:left w:val="none" w:sz="0" w:space="0" w:color="auto"/>
        <w:bottom w:val="none" w:sz="0" w:space="0" w:color="auto"/>
        <w:right w:val="none" w:sz="0" w:space="0" w:color="auto"/>
      </w:divBdr>
    </w:div>
    <w:div w:id="1471553283">
      <w:marLeft w:val="0"/>
      <w:marRight w:val="0"/>
      <w:marTop w:val="180"/>
      <w:marBottom w:val="180"/>
      <w:divBdr>
        <w:top w:val="none" w:sz="0" w:space="0" w:color="auto"/>
        <w:left w:val="none" w:sz="0" w:space="0" w:color="auto"/>
        <w:bottom w:val="none" w:sz="0" w:space="0" w:color="auto"/>
        <w:right w:val="none" w:sz="0" w:space="0" w:color="auto"/>
      </w:divBdr>
    </w:div>
    <w:div w:id="1473057595">
      <w:marLeft w:val="0"/>
      <w:marRight w:val="0"/>
      <w:marTop w:val="180"/>
      <w:marBottom w:val="180"/>
      <w:divBdr>
        <w:top w:val="none" w:sz="0" w:space="0" w:color="auto"/>
        <w:left w:val="none" w:sz="0" w:space="0" w:color="auto"/>
        <w:bottom w:val="none" w:sz="0" w:space="0" w:color="auto"/>
        <w:right w:val="none" w:sz="0" w:space="0" w:color="auto"/>
      </w:divBdr>
    </w:div>
    <w:div w:id="1474371645">
      <w:marLeft w:val="0"/>
      <w:marRight w:val="0"/>
      <w:marTop w:val="180"/>
      <w:marBottom w:val="180"/>
      <w:divBdr>
        <w:top w:val="none" w:sz="0" w:space="0" w:color="auto"/>
        <w:left w:val="none" w:sz="0" w:space="0" w:color="auto"/>
        <w:bottom w:val="none" w:sz="0" w:space="0" w:color="auto"/>
        <w:right w:val="none" w:sz="0" w:space="0" w:color="auto"/>
      </w:divBdr>
    </w:div>
    <w:div w:id="1477644199">
      <w:marLeft w:val="0"/>
      <w:marRight w:val="0"/>
      <w:marTop w:val="180"/>
      <w:marBottom w:val="180"/>
      <w:divBdr>
        <w:top w:val="none" w:sz="0" w:space="0" w:color="auto"/>
        <w:left w:val="none" w:sz="0" w:space="0" w:color="auto"/>
        <w:bottom w:val="none" w:sz="0" w:space="0" w:color="auto"/>
        <w:right w:val="none" w:sz="0" w:space="0" w:color="auto"/>
      </w:divBdr>
    </w:div>
    <w:div w:id="1477795822">
      <w:marLeft w:val="0"/>
      <w:marRight w:val="0"/>
      <w:marTop w:val="100"/>
      <w:marBottom w:val="100"/>
      <w:divBdr>
        <w:top w:val="none" w:sz="0" w:space="0" w:color="auto"/>
        <w:left w:val="none" w:sz="0" w:space="0" w:color="auto"/>
        <w:bottom w:val="none" w:sz="0" w:space="0" w:color="auto"/>
        <w:right w:val="none" w:sz="0" w:space="0" w:color="auto"/>
      </w:divBdr>
    </w:div>
    <w:div w:id="1478378107">
      <w:marLeft w:val="0"/>
      <w:marRight w:val="0"/>
      <w:marTop w:val="180"/>
      <w:marBottom w:val="180"/>
      <w:divBdr>
        <w:top w:val="none" w:sz="0" w:space="0" w:color="auto"/>
        <w:left w:val="none" w:sz="0" w:space="0" w:color="auto"/>
        <w:bottom w:val="none" w:sz="0" w:space="0" w:color="auto"/>
        <w:right w:val="none" w:sz="0" w:space="0" w:color="auto"/>
      </w:divBdr>
    </w:div>
    <w:div w:id="1478838618">
      <w:marLeft w:val="0"/>
      <w:marRight w:val="0"/>
      <w:marTop w:val="180"/>
      <w:marBottom w:val="180"/>
      <w:divBdr>
        <w:top w:val="none" w:sz="0" w:space="0" w:color="auto"/>
        <w:left w:val="none" w:sz="0" w:space="0" w:color="auto"/>
        <w:bottom w:val="none" w:sz="0" w:space="0" w:color="auto"/>
        <w:right w:val="none" w:sz="0" w:space="0" w:color="auto"/>
      </w:divBdr>
    </w:div>
    <w:div w:id="1479803779">
      <w:marLeft w:val="0"/>
      <w:marRight w:val="0"/>
      <w:marTop w:val="0"/>
      <w:marBottom w:val="0"/>
      <w:divBdr>
        <w:top w:val="none" w:sz="0" w:space="0" w:color="auto"/>
        <w:left w:val="none" w:sz="0" w:space="0" w:color="auto"/>
        <w:bottom w:val="none" w:sz="0" w:space="0" w:color="auto"/>
        <w:right w:val="none" w:sz="0" w:space="0" w:color="auto"/>
      </w:divBdr>
      <w:divsChild>
        <w:div w:id="1928809743">
          <w:marLeft w:val="0"/>
          <w:marRight w:val="0"/>
          <w:marTop w:val="60"/>
          <w:marBottom w:val="60"/>
          <w:divBdr>
            <w:top w:val="none" w:sz="0" w:space="0" w:color="auto"/>
            <w:left w:val="none" w:sz="0" w:space="0" w:color="auto"/>
            <w:bottom w:val="none" w:sz="0" w:space="0" w:color="auto"/>
            <w:right w:val="none" w:sz="0" w:space="0" w:color="auto"/>
          </w:divBdr>
        </w:div>
      </w:divsChild>
    </w:div>
    <w:div w:id="1481538294">
      <w:marLeft w:val="0"/>
      <w:marRight w:val="0"/>
      <w:marTop w:val="180"/>
      <w:marBottom w:val="180"/>
      <w:divBdr>
        <w:top w:val="none" w:sz="0" w:space="0" w:color="auto"/>
        <w:left w:val="none" w:sz="0" w:space="0" w:color="auto"/>
        <w:bottom w:val="none" w:sz="0" w:space="0" w:color="auto"/>
        <w:right w:val="none" w:sz="0" w:space="0" w:color="auto"/>
      </w:divBdr>
    </w:div>
    <w:div w:id="1482037040">
      <w:marLeft w:val="0"/>
      <w:marRight w:val="0"/>
      <w:marTop w:val="0"/>
      <w:marBottom w:val="0"/>
      <w:divBdr>
        <w:top w:val="none" w:sz="0" w:space="0" w:color="auto"/>
        <w:left w:val="none" w:sz="0" w:space="0" w:color="auto"/>
        <w:bottom w:val="none" w:sz="0" w:space="0" w:color="auto"/>
        <w:right w:val="none" w:sz="0" w:space="0" w:color="auto"/>
      </w:divBdr>
      <w:divsChild>
        <w:div w:id="1659647489">
          <w:marLeft w:val="0"/>
          <w:marRight w:val="0"/>
          <w:marTop w:val="0"/>
          <w:marBottom w:val="0"/>
          <w:divBdr>
            <w:top w:val="none" w:sz="0" w:space="0" w:color="auto"/>
            <w:left w:val="none" w:sz="0" w:space="0" w:color="auto"/>
            <w:bottom w:val="none" w:sz="0" w:space="0" w:color="auto"/>
            <w:right w:val="none" w:sz="0" w:space="0" w:color="auto"/>
          </w:divBdr>
          <w:divsChild>
            <w:div w:id="2593345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4665513">
      <w:marLeft w:val="0"/>
      <w:marRight w:val="0"/>
      <w:marTop w:val="100"/>
      <w:marBottom w:val="100"/>
      <w:divBdr>
        <w:top w:val="none" w:sz="0" w:space="0" w:color="auto"/>
        <w:left w:val="none" w:sz="0" w:space="0" w:color="auto"/>
        <w:bottom w:val="none" w:sz="0" w:space="0" w:color="auto"/>
        <w:right w:val="none" w:sz="0" w:space="0" w:color="auto"/>
      </w:divBdr>
      <w:divsChild>
        <w:div w:id="1905556328">
          <w:marLeft w:val="0"/>
          <w:marRight w:val="0"/>
          <w:marTop w:val="0"/>
          <w:marBottom w:val="0"/>
          <w:divBdr>
            <w:top w:val="none" w:sz="0" w:space="0" w:color="auto"/>
            <w:left w:val="none" w:sz="0" w:space="0" w:color="auto"/>
            <w:bottom w:val="none" w:sz="0" w:space="0" w:color="auto"/>
            <w:right w:val="none" w:sz="0" w:space="0" w:color="auto"/>
          </w:divBdr>
        </w:div>
        <w:div w:id="1735160920">
          <w:marLeft w:val="0"/>
          <w:marRight w:val="0"/>
          <w:marTop w:val="0"/>
          <w:marBottom w:val="0"/>
          <w:divBdr>
            <w:top w:val="none" w:sz="0" w:space="0" w:color="auto"/>
            <w:left w:val="none" w:sz="0" w:space="0" w:color="auto"/>
            <w:bottom w:val="none" w:sz="0" w:space="0" w:color="auto"/>
            <w:right w:val="none" w:sz="0" w:space="0" w:color="auto"/>
          </w:divBdr>
        </w:div>
      </w:divsChild>
    </w:div>
    <w:div w:id="1485127827">
      <w:marLeft w:val="0"/>
      <w:marRight w:val="0"/>
      <w:marTop w:val="180"/>
      <w:marBottom w:val="180"/>
      <w:divBdr>
        <w:top w:val="none" w:sz="0" w:space="0" w:color="auto"/>
        <w:left w:val="none" w:sz="0" w:space="0" w:color="auto"/>
        <w:bottom w:val="none" w:sz="0" w:space="0" w:color="auto"/>
        <w:right w:val="none" w:sz="0" w:space="0" w:color="auto"/>
      </w:divBdr>
    </w:div>
    <w:div w:id="1486046644">
      <w:marLeft w:val="0"/>
      <w:marRight w:val="0"/>
      <w:marTop w:val="0"/>
      <w:marBottom w:val="0"/>
      <w:divBdr>
        <w:top w:val="none" w:sz="0" w:space="0" w:color="auto"/>
        <w:left w:val="none" w:sz="0" w:space="0" w:color="auto"/>
        <w:bottom w:val="none" w:sz="0" w:space="0" w:color="auto"/>
        <w:right w:val="none" w:sz="0" w:space="0" w:color="auto"/>
      </w:divBdr>
      <w:divsChild>
        <w:div w:id="1271009867">
          <w:marLeft w:val="0"/>
          <w:marRight w:val="0"/>
          <w:marTop w:val="0"/>
          <w:marBottom w:val="0"/>
          <w:divBdr>
            <w:top w:val="none" w:sz="0" w:space="0" w:color="auto"/>
            <w:left w:val="none" w:sz="0" w:space="0" w:color="auto"/>
            <w:bottom w:val="none" w:sz="0" w:space="0" w:color="auto"/>
            <w:right w:val="none" w:sz="0" w:space="0" w:color="auto"/>
          </w:divBdr>
          <w:divsChild>
            <w:div w:id="1544926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6582385">
      <w:marLeft w:val="0"/>
      <w:marRight w:val="0"/>
      <w:marTop w:val="180"/>
      <w:marBottom w:val="180"/>
      <w:divBdr>
        <w:top w:val="none" w:sz="0" w:space="0" w:color="auto"/>
        <w:left w:val="none" w:sz="0" w:space="0" w:color="auto"/>
        <w:bottom w:val="none" w:sz="0" w:space="0" w:color="auto"/>
        <w:right w:val="none" w:sz="0" w:space="0" w:color="auto"/>
      </w:divBdr>
    </w:div>
    <w:div w:id="1486821192">
      <w:marLeft w:val="0"/>
      <w:marRight w:val="0"/>
      <w:marTop w:val="60"/>
      <w:marBottom w:val="60"/>
      <w:divBdr>
        <w:top w:val="none" w:sz="0" w:space="0" w:color="auto"/>
        <w:left w:val="none" w:sz="0" w:space="0" w:color="auto"/>
        <w:bottom w:val="none" w:sz="0" w:space="0" w:color="auto"/>
        <w:right w:val="none" w:sz="0" w:space="0" w:color="auto"/>
      </w:divBdr>
    </w:div>
    <w:div w:id="1487167737">
      <w:marLeft w:val="0"/>
      <w:marRight w:val="0"/>
      <w:marTop w:val="60"/>
      <w:marBottom w:val="0"/>
      <w:divBdr>
        <w:top w:val="none" w:sz="0" w:space="0" w:color="auto"/>
        <w:left w:val="none" w:sz="0" w:space="0" w:color="auto"/>
        <w:bottom w:val="none" w:sz="0" w:space="0" w:color="auto"/>
        <w:right w:val="none" w:sz="0" w:space="0" w:color="auto"/>
      </w:divBdr>
    </w:div>
    <w:div w:id="1488546536">
      <w:marLeft w:val="0"/>
      <w:marRight w:val="0"/>
      <w:marTop w:val="60"/>
      <w:marBottom w:val="60"/>
      <w:divBdr>
        <w:top w:val="none" w:sz="0" w:space="0" w:color="auto"/>
        <w:left w:val="none" w:sz="0" w:space="0" w:color="auto"/>
        <w:bottom w:val="none" w:sz="0" w:space="0" w:color="auto"/>
        <w:right w:val="none" w:sz="0" w:space="0" w:color="auto"/>
      </w:divBdr>
    </w:div>
    <w:div w:id="1489638106">
      <w:marLeft w:val="0"/>
      <w:marRight w:val="0"/>
      <w:marTop w:val="180"/>
      <w:marBottom w:val="180"/>
      <w:divBdr>
        <w:top w:val="none" w:sz="0" w:space="0" w:color="auto"/>
        <w:left w:val="none" w:sz="0" w:space="0" w:color="auto"/>
        <w:bottom w:val="none" w:sz="0" w:space="0" w:color="auto"/>
        <w:right w:val="none" w:sz="0" w:space="0" w:color="auto"/>
      </w:divBdr>
    </w:div>
    <w:div w:id="1490629903">
      <w:marLeft w:val="0"/>
      <w:marRight w:val="0"/>
      <w:marTop w:val="180"/>
      <w:marBottom w:val="180"/>
      <w:divBdr>
        <w:top w:val="none" w:sz="0" w:space="0" w:color="auto"/>
        <w:left w:val="none" w:sz="0" w:space="0" w:color="auto"/>
        <w:bottom w:val="none" w:sz="0" w:space="0" w:color="auto"/>
        <w:right w:val="none" w:sz="0" w:space="0" w:color="auto"/>
      </w:divBdr>
    </w:div>
    <w:div w:id="1490823679">
      <w:marLeft w:val="0"/>
      <w:marRight w:val="0"/>
      <w:marTop w:val="180"/>
      <w:marBottom w:val="180"/>
      <w:divBdr>
        <w:top w:val="none" w:sz="0" w:space="0" w:color="auto"/>
        <w:left w:val="none" w:sz="0" w:space="0" w:color="auto"/>
        <w:bottom w:val="none" w:sz="0" w:space="0" w:color="auto"/>
        <w:right w:val="none" w:sz="0" w:space="0" w:color="auto"/>
      </w:divBdr>
    </w:div>
    <w:div w:id="1491945393">
      <w:marLeft w:val="0"/>
      <w:marRight w:val="0"/>
      <w:marTop w:val="0"/>
      <w:marBottom w:val="0"/>
      <w:divBdr>
        <w:top w:val="none" w:sz="0" w:space="0" w:color="auto"/>
        <w:left w:val="none" w:sz="0" w:space="0" w:color="auto"/>
        <w:bottom w:val="none" w:sz="0" w:space="0" w:color="auto"/>
        <w:right w:val="none" w:sz="0" w:space="0" w:color="auto"/>
      </w:divBdr>
    </w:div>
    <w:div w:id="1493371569">
      <w:marLeft w:val="0"/>
      <w:marRight w:val="0"/>
      <w:marTop w:val="180"/>
      <w:marBottom w:val="0"/>
      <w:divBdr>
        <w:top w:val="none" w:sz="0" w:space="0" w:color="auto"/>
        <w:left w:val="none" w:sz="0" w:space="0" w:color="auto"/>
        <w:bottom w:val="none" w:sz="0" w:space="0" w:color="auto"/>
        <w:right w:val="none" w:sz="0" w:space="0" w:color="auto"/>
      </w:divBdr>
    </w:div>
    <w:div w:id="1493521718">
      <w:marLeft w:val="0"/>
      <w:marRight w:val="0"/>
      <w:marTop w:val="60"/>
      <w:marBottom w:val="0"/>
      <w:divBdr>
        <w:top w:val="none" w:sz="0" w:space="0" w:color="auto"/>
        <w:left w:val="none" w:sz="0" w:space="0" w:color="auto"/>
        <w:bottom w:val="none" w:sz="0" w:space="0" w:color="auto"/>
        <w:right w:val="none" w:sz="0" w:space="0" w:color="auto"/>
      </w:divBdr>
    </w:div>
    <w:div w:id="1496340022">
      <w:marLeft w:val="0"/>
      <w:marRight w:val="0"/>
      <w:marTop w:val="0"/>
      <w:marBottom w:val="0"/>
      <w:divBdr>
        <w:top w:val="none" w:sz="0" w:space="0" w:color="auto"/>
        <w:left w:val="none" w:sz="0" w:space="0" w:color="auto"/>
        <w:bottom w:val="none" w:sz="0" w:space="0" w:color="auto"/>
        <w:right w:val="none" w:sz="0" w:space="0" w:color="auto"/>
      </w:divBdr>
      <w:divsChild>
        <w:div w:id="8607259">
          <w:marLeft w:val="0"/>
          <w:marRight w:val="0"/>
          <w:marTop w:val="0"/>
          <w:marBottom w:val="0"/>
          <w:divBdr>
            <w:top w:val="none" w:sz="0" w:space="0" w:color="auto"/>
            <w:left w:val="none" w:sz="0" w:space="0" w:color="auto"/>
            <w:bottom w:val="none" w:sz="0" w:space="0" w:color="auto"/>
            <w:right w:val="none" w:sz="0" w:space="0" w:color="auto"/>
          </w:divBdr>
          <w:divsChild>
            <w:div w:id="3864918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8233094">
      <w:marLeft w:val="0"/>
      <w:marRight w:val="0"/>
      <w:marTop w:val="180"/>
      <w:marBottom w:val="180"/>
      <w:divBdr>
        <w:top w:val="none" w:sz="0" w:space="0" w:color="auto"/>
        <w:left w:val="none" w:sz="0" w:space="0" w:color="auto"/>
        <w:bottom w:val="none" w:sz="0" w:space="0" w:color="auto"/>
        <w:right w:val="none" w:sz="0" w:space="0" w:color="auto"/>
      </w:divBdr>
    </w:div>
    <w:div w:id="1499496147">
      <w:marLeft w:val="0"/>
      <w:marRight w:val="0"/>
      <w:marTop w:val="180"/>
      <w:marBottom w:val="180"/>
      <w:divBdr>
        <w:top w:val="none" w:sz="0" w:space="0" w:color="auto"/>
        <w:left w:val="none" w:sz="0" w:space="0" w:color="auto"/>
        <w:bottom w:val="none" w:sz="0" w:space="0" w:color="auto"/>
        <w:right w:val="none" w:sz="0" w:space="0" w:color="auto"/>
      </w:divBdr>
    </w:div>
    <w:div w:id="1500193711">
      <w:marLeft w:val="0"/>
      <w:marRight w:val="0"/>
      <w:marTop w:val="180"/>
      <w:marBottom w:val="180"/>
      <w:divBdr>
        <w:top w:val="none" w:sz="0" w:space="0" w:color="auto"/>
        <w:left w:val="none" w:sz="0" w:space="0" w:color="auto"/>
        <w:bottom w:val="none" w:sz="0" w:space="0" w:color="auto"/>
        <w:right w:val="none" w:sz="0" w:space="0" w:color="auto"/>
      </w:divBdr>
    </w:div>
    <w:div w:id="1501627508">
      <w:marLeft w:val="0"/>
      <w:marRight w:val="0"/>
      <w:marTop w:val="180"/>
      <w:marBottom w:val="180"/>
      <w:divBdr>
        <w:top w:val="none" w:sz="0" w:space="0" w:color="auto"/>
        <w:left w:val="none" w:sz="0" w:space="0" w:color="auto"/>
        <w:bottom w:val="none" w:sz="0" w:space="0" w:color="auto"/>
        <w:right w:val="none" w:sz="0" w:space="0" w:color="auto"/>
      </w:divBdr>
    </w:div>
    <w:div w:id="1501963383">
      <w:marLeft w:val="0"/>
      <w:marRight w:val="0"/>
      <w:marTop w:val="180"/>
      <w:marBottom w:val="180"/>
      <w:divBdr>
        <w:top w:val="none" w:sz="0" w:space="0" w:color="auto"/>
        <w:left w:val="none" w:sz="0" w:space="0" w:color="auto"/>
        <w:bottom w:val="none" w:sz="0" w:space="0" w:color="auto"/>
        <w:right w:val="none" w:sz="0" w:space="0" w:color="auto"/>
      </w:divBdr>
    </w:div>
    <w:div w:id="1502969591">
      <w:marLeft w:val="0"/>
      <w:marRight w:val="0"/>
      <w:marTop w:val="180"/>
      <w:marBottom w:val="180"/>
      <w:divBdr>
        <w:top w:val="none" w:sz="0" w:space="0" w:color="auto"/>
        <w:left w:val="none" w:sz="0" w:space="0" w:color="auto"/>
        <w:bottom w:val="none" w:sz="0" w:space="0" w:color="auto"/>
        <w:right w:val="none" w:sz="0" w:space="0" w:color="auto"/>
      </w:divBdr>
    </w:div>
    <w:div w:id="1503079613">
      <w:marLeft w:val="0"/>
      <w:marRight w:val="0"/>
      <w:marTop w:val="180"/>
      <w:marBottom w:val="60"/>
      <w:divBdr>
        <w:top w:val="none" w:sz="0" w:space="0" w:color="auto"/>
        <w:left w:val="none" w:sz="0" w:space="0" w:color="auto"/>
        <w:bottom w:val="none" w:sz="0" w:space="0" w:color="auto"/>
        <w:right w:val="none" w:sz="0" w:space="0" w:color="auto"/>
      </w:divBdr>
    </w:div>
    <w:div w:id="1503666791">
      <w:marLeft w:val="0"/>
      <w:marRight w:val="0"/>
      <w:marTop w:val="60"/>
      <w:marBottom w:val="60"/>
      <w:divBdr>
        <w:top w:val="none" w:sz="0" w:space="0" w:color="auto"/>
        <w:left w:val="none" w:sz="0" w:space="0" w:color="auto"/>
        <w:bottom w:val="none" w:sz="0" w:space="0" w:color="auto"/>
        <w:right w:val="none" w:sz="0" w:space="0" w:color="auto"/>
      </w:divBdr>
    </w:div>
    <w:div w:id="1503857024">
      <w:marLeft w:val="0"/>
      <w:marRight w:val="0"/>
      <w:marTop w:val="0"/>
      <w:marBottom w:val="0"/>
      <w:divBdr>
        <w:top w:val="none" w:sz="0" w:space="0" w:color="auto"/>
        <w:left w:val="none" w:sz="0" w:space="0" w:color="auto"/>
        <w:bottom w:val="none" w:sz="0" w:space="0" w:color="auto"/>
        <w:right w:val="none" w:sz="0" w:space="0" w:color="auto"/>
      </w:divBdr>
      <w:divsChild>
        <w:div w:id="1069156054">
          <w:marLeft w:val="0"/>
          <w:marRight w:val="0"/>
          <w:marTop w:val="60"/>
          <w:marBottom w:val="60"/>
          <w:divBdr>
            <w:top w:val="none" w:sz="0" w:space="0" w:color="auto"/>
            <w:left w:val="none" w:sz="0" w:space="0" w:color="auto"/>
            <w:bottom w:val="none" w:sz="0" w:space="0" w:color="auto"/>
            <w:right w:val="none" w:sz="0" w:space="0" w:color="auto"/>
          </w:divBdr>
        </w:div>
      </w:divsChild>
    </w:div>
    <w:div w:id="1506703436">
      <w:marLeft w:val="0"/>
      <w:marRight w:val="0"/>
      <w:marTop w:val="180"/>
      <w:marBottom w:val="180"/>
      <w:divBdr>
        <w:top w:val="none" w:sz="0" w:space="0" w:color="auto"/>
        <w:left w:val="none" w:sz="0" w:space="0" w:color="auto"/>
        <w:bottom w:val="none" w:sz="0" w:space="0" w:color="auto"/>
        <w:right w:val="none" w:sz="0" w:space="0" w:color="auto"/>
      </w:divBdr>
    </w:div>
    <w:div w:id="1509634728">
      <w:marLeft w:val="0"/>
      <w:marRight w:val="0"/>
      <w:marTop w:val="180"/>
      <w:marBottom w:val="180"/>
      <w:divBdr>
        <w:top w:val="none" w:sz="0" w:space="0" w:color="auto"/>
        <w:left w:val="none" w:sz="0" w:space="0" w:color="auto"/>
        <w:bottom w:val="none" w:sz="0" w:space="0" w:color="auto"/>
        <w:right w:val="none" w:sz="0" w:space="0" w:color="auto"/>
      </w:divBdr>
    </w:div>
    <w:div w:id="1509980101">
      <w:marLeft w:val="0"/>
      <w:marRight w:val="0"/>
      <w:marTop w:val="180"/>
      <w:marBottom w:val="180"/>
      <w:divBdr>
        <w:top w:val="none" w:sz="0" w:space="0" w:color="auto"/>
        <w:left w:val="none" w:sz="0" w:space="0" w:color="auto"/>
        <w:bottom w:val="none" w:sz="0" w:space="0" w:color="auto"/>
        <w:right w:val="none" w:sz="0" w:space="0" w:color="auto"/>
      </w:divBdr>
    </w:div>
    <w:div w:id="1510094626">
      <w:marLeft w:val="0"/>
      <w:marRight w:val="0"/>
      <w:marTop w:val="180"/>
      <w:marBottom w:val="60"/>
      <w:divBdr>
        <w:top w:val="none" w:sz="0" w:space="0" w:color="auto"/>
        <w:left w:val="none" w:sz="0" w:space="0" w:color="auto"/>
        <w:bottom w:val="none" w:sz="0" w:space="0" w:color="auto"/>
        <w:right w:val="none" w:sz="0" w:space="0" w:color="auto"/>
      </w:divBdr>
    </w:div>
    <w:div w:id="1510295867">
      <w:marLeft w:val="0"/>
      <w:marRight w:val="0"/>
      <w:marTop w:val="0"/>
      <w:marBottom w:val="0"/>
      <w:divBdr>
        <w:top w:val="none" w:sz="0" w:space="0" w:color="auto"/>
        <w:left w:val="none" w:sz="0" w:space="0" w:color="auto"/>
        <w:bottom w:val="none" w:sz="0" w:space="0" w:color="auto"/>
        <w:right w:val="none" w:sz="0" w:space="0" w:color="auto"/>
      </w:divBdr>
      <w:divsChild>
        <w:div w:id="1039084833">
          <w:marLeft w:val="0"/>
          <w:marRight w:val="0"/>
          <w:marTop w:val="60"/>
          <w:marBottom w:val="60"/>
          <w:divBdr>
            <w:top w:val="none" w:sz="0" w:space="0" w:color="auto"/>
            <w:left w:val="none" w:sz="0" w:space="0" w:color="auto"/>
            <w:bottom w:val="none" w:sz="0" w:space="0" w:color="auto"/>
            <w:right w:val="none" w:sz="0" w:space="0" w:color="auto"/>
          </w:divBdr>
        </w:div>
      </w:divsChild>
    </w:div>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3104070">
      <w:marLeft w:val="0"/>
      <w:marRight w:val="0"/>
      <w:marTop w:val="180"/>
      <w:marBottom w:val="180"/>
      <w:divBdr>
        <w:top w:val="none" w:sz="0" w:space="0" w:color="auto"/>
        <w:left w:val="none" w:sz="0" w:space="0" w:color="auto"/>
        <w:bottom w:val="none" w:sz="0" w:space="0" w:color="auto"/>
        <w:right w:val="none" w:sz="0" w:space="0" w:color="auto"/>
      </w:divBdr>
    </w:div>
    <w:div w:id="1513108798">
      <w:marLeft w:val="0"/>
      <w:marRight w:val="0"/>
      <w:marTop w:val="0"/>
      <w:marBottom w:val="0"/>
      <w:divBdr>
        <w:top w:val="none" w:sz="0" w:space="0" w:color="auto"/>
        <w:left w:val="none" w:sz="0" w:space="0" w:color="auto"/>
        <w:bottom w:val="none" w:sz="0" w:space="0" w:color="auto"/>
        <w:right w:val="none" w:sz="0" w:space="0" w:color="auto"/>
      </w:divBdr>
    </w:div>
    <w:div w:id="1514615212">
      <w:marLeft w:val="0"/>
      <w:marRight w:val="0"/>
      <w:marTop w:val="180"/>
      <w:marBottom w:val="180"/>
      <w:divBdr>
        <w:top w:val="none" w:sz="0" w:space="0" w:color="auto"/>
        <w:left w:val="none" w:sz="0" w:space="0" w:color="auto"/>
        <w:bottom w:val="none" w:sz="0" w:space="0" w:color="auto"/>
        <w:right w:val="none" w:sz="0" w:space="0" w:color="auto"/>
      </w:divBdr>
    </w:div>
    <w:div w:id="1514756691">
      <w:marLeft w:val="0"/>
      <w:marRight w:val="0"/>
      <w:marTop w:val="180"/>
      <w:marBottom w:val="180"/>
      <w:divBdr>
        <w:top w:val="none" w:sz="0" w:space="0" w:color="auto"/>
        <w:left w:val="none" w:sz="0" w:space="0" w:color="auto"/>
        <w:bottom w:val="none" w:sz="0" w:space="0" w:color="auto"/>
        <w:right w:val="none" w:sz="0" w:space="0" w:color="auto"/>
      </w:divBdr>
    </w:div>
    <w:div w:id="1515076903">
      <w:marLeft w:val="0"/>
      <w:marRight w:val="0"/>
      <w:marTop w:val="180"/>
      <w:marBottom w:val="180"/>
      <w:divBdr>
        <w:top w:val="none" w:sz="0" w:space="0" w:color="auto"/>
        <w:left w:val="none" w:sz="0" w:space="0" w:color="auto"/>
        <w:bottom w:val="none" w:sz="0" w:space="0" w:color="auto"/>
        <w:right w:val="none" w:sz="0" w:space="0" w:color="auto"/>
      </w:divBdr>
    </w:div>
    <w:div w:id="1516191795">
      <w:marLeft w:val="0"/>
      <w:marRight w:val="0"/>
      <w:marTop w:val="60"/>
      <w:marBottom w:val="60"/>
      <w:divBdr>
        <w:top w:val="none" w:sz="0" w:space="0" w:color="auto"/>
        <w:left w:val="none" w:sz="0" w:space="0" w:color="auto"/>
        <w:bottom w:val="none" w:sz="0" w:space="0" w:color="auto"/>
        <w:right w:val="none" w:sz="0" w:space="0" w:color="auto"/>
      </w:divBdr>
    </w:div>
    <w:div w:id="1516656237">
      <w:marLeft w:val="0"/>
      <w:marRight w:val="0"/>
      <w:marTop w:val="180"/>
      <w:marBottom w:val="180"/>
      <w:divBdr>
        <w:top w:val="none" w:sz="0" w:space="0" w:color="auto"/>
        <w:left w:val="none" w:sz="0" w:space="0" w:color="auto"/>
        <w:bottom w:val="none" w:sz="0" w:space="0" w:color="auto"/>
        <w:right w:val="none" w:sz="0" w:space="0" w:color="auto"/>
      </w:divBdr>
    </w:div>
    <w:div w:id="1517187347">
      <w:marLeft w:val="0"/>
      <w:marRight w:val="0"/>
      <w:marTop w:val="180"/>
      <w:marBottom w:val="180"/>
      <w:divBdr>
        <w:top w:val="none" w:sz="0" w:space="0" w:color="auto"/>
        <w:left w:val="none" w:sz="0" w:space="0" w:color="auto"/>
        <w:bottom w:val="none" w:sz="0" w:space="0" w:color="auto"/>
        <w:right w:val="none" w:sz="0" w:space="0" w:color="auto"/>
      </w:divBdr>
    </w:div>
    <w:div w:id="1519001327">
      <w:marLeft w:val="0"/>
      <w:marRight w:val="0"/>
      <w:marTop w:val="60"/>
      <w:marBottom w:val="60"/>
      <w:divBdr>
        <w:top w:val="none" w:sz="0" w:space="0" w:color="auto"/>
        <w:left w:val="none" w:sz="0" w:space="0" w:color="auto"/>
        <w:bottom w:val="none" w:sz="0" w:space="0" w:color="auto"/>
        <w:right w:val="none" w:sz="0" w:space="0" w:color="auto"/>
      </w:divBdr>
      <w:divsChild>
        <w:div w:id="2136675372">
          <w:marLeft w:val="0"/>
          <w:marRight w:val="0"/>
          <w:marTop w:val="0"/>
          <w:marBottom w:val="0"/>
          <w:divBdr>
            <w:top w:val="none" w:sz="0" w:space="0" w:color="auto"/>
            <w:left w:val="none" w:sz="0" w:space="0" w:color="auto"/>
            <w:bottom w:val="none" w:sz="0" w:space="0" w:color="auto"/>
            <w:right w:val="none" w:sz="0" w:space="0" w:color="auto"/>
          </w:divBdr>
        </w:div>
        <w:div w:id="1621182477">
          <w:marLeft w:val="0"/>
          <w:marRight w:val="0"/>
          <w:marTop w:val="0"/>
          <w:marBottom w:val="0"/>
          <w:divBdr>
            <w:top w:val="none" w:sz="0" w:space="0" w:color="auto"/>
            <w:left w:val="none" w:sz="0" w:space="0" w:color="auto"/>
            <w:bottom w:val="none" w:sz="0" w:space="0" w:color="auto"/>
            <w:right w:val="none" w:sz="0" w:space="0" w:color="auto"/>
          </w:divBdr>
        </w:div>
        <w:div w:id="1011175549">
          <w:marLeft w:val="0"/>
          <w:marRight w:val="0"/>
          <w:marTop w:val="0"/>
          <w:marBottom w:val="0"/>
          <w:divBdr>
            <w:top w:val="none" w:sz="0" w:space="0" w:color="auto"/>
            <w:left w:val="none" w:sz="0" w:space="0" w:color="auto"/>
            <w:bottom w:val="none" w:sz="0" w:space="0" w:color="auto"/>
            <w:right w:val="none" w:sz="0" w:space="0" w:color="auto"/>
          </w:divBdr>
        </w:div>
        <w:div w:id="2012483761">
          <w:marLeft w:val="0"/>
          <w:marRight w:val="0"/>
          <w:marTop w:val="0"/>
          <w:marBottom w:val="0"/>
          <w:divBdr>
            <w:top w:val="none" w:sz="0" w:space="0" w:color="auto"/>
            <w:left w:val="none" w:sz="0" w:space="0" w:color="auto"/>
            <w:bottom w:val="none" w:sz="0" w:space="0" w:color="auto"/>
            <w:right w:val="none" w:sz="0" w:space="0" w:color="auto"/>
          </w:divBdr>
        </w:div>
        <w:div w:id="1558200082">
          <w:marLeft w:val="0"/>
          <w:marRight w:val="0"/>
          <w:marTop w:val="0"/>
          <w:marBottom w:val="0"/>
          <w:divBdr>
            <w:top w:val="none" w:sz="0" w:space="0" w:color="auto"/>
            <w:left w:val="none" w:sz="0" w:space="0" w:color="auto"/>
            <w:bottom w:val="none" w:sz="0" w:space="0" w:color="auto"/>
            <w:right w:val="none" w:sz="0" w:space="0" w:color="auto"/>
          </w:divBdr>
        </w:div>
        <w:div w:id="842007966">
          <w:marLeft w:val="0"/>
          <w:marRight w:val="0"/>
          <w:marTop w:val="0"/>
          <w:marBottom w:val="0"/>
          <w:divBdr>
            <w:top w:val="none" w:sz="0" w:space="0" w:color="auto"/>
            <w:left w:val="none" w:sz="0" w:space="0" w:color="auto"/>
            <w:bottom w:val="none" w:sz="0" w:space="0" w:color="auto"/>
            <w:right w:val="none" w:sz="0" w:space="0" w:color="auto"/>
          </w:divBdr>
        </w:div>
      </w:divsChild>
    </w:div>
    <w:div w:id="1519584980">
      <w:marLeft w:val="0"/>
      <w:marRight w:val="0"/>
      <w:marTop w:val="60"/>
      <w:marBottom w:val="0"/>
      <w:divBdr>
        <w:top w:val="none" w:sz="0" w:space="0" w:color="auto"/>
        <w:left w:val="none" w:sz="0" w:space="0" w:color="auto"/>
        <w:bottom w:val="none" w:sz="0" w:space="0" w:color="auto"/>
        <w:right w:val="none" w:sz="0" w:space="0" w:color="auto"/>
      </w:divBdr>
    </w:div>
    <w:div w:id="1521435857">
      <w:marLeft w:val="0"/>
      <w:marRight w:val="0"/>
      <w:marTop w:val="180"/>
      <w:marBottom w:val="180"/>
      <w:divBdr>
        <w:top w:val="none" w:sz="0" w:space="0" w:color="auto"/>
        <w:left w:val="none" w:sz="0" w:space="0" w:color="auto"/>
        <w:bottom w:val="none" w:sz="0" w:space="0" w:color="auto"/>
        <w:right w:val="none" w:sz="0" w:space="0" w:color="auto"/>
      </w:divBdr>
    </w:div>
    <w:div w:id="1523594913">
      <w:marLeft w:val="0"/>
      <w:marRight w:val="0"/>
      <w:marTop w:val="180"/>
      <w:marBottom w:val="180"/>
      <w:divBdr>
        <w:top w:val="none" w:sz="0" w:space="0" w:color="auto"/>
        <w:left w:val="none" w:sz="0" w:space="0" w:color="auto"/>
        <w:bottom w:val="none" w:sz="0" w:space="0" w:color="auto"/>
        <w:right w:val="none" w:sz="0" w:space="0" w:color="auto"/>
      </w:divBdr>
    </w:div>
    <w:div w:id="1524713051">
      <w:marLeft w:val="0"/>
      <w:marRight w:val="0"/>
      <w:marTop w:val="180"/>
      <w:marBottom w:val="180"/>
      <w:divBdr>
        <w:top w:val="none" w:sz="0" w:space="0" w:color="auto"/>
        <w:left w:val="none" w:sz="0" w:space="0" w:color="auto"/>
        <w:bottom w:val="none" w:sz="0" w:space="0" w:color="auto"/>
        <w:right w:val="none" w:sz="0" w:space="0" w:color="auto"/>
      </w:divBdr>
    </w:div>
    <w:div w:id="1524785131">
      <w:marLeft w:val="0"/>
      <w:marRight w:val="0"/>
      <w:marTop w:val="180"/>
      <w:marBottom w:val="180"/>
      <w:divBdr>
        <w:top w:val="none" w:sz="0" w:space="0" w:color="auto"/>
        <w:left w:val="none" w:sz="0" w:space="0" w:color="auto"/>
        <w:bottom w:val="none" w:sz="0" w:space="0" w:color="auto"/>
        <w:right w:val="none" w:sz="0" w:space="0" w:color="auto"/>
      </w:divBdr>
    </w:div>
    <w:div w:id="1524858385">
      <w:marLeft w:val="0"/>
      <w:marRight w:val="0"/>
      <w:marTop w:val="60"/>
      <w:marBottom w:val="60"/>
      <w:divBdr>
        <w:top w:val="none" w:sz="0" w:space="0" w:color="auto"/>
        <w:left w:val="none" w:sz="0" w:space="0" w:color="auto"/>
        <w:bottom w:val="none" w:sz="0" w:space="0" w:color="auto"/>
        <w:right w:val="none" w:sz="0" w:space="0" w:color="auto"/>
      </w:divBdr>
    </w:div>
    <w:div w:id="1525905351">
      <w:marLeft w:val="0"/>
      <w:marRight w:val="0"/>
      <w:marTop w:val="180"/>
      <w:marBottom w:val="180"/>
      <w:divBdr>
        <w:top w:val="none" w:sz="0" w:space="0" w:color="auto"/>
        <w:left w:val="none" w:sz="0" w:space="0" w:color="auto"/>
        <w:bottom w:val="none" w:sz="0" w:space="0" w:color="auto"/>
        <w:right w:val="none" w:sz="0" w:space="0" w:color="auto"/>
      </w:divBdr>
    </w:div>
    <w:div w:id="1527593108">
      <w:marLeft w:val="0"/>
      <w:marRight w:val="0"/>
      <w:marTop w:val="60"/>
      <w:marBottom w:val="60"/>
      <w:divBdr>
        <w:top w:val="none" w:sz="0" w:space="0" w:color="auto"/>
        <w:left w:val="none" w:sz="0" w:space="0" w:color="auto"/>
        <w:bottom w:val="none" w:sz="0" w:space="0" w:color="auto"/>
        <w:right w:val="none" w:sz="0" w:space="0" w:color="auto"/>
      </w:divBdr>
    </w:div>
    <w:div w:id="1528174833">
      <w:marLeft w:val="0"/>
      <w:marRight w:val="0"/>
      <w:marTop w:val="180"/>
      <w:marBottom w:val="180"/>
      <w:divBdr>
        <w:top w:val="none" w:sz="0" w:space="0" w:color="auto"/>
        <w:left w:val="none" w:sz="0" w:space="0" w:color="auto"/>
        <w:bottom w:val="none" w:sz="0" w:space="0" w:color="auto"/>
        <w:right w:val="none" w:sz="0" w:space="0" w:color="auto"/>
      </w:divBdr>
    </w:div>
    <w:div w:id="1529876944">
      <w:marLeft w:val="0"/>
      <w:marRight w:val="0"/>
      <w:marTop w:val="180"/>
      <w:marBottom w:val="180"/>
      <w:divBdr>
        <w:top w:val="none" w:sz="0" w:space="0" w:color="auto"/>
        <w:left w:val="none" w:sz="0" w:space="0" w:color="auto"/>
        <w:bottom w:val="none" w:sz="0" w:space="0" w:color="auto"/>
        <w:right w:val="none" w:sz="0" w:space="0" w:color="auto"/>
      </w:divBdr>
    </w:div>
    <w:div w:id="1530607271">
      <w:marLeft w:val="0"/>
      <w:marRight w:val="0"/>
      <w:marTop w:val="180"/>
      <w:marBottom w:val="180"/>
      <w:divBdr>
        <w:top w:val="none" w:sz="0" w:space="0" w:color="auto"/>
        <w:left w:val="none" w:sz="0" w:space="0" w:color="auto"/>
        <w:bottom w:val="none" w:sz="0" w:space="0" w:color="auto"/>
        <w:right w:val="none" w:sz="0" w:space="0" w:color="auto"/>
      </w:divBdr>
    </w:div>
    <w:div w:id="1531600197">
      <w:marLeft w:val="0"/>
      <w:marRight w:val="0"/>
      <w:marTop w:val="180"/>
      <w:marBottom w:val="180"/>
      <w:divBdr>
        <w:top w:val="none" w:sz="0" w:space="0" w:color="auto"/>
        <w:left w:val="none" w:sz="0" w:space="0" w:color="auto"/>
        <w:bottom w:val="none" w:sz="0" w:space="0" w:color="auto"/>
        <w:right w:val="none" w:sz="0" w:space="0" w:color="auto"/>
      </w:divBdr>
    </w:div>
    <w:div w:id="1532575446">
      <w:marLeft w:val="0"/>
      <w:marRight w:val="0"/>
      <w:marTop w:val="100"/>
      <w:marBottom w:val="60"/>
      <w:divBdr>
        <w:top w:val="none" w:sz="0" w:space="0" w:color="auto"/>
        <w:left w:val="none" w:sz="0" w:space="0" w:color="auto"/>
        <w:bottom w:val="none" w:sz="0" w:space="0" w:color="auto"/>
        <w:right w:val="none" w:sz="0" w:space="0" w:color="auto"/>
      </w:divBdr>
    </w:div>
    <w:div w:id="1533685349">
      <w:marLeft w:val="0"/>
      <w:marRight w:val="0"/>
      <w:marTop w:val="180"/>
      <w:marBottom w:val="180"/>
      <w:divBdr>
        <w:top w:val="none" w:sz="0" w:space="0" w:color="auto"/>
        <w:left w:val="none" w:sz="0" w:space="0" w:color="auto"/>
        <w:bottom w:val="none" w:sz="0" w:space="0" w:color="auto"/>
        <w:right w:val="none" w:sz="0" w:space="0" w:color="auto"/>
      </w:divBdr>
    </w:div>
    <w:div w:id="1533811221">
      <w:marLeft w:val="0"/>
      <w:marRight w:val="0"/>
      <w:marTop w:val="60"/>
      <w:marBottom w:val="60"/>
      <w:divBdr>
        <w:top w:val="none" w:sz="0" w:space="0" w:color="auto"/>
        <w:left w:val="none" w:sz="0" w:space="0" w:color="auto"/>
        <w:bottom w:val="none" w:sz="0" w:space="0" w:color="auto"/>
        <w:right w:val="none" w:sz="0" w:space="0" w:color="auto"/>
      </w:divBdr>
    </w:div>
    <w:div w:id="1536499380">
      <w:marLeft w:val="0"/>
      <w:marRight w:val="0"/>
      <w:marTop w:val="180"/>
      <w:marBottom w:val="180"/>
      <w:divBdr>
        <w:top w:val="none" w:sz="0" w:space="0" w:color="auto"/>
        <w:left w:val="none" w:sz="0" w:space="0" w:color="auto"/>
        <w:bottom w:val="none" w:sz="0" w:space="0" w:color="auto"/>
        <w:right w:val="none" w:sz="0" w:space="0" w:color="auto"/>
      </w:divBdr>
    </w:div>
    <w:div w:id="1537309453">
      <w:marLeft w:val="0"/>
      <w:marRight w:val="0"/>
      <w:marTop w:val="0"/>
      <w:marBottom w:val="0"/>
      <w:divBdr>
        <w:top w:val="none" w:sz="0" w:space="0" w:color="auto"/>
        <w:left w:val="none" w:sz="0" w:space="0" w:color="auto"/>
        <w:bottom w:val="none" w:sz="0" w:space="0" w:color="auto"/>
        <w:right w:val="none" w:sz="0" w:space="0" w:color="auto"/>
      </w:divBdr>
    </w:div>
    <w:div w:id="1538589039">
      <w:marLeft w:val="0"/>
      <w:marRight w:val="0"/>
      <w:marTop w:val="60"/>
      <w:marBottom w:val="60"/>
      <w:divBdr>
        <w:top w:val="none" w:sz="0" w:space="0" w:color="auto"/>
        <w:left w:val="none" w:sz="0" w:space="0" w:color="auto"/>
        <w:bottom w:val="none" w:sz="0" w:space="0" w:color="auto"/>
        <w:right w:val="none" w:sz="0" w:space="0" w:color="auto"/>
      </w:divBdr>
    </w:div>
    <w:div w:id="1539049589">
      <w:marLeft w:val="0"/>
      <w:marRight w:val="0"/>
      <w:marTop w:val="60"/>
      <w:marBottom w:val="60"/>
      <w:divBdr>
        <w:top w:val="none" w:sz="0" w:space="0" w:color="auto"/>
        <w:left w:val="none" w:sz="0" w:space="0" w:color="auto"/>
        <w:bottom w:val="none" w:sz="0" w:space="0" w:color="auto"/>
        <w:right w:val="none" w:sz="0" w:space="0" w:color="auto"/>
      </w:divBdr>
    </w:div>
    <w:div w:id="1539197550">
      <w:marLeft w:val="0"/>
      <w:marRight w:val="0"/>
      <w:marTop w:val="180"/>
      <w:marBottom w:val="180"/>
      <w:divBdr>
        <w:top w:val="none" w:sz="0" w:space="0" w:color="auto"/>
        <w:left w:val="none" w:sz="0" w:space="0" w:color="auto"/>
        <w:bottom w:val="none" w:sz="0" w:space="0" w:color="auto"/>
        <w:right w:val="none" w:sz="0" w:space="0" w:color="auto"/>
      </w:divBdr>
    </w:div>
    <w:div w:id="1539509756">
      <w:marLeft w:val="0"/>
      <w:marRight w:val="0"/>
      <w:marTop w:val="180"/>
      <w:marBottom w:val="180"/>
      <w:divBdr>
        <w:top w:val="none" w:sz="0" w:space="0" w:color="auto"/>
        <w:left w:val="none" w:sz="0" w:space="0" w:color="auto"/>
        <w:bottom w:val="none" w:sz="0" w:space="0" w:color="auto"/>
        <w:right w:val="none" w:sz="0" w:space="0" w:color="auto"/>
      </w:divBdr>
    </w:div>
    <w:div w:id="1539706936">
      <w:marLeft w:val="0"/>
      <w:marRight w:val="0"/>
      <w:marTop w:val="100"/>
      <w:marBottom w:val="100"/>
      <w:divBdr>
        <w:top w:val="none" w:sz="0" w:space="0" w:color="auto"/>
        <w:left w:val="none" w:sz="0" w:space="0" w:color="auto"/>
        <w:bottom w:val="none" w:sz="0" w:space="0" w:color="auto"/>
        <w:right w:val="none" w:sz="0" w:space="0" w:color="auto"/>
      </w:divBdr>
    </w:div>
    <w:div w:id="1541698975">
      <w:marLeft w:val="0"/>
      <w:marRight w:val="0"/>
      <w:marTop w:val="0"/>
      <w:marBottom w:val="0"/>
      <w:divBdr>
        <w:top w:val="none" w:sz="0" w:space="0" w:color="auto"/>
        <w:left w:val="none" w:sz="0" w:space="0" w:color="auto"/>
        <w:bottom w:val="none" w:sz="0" w:space="0" w:color="auto"/>
        <w:right w:val="none" w:sz="0" w:space="0" w:color="auto"/>
      </w:divBdr>
    </w:div>
    <w:div w:id="1542937615">
      <w:marLeft w:val="0"/>
      <w:marRight w:val="0"/>
      <w:marTop w:val="180"/>
      <w:marBottom w:val="0"/>
      <w:divBdr>
        <w:top w:val="none" w:sz="0" w:space="0" w:color="auto"/>
        <w:left w:val="none" w:sz="0" w:space="0" w:color="auto"/>
        <w:bottom w:val="none" w:sz="0" w:space="0" w:color="auto"/>
        <w:right w:val="none" w:sz="0" w:space="0" w:color="auto"/>
      </w:divBdr>
    </w:div>
    <w:div w:id="1543975533">
      <w:marLeft w:val="0"/>
      <w:marRight w:val="0"/>
      <w:marTop w:val="0"/>
      <w:marBottom w:val="0"/>
      <w:divBdr>
        <w:top w:val="none" w:sz="0" w:space="0" w:color="auto"/>
        <w:left w:val="none" w:sz="0" w:space="0" w:color="auto"/>
        <w:bottom w:val="none" w:sz="0" w:space="0" w:color="auto"/>
        <w:right w:val="none" w:sz="0" w:space="0" w:color="auto"/>
      </w:divBdr>
    </w:div>
    <w:div w:id="1544291016">
      <w:marLeft w:val="0"/>
      <w:marRight w:val="0"/>
      <w:marTop w:val="180"/>
      <w:marBottom w:val="180"/>
      <w:divBdr>
        <w:top w:val="none" w:sz="0" w:space="0" w:color="auto"/>
        <w:left w:val="none" w:sz="0" w:space="0" w:color="auto"/>
        <w:bottom w:val="none" w:sz="0" w:space="0" w:color="auto"/>
        <w:right w:val="none" w:sz="0" w:space="0" w:color="auto"/>
      </w:divBdr>
    </w:div>
    <w:div w:id="1544563708">
      <w:marLeft w:val="0"/>
      <w:marRight w:val="0"/>
      <w:marTop w:val="180"/>
      <w:marBottom w:val="180"/>
      <w:divBdr>
        <w:top w:val="none" w:sz="0" w:space="0" w:color="auto"/>
        <w:left w:val="none" w:sz="0" w:space="0" w:color="auto"/>
        <w:bottom w:val="none" w:sz="0" w:space="0" w:color="auto"/>
        <w:right w:val="none" w:sz="0" w:space="0" w:color="auto"/>
      </w:divBdr>
    </w:div>
    <w:div w:id="1544631829">
      <w:marLeft w:val="0"/>
      <w:marRight w:val="0"/>
      <w:marTop w:val="0"/>
      <w:marBottom w:val="0"/>
      <w:divBdr>
        <w:top w:val="none" w:sz="0" w:space="0" w:color="auto"/>
        <w:left w:val="none" w:sz="0" w:space="0" w:color="auto"/>
        <w:bottom w:val="none" w:sz="0" w:space="0" w:color="auto"/>
        <w:right w:val="none" w:sz="0" w:space="0" w:color="auto"/>
      </w:divBdr>
      <w:divsChild>
        <w:div w:id="1281835595">
          <w:marLeft w:val="0"/>
          <w:marRight w:val="0"/>
          <w:marTop w:val="0"/>
          <w:marBottom w:val="0"/>
          <w:divBdr>
            <w:top w:val="none" w:sz="0" w:space="0" w:color="auto"/>
            <w:left w:val="none" w:sz="0" w:space="0" w:color="auto"/>
            <w:bottom w:val="none" w:sz="0" w:space="0" w:color="auto"/>
            <w:right w:val="none" w:sz="0" w:space="0" w:color="auto"/>
          </w:divBdr>
          <w:divsChild>
            <w:div w:id="130588599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6598373">
      <w:marLeft w:val="0"/>
      <w:marRight w:val="0"/>
      <w:marTop w:val="180"/>
      <w:marBottom w:val="180"/>
      <w:divBdr>
        <w:top w:val="none" w:sz="0" w:space="0" w:color="auto"/>
        <w:left w:val="none" w:sz="0" w:space="0" w:color="auto"/>
        <w:bottom w:val="none" w:sz="0" w:space="0" w:color="auto"/>
        <w:right w:val="none" w:sz="0" w:space="0" w:color="auto"/>
      </w:divBdr>
    </w:div>
    <w:div w:id="1547259310">
      <w:marLeft w:val="0"/>
      <w:marRight w:val="0"/>
      <w:marTop w:val="180"/>
      <w:marBottom w:val="180"/>
      <w:divBdr>
        <w:top w:val="none" w:sz="0" w:space="0" w:color="auto"/>
        <w:left w:val="none" w:sz="0" w:space="0" w:color="auto"/>
        <w:bottom w:val="none" w:sz="0" w:space="0" w:color="auto"/>
        <w:right w:val="none" w:sz="0" w:space="0" w:color="auto"/>
      </w:divBdr>
    </w:div>
    <w:div w:id="1547334652">
      <w:marLeft w:val="0"/>
      <w:marRight w:val="0"/>
      <w:marTop w:val="180"/>
      <w:marBottom w:val="180"/>
      <w:divBdr>
        <w:top w:val="none" w:sz="0" w:space="0" w:color="auto"/>
        <w:left w:val="none" w:sz="0" w:space="0" w:color="auto"/>
        <w:bottom w:val="none" w:sz="0" w:space="0" w:color="auto"/>
        <w:right w:val="none" w:sz="0" w:space="0" w:color="auto"/>
      </w:divBdr>
    </w:div>
    <w:div w:id="1548494169">
      <w:marLeft w:val="0"/>
      <w:marRight w:val="0"/>
      <w:marTop w:val="180"/>
      <w:marBottom w:val="180"/>
      <w:divBdr>
        <w:top w:val="none" w:sz="0" w:space="0" w:color="auto"/>
        <w:left w:val="none" w:sz="0" w:space="0" w:color="auto"/>
        <w:bottom w:val="none" w:sz="0" w:space="0" w:color="auto"/>
        <w:right w:val="none" w:sz="0" w:space="0" w:color="auto"/>
      </w:divBdr>
    </w:div>
    <w:div w:id="1549799922">
      <w:marLeft w:val="0"/>
      <w:marRight w:val="0"/>
      <w:marTop w:val="180"/>
      <w:marBottom w:val="180"/>
      <w:divBdr>
        <w:top w:val="none" w:sz="0" w:space="0" w:color="auto"/>
        <w:left w:val="none" w:sz="0" w:space="0" w:color="auto"/>
        <w:bottom w:val="none" w:sz="0" w:space="0" w:color="auto"/>
        <w:right w:val="none" w:sz="0" w:space="0" w:color="auto"/>
      </w:divBdr>
    </w:div>
    <w:div w:id="1551721559">
      <w:marLeft w:val="0"/>
      <w:marRight w:val="0"/>
      <w:marTop w:val="180"/>
      <w:marBottom w:val="180"/>
      <w:divBdr>
        <w:top w:val="none" w:sz="0" w:space="0" w:color="auto"/>
        <w:left w:val="none" w:sz="0" w:space="0" w:color="auto"/>
        <w:bottom w:val="none" w:sz="0" w:space="0" w:color="auto"/>
        <w:right w:val="none" w:sz="0" w:space="0" w:color="auto"/>
      </w:divBdr>
    </w:div>
    <w:div w:id="1551767669">
      <w:marLeft w:val="0"/>
      <w:marRight w:val="0"/>
      <w:marTop w:val="60"/>
      <w:marBottom w:val="60"/>
      <w:divBdr>
        <w:top w:val="none" w:sz="0" w:space="0" w:color="auto"/>
        <w:left w:val="none" w:sz="0" w:space="0" w:color="auto"/>
        <w:bottom w:val="none" w:sz="0" w:space="0" w:color="auto"/>
        <w:right w:val="none" w:sz="0" w:space="0" w:color="auto"/>
      </w:divBdr>
      <w:divsChild>
        <w:div w:id="1103767301">
          <w:marLeft w:val="0"/>
          <w:marRight w:val="0"/>
          <w:marTop w:val="0"/>
          <w:marBottom w:val="0"/>
          <w:divBdr>
            <w:top w:val="none" w:sz="0" w:space="0" w:color="auto"/>
            <w:left w:val="none" w:sz="0" w:space="0" w:color="auto"/>
            <w:bottom w:val="none" w:sz="0" w:space="0" w:color="auto"/>
            <w:right w:val="none" w:sz="0" w:space="0" w:color="auto"/>
          </w:divBdr>
        </w:div>
      </w:divsChild>
    </w:div>
    <w:div w:id="1552570372">
      <w:marLeft w:val="0"/>
      <w:marRight w:val="0"/>
      <w:marTop w:val="180"/>
      <w:marBottom w:val="180"/>
      <w:divBdr>
        <w:top w:val="none" w:sz="0" w:space="0" w:color="auto"/>
        <w:left w:val="none" w:sz="0" w:space="0" w:color="auto"/>
        <w:bottom w:val="none" w:sz="0" w:space="0" w:color="auto"/>
        <w:right w:val="none" w:sz="0" w:space="0" w:color="auto"/>
      </w:divBdr>
    </w:div>
    <w:div w:id="1553076564">
      <w:marLeft w:val="0"/>
      <w:marRight w:val="0"/>
      <w:marTop w:val="180"/>
      <w:marBottom w:val="180"/>
      <w:divBdr>
        <w:top w:val="none" w:sz="0" w:space="0" w:color="auto"/>
        <w:left w:val="none" w:sz="0" w:space="0" w:color="auto"/>
        <w:bottom w:val="none" w:sz="0" w:space="0" w:color="auto"/>
        <w:right w:val="none" w:sz="0" w:space="0" w:color="auto"/>
      </w:divBdr>
    </w:div>
    <w:div w:id="1554349933">
      <w:marLeft w:val="0"/>
      <w:marRight w:val="0"/>
      <w:marTop w:val="60"/>
      <w:marBottom w:val="60"/>
      <w:divBdr>
        <w:top w:val="none" w:sz="0" w:space="0" w:color="auto"/>
        <w:left w:val="none" w:sz="0" w:space="0" w:color="auto"/>
        <w:bottom w:val="none" w:sz="0" w:space="0" w:color="auto"/>
        <w:right w:val="none" w:sz="0" w:space="0" w:color="auto"/>
      </w:divBdr>
    </w:div>
    <w:div w:id="1554853485">
      <w:marLeft w:val="0"/>
      <w:marRight w:val="0"/>
      <w:marTop w:val="0"/>
      <w:marBottom w:val="0"/>
      <w:divBdr>
        <w:top w:val="none" w:sz="0" w:space="0" w:color="auto"/>
        <w:left w:val="none" w:sz="0" w:space="0" w:color="auto"/>
        <w:bottom w:val="none" w:sz="0" w:space="0" w:color="auto"/>
        <w:right w:val="none" w:sz="0" w:space="0" w:color="auto"/>
      </w:divBdr>
    </w:div>
    <w:div w:id="1556044959">
      <w:marLeft w:val="0"/>
      <w:marRight w:val="0"/>
      <w:marTop w:val="180"/>
      <w:marBottom w:val="180"/>
      <w:divBdr>
        <w:top w:val="none" w:sz="0" w:space="0" w:color="auto"/>
        <w:left w:val="none" w:sz="0" w:space="0" w:color="auto"/>
        <w:bottom w:val="none" w:sz="0" w:space="0" w:color="auto"/>
        <w:right w:val="none" w:sz="0" w:space="0" w:color="auto"/>
      </w:divBdr>
    </w:div>
    <w:div w:id="1556235682">
      <w:marLeft w:val="0"/>
      <w:marRight w:val="0"/>
      <w:marTop w:val="0"/>
      <w:marBottom w:val="0"/>
      <w:divBdr>
        <w:top w:val="none" w:sz="0" w:space="0" w:color="auto"/>
        <w:left w:val="none" w:sz="0" w:space="0" w:color="auto"/>
        <w:bottom w:val="none" w:sz="0" w:space="0" w:color="auto"/>
        <w:right w:val="none" w:sz="0" w:space="0" w:color="auto"/>
      </w:divBdr>
      <w:divsChild>
        <w:div w:id="1853182210">
          <w:marLeft w:val="0"/>
          <w:marRight w:val="0"/>
          <w:marTop w:val="0"/>
          <w:marBottom w:val="0"/>
          <w:divBdr>
            <w:top w:val="none" w:sz="0" w:space="0" w:color="auto"/>
            <w:left w:val="none" w:sz="0" w:space="0" w:color="auto"/>
            <w:bottom w:val="none" w:sz="0" w:space="0" w:color="auto"/>
            <w:right w:val="none" w:sz="0" w:space="0" w:color="auto"/>
          </w:divBdr>
          <w:divsChild>
            <w:div w:id="12587112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7274976">
      <w:marLeft w:val="0"/>
      <w:marRight w:val="0"/>
      <w:marTop w:val="180"/>
      <w:marBottom w:val="180"/>
      <w:divBdr>
        <w:top w:val="none" w:sz="0" w:space="0" w:color="auto"/>
        <w:left w:val="none" w:sz="0" w:space="0" w:color="auto"/>
        <w:bottom w:val="none" w:sz="0" w:space="0" w:color="auto"/>
        <w:right w:val="none" w:sz="0" w:space="0" w:color="auto"/>
      </w:divBdr>
    </w:div>
    <w:div w:id="1557276640">
      <w:marLeft w:val="0"/>
      <w:marRight w:val="0"/>
      <w:marTop w:val="180"/>
      <w:marBottom w:val="180"/>
      <w:divBdr>
        <w:top w:val="none" w:sz="0" w:space="0" w:color="auto"/>
        <w:left w:val="none" w:sz="0" w:space="0" w:color="auto"/>
        <w:bottom w:val="none" w:sz="0" w:space="0" w:color="auto"/>
        <w:right w:val="none" w:sz="0" w:space="0" w:color="auto"/>
      </w:divBdr>
    </w:div>
    <w:div w:id="1558660932">
      <w:marLeft w:val="0"/>
      <w:marRight w:val="0"/>
      <w:marTop w:val="0"/>
      <w:marBottom w:val="160"/>
      <w:divBdr>
        <w:top w:val="none" w:sz="0" w:space="0" w:color="auto"/>
        <w:left w:val="none" w:sz="0" w:space="0" w:color="auto"/>
        <w:bottom w:val="none" w:sz="0" w:space="0" w:color="auto"/>
        <w:right w:val="none" w:sz="0" w:space="0" w:color="auto"/>
      </w:divBdr>
    </w:div>
    <w:div w:id="1558664300">
      <w:marLeft w:val="0"/>
      <w:marRight w:val="0"/>
      <w:marTop w:val="180"/>
      <w:marBottom w:val="180"/>
      <w:divBdr>
        <w:top w:val="none" w:sz="0" w:space="0" w:color="auto"/>
        <w:left w:val="none" w:sz="0" w:space="0" w:color="auto"/>
        <w:bottom w:val="none" w:sz="0" w:space="0" w:color="auto"/>
        <w:right w:val="none" w:sz="0" w:space="0" w:color="auto"/>
      </w:divBdr>
    </w:div>
    <w:div w:id="1559707612">
      <w:marLeft w:val="0"/>
      <w:marRight w:val="0"/>
      <w:marTop w:val="0"/>
      <w:marBottom w:val="0"/>
      <w:divBdr>
        <w:top w:val="none" w:sz="0" w:space="0" w:color="auto"/>
        <w:left w:val="none" w:sz="0" w:space="0" w:color="auto"/>
        <w:bottom w:val="none" w:sz="0" w:space="0" w:color="auto"/>
        <w:right w:val="none" w:sz="0" w:space="0" w:color="auto"/>
      </w:divBdr>
    </w:div>
    <w:div w:id="1560047710">
      <w:marLeft w:val="0"/>
      <w:marRight w:val="0"/>
      <w:marTop w:val="0"/>
      <w:marBottom w:val="0"/>
      <w:divBdr>
        <w:top w:val="none" w:sz="0" w:space="0" w:color="auto"/>
        <w:left w:val="none" w:sz="0" w:space="0" w:color="auto"/>
        <w:bottom w:val="none" w:sz="0" w:space="0" w:color="auto"/>
        <w:right w:val="none" w:sz="0" w:space="0" w:color="auto"/>
      </w:divBdr>
    </w:div>
    <w:div w:id="1560746577">
      <w:marLeft w:val="0"/>
      <w:marRight w:val="0"/>
      <w:marTop w:val="0"/>
      <w:marBottom w:val="0"/>
      <w:divBdr>
        <w:top w:val="none" w:sz="0" w:space="0" w:color="auto"/>
        <w:left w:val="none" w:sz="0" w:space="0" w:color="auto"/>
        <w:bottom w:val="none" w:sz="0" w:space="0" w:color="auto"/>
        <w:right w:val="none" w:sz="0" w:space="0" w:color="auto"/>
      </w:divBdr>
      <w:divsChild>
        <w:div w:id="1650744586">
          <w:marLeft w:val="0"/>
          <w:marRight w:val="0"/>
          <w:marTop w:val="0"/>
          <w:marBottom w:val="0"/>
          <w:divBdr>
            <w:top w:val="none" w:sz="0" w:space="0" w:color="auto"/>
            <w:left w:val="none" w:sz="0" w:space="0" w:color="auto"/>
            <w:bottom w:val="none" w:sz="0" w:space="0" w:color="auto"/>
            <w:right w:val="none" w:sz="0" w:space="0" w:color="auto"/>
          </w:divBdr>
          <w:divsChild>
            <w:div w:id="20320991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0938233">
      <w:marLeft w:val="0"/>
      <w:marRight w:val="0"/>
      <w:marTop w:val="180"/>
      <w:marBottom w:val="60"/>
      <w:divBdr>
        <w:top w:val="none" w:sz="0" w:space="0" w:color="auto"/>
        <w:left w:val="none" w:sz="0" w:space="0" w:color="auto"/>
        <w:bottom w:val="none" w:sz="0" w:space="0" w:color="auto"/>
        <w:right w:val="none" w:sz="0" w:space="0" w:color="auto"/>
      </w:divBdr>
    </w:div>
    <w:div w:id="1561012403">
      <w:marLeft w:val="0"/>
      <w:marRight w:val="0"/>
      <w:marTop w:val="0"/>
      <w:marBottom w:val="0"/>
      <w:divBdr>
        <w:top w:val="none" w:sz="0" w:space="0" w:color="auto"/>
        <w:left w:val="none" w:sz="0" w:space="0" w:color="auto"/>
        <w:bottom w:val="none" w:sz="0" w:space="0" w:color="auto"/>
        <w:right w:val="none" w:sz="0" w:space="0" w:color="auto"/>
      </w:divBdr>
    </w:div>
    <w:div w:id="1561208893">
      <w:marLeft w:val="0"/>
      <w:marRight w:val="0"/>
      <w:marTop w:val="180"/>
      <w:marBottom w:val="180"/>
      <w:divBdr>
        <w:top w:val="none" w:sz="0" w:space="0" w:color="auto"/>
        <w:left w:val="none" w:sz="0" w:space="0" w:color="auto"/>
        <w:bottom w:val="none" w:sz="0" w:space="0" w:color="auto"/>
        <w:right w:val="none" w:sz="0" w:space="0" w:color="auto"/>
      </w:divBdr>
    </w:div>
    <w:div w:id="1561284023">
      <w:marLeft w:val="0"/>
      <w:marRight w:val="0"/>
      <w:marTop w:val="180"/>
      <w:marBottom w:val="180"/>
      <w:divBdr>
        <w:top w:val="none" w:sz="0" w:space="0" w:color="auto"/>
        <w:left w:val="none" w:sz="0" w:space="0" w:color="auto"/>
        <w:bottom w:val="none" w:sz="0" w:space="0" w:color="auto"/>
        <w:right w:val="none" w:sz="0" w:space="0" w:color="auto"/>
      </w:divBdr>
    </w:div>
    <w:div w:id="1561789173">
      <w:marLeft w:val="0"/>
      <w:marRight w:val="0"/>
      <w:marTop w:val="180"/>
      <w:marBottom w:val="100"/>
      <w:divBdr>
        <w:top w:val="none" w:sz="0" w:space="0" w:color="auto"/>
        <w:left w:val="none" w:sz="0" w:space="0" w:color="auto"/>
        <w:bottom w:val="none" w:sz="0" w:space="0" w:color="auto"/>
        <w:right w:val="none" w:sz="0" w:space="0" w:color="auto"/>
      </w:divBdr>
    </w:div>
    <w:div w:id="1563633688">
      <w:marLeft w:val="0"/>
      <w:marRight w:val="0"/>
      <w:marTop w:val="180"/>
      <w:marBottom w:val="60"/>
      <w:divBdr>
        <w:top w:val="none" w:sz="0" w:space="0" w:color="auto"/>
        <w:left w:val="none" w:sz="0" w:space="0" w:color="auto"/>
        <w:bottom w:val="none" w:sz="0" w:space="0" w:color="auto"/>
        <w:right w:val="none" w:sz="0" w:space="0" w:color="auto"/>
      </w:divBdr>
    </w:div>
    <w:div w:id="1563715460">
      <w:marLeft w:val="0"/>
      <w:marRight w:val="0"/>
      <w:marTop w:val="180"/>
      <w:marBottom w:val="180"/>
      <w:divBdr>
        <w:top w:val="none" w:sz="0" w:space="0" w:color="auto"/>
        <w:left w:val="none" w:sz="0" w:space="0" w:color="auto"/>
        <w:bottom w:val="none" w:sz="0" w:space="0" w:color="auto"/>
        <w:right w:val="none" w:sz="0" w:space="0" w:color="auto"/>
      </w:divBdr>
    </w:div>
    <w:div w:id="1563977294">
      <w:marLeft w:val="0"/>
      <w:marRight w:val="0"/>
      <w:marTop w:val="180"/>
      <w:marBottom w:val="180"/>
      <w:divBdr>
        <w:top w:val="none" w:sz="0" w:space="0" w:color="auto"/>
        <w:left w:val="none" w:sz="0" w:space="0" w:color="auto"/>
        <w:bottom w:val="none" w:sz="0" w:space="0" w:color="auto"/>
        <w:right w:val="none" w:sz="0" w:space="0" w:color="auto"/>
      </w:divBdr>
    </w:div>
    <w:div w:id="1564294913">
      <w:marLeft w:val="0"/>
      <w:marRight w:val="0"/>
      <w:marTop w:val="60"/>
      <w:marBottom w:val="60"/>
      <w:divBdr>
        <w:top w:val="none" w:sz="0" w:space="0" w:color="auto"/>
        <w:left w:val="none" w:sz="0" w:space="0" w:color="auto"/>
        <w:bottom w:val="none" w:sz="0" w:space="0" w:color="auto"/>
        <w:right w:val="none" w:sz="0" w:space="0" w:color="auto"/>
      </w:divBdr>
    </w:div>
    <w:div w:id="1564901149">
      <w:marLeft w:val="0"/>
      <w:marRight w:val="0"/>
      <w:marTop w:val="60"/>
      <w:marBottom w:val="60"/>
      <w:divBdr>
        <w:top w:val="none" w:sz="0" w:space="0" w:color="auto"/>
        <w:left w:val="none" w:sz="0" w:space="0" w:color="auto"/>
        <w:bottom w:val="none" w:sz="0" w:space="0" w:color="auto"/>
        <w:right w:val="none" w:sz="0" w:space="0" w:color="auto"/>
      </w:divBdr>
    </w:div>
    <w:div w:id="1564944507">
      <w:marLeft w:val="0"/>
      <w:marRight w:val="0"/>
      <w:marTop w:val="180"/>
      <w:marBottom w:val="180"/>
      <w:divBdr>
        <w:top w:val="none" w:sz="0" w:space="0" w:color="auto"/>
        <w:left w:val="none" w:sz="0" w:space="0" w:color="auto"/>
        <w:bottom w:val="none" w:sz="0" w:space="0" w:color="auto"/>
        <w:right w:val="none" w:sz="0" w:space="0" w:color="auto"/>
      </w:divBdr>
    </w:div>
    <w:div w:id="1565676097">
      <w:marLeft w:val="0"/>
      <w:marRight w:val="0"/>
      <w:marTop w:val="0"/>
      <w:marBottom w:val="0"/>
      <w:divBdr>
        <w:top w:val="none" w:sz="0" w:space="0" w:color="auto"/>
        <w:left w:val="none" w:sz="0" w:space="0" w:color="auto"/>
        <w:bottom w:val="none" w:sz="0" w:space="0" w:color="auto"/>
        <w:right w:val="none" w:sz="0" w:space="0" w:color="auto"/>
      </w:divBdr>
      <w:divsChild>
        <w:div w:id="1304308945">
          <w:marLeft w:val="0"/>
          <w:marRight w:val="0"/>
          <w:marTop w:val="0"/>
          <w:marBottom w:val="0"/>
          <w:divBdr>
            <w:top w:val="none" w:sz="0" w:space="0" w:color="auto"/>
            <w:left w:val="none" w:sz="0" w:space="0" w:color="auto"/>
            <w:bottom w:val="none" w:sz="0" w:space="0" w:color="auto"/>
            <w:right w:val="none" w:sz="0" w:space="0" w:color="auto"/>
          </w:divBdr>
          <w:divsChild>
            <w:div w:id="5051698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66525173">
      <w:marLeft w:val="0"/>
      <w:marRight w:val="0"/>
      <w:marTop w:val="60"/>
      <w:marBottom w:val="60"/>
      <w:divBdr>
        <w:top w:val="none" w:sz="0" w:space="0" w:color="auto"/>
        <w:left w:val="none" w:sz="0" w:space="0" w:color="auto"/>
        <w:bottom w:val="none" w:sz="0" w:space="0" w:color="auto"/>
        <w:right w:val="none" w:sz="0" w:space="0" w:color="auto"/>
      </w:divBdr>
    </w:div>
    <w:div w:id="1567110258">
      <w:marLeft w:val="0"/>
      <w:marRight w:val="0"/>
      <w:marTop w:val="0"/>
      <w:marBottom w:val="0"/>
      <w:divBdr>
        <w:top w:val="none" w:sz="0" w:space="0" w:color="auto"/>
        <w:left w:val="none" w:sz="0" w:space="0" w:color="auto"/>
        <w:bottom w:val="none" w:sz="0" w:space="0" w:color="auto"/>
        <w:right w:val="none" w:sz="0" w:space="0" w:color="auto"/>
      </w:divBdr>
    </w:div>
    <w:div w:id="1567762564">
      <w:marLeft w:val="0"/>
      <w:marRight w:val="0"/>
      <w:marTop w:val="60"/>
      <w:marBottom w:val="60"/>
      <w:divBdr>
        <w:top w:val="none" w:sz="0" w:space="0" w:color="auto"/>
        <w:left w:val="none" w:sz="0" w:space="0" w:color="auto"/>
        <w:bottom w:val="none" w:sz="0" w:space="0" w:color="auto"/>
        <w:right w:val="none" w:sz="0" w:space="0" w:color="auto"/>
      </w:divBdr>
    </w:div>
    <w:div w:id="1569726257">
      <w:marLeft w:val="0"/>
      <w:marRight w:val="0"/>
      <w:marTop w:val="0"/>
      <w:marBottom w:val="0"/>
      <w:divBdr>
        <w:top w:val="none" w:sz="0" w:space="0" w:color="auto"/>
        <w:left w:val="none" w:sz="0" w:space="0" w:color="auto"/>
        <w:bottom w:val="none" w:sz="0" w:space="0" w:color="auto"/>
        <w:right w:val="none" w:sz="0" w:space="0" w:color="auto"/>
      </w:divBdr>
    </w:div>
    <w:div w:id="1570726791">
      <w:marLeft w:val="0"/>
      <w:marRight w:val="0"/>
      <w:marTop w:val="60"/>
      <w:marBottom w:val="180"/>
      <w:divBdr>
        <w:top w:val="none" w:sz="0" w:space="0" w:color="auto"/>
        <w:left w:val="none" w:sz="0" w:space="0" w:color="auto"/>
        <w:bottom w:val="none" w:sz="0" w:space="0" w:color="auto"/>
        <w:right w:val="none" w:sz="0" w:space="0" w:color="auto"/>
      </w:divBdr>
    </w:div>
    <w:div w:id="1570798913">
      <w:marLeft w:val="0"/>
      <w:marRight w:val="0"/>
      <w:marTop w:val="180"/>
      <w:marBottom w:val="0"/>
      <w:divBdr>
        <w:top w:val="none" w:sz="0" w:space="0" w:color="auto"/>
        <w:left w:val="none" w:sz="0" w:space="0" w:color="auto"/>
        <w:bottom w:val="none" w:sz="0" w:space="0" w:color="auto"/>
        <w:right w:val="none" w:sz="0" w:space="0" w:color="auto"/>
      </w:divBdr>
    </w:div>
    <w:div w:id="1570918755">
      <w:marLeft w:val="0"/>
      <w:marRight w:val="0"/>
      <w:marTop w:val="180"/>
      <w:marBottom w:val="180"/>
      <w:divBdr>
        <w:top w:val="none" w:sz="0" w:space="0" w:color="auto"/>
        <w:left w:val="none" w:sz="0" w:space="0" w:color="auto"/>
        <w:bottom w:val="none" w:sz="0" w:space="0" w:color="auto"/>
        <w:right w:val="none" w:sz="0" w:space="0" w:color="auto"/>
      </w:divBdr>
    </w:div>
    <w:div w:id="1571648149">
      <w:marLeft w:val="0"/>
      <w:marRight w:val="0"/>
      <w:marTop w:val="180"/>
      <w:marBottom w:val="180"/>
      <w:divBdr>
        <w:top w:val="none" w:sz="0" w:space="0" w:color="auto"/>
        <w:left w:val="none" w:sz="0" w:space="0" w:color="auto"/>
        <w:bottom w:val="none" w:sz="0" w:space="0" w:color="auto"/>
        <w:right w:val="none" w:sz="0" w:space="0" w:color="auto"/>
      </w:divBdr>
    </w:div>
    <w:div w:id="1571816200">
      <w:marLeft w:val="0"/>
      <w:marRight w:val="0"/>
      <w:marTop w:val="0"/>
      <w:marBottom w:val="0"/>
      <w:divBdr>
        <w:top w:val="none" w:sz="0" w:space="0" w:color="auto"/>
        <w:left w:val="none" w:sz="0" w:space="0" w:color="auto"/>
        <w:bottom w:val="none" w:sz="0" w:space="0" w:color="auto"/>
        <w:right w:val="none" w:sz="0" w:space="0" w:color="auto"/>
      </w:divBdr>
      <w:divsChild>
        <w:div w:id="1816483602">
          <w:marLeft w:val="0"/>
          <w:marRight w:val="0"/>
          <w:marTop w:val="0"/>
          <w:marBottom w:val="0"/>
          <w:divBdr>
            <w:top w:val="none" w:sz="0" w:space="0" w:color="auto"/>
            <w:left w:val="none" w:sz="0" w:space="0" w:color="auto"/>
            <w:bottom w:val="none" w:sz="0" w:space="0" w:color="auto"/>
            <w:right w:val="none" w:sz="0" w:space="0" w:color="auto"/>
          </w:divBdr>
          <w:divsChild>
            <w:div w:id="5900435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2695617">
      <w:marLeft w:val="0"/>
      <w:marRight w:val="0"/>
      <w:marTop w:val="240"/>
      <w:marBottom w:val="180"/>
      <w:divBdr>
        <w:top w:val="none" w:sz="0" w:space="0" w:color="auto"/>
        <w:left w:val="none" w:sz="0" w:space="0" w:color="auto"/>
        <w:bottom w:val="none" w:sz="0" w:space="0" w:color="auto"/>
        <w:right w:val="none" w:sz="0" w:space="0" w:color="auto"/>
      </w:divBdr>
    </w:div>
    <w:div w:id="1573006695">
      <w:marLeft w:val="0"/>
      <w:marRight w:val="0"/>
      <w:marTop w:val="100"/>
      <w:marBottom w:val="100"/>
      <w:divBdr>
        <w:top w:val="none" w:sz="0" w:space="0" w:color="auto"/>
        <w:left w:val="none" w:sz="0" w:space="0" w:color="auto"/>
        <w:bottom w:val="none" w:sz="0" w:space="0" w:color="auto"/>
        <w:right w:val="none" w:sz="0" w:space="0" w:color="auto"/>
      </w:divBdr>
      <w:divsChild>
        <w:div w:id="1516070687">
          <w:marLeft w:val="0"/>
          <w:marRight w:val="0"/>
          <w:marTop w:val="0"/>
          <w:marBottom w:val="0"/>
          <w:divBdr>
            <w:top w:val="none" w:sz="0" w:space="0" w:color="auto"/>
            <w:left w:val="none" w:sz="0" w:space="0" w:color="auto"/>
            <w:bottom w:val="none" w:sz="0" w:space="0" w:color="auto"/>
            <w:right w:val="none" w:sz="0" w:space="0" w:color="auto"/>
          </w:divBdr>
        </w:div>
        <w:div w:id="1215238558">
          <w:marLeft w:val="0"/>
          <w:marRight w:val="0"/>
          <w:marTop w:val="0"/>
          <w:marBottom w:val="0"/>
          <w:divBdr>
            <w:top w:val="none" w:sz="0" w:space="0" w:color="auto"/>
            <w:left w:val="none" w:sz="0" w:space="0" w:color="auto"/>
            <w:bottom w:val="none" w:sz="0" w:space="0" w:color="auto"/>
            <w:right w:val="none" w:sz="0" w:space="0" w:color="auto"/>
          </w:divBdr>
        </w:div>
      </w:divsChild>
    </w:div>
    <w:div w:id="1574006785">
      <w:marLeft w:val="0"/>
      <w:marRight w:val="0"/>
      <w:marTop w:val="60"/>
      <w:marBottom w:val="60"/>
      <w:divBdr>
        <w:top w:val="none" w:sz="0" w:space="0" w:color="auto"/>
        <w:left w:val="none" w:sz="0" w:space="0" w:color="auto"/>
        <w:bottom w:val="none" w:sz="0" w:space="0" w:color="auto"/>
        <w:right w:val="none" w:sz="0" w:space="0" w:color="auto"/>
      </w:divBdr>
    </w:div>
    <w:div w:id="1574510361">
      <w:marLeft w:val="0"/>
      <w:marRight w:val="0"/>
      <w:marTop w:val="180"/>
      <w:marBottom w:val="180"/>
      <w:divBdr>
        <w:top w:val="none" w:sz="0" w:space="0" w:color="auto"/>
        <w:left w:val="none" w:sz="0" w:space="0" w:color="auto"/>
        <w:bottom w:val="none" w:sz="0" w:space="0" w:color="auto"/>
        <w:right w:val="none" w:sz="0" w:space="0" w:color="auto"/>
      </w:divBdr>
    </w:div>
    <w:div w:id="1574923073">
      <w:marLeft w:val="0"/>
      <w:marRight w:val="0"/>
      <w:marTop w:val="0"/>
      <w:marBottom w:val="0"/>
      <w:divBdr>
        <w:top w:val="none" w:sz="0" w:space="0" w:color="auto"/>
        <w:left w:val="none" w:sz="0" w:space="0" w:color="auto"/>
        <w:bottom w:val="none" w:sz="0" w:space="0" w:color="auto"/>
        <w:right w:val="none" w:sz="0" w:space="0" w:color="auto"/>
      </w:divBdr>
    </w:div>
    <w:div w:id="1576236819">
      <w:marLeft w:val="0"/>
      <w:marRight w:val="0"/>
      <w:marTop w:val="180"/>
      <w:marBottom w:val="180"/>
      <w:divBdr>
        <w:top w:val="none" w:sz="0" w:space="0" w:color="auto"/>
        <w:left w:val="none" w:sz="0" w:space="0" w:color="auto"/>
        <w:bottom w:val="none" w:sz="0" w:space="0" w:color="auto"/>
        <w:right w:val="none" w:sz="0" w:space="0" w:color="auto"/>
      </w:divBdr>
    </w:div>
    <w:div w:id="1576932498">
      <w:marLeft w:val="0"/>
      <w:marRight w:val="0"/>
      <w:marTop w:val="60"/>
      <w:marBottom w:val="60"/>
      <w:divBdr>
        <w:top w:val="none" w:sz="0" w:space="0" w:color="auto"/>
        <w:left w:val="none" w:sz="0" w:space="0" w:color="auto"/>
        <w:bottom w:val="none" w:sz="0" w:space="0" w:color="auto"/>
        <w:right w:val="none" w:sz="0" w:space="0" w:color="auto"/>
      </w:divBdr>
    </w:div>
    <w:div w:id="1577520575">
      <w:marLeft w:val="0"/>
      <w:marRight w:val="0"/>
      <w:marTop w:val="180"/>
      <w:marBottom w:val="180"/>
      <w:divBdr>
        <w:top w:val="none" w:sz="0" w:space="0" w:color="auto"/>
        <w:left w:val="none" w:sz="0" w:space="0" w:color="auto"/>
        <w:bottom w:val="none" w:sz="0" w:space="0" w:color="auto"/>
        <w:right w:val="none" w:sz="0" w:space="0" w:color="auto"/>
      </w:divBdr>
    </w:div>
    <w:div w:id="1578006504">
      <w:marLeft w:val="0"/>
      <w:marRight w:val="0"/>
      <w:marTop w:val="0"/>
      <w:marBottom w:val="0"/>
      <w:divBdr>
        <w:top w:val="none" w:sz="0" w:space="0" w:color="auto"/>
        <w:left w:val="none" w:sz="0" w:space="0" w:color="auto"/>
        <w:bottom w:val="none" w:sz="0" w:space="0" w:color="auto"/>
        <w:right w:val="none" w:sz="0" w:space="0" w:color="auto"/>
      </w:divBdr>
      <w:divsChild>
        <w:div w:id="1355300133">
          <w:marLeft w:val="0"/>
          <w:marRight w:val="0"/>
          <w:marTop w:val="0"/>
          <w:marBottom w:val="0"/>
          <w:divBdr>
            <w:top w:val="none" w:sz="0" w:space="0" w:color="auto"/>
            <w:left w:val="none" w:sz="0" w:space="0" w:color="auto"/>
            <w:bottom w:val="none" w:sz="0" w:space="0" w:color="auto"/>
            <w:right w:val="none" w:sz="0" w:space="0" w:color="auto"/>
          </w:divBdr>
          <w:divsChild>
            <w:div w:id="15471793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8054996">
      <w:marLeft w:val="0"/>
      <w:marRight w:val="0"/>
      <w:marTop w:val="180"/>
      <w:marBottom w:val="180"/>
      <w:divBdr>
        <w:top w:val="none" w:sz="0" w:space="0" w:color="auto"/>
        <w:left w:val="none" w:sz="0" w:space="0" w:color="auto"/>
        <w:bottom w:val="none" w:sz="0" w:space="0" w:color="auto"/>
        <w:right w:val="none" w:sz="0" w:space="0" w:color="auto"/>
      </w:divBdr>
    </w:div>
    <w:div w:id="1578250498">
      <w:marLeft w:val="0"/>
      <w:marRight w:val="0"/>
      <w:marTop w:val="180"/>
      <w:marBottom w:val="180"/>
      <w:divBdr>
        <w:top w:val="none" w:sz="0" w:space="0" w:color="auto"/>
        <w:left w:val="none" w:sz="0" w:space="0" w:color="auto"/>
        <w:bottom w:val="none" w:sz="0" w:space="0" w:color="auto"/>
        <w:right w:val="none" w:sz="0" w:space="0" w:color="auto"/>
      </w:divBdr>
    </w:div>
    <w:div w:id="1580945295">
      <w:marLeft w:val="0"/>
      <w:marRight w:val="0"/>
      <w:marTop w:val="180"/>
      <w:marBottom w:val="60"/>
      <w:divBdr>
        <w:top w:val="none" w:sz="0" w:space="0" w:color="auto"/>
        <w:left w:val="none" w:sz="0" w:space="0" w:color="auto"/>
        <w:bottom w:val="none" w:sz="0" w:space="0" w:color="auto"/>
        <w:right w:val="none" w:sz="0" w:space="0" w:color="auto"/>
      </w:divBdr>
    </w:div>
    <w:div w:id="1583181269">
      <w:marLeft w:val="0"/>
      <w:marRight w:val="0"/>
      <w:marTop w:val="180"/>
      <w:marBottom w:val="100"/>
      <w:divBdr>
        <w:top w:val="none" w:sz="0" w:space="0" w:color="auto"/>
        <w:left w:val="none" w:sz="0" w:space="0" w:color="auto"/>
        <w:bottom w:val="none" w:sz="0" w:space="0" w:color="auto"/>
        <w:right w:val="none" w:sz="0" w:space="0" w:color="auto"/>
      </w:divBdr>
    </w:div>
    <w:div w:id="1583371560">
      <w:marLeft w:val="0"/>
      <w:marRight w:val="0"/>
      <w:marTop w:val="60"/>
      <w:marBottom w:val="60"/>
      <w:divBdr>
        <w:top w:val="none" w:sz="0" w:space="0" w:color="auto"/>
        <w:left w:val="none" w:sz="0" w:space="0" w:color="auto"/>
        <w:bottom w:val="none" w:sz="0" w:space="0" w:color="auto"/>
        <w:right w:val="none" w:sz="0" w:space="0" w:color="auto"/>
      </w:divBdr>
    </w:div>
    <w:div w:id="1584755447">
      <w:marLeft w:val="0"/>
      <w:marRight w:val="0"/>
      <w:marTop w:val="180"/>
      <w:marBottom w:val="60"/>
      <w:divBdr>
        <w:top w:val="none" w:sz="0" w:space="0" w:color="auto"/>
        <w:left w:val="none" w:sz="0" w:space="0" w:color="auto"/>
        <w:bottom w:val="none" w:sz="0" w:space="0" w:color="auto"/>
        <w:right w:val="none" w:sz="0" w:space="0" w:color="auto"/>
      </w:divBdr>
    </w:div>
    <w:div w:id="1586262535">
      <w:marLeft w:val="0"/>
      <w:marRight w:val="0"/>
      <w:marTop w:val="180"/>
      <w:marBottom w:val="60"/>
      <w:divBdr>
        <w:top w:val="none" w:sz="0" w:space="0" w:color="auto"/>
        <w:left w:val="none" w:sz="0" w:space="0" w:color="auto"/>
        <w:bottom w:val="none" w:sz="0" w:space="0" w:color="auto"/>
        <w:right w:val="none" w:sz="0" w:space="0" w:color="auto"/>
      </w:divBdr>
    </w:div>
    <w:div w:id="1586721202">
      <w:marLeft w:val="0"/>
      <w:marRight w:val="0"/>
      <w:marTop w:val="180"/>
      <w:marBottom w:val="180"/>
      <w:divBdr>
        <w:top w:val="none" w:sz="0" w:space="0" w:color="auto"/>
        <w:left w:val="none" w:sz="0" w:space="0" w:color="auto"/>
        <w:bottom w:val="none" w:sz="0" w:space="0" w:color="auto"/>
        <w:right w:val="none" w:sz="0" w:space="0" w:color="auto"/>
      </w:divBdr>
    </w:div>
    <w:div w:id="1588461730">
      <w:marLeft w:val="0"/>
      <w:marRight w:val="0"/>
      <w:marTop w:val="0"/>
      <w:marBottom w:val="0"/>
      <w:divBdr>
        <w:top w:val="none" w:sz="0" w:space="0" w:color="auto"/>
        <w:left w:val="none" w:sz="0" w:space="0" w:color="auto"/>
        <w:bottom w:val="none" w:sz="0" w:space="0" w:color="auto"/>
        <w:right w:val="none" w:sz="0" w:space="0" w:color="auto"/>
      </w:divBdr>
      <w:divsChild>
        <w:div w:id="1914392490">
          <w:marLeft w:val="0"/>
          <w:marRight w:val="0"/>
          <w:marTop w:val="0"/>
          <w:marBottom w:val="0"/>
          <w:divBdr>
            <w:top w:val="none" w:sz="0" w:space="0" w:color="auto"/>
            <w:left w:val="none" w:sz="0" w:space="0" w:color="auto"/>
            <w:bottom w:val="none" w:sz="0" w:space="0" w:color="auto"/>
            <w:right w:val="none" w:sz="0" w:space="0" w:color="auto"/>
          </w:divBdr>
          <w:divsChild>
            <w:div w:id="16344802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8810198">
      <w:marLeft w:val="0"/>
      <w:marRight w:val="0"/>
      <w:marTop w:val="180"/>
      <w:marBottom w:val="180"/>
      <w:divBdr>
        <w:top w:val="none" w:sz="0" w:space="0" w:color="auto"/>
        <w:left w:val="none" w:sz="0" w:space="0" w:color="auto"/>
        <w:bottom w:val="none" w:sz="0" w:space="0" w:color="auto"/>
        <w:right w:val="none" w:sz="0" w:space="0" w:color="auto"/>
      </w:divBdr>
    </w:div>
    <w:div w:id="1589078964">
      <w:marLeft w:val="0"/>
      <w:marRight w:val="0"/>
      <w:marTop w:val="180"/>
      <w:marBottom w:val="180"/>
      <w:divBdr>
        <w:top w:val="none" w:sz="0" w:space="0" w:color="auto"/>
        <w:left w:val="none" w:sz="0" w:space="0" w:color="auto"/>
        <w:bottom w:val="none" w:sz="0" w:space="0" w:color="auto"/>
        <w:right w:val="none" w:sz="0" w:space="0" w:color="auto"/>
      </w:divBdr>
    </w:div>
    <w:div w:id="1589969525">
      <w:marLeft w:val="0"/>
      <w:marRight w:val="0"/>
      <w:marTop w:val="180"/>
      <w:marBottom w:val="60"/>
      <w:divBdr>
        <w:top w:val="none" w:sz="0" w:space="0" w:color="auto"/>
        <w:left w:val="none" w:sz="0" w:space="0" w:color="auto"/>
        <w:bottom w:val="none" w:sz="0" w:space="0" w:color="auto"/>
        <w:right w:val="none" w:sz="0" w:space="0" w:color="auto"/>
      </w:divBdr>
    </w:div>
    <w:div w:id="1590624727">
      <w:marLeft w:val="0"/>
      <w:marRight w:val="0"/>
      <w:marTop w:val="180"/>
      <w:marBottom w:val="180"/>
      <w:divBdr>
        <w:top w:val="none" w:sz="0" w:space="0" w:color="auto"/>
        <w:left w:val="none" w:sz="0" w:space="0" w:color="auto"/>
        <w:bottom w:val="none" w:sz="0" w:space="0" w:color="auto"/>
        <w:right w:val="none" w:sz="0" w:space="0" w:color="auto"/>
      </w:divBdr>
    </w:div>
    <w:div w:id="1590650417">
      <w:marLeft w:val="0"/>
      <w:marRight w:val="0"/>
      <w:marTop w:val="180"/>
      <w:marBottom w:val="180"/>
      <w:divBdr>
        <w:top w:val="none" w:sz="0" w:space="0" w:color="auto"/>
        <w:left w:val="none" w:sz="0" w:space="0" w:color="auto"/>
        <w:bottom w:val="none" w:sz="0" w:space="0" w:color="auto"/>
        <w:right w:val="none" w:sz="0" w:space="0" w:color="auto"/>
      </w:divBdr>
    </w:div>
    <w:div w:id="1590771557">
      <w:marLeft w:val="0"/>
      <w:marRight w:val="0"/>
      <w:marTop w:val="180"/>
      <w:marBottom w:val="180"/>
      <w:divBdr>
        <w:top w:val="none" w:sz="0" w:space="0" w:color="auto"/>
        <w:left w:val="none" w:sz="0" w:space="0" w:color="auto"/>
        <w:bottom w:val="none" w:sz="0" w:space="0" w:color="auto"/>
        <w:right w:val="none" w:sz="0" w:space="0" w:color="auto"/>
      </w:divBdr>
    </w:div>
    <w:div w:id="1591281210">
      <w:marLeft w:val="0"/>
      <w:marRight w:val="0"/>
      <w:marTop w:val="240"/>
      <w:marBottom w:val="180"/>
      <w:divBdr>
        <w:top w:val="none" w:sz="0" w:space="0" w:color="auto"/>
        <w:left w:val="none" w:sz="0" w:space="0" w:color="auto"/>
        <w:bottom w:val="none" w:sz="0" w:space="0" w:color="auto"/>
        <w:right w:val="none" w:sz="0" w:space="0" w:color="auto"/>
      </w:divBdr>
    </w:div>
    <w:div w:id="1592817994">
      <w:marLeft w:val="0"/>
      <w:marRight w:val="0"/>
      <w:marTop w:val="100"/>
      <w:marBottom w:val="100"/>
      <w:divBdr>
        <w:top w:val="none" w:sz="0" w:space="0" w:color="auto"/>
        <w:left w:val="none" w:sz="0" w:space="0" w:color="auto"/>
        <w:bottom w:val="none" w:sz="0" w:space="0" w:color="auto"/>
        <w:right w:val="none" w:sz="0" w:space="0" w:color="auto"/>
      </w:divBdr>
    </w:div>
    <w:div w:id="1593009932">
      <w:marLeft w:val="0"/>
      <w:marRight w:val="0"/>
      <w:marTop w:val="60"/>
      <w:marBottom w:val="60"/>
      <w:divBdr>
        <w:top w:val="none" w:sz="0" w:space="0" w:color="auto"/>
        <w:left w:val="none" w:sz="0" w:space="0" w:color="auto"/>
        <w:bottom w:val="none" w:sz="0" w:space="0" w:color="auto"/>
        <w:right w:val="none" w:sz="0" w:space="0" w:color="auto"/>
      </w:divBdr>
    </w:div>
    <w:div w:id="1595549286">
      <w:marLeft w:val="0"/>
      <w:marRight w:val="0"/>
      <w:marTop w:val="240"/>
      <w:marBottom w:val="180"/>
      <w:divBdr>
        <w:top w:val="none" w:sz="0" w:space="0" w:color="auto"/>
        <w:left w:val="none" w:sz="0" w:space="0" w:color="auto"/>
        <w:bottom w:val="none" w:sz="0" w:space="0" w:color="auto"/>
        <w:right w:val="none" w:sz="0" w:space="0" w:color="auto"/>
      </w:divBdr>
    </w:div>
    <w:div w:id="1595935950">
      <w:marLeft w:val="0"/>
      <w:marRight w:val="0"/>
      <w:marTop w:val="180"/>
      <w:marBottom w:val="0"/>
      <w:divBdr>
        <w:top w:val="none" w:sz="0" w:space="0" w:color="auto"/>
        <w:left w:val="none" w:sz="0" w:space="0" w:color="auto"/>
        <w:bottom w:val="none" w:sz="0" w:space="0" w:color="auto"/>
        <w:right w:val="none" w:sz="0" w:space="0" w:color="auto"/>
      </w:divBdr>
    </w:div>
    <w:div w:id="1596287963">
      <w:marLeft w:val="0"/>
      <w:marRight w:val="0"/>
      <w:marTop w:val="180"/>
      <w:marBottom w:val="180"/>
      <w:divBdr>
        <w:top w:val="none" w:sz="0" w:space="0" w:color="auto"/>
        <w:left w:val="none" w:sz="0" w:space="0" w:color="auto"/>
        <w:bottom w:val="none" w:sz="0" w:space="0" w:color="auto"/>
        <w:right w:val="none" w:sz="0" w:space="0" w:color="auto"/>
      </w:divBdr>
    </w:div>
    <w:div w:id="1598562921">
      <w:marLeft w:val="0"/>
      <w:marRight w:val="0"/>
      <w:marTop w:val="100"/>
      <w:marBottom w:val="180"/>
      <w:divBdr>
        <w:top w:val="none" w:sz="0" w:space="0" w:color="auto"/>
        <w:left w:val="none" w:sz="0" w:space="0" w:color="auto"/>
        <w:bottom w:val="none" w:sz="0" w:space="0" w:color="auto"/>
        <w:right w:val="none" w:sz="0" w:space="0" w:color="auto"/>
      </w:divBdr>
    </w:div>
    <w:div w:id="1599630558">
      <w:marLeft w:val="0"/>
      <w:marRight w:val="0"/>
      <w:marTop w:val="180"/>
      <w:marBottom w:val="180"/>
      <w:divBdr>
        <w:top w:val="none" w:sz="0" w:space="0" w:color="auto"/>
        <w:left w:val="none" w:sz="0" w:space="0" w:color="auto"/>
        <w:bottom w:val="none" w:sz="0" w:space="0" w:color="auto"/>
        <w:right w:val="none" w:sz="0" w:space="0" w:color="auto"/>
      </w:divBdr>
    </w:div>
    <w:div w:id="1599829919">
      <w:marLeft w:val="0"/>
      <w:marRight w:val="0"/>
      <w:marTop w:val="180"/>
      <w:marBottom w:val="60"/>
      <w:divBdr>
        <w:top w:val="none" w:sz="0" w:space="0" w:color="auto"/>
        <w:left w:val="none" w:sz="0" w:space="0" w:color="auto"/>
        <w:bottom w:val="none" w:sz="0" w:space="0" w:color="auto"/>
        <w:right w:val="none" w:sz="0" w:space="0" w:color="auto"/>
      </w:divBdr>
    </w:div>
    <w:div w:id="1602566114">
      <w:marLeft w:val="0"/>
      <w:marRight w:val="0"/>
      <w:marTop w:val="180"/>
      <w:marBottom w:val="180"/>
      <w:divBdr>
        <w:top w:val="none" w:sz="0" w:space="0" w:color="auto"/>
        <w:left w:val="none" w:sz="0" w:space="0" w:color="auto"/>
        <w:bottom w:val="none" w:sz="0" w:space="0" w:color="auto"/>
        <w:right w:val="none" w:sz="0" w:space="0" w:color="auto"/>
      </w:divBdr>
    </w:div>
    <w:div w:id="1602833058">
      <w:marLeft w:val="0"/>
      <w:marRight w:val="0"/>
      <w:marTop w:val="60"/>
      <w:marBottom w:val="60"/>
      <w:divBdr>
        <w:top w:val="none" w:sz="0" w:space="0" w:color="auto"/>
        <w:left w:val="none" w:sz="0" w:space="0" w:color="auto"/>
        <w:bottom w:val="none" w:sz="0" w:space="0" w:color="auto"/>
        <w:right w:val="none" w:sz="0" w:space="0" w:color="auto"/>
      </w:divBdr>
    </w:div>
    <w:div w:id="1603563331">
      <w:marLeft w:val="0"/>
      <w:marRight w:val="0"/>
      <w:marTop w:val="60"/>
      <w:marBottom w:val="60"/>
      <w:divBdr>
        <w:top w:val="none" w:sz="0" w:space="0" w:color="auto"/>
        <w:left w:val="none" w:sz="0" w:space="0" w:color="auto"/>
        <w:bottom w:val="none" w:sz="0" w:space="0" w:color="auto"/>
        <w:right w:val="none" w:sz="0" w:space="0" w:color="auto"/>
      </w:divBdr>
    </w:div>
    <w:div w:id="1604877104">
      <w:marLeft w:val="0"/>
      <w:marRight w:val="0"/>
      <w:marTop w:val="60"/>
      <w:marBottom w:val="60"/>
      <w:divBdr>
        <w:top w:val="none" w:sz="0" w:space="0" w:color="auto"/>
        <w:left w:val="none" w:sz="0" w:space="0" w:color="auto"/>
        <w:bottom w:val="none" w:sz="0" w:space="0" w:color="auto"/>
        <w:right w:val="none" w:sz="0" w:space="0" w:color="auto"/>
      </w:divBdr>
    </w:div>
    <w:div w:id="1606695773">
      <w:marLeft w:val="0"/>
      <w:marRight w:val="0"/>
      <w:marTop w:val="180"/>
      <w:marBottom w:val="180"/>
      <w:divBdr>
        <w:top w:val="none" w:sz="0" w:space="0" w:color="auto"/>
        <w:left w:val="none" w:sz="0" w:space="0" w:color="auto"/>
        <w:bottom w:val="none" w:sz="0" w:space="0" w:color="auto"/>
        <w:right w:val="none" w:sz="0" w:space="0" w:color="auto"/>
      </w:divBdr>
    </w:div>
    <w:div w:id="1607076649">
      <w:marLeft w:val="0"/>
      <w:marRight w:val="0"/>
      <w:marTop w:val="180"/>
      <w:marBottom w:val="180"/>
      <w:divBdr>
        <w:top w:val="none" w:sz="0" w:space="0" w:color="auto"/>
        <w:left w:val="none" w:sz="0" w:space="0" w:color="auto"/>
        <w:bottom w:val="none" w:sz="0" w:space="0" w:color="auto"/>
        <w:right w:val="none" w:sz="0" w:space="0" w:color="auto"/>
      </w:divBdr>
    </w:div>
    <w:div w:id="1607886071">
      <w:marLeft w:val="0"/>
      <w:marRight w:val="0"/>
      <w:marTop w:val="180"/>
      <w:marBottom w:val="180"/>
      <w:divBdr>
        <w:top w:val="none" w:sz="0" w:space="0" w:color="auto"/>
        <w:left w:val="none" w:sz="0" w:space="0" w:color="auto"/>
        <w:bottom w:val="none" w:sz="0" w:space="0" w:color="auto"/>
        <w:right w:val="none" w:sz="0" w:space="0" w:color="auto"/>
      </w:divBdr>
    </w:div>
    <w:div w:id="1607888133">
      <w:marLeft w:val="0"/>
      <w:marRight w:val="0"/>
      <w:marTop w:val="0"/>
      <w:marBottom w:val="0"/>
      <w:divBdr>
        <w:top w:val="none" w:sz="0" w:space="0" w:color="auto"/>
        <w:left w:val="none" w:sz="0" w:space="0" w:color="auto"/>
        <w:bottom w:val="none" w:sz="0" w:space="0" w:color="auto"/>
        <w:right w:val="none" w:sz="0" w:space="0" w:color="auto"/>
      </w:divBdr>
    </w:div>
    <w:div w:id="1607889175">
      <w:marLeft w:val="0"/>
      <w:marRight w:val="0"/>
      <w:marTop w:val="0"/>
      <w:marBottom w:val="0"/>
      <w:divBdr>
        <w:top w:val="none" w:sz="0" w:space="0" w:color="auto"/>
        <w:left w:val="none" w:sz="0" w:space="0" w:color="auto"/>
        <w:bottom w:val="none" w:sz="0" w:space="0" w:color="auto"/>
        <w:right w:val="none" w:sz="0" w:space="0" w:color="auto"/>
      </w:divBdr>
    </w:div>
    <w:div w:id="1609199838">
      <w:marLeft w:val="0"/>
      <w:marRight w:val="0"/>
      <w:marTop w:val="180"/>
      <w:marBottom w:val="180"/>
      <w:divBdr>
        <w:top w:val="none" w:sz="0" w:space="0" w:color="auto"/>
        <w:left w:val="none" w:sz="0" w:space="0" w:color="auto"/>
        <w:bottom w:val="none" w:sz="0" w:space="0" w:color="auto"/>
        <w:right w:val="none" w:sz="0" w:space="0" w:color="auto"/>
      </w:divBdr>
    </w:div>
    <w:div w:id="1609505411">
      <w:marLeft w:val="0"/>
      <w:marRight w:val="0"/>
      <w:marTop w:val="60"/>
      <w:marBottom w:val="60"/>
      <w:divBdr>
        <w:top w:val="none" w:sz="0" w:space="0" w:color="auto"/>
        <w:left w:val="none" w:sz="0" w:space="0" w:color="auto"/>
        <w:bottom w:val="none" w:sz="0" w:space="0" w:color="auto"/>
        <w:right w:val="none" w:sz="0" w:space="0" w:color="auto"/>
      </w:divBdr>
    </w:div>
    <w:div w:id="1609896069">
      <w:marLeft w:val="0"/>
      <w:marRight w:val="0"/>
      <w:marTop w:val="0"/>
      <w:marBottom w:val="0"/>
      <w:divBdr>
        <w:top w:val="none" w:sz="0" w:space="0" w:color="auto"/>
        <w:left w:val="none" w:sz="0" w:space="0" w:color="auto"/>
        <w:bottom w:val="none" w:sz="0" w:space="0" w:color="auto"/>
        <w:right w:val="none" w:sz="0" w:space="0" w:color="auto"/>
      </w:divBdr>
      <w:divsChild>
        <w:div w:id="1522280690">
          <w:marLeft w:val="0"/>
          <w:marRight w:val="0"/>
          <w:marTop w:val="0"/>
          <w:marBottom w:val="0"/>
          <w:divBdr>
            <w:top w:val="none" w:sz="0" w:space="0" w:color="auto"/>
            <w:left w:val="none" w:sz="0" w:space="0" w:color="auto"/>
            <w:bottom w:val="none" w:sz="0" w:space="0" w:color="auto"/>
            <w:right w:val="none" w:sz="0" w:space="0" w:color="auto"/>
          </w:divBdr>
          <w:divsChild>
            <w:div w:id="43602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1163180">
      <w:marLeft w:val="0"/>
      <w:marRight w:val="0"/>
      <w:marTop w:val="60"/>
      <w:marBottom w:val="60"/>
      <w:divBdr>
        <w:top w:val="none" w:sz="0" w:space="0" w:color="auto"/>
        <w:left w:val="none" w:sz="0" w:space="0" w:color="auto"/>
        <w:bottom w:val="none" w:sz="0" w:space="0" w:color="auto"/>
        <w:right w:val="none" w:sz="0" w:space="0" w:color="auto"/>
      </w:divBdr>
      <w:divsChild>
        <w:div w:id="1271937620">
          <w:marLeft w:val="0"/>
          <w:marRight w:val="0"/>
          <w:marTop w:val="0"/>
          <w:marBottom w:val="0"/>
          <w:divBdr>
            <w:top w:val="none" w:sz="0" w:space="0" w:color="auto"/>
            <w:left w:val="none" w:sz="0" w:space="0" w:color="auto"/>
            <w:bottom w:val="none" w:sz="0" w:space="0" w:color="auto"/>
            <w:right w:val="none" w:sz="0" w:space="0" w:color="auto"/>
          </w:divBdr>
        </w:div>
      </w:divsChild>
    </w:div>
    <w:div w:id="1611353977">
      <w:marLeft w:val="0"/>
      <w:marRight w:val="0"/>
      <w:marTop w:val="60"/>
      <w:marBottom w:val="60"/>
      <w:divBdr>
        <w:top w:val="none" w:sz="0" w:space="0" w:color="auto"/>
        <w:left w:val="none" w:sz="0" w:space="0" w:color="auto"/>
        <w:bottom w:val="none" w:sz="0" w:space="0" w:color="auto"/>
        <w:right w:val="none" w:sz="0" w:space="0" w:color="auto"/>
      </w:divBdr>
    </w:div>
    <w:div w:id="1611620891">
      <w:marLeft w:val="0"/>
      <w:marRight w:val="0"/>
      <w:marTop w:val="180"/>
      <w:marBottom w:val="180"/>
      <w:divBdr>
        <w:top w:val="none" w:sz="0" w:space="0" w:color="auto"/>
        <w:left w:val="none" w:sz="0" w:space="0" w:color="auto"/>
        <w:bottom w:val="none" w:sz="0" w:space="0" w:color="auto"/>
        <w:right w:val="none" w:sz="0" w:space="0" w:color="auto"/>
      </w:divBdr>
    </w:div>
    <w:div w:id="1612936849">
      <w:marLeft w:val="0"/>
      <w:marRight w:val="0"/>
      <w:marTop w:val="180"/>
      <w:marBottom w:val="180"/>
      <w:divBdr>
        <w:top w:val="none" w:sz="0" w:space="0" w:color="auto"/>
        <w:left w:val="none" w:sz="0" w:space="0" w:color="auto"/>
        <w:bottom w:val="none" w:sz="0" w:space="0" w:color="auto"/>
        <w:right w:val="none" w:sz="0" w:space="0" w:color="auto"/>
      </w:divBdr>
    </w:div>
    <w:div w:id="1613975953">
      <w:marLeft w:val="0"/>
      <w:marRight w:val="0"/>
      <w:marTop w:val="180"/>
      <w:marBottom w:val="180"/>
      <w:divBdr>
        <w:top w:val="none" w:sz="0" w:space="0" w:color="auto"/>
        <w:left w:val="none" w:sz="0" w:space="0" w:color="auto"/>
        <w:bottom w:val="none" w:sz="0" w:space="0" w:color="auto"/>
        <w:right w:val="none" w:sz="0" w:space="0" w:color="auto"/>
      </w:divBdr>
    </w:div>
    <w:div w:id="1614093083">
      <w:marLeft w:val="0"/>
      <w:marRight w:val="0"/>
      <w:marTop w:val="180"/>
      <w:marBottom w:val="180"/>
      <w:divBdr>
        <w:top w:val="none" w:sz="0" w:space="0" w:color="auto"/>
        <w:left w:val="none" w:sz="0" w:space="0" w:color="auto"/>
        <w:bottom w:val="none" w:sz="0" w:space="0" w:color="auto"/>
        <w:right w:val="none" w:sz="0" w:space="0" w:color="auto"/>
      </w:divBdr>
    </w:div>
    <w:div w:id="1614480503">
      <w:marLeft w:val="0"/>
      <w:marRight w:val="0"/>
      <w:marTop w:val="180"/>
      <w:marBottom w:val="180"/>
      <w:divBdr>
        <w:top w:val="none" w:sz="0" w:space="0" w:color="auto"/>
        <w:left w:val="none" w:sz="0" w:space="0" w:color="auto"/>
        <w:bottom w:val="none" w:sz="0" w:space="0" w:color="auto"/>
        <w:right w:val="none" w:sz="0" w:space="0" w:color="auto"/>
      </w:divBdr>
    </w:div>
    <w:div w:id="1616668024">
      <w:marLeft w:val="0"/>
      <w:marRight w:val="0"/>
      <w:marTop w:val="60"/>
      <w:marBottom w:val="60"/>
      <w:divBdr>
        <w:top w:val="none" w:sz="0" w:space="0" w:color="auto"/>
        <w:left w:val="none" w:sz="0" w:space="0" w:color="auto"/>
        <w:bottom w:val="none" w:sz="0" w:space="0" w:color="auto"/>
        <w:right w:val="none" w:sz="0" w:space="0" w:color="auto"/>
      </w:divBdr>
    </w:div>
    <w:div w:id="1617564486">
      <w:marLeft w:val="0"/>
      <w:marRight w:val="0"/>
      <w:marTop w:val="180"/>
      <w:marBottom w:val="180"/>
      <w:divBdr>
        <w:top w:val="none" w:sz="0" w:space="0" w:color="auto"/>
        <w:left w:val="none" w:sz="0" w:space="0" w:color="auto"/>
        <w:bottom w:val="none" w:sz="0" w:space="0" w:color="auto"/>
        <w:right w:val="none" w:sz="0" w:space="0" w:color="auto"/>
      </w:divBdr>
    </w:div>
    <w:div w:id="1617756865">
      <w:marLeft w:val="0"/>
      <w:marRight w:val="0"/>
      <w:marTop w:val="180"/>
      <w:marBottom w:val="180"/>
      <w:divBdr>
        <w:top w:val="none" w:sz="0" w:space="0" w:color="auto"/>
        <w:left w:val="none" w:sz="0" w:space="0" w:color="auto"/>
        <w:bottom w:val="none" w:sz="0" w:space="0" w:color="auto"/>
        <w:right w:val="none" w:sz="0" w:space="0" w:color="auto"/>
      </w:divBdr>
    </w:div>
    <w:div w:id="1618295455">
      <w:marLeft w:val="0"/>
      <w:marRight w:val="0"/>
      <w:marTop w:val="180"/>
      <w:marBottom w:val="180"/>
      <w:divBdr>
        <w:top w:val="none" w:sz="0" w:space="0" w:color="auto"/>
        <w:left w:val="none" w:sz="0" w:space="0" w:color="auto"/>
        <w:bottom w:val="none" w:sz="0" w:space="0" w:color="auto"/>
        <w:right w:val="none" w:sz="0" w:space="0" w:color="auto"/>
      </w:divBdr>
    </w:div>
    <w:div w:id="1618368508">
      <w:marLeft w:val="0"/>
      <w:marRight w:val="0"/>
      <w:marTop w:val="180"/>
      <w:marBottom w:val="180"/>
      <w:divBdr>
        <w:top w:val="none" w:sz="0" w:space="0" w:color="auto"/>
        <w:left w:val="none" w:sz="0" w:space="0" w:color="auto"/>
        <w:bottom w:val="none" w:sz="0" w:space="0" w:color="auto"/>
        <w:right w:val="none" w:sz="0" w:space="0" w:color="auto"/>
      </w:divBdr>
    </w:div>
    <w:div w:id="1618947934">
      <w:marLeft w:val="0"/>
      <w:marRight w:val="0"/>
      <w:marTop w:val="180"/>
      <w:marBottom w:val="180"/>
      <w:divBdr>
        <w:top w:val="none" w:sz="0" w:space="0" w:color="auto"/>
        <w:left w:val="none" w:sz="0" w:space="0" w:color="auto"/>
        <w:bottom w:val="none" w:sz="0" w:space="0" w:color="auto"/>
        <w:right w:val="none" w:sz="0" w:space="0" w:color="auto"/>
      </w:divBdr>
    </w:div>
    <w:div w:id="1619335070">
      <w:marLeft w:val="0"/>
      <w:marRight w:val="0"/>
      <w:marTop w:val="100"/>
      <w:marBottom w:val="100"/>
      <w:divBdr>
        <w:top w:val="none" w:sz="0" w:space="0" w:color="auto"/>
        <w:left w:val="none" w:sz="0" w:space="0" w:color="auto"/>
        <w:bottom w:val="none" w:sz="0" w:space="0" w:color="auto"/>
        <w:right w:val="none" w:sz="0" w:space="0" w:color="auto"/>
      </w:divBdr>
      <w:divsChild>
        <w:div w:id="944190501">
          <w:marLeft w:val="0"/>
          <w:marRight w:val="0"/>
          <w:marTop w:val="0"/>
          <w:marBottom w:val="0"/>
          <w:divBdr>
            <w:top w:val="none" w:sz="0" w:space="0" w:color="auto"/>
            <w:left w:val="none" w:sz="0" w:space="0" w:color="auto"/>
            <w:bottom w:val="none" w:sz="0" w:space="0" w:color="auto"/>
            <w:right w:val="none" w:sz="0" w:space="0" w:color="auto"/>
          </w:divBdr>
        </w:div>
      </w:divsChild>
    </w:div>
    <w:div w:id="1624268443">
      <w:marLeft w:val="0"/>
      <w:marRight w:val="0"/>
      <w:marTop w:val="180"/>
      <w:marBottom w:val="180"/>
      <w:divBdr>
        <w:top w:val="none" w:sz="0" w:space="0" w:color="auto"/>
        <w:left w:val="none" w:sz="0" w:space="0" w:color="auto"/>
        <w:bottom w:val="none" w:sz="0" w:space="0" w:color="auto"/>
        <w:right w:val="none" w:sz="0" w:space="0" w:color="auto"/>
      </w:divBdr>
    </w:div>
    <w:div w:id="1624456692">
      <w:marLeft w:val="0"/>
      <w:marRight w:val="0"/>
      <w:marTop w:val="180"/>
      <w:marBottom w:val="180"/>
      <w:divBdr>
        <w:top w:val="none" w:sz="0" w:space="0" w:color="auto"/>
        <w:left w:val="none" w:sz="0" w:space="0" w:color="auto"/>
        <w:bottom w:val="none" w:sz="0" w:space="0" w:color="auto"/>
        <w:right w:val="none" w:sz="0" w:space="0" w:color="auto"/>
      </w:divBdr>
    </w:div>
    <w:div w:id="1624648593">
      <w:marLeft w:val="0"/>
      <w:marRight w:val="0"/>
      <w:marTop w:val="180"/>
      <w:marBottom w:val="180"/>
      <w:divBdr>
        <w:top w:val="none" w:sz="0" w:space="0" w:color="auto"/>
        <w:left w:val="none" w:sz="0" w:space="0" w:color="auto"/>
        <w:bottom w:val="none" w:sz="0" w:space="0" w:color="auto"/>
        <w:right w:val="none" w:sz="0" w:space="0" w:color="auto"/>
      </w:divBdr>
    </w:div>
    <w:div w:id="1627005662">
      <w:marLeft w:val="0"/>
      <w:marRight w:val="0"/>
      <w:marTop w:val="0"/>
      <w:marBottom w:val="60"/>
      <w:divBdr>
        <w:top w:val="none" w:sz="0" w:space="0" w:color="auto"/>
        <w:left w:val="none" w:sz="0" w:space="0" w:color="auto"/>
        <w:bottom w:val="none" w:sz="0" w:space="0" w:color="auto"/>
        <w:right w:val="none" w:sz="0" w:space="0" w:color="auto"/>
      </w:divBdr>
    </w:div>
    <w:div w:id="1627660895">
      <w:marLeft w:val="0"/>
      <w:marRight w:val="0"/>
      <w:marTop w:val="180"/>
      <w:marBottom w:val="180"/>
      <w:divBdr>
        <w:top w:val="none" w:sz="0" w:space="0" w:color="auto"/>
        <w:left w:val="none" w:sz="0" w:space="0" w:color="auto"/>
        <w:bottom w:val="none" w:sz="0" w:space="0" w:color="auto"/>
        <w:right w:val="none" w:sz="0" w:space="0" w:color="auto"/>
      </w:divBdr>
    </w:div>
    <w:div w:id="1628781766">
      <w:marLeft w:val="0"/>
      <w:marRight w:val="0"/>
      <w:marTop w:val="100"/>
      <w:marBottom w:val="100"/>
      <w:divBdr>
        <w:top w:val="none" w:sz="0" w:space="0" w:color="auto"/>
        <w:left w:val="none" w:sz="0" w:space="0" w:color="auto"/>
        <w:bottom w:val="none" w:sz="0" w:space="0" w:color="auto"/>
        <w:right w:val="none" w:sz="0" w:space="0" w:color="auto"/>
      </w:divBdr>
      <w:divsChild>
        <w:div w:id="331838943">
          <w:marLeft w:val="0"/>
          <w:marRight w:val="0"/>
          <w:marTop w:val="0"/>
          <w:marBottom w:val="160"/>
          <w:divBdr>
            <w:top w:val="none" w:sz="0" w:space="0" w:color="auto"/>
            <w:left w:val="none" w:sz="0" w:space="0" w:color="auto"/>
            <w:bottom w:val="none" w:sz="0" w:space="0" w:color="auto"/>
            <w:right w:val="none" w:sz="0" w:space="0" w:color="auto"/>
          </w:divBdr>
        </w:div>
        <w:div w:id="126775898">
          <w:marLeft w:val="0"/>
          <w:marRight w:val="0"/>
          <w:marTop w:val="0"/>
          <w:marBottom w:val="160"/>
          <w:divBdr>
            <w:top w:val="none" w:sz="0" w:space="0" w:color="auto"/>
            <w:left w:val="none" w:sz="0" w:space="0" w:color="auto"/>
            <w:bottom w:val="none" w:sz="0" w:space="0" w:color="auto"/>
            <w:right w:val="none" w:sz="0" w:space="0" w:color="auto"/>
          </w:divBdr>
        </w:div>
      </w:divsChild>
    </w:div>
    <w:div w:id="1629509943">
      <w:marLeft w:val="0"/>
      <w:marRight w:val="0"/>
      <w:marTop w:val="180"/>
      <w:marBottom w:val="180"/>
      <w:divBdr>
        <w:top w:val="none" w:sz="0" w:space="0" w:color="auto"/>
        <w:left w:val="none" w:sz="0" w:space="0" w:color="auto"/>
        <w:bottom w:val="none" w:sz="0" w:space="0" w:color="auto"/>
        <w:right w:val="none" w:sz="0" w:space="0" w:color="auto"/>
      </w:divBdr>
    </w:div>
    <w:div w:id="1633366018">
      <w:marLeft w:val="0"/>
      <w:marRight w:val="0"/>
      <w:marTop w:val="180"/>
      <w:marBottom w:val="180"/>
      <w:divBdr>
        <w:top w:val="none" w:sz="0" w:space="0" w:color="auto"/>
        <w:left w:val="none" w:sz="0" w:space="0" w:color="auto"/>
        <w:bottom w:val="none" w:sz="0" w:space="0" w:color="auto"/>
        <w:right w:val="none" w:sz="0" w:space="0" w:color="auto"/>
      </w:divBdr>
    </w:div>
    <w:div w:id="1634403360">
      <w:marLeft w:val="0"/>
      <w:marRight w:val="0"/>
      <w:marTop w:val="180"/>
      <w:marBottom w:val="180"/>
      <w:divBdr>
        <w:top w:val="none" w:sz="0" w:space="0" w:color="auto"/>
        <w:left w:val="none" w:sz="0" w:space="0" w:color="auto"/>
        <w:bottom w:val="none" w:sz="0" w:space="0" w:color="auto"/>
        <w:right w:val="none" w:sz="0" w:space="0" w:color="auto"/>
      </w:divBdr>
    </w:div>
    <w:div w:id="1637031292">
      <w:marLeft w:val="0"/>
      <w:marRight w:val="0"/>
      <w:marTop w:val="0"/>
      <w:marBottom w:val="0"/>
      <w:divBdr>
        <w:top w:val="none" w:sz="0" w:space="0" w:color="auto"/>
        <w:left w:val="none" w:sz="0" w:space="0" w:color="auto"/>
        <w:bottom w:val="none" w:sz="0" w:space="0" w:color="auto"/>
        <w:right w:val="none" w:sz="0" w:space="0" w:color="auto"/>
      </w:divBdr>
      <w:divsChild>
        <w:div w:id="303195746">
          <w:marLeft w:val="0"/>
          <w:marRight w:val="0"/>
          <w:marTop w:val="180"/>
          <w:marBottom w:val="180"/>
          <w:divBdr>
            <w:top w:val="none" w:sz="0" w:space="0" w:color="auto"/>
            <w:left w:val="none" w:sz="0" w:space="0" w:color="auto"/>
            <w:bottom w:val="none" w:sz="0" w:space="0" w:color="auto"/>
            <w:right w:val="none" w:sz="0" w:space="0" w:color="auto"/>
          </w:divBdr>
        </w:div>
      </w:divsChild>
    </w:div>
    <w:div w:id="1637447155">
      <w:marLeft w:val="0"/>
      <w:marRight w:val="0"/>
      <w:marTop w:val="180"/>
      <w:marBottom w:val="180"/>
      <w:divBdr>
        <w:top w:val="none" w:sz="0" w:space="0" w:color="auto"/>
        <w:left w:val="none" w:sz="0" w:space="0" w:color="auto"/>
        <w:bottom w:val="none" w:sz="0" w:space="0" w:color="auto"/>
        <w:right w:val="none" w:sz="0" w:space="0" w:color="auto"/>
      </w:divBdr>
    </w:div>
    <w:div w:id="1637494575">
      <w:marLeft w:val="0"/>
      <w:marRight w:val="0"/>
      <w:marTop w:val="180"/>
      <w:marBottom w:val="180"/>
      <w:divBdr>
        <w:top w:val="none" w:sz="0" w:space="0" w:color="auto"/>
        <w:left w:val="none" w:sz="0" w:space="0" w:color="auto"/>
        <w:bottom w:val="none" w:sz="0" w:space="0" w:color="auto"/>
        <w:right w:val="none" w:sz="0" w:space="0" w:color="auto"/>
      </w:divBdr>
    </w:div>
    <w:div w:id="1637954004">
      <w:marLeft w:val="0"/>
      <w:marRight w:val="0"/>
      <w:marTop w:val="180"/>
      <w:marBottom w:val="180"/>
      <w:divBdr>
        <w:top w:val="none" w:sz="0" w:space="0" w:color="auto"/>
        <w:left w:val="none" w:sz="0" w:space="0" w:color="auto"/>
        <w:bottom w:val="none" w:sz="0" w:space="0" w:color="auto"/>
        <w:right w:val="none" w:sz="0" w:space="0" w:color="auto"/>
      </w:divBdr>
    </w:div>
    <w:div w:id="1638416407">
      <w:marLeft w:val="0"/>
      <w:marRight w:val="0"/>
      <w:marTop w:val="100"/>
      <w:marBottom w:val="100"/>
      <w:divBdr>
        <w:top w:val="none" w:sz="0" w:space="0" w:color="auto"/>
        <w:left w:val="none" w:sz="0" w:space="0" w:color="auto"/>
        <w:bottom w:val="none" w:sz="0" w:space="0" w:color="auto"/>
        <w:right w:val="none" w:sz="0" w:space="0" w:color="auto"/>
      </w:divBdr>
      <w:divsChild>
        <w:div w:id="760637966">
          <w:marLeft w:val="0"/>
          <w:marRight w:val="0"/>
          <w:marTop w:val="180"/>
          <w:marBottom w:val="180"/>
          <w:divBdr>
            <w:top w:val="none" w:sz="0" w:space="0" w:color="auto"/>
            <w:left w:val="none" w:sz="0" w:space="0" w:color="auto"/>
            <w:bottom w:val="none" w:sz="0" w:space="0" w:color="auto"/>
            <w:right w:val="none" w:sz="0" w:space="0" w:color="auto"/>
          </w:divBdr>
        </w:div>
        <w:div w:id="1133016517">
          <w:marLeft w:val="0"/>
          <w:marRight w:val="0"/>
          <w:marTop w:val="180"/>
          <w:marBottom w:val="180"/>
          <w:divBdr>
            <w:top w:val="none" w:sz="0" w:space="0" w:color="auto"/>
            <w:left w:val="none" w:sz="0" w:space="0" w:color="auto"/>
            <w:bottom w:val="none" w:sz="0" w:space="0" w:color="auto"/>
            <w:right w:val="none" w:sz="0" w:space="0" w:color="auto"/>
          </w:divBdr>
        </w:div>
        <w:div w:id="970134858">
          <w:marLeft w:val="0"/>
          <w:marRight w:val="0"/>
          <w:marTop w:val="180"/>
          <w:marBottom w:val="180"/>
          <w:divBdr>
            <w:top w:val="none" w:sz="0" w:space="0" w:color="auto"/>
            <w:left w:val="none" w:sz="0" w:space="0" w:color="auto"/>
            <w:bottom w:val="none" w:sz="0" w:space="0" w:color="auto"/>
            <w:right w:val="none" w:sz="0" w:space="0" w:color="auto"/>
          </w:divBdr>
        </w:div>
        <w:div w:id="1155952968">
          <w:marLeft w:val="0"/>
          <w:marRight w:val="0"/>
          <w:marTop w:val="180"/>
          <w:marBottom w:val="180"/>
          <w:divBdr>
            <w:top w:val="none" w:sz="0" w:space="0" w:color="auto"/>
            <w:left w:val="none" w:sz="0" w:space="0" w:color="auto"/>
            <w:bottom w:val="none" w:sz="0" w:space="0" w:color="auto"/>
            <w:right w:val="none" w:sz="0" w:space="0" w:color="auto"/>
          </w:divBdr>
        </w:div>
      </w:divsChild>
    </w:div>
    <w:div w:id="1639414567">
      <w:marLeft w:val="0"/>
      <w:marRight w:val="0"/>
      <w:marTop w:val="60"/>
      <w:marBottom w:val="60"/>
      <w:divBdr>
        <w:top w:val="none" w:sz="0" w:space="0" w:color="auto"/>
        <w:left w:val="none" w:sz="0" w:space="0" w:color="auto"/>
        <w:bottom w:val="none" w:sz="0" w:space="0" w:color="auto"/>
        <w:right w:val="none" w:sz="0" w:space="0" w:color="auto"/>
      </w:divBdr>
    </w:div>
    <w:div w:id="1639601864">
      <w:marLeft w:val="0"/>
      <w:marRight w:val="0"/>
      <w:marTop w:val="60"/>
      <w:marBottom w:val="60"/>
      <w:divBdr>
        <w:top w:val="none" w:sz="0" w:space="0" w:color="auto"/>
        <w:left w:val="none" w:sz="0" w:space="0" w:color="auto"/>
        <w:bottom w:val="none" w:sz="0" w:space="0" w:color="auto"/>
        <w:right w:val="none" w:sz="0" w:space="0" w:color="auto"/>
      </w:divBdr>
    </w:div>
    <w:div w:id="1640455411">
      <w:marLeft w:val="0"/>
      <w:marRight w:val="0"/>
      <w:marTop w:val="180"/>
      <w:marBottom w:val="180"/>
      <w:divBdr>
        <w:top w:val="none" w:sz="0" w:space="0" w:color="auto"/>
        <w:left w:val="none" w:sz="0" w:space="0" w:color="auto"/>
        <w:bottom w:val="none" w:sz="0" w:space="0" w:color="auto"/>
        <w:right w:val="none" w:sz="0" w:space="0" w:color="auto"/>
      </w:divBdr>
    </w:div>
    <w:div w:id="1641694675">
      <w:marLeft w:val="0"/>
      <w:marRight w:val="0"/>
      <w:marTop w:val="100"/>
      <w:marBottom w:val="100"/>
      <w:divBdr>
        <w:top w:val="none" w:sz="0" w:space="0" w:color="auto"/>
        <w:left w:val="none" w:sz="0" w:space="0" w:color="auto"/>
        <w:bottom w:val="none" w:sz="0" w:space="0" w:color="auto"/>
        <w:right w:val="none" w:sz="0" w:space="0" w:color="auto"/>
      </w:divBdr>
    </w:div>
    <w:div w:id="1642031129">
      <w:marLeft w:val="0"/>
      <w:marRight w:val="0"/>
      <w:marTop w:val="180"/>
      <w:marBottom w:val="180"/>
      <w:divBdr>
        <w:top w:val="none" w:sz="0" w:space="0" w:color="auto"/>
        <w:left w:val="none" w:sz="0" w:space="0" w:color="auto"/>
        <w:bottom w:val="none" w:sz="0" w:space="0" w:color="auto"/>
        <w:right w:val="none" w:sz="0" w:space="0" w:color="auto"/>
      </w:divBdr>
    </w:div>
    <w:div w:id="1642223087">
      <w:marLeft w:val="0"/>
      <w:marRight w:val="0"/>
      <w:marTop w:val="0"/>
      <w:marBottom w:val="0"/>
      <w:divBdr>
        <w:top w:val="none" w:sz="0" w:space="0" w:color="auto"/>
        <w:left w:val="none" w:sz="0" w:space="0" w:color="auto"/>
        <w:bottom w:val="none" w:sz="0" w:space="0" w:color="auto"/>
        <w:right w:val="none" w:sz="0" w:space="0" w:color="auto"/>
      </w:divBdr>
      <w:divsChild>
        <w:div w:id="1268394233">
          <w:marLeft w:val="0"/>
          <w:marRight w:val="0"/>
          <w:marTop w:val="0"/>
          <w:marBottom w:val="0"/>
          <w:divBdr>
            <w:top w:val="none" w:sz="0" w:space="0" w:color="auto"/>
            <w:left w:val="none" w:sz="0" w:space="0" w:color="auto"/>
            <w:bottom w:val="none" w:sz="0" w:space="0" w:color="auto"/>
            <w:right w:val="none" w:sz="0" w:space="0" w:color="auto"/>
          </w:divBdr>
          <w:divsChild>
            <w:div w:id="13152560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3382738">
      <w:marLeft w:val="0"/>
      <w:marRight w:val="0"/>
      <w:marTop w:val="60"/>
      <w:marBottom w:val="60"/>
      <w:divBdr>
        <w:top w:val="none" w:sz="0" w:space="0" w:color="auto"/>
        <w:left w:val="none" w:sz="0" w:space="0" w:color="auto"/>
        <w:bottom w:val="none" w:sz="0" w:space="0" w:color="auto"/>
        <w:right w:val="none" w:sz="0" w:space="0" w:color="auto"/>
      </w:divBdr>
      <w:divsChild>
        <w:div w:id="392049093">
          <w:marLeft w:val="0"/>
          <w:marRight w:val="0"/>
          <w:marTop w:val="0"/>
          <w:marBottom w:val="0"/>
          <w:divBdr>
            <w:top w:val="none" w:sz="0" w:space="0" w:color="auto"/>
            <w:left w:val="none" w:sz="0" w:space="0" w:color="auto"/>
            <w:bottom w:val="none" w:sz="0" w:space="0" w:color="auto"/>
            <w:right w:val="none" w:sz="0" w:space="0" w:color="auto"/>
          </w:divBdr>
        </w:div>
        <w:div w:id="1764108577">
          <w:marLeft w:val="0"/>
          <w:marRight w:val="0"/>
          <w:marTop w:val="0"/>
          <w:marBottom w:val="0"/>
          <w:divBdr>
            <w:top w:val="none" w:sz="0" w:space="0" w:color="auto"/>
            <w:left w:val="none" w:sz="0" w:space="0" w:color="auto"/>
            <w:bottom w:val="none" w:sz="0" w:space="0" w:color="auto"/>
            <w:right w:val="none" w:sz="0" w:space="0" w:color="auto"/>
          </w:divBdr>
        </w:div>
      </w:divsChild>
    </w:div>
    <w:div w:id="1644844982">
      <w:marLeft w:val="0"/>
      <w:marRight w:val="0"/>
      <w:marTop w:val="0"/>
      <w:marBottom w:val="0"/>
      <w:divBdr>
        <w:top w:val="none" w:sz="0" w:space="0" w:color="auto"/>
        <w:left w:val="none" w:sz="0" w:space="0" w:color="auto"/>
        <w:bottom w:val="none" w:sz="0" w:space="0" w:color="auto"/>
        <w:right w:val="none" w:sz="0" w:space="0" w:color="auto"/>
      </w:divBdr>
      <w:divsChild>
        <w:div w:id="852377467">
          <w:marLeft w:val="0"/>
          <w:marRight w:val="0"/>
          <w:marTop w:val="0"/>
          <w:marBottom w:val="0"/>
          <w:divBdr>
            <w:top w:val="none" w:sz="0" w:space="0" w:color="auto"/>
            <w:left w:val="none" w:sz="0" w:space="0" w:color="auto"/>
            <w:bottom w:val="none" w:sz="0" w:space="0" w:color="auto"/>
            <w:right w:val="none" w:sz="0" w:space="0" w:color="auto"/>
          </w:divBdr>
          <w:divsChild>
            <w:div w:id="10418992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6230400">
      <w:marLeft w:val="0"/>
      <w:marRight w:val="0"/>
      <w:marTop w:val="0"/>
      <w:marBottom w:val="0"/>
      <w:divBdr>
        <w:top w:val="none" w:sz="0" w:space="0" w:color="auto"/>
        <w:left w:val="none" w:sz="0" w:space="0" w:color="auto"/>
        <w:bottom w:val="none" w:sz="0" w:space="0" w:color="auto"/>
        <w:right w:val="none" w:sz="0" w:space="0" w:color="auto"/>
      </w:divBdr>
      <w:divsChild>
        <w:div w:id="1791389079">
          <w:marLeft w:val="0"/>
          <w:marRight w:val="0"/>
          <w:marTop w:val="0"/>
          <w:marBottom w:val="0"/>
          <w:divBdr>
            <w:top w:val="none" w:sz="0" w:space="0" w:color="auto"/>
            <w:left w:val="none" w:sz="0" w:space="0" w:color="auto"/>
            <w:bottom w:val="none" w:sz="0" w:space="0" w:color="auto"/>
            <w:right w:val="none" w:sz="0" w:space="0" w:color="auto"/>
          </w:divBdr>
          <w:divsChild>
            <w:div w:id="19522737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6858040">
      <w:marLeft w:val="0"/>
      <w:marRight w:val="0"/>
      <w:marTop w:val="180"/>
      <w:marBottom w:val="180"/>
      <w:divBdr>
        <w:top w:val="none" w:sz="0" w:space="0" w:color="auto"/>
        <w:left w:val="none" w:sz="0" w:space="0" w:color="auto"/>
        <w:bottom w:val="none" w:sz="0" w:space="0" w:color="auto"/>
        <w:right w:val="none" w:sz="0" w:space="0" w:color="auto"/>
      </w:divBdr>
    </w:div>
    <w:div w:id="1647051190">
      <w:marLeft w:val="0"/>
      <w:marRight w:val="0"/>
      <w:marTop w:val="180"/>
      <w:marBottom w:val="180"/>
      <w:divBdr>
        <w:top w:val="none" w:sz="0" w:space="0" w:color="auto"/>
        <w:left w:val="none" w:sz="0" w:space="0" w:color="auto"/>
        <w:bottom w:val="none" w:sz="0" w:space="0" w:color="auto"/>
        <w:right w:val="none" w:sz="0" w:space="0" w:color="auto"/>
      </w:divBdr>
    </w:div>
    <w:div w:id="1647053455">
      <w:marLeft w:val="0"/>
      <w:marRight w:val="0"/>
      <w:marTop w:val="180"/>
      <w:marBottom w:val="180"/>
      <w:divBdr>
        <w:top w:val="none" w:sz="0" w:space="0" w:color="auto"/>
        <w:left w:val="none" w:sz="0" w:space="0" w:color="auto"/>
        <w:bottom w:val="none" w:sz="0" w:space="0" w:color="auto"/>
        <w:right w:val="none" w:sz="0" w:space="0" w:color="auto"/>
      </w:divBdr>
    </w:div>
    <w:div w:id="1647510380">
      <w:marLeft w:val="0"/>
      <w:marRight w:val="0"/>
      <w:marTop w:val="120"/>
      <w:marBottom w:val="0"/>
      <w:divBdr>
        <w:top w:val="none" w:sz="0" w:space="0" w:color="auto"/>
        <w:left w:val="none" w:sz="0" w:space="0" w:color="auto"/>
        <w:bottom w:val="none" w:sz="0" w:space="0" w:color="auto"/>
        <w:right w:val="none" w:sz="0" w:space="0" w:color="auto"/>
      </w:divBdr>
    </w:div>
    <w:div w:id="1649895945">
      <w:marLeft w:val="0"/>
      <w:marRight w:val="0"/>
      <w:marTop w:val="60"/>
      <w:marBottom w:val="60"/>
      <w:divBdr>
        <w:top w:val="none" w:sz="0" w:space="0" w:color="auto"/>
        <w:left w:val="none" w:sz="0" w:space="0" w:color="auto"/>
        <w:bottom w:val="none" w:sz="0" w:space="0" w:color="auto"/>
        <w:right w:val="none" w:sz="0" w:space="0" w:color="auto"/>
      </w:divBdr>
    </w:div>
    <w:div w:id="1650204618">
      <w:marLeft w:val="0"/>
      <w:marRight w:val="0"/>
      <w:marTop w:val="180"/>
      <w:marBottom w:val="180"/>
      <w:divBdr>
        <w:top w:val="none" w:sz="0" w:space="0" w:color="auto"/>
        <w:left w:val="none" w:sz="0" w:space="0" w:color="auto"/>
        <w:bottom w:val="none" w:sz="0" w:space="0" w:color="auto"/>
        <w:right w:val="none" w:sz="0" w:space="0" w:color="auto"/>
      </w:divBdr>
    </w:div>
    <w:div w:id="1650790828">
      <w:marLeft w:val="0"/>
      <w:marRight w:val="0"/>
      <w:marTop w:val="180"/>
      <w:marBottom w:val="180"/>
      <w:divBdr>
        <w:top w:val="none" w:sz="0" w:space="0" w:color="auto"/>
        <w:left w:val="none" w:sz="0" w:space="0" w:color="auto"/>
        <w:bottom w:val="none" w:sz="0" w:space="0" w:color="auto"/>
        <w:right w:val="none" w:sz="0" w:space="0" w:color="auto"/>
      </w:divBdr>
    </w:div>
    <w:div w:id="1651323537">
      <w:marLeft w:val="0"/>
      <w:marRight w:val="0"/>
      <w:marTop w:val="180"/>
      <w:marBottom w:val="180"/>
      <w:divBdr>
        <w:top w:val="none" w:sz="0" w:space="0" w:color="auto"/>
        <w:left w:val="none" w:sz="0" w:space="0" w:color="auto"/>
        <w:bottom w:val="none" w:sz="0" w:space="0" w:color="auto"/>
        <w:right w:val="none" w:sz="0" w:space="0" w:color="auto"/>
      </w:divBdr>
    </w:div>
    <w:div w:id="1652294204">
      <w:marLeft w:val="0"/>
      <w:marRight w:val="0"/>
      <w:marTop w:val="180"/>
      <w:marBottom w:val="180"/>
      <w:divBdr>
        <w:top w:val="none" w:sz="0" w:space="0" w:color="auto"/>
        <w:left w:val="none" w:sz="0" w:space="0" w:color="auto"/>
        <w:bottom w:val="none" w:sz="0" w:space="0" w:color="auto"/>
        <w:right w:val="none" w:sz="0" w:space="0" w:color="auto"/>
      </w:divBdr>
    </w:div>
    <w:div w:id="1653096912">
      <w:marLeft w:val="0"/>
      <w:marRight w:val="0"/>
      <w:marTop w:val="180"/>
      <w:marBottom w:val="180"/>
      <w:divBdr>
        <w:top w:val="none" w:sz="0" w:space="0" w:color="auto"/>
        <w:left w:val="none" w:sz="0" w:space="0" w:color="auto"/>
        <w:bottom w:val="none" w:sz="0" w:space="0" w:color="auto"/>
        <w:right w:val="none" w:sz="0" w:space="0" w:color="auto"/>
      </w:divBdr>
    </w:div>
    <w:div w:id="1653679965">
      <w:marLeft w:val="0"/>
      <w:marRight w:val="0"/>
      <w:marTop w:val="180"/>
      <w:marBottom w:val="180"/>
      <w:divBdr>
        <w:top w:val="none" w:sz="0" w:space="0" w:color="auto"/>
        <w:left w:val="none" w:sz="0" w:space="0" w:color="auto"/>
        <w:bottom w:val="none" w:sz="0" w:space="0" w:color="auto"/>
        <w:right w:val="none" w:sz="0" w:space="0" w:color="auto"/>
      </w:divBdr>
    </w:div>
    <w:div w:id="1653750089">
      <w:marLeft w:val="0"/>
      <w:marRight w:val="0"/>
      <w:marTop w:val="180"/>
      <w:marBottom w:val="100"/>
      <w:divBdr>
        <w:top w:val="none" w:sz="0" w:space="0" w:color="auto"/>
        <w:left w:val="none" w:sz="0" w:space="0" w:color="auto"/>
        <w:bottom w:val="none" w:sz="0" w:space="0" w:color="auto"/>
        <w:right w:val="none" w:sz="0" w:space="0" w:color="auto"/>
      </w:divBdr>
    </w:div>
    <w:div w:id="1654287607">
      <w:marLeft w:val="0"/>
      <w:marRight w:val="0"/>
      <w:marTop w:val="0"/>
      <w:marBottom w:val="0"/>
      <w:divBdr>
        <w:top w:val="none" w:sz="0" w:space="0" w:color="auto"/>
        <w:left w:val="none" w:sz="0" w:space="0" w:color="auto"/>
        <w:bottom w:val="none" w:sz="0" w:space="0" w:color="auto"/>
        <w:right w:val="none" w:sz="0" w:space="0" w:color="auto"/>
      </w:divBdr>
      <w:divsChild>
        <w:div w:id="478614265">
          <w:marLeft w:val="0"/>
          <w:marRight w:val="0"/>
          <w:marTop w:val="60"/>
          <w:marBottom w:val="60"/>
          <w:divBdr>
            <w:top w:val="none" w:sz="0" w:space="0" w:color="auto"/>
            <w:left w:val="none" w:sz="0" w:space="0" w:color="auto"/>
            <w:bottom w:val="none" w:sz="0" w:space="0" w:color="auto"/>
            <w:right w:val="none" w:sz="0" w:space="0" w:color="auto"/>
          </w:divBdr>
        </w:div>
      </w:divsChild>
    </w:div>
    <w:div w:id="1654412142">
      <w:marLeft w:val="0"/>
      <w:marRight w:val="0"/>
      <w:marTop w:val="60"/>
      <w:marBottom w:val="60"/>
      <w:divBdr>
        <w:top w:val="none" w:sz="0" w:space="0" w:color="auto"/>
        <w:left w:val="none" w:sz="0" w:space="0" w:color="auto"/>
        <w:bottom w:val="none" w:sz="0" w:space="0" w:color="auto"/>
        <w:right w:val="none" w:sz="0" w:space="0" w:color="auto"/>
      </w:divBdr>
    </w:div>
    <w:div w:id="1654945121">
      <w:marLeft w:val="0"/>
      <w:marRight w:val="0"/>
      <w:marTop w:val="180"/>
      <w:marBottom w:val="180"/>
      <w:divBdr>
        <w:top w:val="none" w:sz="0" w:space="0" w:color="auto"/>
        <w:left w:val="none" w:sz="0" w:space="0" w:color="auto"/>
        <w:bottom w:val="none" w:sz="0" w:space="0" w:color="auto"/>
        <w:right w:val="none" w:sz="0" w:space="0" w:color="auto"/>
      </w:divBdr>
    </w:div>
    <w:div w:id="1655912981">
      <w:marLeft w:val="0"/>
      <w:marRight w:val="0"/>
      <w:marTop w:val="0"/>
      <w:marBottom w:val="0"/>
      <w:divBdr>
        <w:top w:val="none" w:sz="0" w:space="0" w:color="auto"/>
        <w:left w:val="none" w:sz="0" w:space="0" w:color="auto"/>
        <w:bottom w:val="none" w:sz="0" w:space="0" w:color="auto"/>
        <w:right w:val="none" w:sz="0" w:space="0" w:color="auto"/>
      </w:divBdr>
      <w:divsChild>
        <w:div w:id="657421556">
          <w:marLeft w:val="0"/>
          <w:marRight w:val="0"/>
          <w:marTop w:val="180"/>
          <w:marBottom w:val="180"/>
          <w:divBdr>
            <w:top w:val="none" w:sz="0" w:space="0" w:color="auto"/>
            <w:left w:val="none" w:sz="0" w:space="0" w:color="auto"/>
            <w:bottom w:val="none" w:sz="0" w:space="0" w:color="auto"/>
            <w:right w:val="none" w:sz="0" w:space="0" w:color="auto"/>
          </w:divBdr>
        </w:div>
      </w:divsChild>
    </w:div>
    <w:div w:id="1655913009">
      <w:marLeft w:val="0"/>
      <w:marRight w:val="0"/>
      <w:marTop w:val="180"/>
      <w:marBottom w:val="180"/>
      <w:divBdr>
        <w:top w:val="none" w:sz="0" w:space="0" w:color="auto"/>
        <w:left w:val="none" w:sz="0" w:space="0" w:color="auto"/>
        <w:bottom w:val="none" w:sz="0" w:space="0" w:color="auto"/>
        <w:right w:val="none" w:sz="0" w:space="0" w:color="auto"/>
      </w:divBdr>
    </w:div>
    <w:div w:id="1656102531">
      <w:marLeft w:val="0"/>
      <w:marRight w:val="0"/>
      <w:marTop w:val="100"/>
      <w:marBottom w:val="100"/>
      <w:divBdr>
        <w:top w:val="none" w:sz="0" w:space="0" w:color="auto"/>
        <w:left w:val="none" w:sz="0" w:space="0" w:color="auto"/>
        <w:bottom w:val="none" w:sz="0" w:space="0" w:color="auto"/>
        <w:right w:val="none" w:sz="0" w:space="0" w:color="auto"/>
      </w:divBdr>
      <w:divsChild>
        <w:div w:id="1405370186">
          <w:marLeft w:val="0"/>
          <w:marRight w:val="0"/>
          <w:marTop w:val="0"/>
          <w:marBottom w:val="0"/>
          <w:divBdr>
            <w:top w:val="none" w:sz="0" w:space="0" w:color="auto"/>
            <w:left w:val="none" w:sz="0" w:space="0" w:color="auto"/>
            <w:bottom w:val="none" w:sz="0" w:space="0" w:color="auto"/>
            <w:right w:val="none" w:sz="0" w:space="0" w:color="auto"/>
          </w:divBdr>
        </w:div>
        <w:div w:id="151990655">
          <w:marLeft w:val="0"/>
          <w:marRight w:val="0"/>
          <w:marTop w:val="0"/>
          <w:marBottom w:val="0"/>
          <w:divBdr>
            <w:top w:val="none" w:sz="0" w:space="0" w:color="auto"/>
            <w:left w:val="none" w:sz="0" w:space="0" w:color="auto"/>
            <w:bottom w:val="none" w:sz="0" w:space="0" w:color="auto"/>
            <w:right w:val="none" w:sz="0" w:space="0" w:color="auto"/>
          </w:divBdr>
        </w:div>
        <w:div w:id="1852525337">
          <w:marLeft w:val="0"/>
          <w:marRight w:val="0"/>
          <w:marTop w:val="0"/>
          <w:marBottom w:val="0"/>
          <w:divBdr>
            <w:top w:val="none" w:sz="0" w:space="0" w:color="auto"/>
            <w:left w:val="none" w:sz="0" w:space="0" w:color="auto"/>
            <w:bottom w:val="none" w:sz="0" w:space="0" w:color="auto"/>
            <w:right w:val="none" w:sz="0" w:space="0" w:color="auto"/>
          </w:divBdr>
        </w:div>
        <w:div w:id="519008371">
          <w:marLeft w:val="0"/>
          <w:marRight w:val="0"/>
          <w:marTop w:val="0"/>
          <w:marBottom w:val="0"/>
          <w:divBdr>
            <w:top w:val="none" w:sz="0" w:space="0" w:color="auto"/>
            <w:left w:val="none" w:sz="0" w:space="0" w:color="auto"/>
            <w:bottom w:val="none" w:sz="0" w:space="0" w:color="auto"/>
            <w:right w:val="none" w:sz="0" w:space="0" w:color="auto"/>
          </w:divBdr>
        </w:div>
        <w:div w:id="522741567">
          <w:marLeft w:val="0"/>
          <w:marRight w:val="0"/>
          <w:marTop w:val="0"/>
          <w:marBottom w:val="0"/>
          <w:divBdr>
            <w:top w:val="none" w:sz="0" w:space="0" w:color="auto"/>
            <w:left w:val="none" w:sz="0" w:space="0" w:color="auto"/>
            <w:bottom w:val="none" w:sz="0" w:space="0" w:color="auto"/>
            <w:right w:val="none" w:sz="0" w:space="0" w:color="auto"/>
          </w:divBdr>
        </w:div>
        <w:div w:id="1921062682">
          <w:marLeft w:val="0"/>
          <w:marRight w:val="0"/>
          <w:marTop w:val="0"/>
          <w:marBottom w:val="0"/>
          <w:divBdr>
            <w:top w:val="none" w:sz="0" w:space="0" w:color="auto"/>
            <w:left w:val="none" w:sz="0" w:space="0" w:color="auto"/>
            <w:bottom w:val="none" w:sz="0" w:space="0" w:color="auto"/>
            <w:right w:val="none" w:sz="0" w:space="0" w:color="auto"/>
          </w:divBdr>
        </w:div>
        <w:div w:id="1045720730">
          <w:marLeft w:val="0"/>
          <w:marRight w:val="0"/>
          <w:marTop w:val="0"/>
          <w:marBottom w:val="0"/>
          <w:divBdr>
            <w:top w:val="none" w:sz="0" w:space="0" w:color="auto"/>
            <w:left w:val="none" w:sz="0" w:space="0" w:color="auto"/>
            <w:bottom w:val="none" w:sz="0" w:space="0" w:color="auto"/>
            <w:right w:val="none" w:sz="0" w:space="0" w:color="auto"/>
          </w:divBdr>
        </w:div>
        <w:div w:id="713232278">
          <w:marLeft w:val="0"/>
          <w:marRight w:val="0"/>
          <w:marTop w:val="0"/>
          <w:marBottom w:val="0"/>
          <w:divBdr>
            <w:top w:val="none" w:sz="0" w:space="0" w:color="auto"/>
            <w:left w:val="none" w:sz="0" w:space="0" w:color="auto"/>
            <w:bottom w:val="none" w:sz="0" w:space="0" w:color="auto"/>
            <w:right w:val="none" w:sz="0" w:space="0" w:color="auto"/>
          </w:divBdr>
        </w:div>
        <w:div w:id="1966037895">
          <w:marLeft w:val="0"/>
          <w:marRight w:val="0"/>
          <w:marTop w:val="0"/>
          <w:marBottom w:val="0"/>
          <w:divBdr>
            <w:top w:val="none" w:sz="0" w:space="0" w:color="auto"/>
            <w:left w:val="none" w:sz="0" w:space="0" w:color="auto"/>
            <w:bottom w:val="none" w:sz="0" w:space="0" w:color="auto"/>
            <w:right w:val="none" w:sz="0" w:space="0" w:color="auto"/>
          </w:divBdr>
        </w:div>
        <w:div w:id="1800950885">
          <w:marLeft w:val="0"/>
          <w:marRight w:val="0"/>
          <w:marTop w:val="0"/>
          <w:marBottom w:val="0"/>
          <w:divBdr>
            <w:top w:val="none" w:sz="0" w:space="0" w:color="auto"/>
            <w:left w:val="none" w:sz="0" w:space="0" w:color="auto"/>
            <w:bottom w:val="none" w:sz="0" w:space="0" w:color="auto"/>
            <w:right w:val="none" w:sz="0" w:space="0" w:color="auto"/>
          </w:divBdr>
        </w:div>
        <w:div w:id="1497958932">
          <w:marLeft w:val="0"/>
          <w:marRight w:val="0"/>
          <w:marTop w:val="0"/>
          <w:marBottom w:val="0"/>
          <w:divBdr>
            <w:top w:val="none" w:sz="0" w:space="0" w:color="auto"/>
            <w:left w:val="none" w:sz="0" w:space="0" w:color="auto"/>
            <w:bottom w:val="none" w:sz="0" w:space="0" w:color="auto"/>
            <w:right w:val="none" w:sz="0" w:space="0" w:color="auto"/>
          </w:divBdr>
        </w:div>
        <w:div w:id="478880972">
          <w:marLeft w:val="0"/>
          <w:marRight w:val="0"/>
          <w:marTop w:val="0"/>
          <w:marBottom w:val="0"/>
          <w:divBdr>
            <w:top w:val="none" w:sz="0" w:space="0" w:color="auto"/>
            <w:left w:val="none" w:sz="0" w:space="0" w:color="auto"/>
            <w:bottom w:val="none" w:sz="0" w:space="0" w:color="auto"/>
            <w:right w:val="none" w:sz="0" w:space="0" w:color="auto"/>
          </w:divBdr>
        </w:div>
        <w:div w:id="1217089801">
          <w:marLeft w:val="0"/>
          <w:marRight w:val="0"/>
          <w:marTop w:val="0"/>
          <w:marBottom w:val="0"/>
          <w:divBdr>
            <w:top w:val="none" w:sz="0" w:space="0" w:color="auto"/>
            <w:left w:val="none" w:sz="0" w:space="0" w:color="auto"/>
            <w:bottom w:val="none" w:sz="0" w:space="0" w:color="auto"/>
            <w:right w:val="none" w:sz="0" w:space="0" w:color="auto"/>
          </w:divBdr>
        </w:div>
        <w:div w:id="1887064086">
          <w:marLeft w:val="0"/>
          <w:marRight w:val="0"/>
          <w:marTop w:val="0"/>
          <w:marBottom w:val="0"/>
          <w:divBdr>
            <w:top w:val="none" w:sz="0" w:space="0" w:color="auto"/>
            <w:left w:val="none" w:sz="0" w:space="0" w:color="auto"/>
            <w:bottom w:val="none" w:sz="0" w:space="0" w:color="auto"/>
            <w:right w:val="none" w:sz="0" w:space="0" w:color="auto"/>
          </w:divBdr>
        </w:div>
        <w:div w:id="23100568">
          <w:marLeft w:val="0"/>
          <w:marRight w:val="0"/>
          <w:marTop w:val="0"/>
          <w:marBottom w:val="0"/>
          <w:divBdr>
            <w:top w:val="none" w:sz="0" w:space="0" w:color="auto"/>
            <w:left w:val="none" w:sz="0" w:space="0" w:color="auto"/>
            <w:bottom w:val="none" w:sz="0" w:space="0" w:color="auto"/>
            <w:right w:val="none" w:sz="0" w:space="0" w:color="auto"/>
          </w:divBdr>
        </w:div>
        <w:div w:id="243416299">
          <w:marLeft w:val="0"/>
          <w:marRight w:val="0"/>
          <w:marTop w:val="0"/>
          <w:marBottom w:val="0"/>
          <w:divBdr>
            <w:top w:val="none" w:sz="0" w:space="0" w:color="auto"/>
            <w:left w:val="none" w:sz="0" w:space="0" w:color="auto"/>
            <w:bottom w:val="none" w:sz="0" w:space="0" w:color="auto"/>
            <w:right w:val="none" w:sz="0" w:space="0" w:color="auto"/>
          </w:divBdr>
        </w:div>
        <w:div w:id="523402332">
          <w:marLeft w:val="0"/>
          <w:marRight w:val="0"/>
          <w:marTop w:val="0"/>
          <w:marBottom w:val="0"/>
          <w:divBdr>
            <w:top w:val="none" w:sz="0" w:space="0" w:color="auto"/>
            <w:left w:val="none" w:sz="0" w:space="0" w:color="auto"/>
            <w:bottom w:val="none" w:sz="0" w:space="0" w:color="auto"/>
            <w:right w:val="none" w:sz="0" w:space="0" w:color="auto"/>
          </w:divBdr>
        </w:div>
        <w:div w:id="1915622100">
          <w:marLeft w:val="0"/>
          <w:marRight w:val="0"/>
          <w:marTop w:val="0"/>
          <w:marBottom w:val="0"/>
          <w:divBdr>
            <w:top w:val="none" w:sz="0" w:space="0" w:color="auto"/>
            <w:left w:val="none" w:sz="0" w:space="0" w:color="auto"/>
            <w:bottom w:val="none" w:sz="0" w:space="0" w:color="auto"/>
            <w:right w:val="none" w:sz="0" w:space="0" w:color="auto"/>
          </w:divBdr>
        </w:div>
        <w:div w:id="1702433209">
          <w:marLeft w:val="0"/>
          <w:marRight w:val="0"/>
          <w:marTop w:val="0"/>
          <w:marBottom w:val="0"/>
          <w:divBdr>
            <w:top w:val="none" w:sz="0" w:space="0" w:color="auto"/>
            <w:left w:val="none" w:sz="0" w:space="0" w:color="auto"/>
            <w:bottom w:val="none" w:sz="0" w:space="0" w:color="auto"/>
            <w:right w:val="none" w:sz="0" w:space="0" w:color="auto"/>
          </w:divBdr>
        </w:div>
        <w:div w:id="2024672556">
          <w:marLeft w:val="0"/>
          <w:marRight w:val="0"/>
          <w:marTop w:val="0"/>
          <w:marBottom w:val="0"/>
          <w:divBdr>
            <w:top w:val="none" w:sz="0" w:space="0" w:color="auto"/>
            <w:left w:val="none" w:sz="0" w:space="0" w:color="auto"/>
            <w:bottom w:val="none" w:sz="0" w:space="0" w:color="auto"/>
            <w:right w:val="none" w:sz="0" w:space="0" w:color="auto"/>
          </w:divBdr>
        </w:div>
        <w:div w:id="1463883605">
          <w:marLeft w:val="0"/>
          <w:marRight w:val="0"/>
          <w:marTop w:val="0"/>
          <w:marBottom w:val="0"/>
          <w:divBdr>
            <w:top w:val="none" w:sz="0" w:space="0" w:color="auto"/>
            <w:left w:val="none" w:sz="0" w:space="0" w:color="auto"/>
            <w:bottom w:val="none" w:sz="0" w:space="0" w:color="auto"/>
            <w:right w:val="none" w:sz="0" w:space="0" w:color="auto"/>
          </w:divBdr>
        </w:div>
        <w:div w:id="727804466">
          <w:marLeft w:val="0"/>
          <w:marRight w:val="0"/>
          <w:marTop w:val="0"/>
          <w:marBottom w:val="0"/>
          <w:divBdr>
            <w:top w:val="none" w:sz="0" w:space="0" w:color="auto"/>
            <w:left w:val="none" w:sz="0" w:space="0" w:color="auto"/>
            <w:bottom w:val="none" w:sz="0" w:space="0" w:color="auto"/>
            <w:right w:val="none" w:sz="0" w:space="0" w:color="auto"/>
          </w:divBdr>
        </w:div>
        <w:div w:id="753475470">
          <w:marLeft w:val="0"/>
          <w:marRight w:val="0"/>
          <w:marTop w:val="0"/>
          <w:marBottom w:val="0"/>
          <w:divBdr>
            <w:top w:val="none" w:sz="0" w:space="0" w:color="auto"/>
            <w:left w:val="none" w:sz="0" w:space="0" w:color="auto"/>
            <w:bottom w:val="none" w:sz="0" w:space="0" w:color="auto"/>
            <w:right w:val="none" w:sz="0" w:space="0" w:color="auto"/>
          </w:divBdr>
        </w:div>
        <w:div w:id="316571576">
          <w:marLeft w:val="0"/>
          <w:marRight w:val="0"/>
          <w:marTop w:val="0"/>
          <w:marBottom w:val="0"/>
          <w:divBdr>
            <w:top w:val="none" w:sz="0" w:space="0" w:color="auto"/>
            <w:left w:val="none" w:sz="0" w:space="0" w:color="auto"/>
            <w:bottom w:val="none" w:sz="0" w:space="0" w:color="auto"/>
            <w:right w:val="none" w:sz="0" w:space="0" w:color="auto"/>
          </w:divBdr>
        </w:div>
        <w:div w:id="1858883956">
          <w:marLeft w:val="0"/>
          <w:marRight w:val="0"/>
          <w:marTop w:val="0"/>
          <w:marBottom w:val="0"/>
          <w:divBdr>
            <w:top w:val="none" w:sz="0" w:space="0" w:color="auto"/>
            <w:left w:val="none" w:sz="0" w:space="0" w:color="auto"/>
            <w:bottom w:val="none" w:sz="0" w:space="0" w:color="auto"/>
            <w:right w:val="none" w:sz="0" w:space="0" w:color="auto"/>
          </w:divBdr>
        </w:div>
        <w:div w:id="2126583479">
          <w:marLeft w:val="0"/>
          <w:marRight w:val="0"/>
          <w:marTop w:val="0"/>
          <w:marBottom w:val="0"/>
          <w:divBdr>
            <w:top w:val="none" w:sz="0" w:space="0" w:color="auto"/>
            <w:left w:val="none" w:sz="0" w:space="0" w:color="auto"/>
            <w:bottom w:val="none" w:sz="0" w:space="0" w:color="auto"/>
            <w:right w:val="none" w:sz="0" w:space="0" w:color="auto"/>
          </w:divBdr>
        </w:div>
        <w:div w:id="198592057">
          <w:marLeft w:val="0"/>
          <w:marRight w:val="0"/>
          <w:marTop w:val="0"/>
          <w:marBottom w:val="0"/>
          <w:divBdr>
            <w:top w:val="none" w:sz="0" w:space="0" w:color="auto"/>
            <w:left w:val="none" w:sz="0" w:space="0" w:color="auto"/>
            <w:bottom w:val="none" w:sz="0" w:space="0" w:color="auto"/>
            <w:right w:val="none" w:sz="0" w:space="0" w:color="auto"/>
          </w:divBdr>
        </w:div>
        <w:div w:id="117382042">
          <w:marLeft w:val="0"/>
          <w:marRight w:val="0"/>
          <w:marTop w:val="0"/>
          <w:marBottom w:val="0"/>
          <w:divBdr>
            <w:top w:val="none" w:sz="0" w:space="0" w:color="auto"/>
            <w:left w:val="none" w:sz="0" w:space="0" w:color="auto"/>
            <w:bottom w:val="none" w:sz="0" w:space="0" w:color="auto"/>
            <w:right w:val="none" w:sz="0" w:space="0" w:color="auto"/>
          </w:divBdr>
        </w:div>
      </w:divsChild>
    </w:div>
    <w:div w:id="1656378941">
      <w:marLeft w:val="0"/>
      <w:marRight w:val="0"/>
      <w:marTop w:val="0"/>
      <w:marBottom w:val="0"/>
      <w:divBdr>
        <w:top w:val="none" w:sz="0" w:space="0" w:color="auto"/>
        <w:left w:val="none" w:sz="0" w:space="0" w:color="auto"/>
        <w:bottom w:val="none" w:sz="0" w:space="0" w:color="auto"/>
        <w:right w:val="none" w:sz="0" w:space="0" w:color="auto"/>
      </w:divBdr>
    </w:div>
    <w:div w:id="1656647778">
      <w:marLeft w:val="0"/>
      <w:marRight w:val="0"/>
      <w:marTop w:val="180"/>
      <w:marBottom w:val="180"/>
      <w:divBdr>
        <w:top w:val="none" w:sz="0" w:space="0" w:color="auto"/>
        <w:left w:val="none" w:sz="0" w:space="0" w:color="auto"/>
        <w:bottom w:val="none" w:sz="0" w:space="0" w:color="auto"/>
        <w:right w:val="none" w:sz="0" w:space="0" w:color="auto"/>
      </w:divBdr>
    </w:div>
    <w:div w:id="1657109448">
      <w:marLeft w:val="0"/>
      <w:marRight w:val="0"/>
      <w:marTop w:val="0"/>
      <w:marBottom w:val="0"/>
      <w:divBdr>
        <w:top w:val="none" w:sz="0" w:space="0" w:color="auto"/>
        <w:left w:val="none" w:sz="0" w:space="0" w:color="auto"/>
        <w:bottom w:val="none" w:sz="0" w:space="0" w:color="auto"/>
        <w:right w:val="none" w:sz="0" w:space="0" w:color="auto"/>
      </w:divBdr>
    </w:div>
    <w:div w:id="1657301824">
      <w:marLeft w:val="0"/>
      <w:marRight w:val="0"/>
      <w:marTop w:val="180"/>
      <w:marBottom w:val="180"/>
      <w:divBdr>
        <w:top w:val="none" w:sz="0" w:space="0" w:color="auto"/>
        <w:left w:val="none" w:sz="0" w:space="0" w:color="auto"/>
        <w:bottom w:val="none" w:sz="0" w:space="0" w:color="auto"/>
        <w:right w:val="none" w:sz="0" w:space="0" w:color="auto"/>
      </w:divBdr>
    </w:div>
    <w:div w:id="1658613213">
      <w:marLeft w:val="0"/>
      <w:marRight w:val="0"/>
      <w:marTop w:val="0"/>
      <w:marBottom w:val="0"/>
      <w:divBdr>
        <w:top w:val="none" w:sz="0" w:space="0" w:color="auto"/>
        <w:left w:val="none" w:sz="0" w:space="0" w:color="auto"/>
        <w:bottom w:val="none" w:sz="0" w:space="0" w:color="auto"/>
        <w:right w:val="none" w:sz="0" w:space="0" w:color="auto"/>
      </w:divBdr>
      <w:divsChild>
        <w:div w:id="1452088104">
          <w:marLeft w:val="0"/>
          <w:marRight w:val="0"/>
          <w:marTop w:val="180"/>
          <w:marBottom w:val="180"/>
          <w:divBdr>
            <w:top w:val="none" w:sz="0" w:space="0" w:color="auto"/>
            <w:left w:val="none" w:sz="0" w:space="0" w:color="auto"/>
            <w:bottom w:val="none" w:sz="0" w:space="0" w:color="auto"/>
            <w:right w:val="none" w:sz="0" w:space="0" w:color="auto"/>
          </w:divBdr>
        </w:div>
      </w:divsChild>
    </w:div>
    <w:div w:id="1658681497">
      <w:marLeft w:val="0"/>
      <w:marRight w:val="0"/>
      <w:marTop w:val="180"/>
      <w:marBottom w:val="180"/>
      <w:divBdr>
        <w:top w:val="none" w:sz="0" w:space="0" w:color="auto"/>
        <w:left w:val="none" w:sz="0" w:space="0" w:color="auto"/>
        <w:bottom w:val="none" w:sz="0" w:space="0" w:color="auto"/>
        <w:right w:val="none" w:sz="0" w:space="0" w:color="auto"/>
      </w:divBdr>
    </w:div>
    <w:div w:id="1659529994">
      <w:marLeft w:val="0"/>
      <w:marRight w:val="0"/>
      <w:marTop w:val="180"/>
      <w:marBottom w:val="180"/>
      <w:divBdr>
        <w:top w:val="none" w:sz="0" w:space="0" w:color="auto"/>
        <w:left w:val="none" w:sz="0" w:space="0" w:color="auto"/>
        <w:bottom w:val="none" w:sz="0" w:space="0" w:color="auto"/>
        <w:right w:val="none" w:sz="0" w:space="0" w:color="auto"/>
      </w:divBdr>
    </w:div>
    <w:div w:id="1660965092">
      <w:marLeft w:val="0"/>
      <w:marRight w:val="0"/>
      <w:marTop w:val="180"/>
      <w:marBottom w:val="180"/>
      <w:divBdr>
        <w:top w:val="none" w:sz="0" w:space="0" w:color="auto"/>
        <w:left w:val="none" w:sz="0" w:space="0" w:color="auto"/>
        <w:bottom w:val="none" w:sz="0" w:space="0" w:color="auto"/>
        <w:right w:val="none" w:sz="0" w:space="0" w:color="auto"/>
      </w:divBdr>
    </w:div>
    <w:div w:id="1662587347">
      <w:marLeft w:val="0"/>
      <w:marRight w:val="0"/>
      <w:marTop w:val="0"/>
      <w:marBottom w:val="0"/>
      <w:divBdr>
        <w:top w:val="none" w:sz="0" w:space="0" w:color="auto"/>
        <w:left w:val="none" w:sz="0" w:space="0" w:color="auto"/>
        <w:bottom w:val="none" w:sz="0" w:space="0" w:color="auto"/>
        <w:right w:val="none" w:sz="0" w:space="0" w:color="auto"/>
      </w:divBdr>
    </w:div>
    <w:div w:id="1664314844">
      <w:marLeft w:val="0"/>
      <w:marRight w:val="0"/>
      <w:marTop w:val="60"/>
      <w:marBottom w:val="60"/>
      <w:divBdr>
        <w:top w:val="none" w:sz="0" w:space="0" w:color="auto"/>
        <w:left w:val="none" w:sz="0" w:space="0" w:color="auto"/>
        <w:bottom w:val="none" w:sz="0" w:space="0" w:color="auto"/>
        <w:right w:val="none" w:sz="0" w:space="0" w:color="auto"/>
      </w:divBdr>
    </w:div>
    <w:div w:id="1664702569">
      <w:marLeft w:val="0"/>
      <w:marRight w:val="0"/>
      <w:marTop w:val="180"/>
      <w:marBottom w:val="180"/>
      <w:divBdr>
        <w:top w:val="none" w:sz="0" w:space="0" w:color="auto"/>
        <w:left w:val="none" w:sz="0" w:space="0" w:color="auto"/>
        <w:bottom w:val="none" w:sz="0" w:space="0" w:color="auto"/>
        <w:right w:val="none" w:sz="0" w:space="0" w:color="auto"/>
      </w:divBdr>
    </w:div>
    <w:div w:id="1666544673">
      <w:marLeft w:val="0"/>
      <w:marRight w:val="0"/>
      <w:marTop w:val="180"/>
      <w:marBottom w:val="180"/>
      <w:divBdr>
        <w:top w:val="none" w:sz="0" w:space="0" w:color="auto"/>
        <w:left w:val="none" w:sz="0" w:space="0" w:color="auto"/>
        <w:bottom w:val="none" w:sz="0" w:space="0" w:color="auto"/>
        <w:right w:val="none" w:sz="0" w:space="0" w:color="auto"/>
      </w:divBdr>
    </w:div>
    <w:div w:id="1667056292">
      <w:marLeft w:val="0"/>
      <w:marRight w:val="0"/>
      <w:marTop w:val="180"/>
      <w:marBottom w:val="180"/>
      <w:divBdr>
        <w:top w:val="none" w:sz="0" w:space="0" w:color="auto"/>
        <w:left w:val="none" w:sz="0" w:space="0" w:color="auto"/>
        <w:bottom w:val="none" w:sz="0" w:space="0" w:color="auto"/>
        <w:right w:val="none" w:sz="0" w:space="0" w:color="auto"/>
      </w:divBdr>
    </w:div>
    <w:div w:id="1667904782">
      <w:marLeft w:val="0"/>
      <w:marRight w:val="0"/>
      <w:marTop w:val="60"/>
      <w:marBottom w:val="60"/>
      <w:divBdr>
        <w:top w:val="none" w:sz="0" w:space="0" w:color="auto"/>
        <w:left w:val="none" w:sz="0" w:space="0" w:color="auto"/>
        <w:bottom w:val="none" w:sz="0" w:space="0" w:color="auto"/>
        <w:right w:val="none" w:sz="0" w:space="0" w:color="auto"/>
      </w:divBdr>
    </w:div>
    <w:div w:id="1668164893">
      <w:marLeft w:val="0"/>
      <w:marRight w:val="0"/>
      <w:marTop w:val="180"/>
      <w:marBottom w:val="180"/>
      <w:divBdr>
        <w:top w:val="none" w:sz="0" w:space="0" w:color="auto"/>
        <w:left w:val="none" w:sz="0" w:space="0" w:color="auto"/>
        <w:bottom w:val="none" w:sz="0" w:space="0" w:color="auto"/>
        <w:right w:val="none" w:sz="0" w:space="0" w:color="auto"/>
      </w:divBdr>
    </w:div>
    <w:div w:id="1669019232">
      <w:marLeft w:val="0"/>
      <w:marRight w:val="0"/>
      <w:marTop w:val="180"/>
      <w:marBottom w:val="180"/>
      <w:divBdr>
        <w:top w:val="none" w:sz="0" w:space="0" w:color="auto"/>
        <w:left w:val="none" w:sz="0" w:space="0" w:color="auto"/>
        <w:bottom w:val="none" w:sz="0" w:space="0" w:color="auto"/>
        <w:right w:val="none" w:sz="0" w:space="0" w:color="auto"/>
      </w:divBdr>
    </w:div>
    <w:div w:id="1669363507">
      <w:marLeft w:val="0"/>
      <w:marRight w:val="0"/>
      <w:marTop w:val="0"/>
      <w:marBottom w:val="0"/>
      <w:divBdr>
        <w:top w:val="none" w:sz="0" w:space="0" w:color="auto"/>
        <w:left w:val="none" w:sz="0" w:space="0" w:color="auto"/>
        <w:bottom w:val="none" w:sz="0" w:space="0" w:color="auto"/>
        <w:right w:val="none" w:sz="0" w:space="0" w:color="auto"/>
      </w:divBdr>
      <w:divsChild>
        <w:div w:id="282612317">
          <w:marLeft w:val="0"/>
          <w:marRight w:val="0"/>
          <w:marTop w:val="0"/>
          <w:marBottom w:val="0"/>
          <w:divBdr>
            <w:top w:val="none" w:sz="0" w:space="0" w:color="auto"/>
            <w:left w:val="none" w:sz="0" w:space="0" w:color="auto"/>
            <w:bottom w:val="none" w:sz="0" w:space="0" w:color="auto"/>
            <w:right w:val="none" w:sz="0" w:space="0" w:color="auto"/>
          </w:divBdr>
          <w:divsChild>
            <w:div w:id="20042349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0325415">
      <w:marLeft w:val="0"/>
      <w:marRight w:val="0"/>
      <w:marTop w:val="180"/>
      <w:marBottom w:val="180"/>
      <w:divBdr>
        <w:top w:val="none" w:sz="0" w:space="0" w:color="auto"/>
        <w:left w:val="none" w:sz="0" w:space="0" w:color="auto"/>
        <w:bottom w:val="none" w:sz="0" w:space="0" w:color="auto"/>
        <w:right w:val="none" w:sz="0" w:space="0" w:color="auto"/>
      </w:divBdr>
    </w:div>
    <w:div w:id="1672442695">
      <w:marLeft w:val="0"/>
      <w:marRight w:val="0"/>
      <w:marTop w:val="180"/>
      <w:marBottom w:val="180"/>
      <w:divBdr>
        <w:top w:val="none" w:sz="0" w:space="0" w:color="auto"/>
        <w:left w:val="none" w:sz="0" w:space="0" w:color="auto"/>
        <w:bottom w:val="none" w:sz="0" w:space="0" w:color="auto"/>
        <w:right w:val="none" w:sz="0" w:space="0" w:color="auto"/>
      </w:divBdr>
    </w:div>
    <w:div w:id="1672563672">
      <w:marLeft w:val="0"/>
      <w:marRight w:val="0"/>
      <w:marTop w:val="0"/>
      <w:marBottom w:val="0"/>
      <w:divBdr>
        <w:top w:val="none" w:sz="0" w:space="0" w:color="auto"/>
        <w:left w:val="none" w:sz="0" w:space="0" w:color="auto"/>
        <w:bottom w:val="none" w:sz="0" w:space="0" w:color="auto"/>
        <w:right w:val="none" w:sz="0" w:space="0" w:color="auto"/>
      </w:divBdr>
      <w:divsChild>
        <w:div w:id="1775788395">
          <w:marLeft w:val="0"/>
          <w:marRight w:val="0"/>
          <w:marTop w:val="180"/>
          <w:marBottom w:val="180"/>
          <w:divBdr>
            <w:top w:val="none" w:sz="0" w:space="0" w:color="auto"/>
            <w:left w:val="none" w:sz="0" w:space="0" w:color="auto"/>
            <w:bottom w:val="none" w:sz="0" w:space="0" w:color="auto"/>
            <w:right w:val="none" w:sz="0" w:space="0" w:color="auto"/>
          </w:divBdr>
        </w:div>
      </w:divsChild>
    </w:div>
    <w:div w:id="1673145681">
      <w:marLeft w:val="0"/>
      <w:marRight w:val="0"/>
      <w:marTop w:val="180"/>
      <w:marBottom w:val="180"/>
      <w:divBdr>
        <w:top w:val="none" w:sz="0" w:space="0" w:color="auto"/>
        <w:left w:val="none" w:sz="0" w:space="0" w:color="auto"/>
        <w:bottom w:val="none" w:sz="0" w:space="0" w:color="auto"/>
        <w:right w:val="none" w:sz="0" w:space="0" w:color="auto"/>
      </w:divBdr>
    </w:div>
    <w:div w:id="1673213592">
      <w:marLeft w:val="0"/>
      <w:marRight w:val="0"/>
      <w:marTop w:val="60"/>
      <w:marBottom w:val="60"/>
      <w:divBdr>
        <w:top w:val="none" w:sz="0" w:space="0" w:color="auto"/>
        <w:left w:val="none" w:sz="0" w:space="0" w:color="auto"/>
        <w:bottom w:val="none" w:sz="0" w:space="0" w:color="auto"/>
        <w:right w:val="none" w:sz="0" w:space="0" w:color="auto"/>
      </w:divBdr>
    </w:div>
    <w:div w:id="1673290235">
      <w:marLeft w:val="0"/>
      <w:marRight w:val="0"/>
      <w:marTop w:val="0"/>
      <w:marBottom w:val="180"/>
      <w:divBdr>
        <w:top w:val="none" w:sz="0" w:space="0" w:color="auto"/>
        <w:left w:val="none" w:sz="0" w:space="0" w:color="auto"/>
        <w:bottom w:val="none" w:sz="0" w:space="0" w:color="auto"/>
        <w:right w:val="none" w:sz="0" w:space="0" w:color="auto"/>
      </w:divBdr>
    </w:div>
    <w:div w:id="1675766835">
      <w:marLeft w:val="0"/>
      <w:marRight w:val="0"/>
      <w:marTop w:val="60"/>
      <w:marBottom w:val="60"/>
      <w:divBdr>
        <w:top w:val="none" w:sz="0" w:space="0" w:color="auto"/>
        <w:left w:val="none" w:sz="0" w:space="0" w:color="auto"/>
        <w:bottom w:val="none" w:sz="0" w:space="0" w:color="auto"/>
        <w:right w:val="none" w:sz="0" w:space="0" w:color="auto"/>
      </w:divBdr>
    </w:div>
    <w:div w:id="1676573454">
      <w:marLeft w:val="0"/>
      <w:marRight w:val="0"/>
      <w:marTop w:val="180"/>
      <w:marBottom w:val="180"/>
      <w:divBdr>
        <w:top w:val="none" w:sz="0" w:space="0" w:color="auto"/>
        <w:left w:val="none" w:sz="0" w:space="0" w:color="auto"/>
        <w:bottom w:val="none" w:sz="0" w:space="0" w:color="auto"/>
        <w:right w:val="none" w:sz="0" w:space="0" w:color="auto"/>
      </w:divBdr>
    </w:div>
    <w:div w:id="1678070820">
      <w:marLeft w:val="0"/>
      <w:marRight w:val="0"/>
      <w:marTop w:val="180"/>
      <w:marBottom w:val="180"/>
      <w:divBdr>
        <w:top w:val="none" w:sz="0" w:space="0" w:color="auto"/>
        <w:left w:val="none" w:sz="0" w:space="0" w:color="auto"/>
        <w:bottom w:val="none" w:sz="0" w:space="0" w:color="auto"/>
        <w:right w:val="none" w:sz="0" w:space="0" w:color="auto"/>
      </w:divBdr>
    </w:div>
    <w:div w:id="1678192063">
      <w:marLeft w:val="0"/>
      <w:marRight w:val="0"/>
      <w:marTop w:val="100"/>
      <w:marBottom w:val="100"/>
      <w:divBdr>
        <w:top w:val="none" w:sz="0" w:space="0" w:color="auto"/>
        <w:left w:val="none" w:sz="0" w:space="0" w:color="auto"/>
        <w:bottom w:val="none" w:sz="0" w:space="0" w:color="auto"/>
        <w:right w:val="none" w:sz="0" w:space="0" w:color="auto"/>
      </w:divBdr>
    </w:div>
    <w:div w:id="1678653033">
      <w:marLeft w:val="0"/>
      <w:marRight w:val="0"/>
      <w:marTop w:val="60"/>
      <w:marBottom w:val="60"/>
      <w:divBdr>
        <w:top w:val="none" w:sz="0" w:space="0" w:color="auto"/>
        <w:left w:val="none" w:sz="0" w:space="0" w:color="auto"/>
        <w:bottom w:val="none" w:sz="0" w:space="0" w:color="auto"/>
        <w:right w:val="none" w:sz="0" w:space="0" w:color="auto"/>
      </w:divBdr>
    </w:div>
    <w:div w:id="1682779644">
      <w:marLeft w:val="0"/>
      <w:marRight w:val="0"/>
      <w:marTop w:val="180"/>
      <w:marBottom w:val="180"/>
      <w:divBdr>
        <w:top w:val="none" w:sz="0" w:space="0" w:color="auto"/>
        <w:left w:val="none" w:sz="0" w:space="0" w:color="auto"/>
        <w:bottom w:val="none" w:sz="0" w:space="0" w:color="auto"/>
        <w:right w:val="none" w:sz="0" w:space="0" w:color="auto"/>
      </w:divBdr>
    </w:div>
    <w:div w:id="1683507889">
      <w:marLeft w:val="0"/>
      <w:marRight w:val="0"/>
      <w:marTop w:val="60"/>
      <w:marBottom w:val="60"/>
      <w:divBdr>
        <w:top w:val="none" w:sz="0" w:space="0" w:color="auto"/>
        <w:left w:val="none" w:sz="0" w:space="0" w:color="auto"/>
        <w:bottom w:val="none" w:sz="0" w:space="0" w:color="auto"/>
        <w:right w:val="none" w:sz="0" w:space="0" w:color="auto"/>
      </w:divBdr>
    </w:div>
    <w:div w:id="1685209701">
      <w:marLeft w:val="0"/>
      <w:marRight w:val="0"/>
      <w:marTop w:val="180"/>
      <w:marBottom w:val="180"/>
      <w:divBdr>
        <w:top w:val="none" w:sz="0" w:space="0" w:color="auto"/>
        <w:left w:val="none" w:sz="0" w:space="0" w:color="auto"/>
        <w:bottom w:val="none" w:sz="0" w:space="0" w:color="auto"/>
        <w:right w:val="none" w:sz="0" w:space="0" w:color="auto"/>
      </w:divBdr>
    </w:div>
    <w:div w:id="1685596896">
      <w:marLeft w:val="0"/>
      <w:marRight w:val="0"/>
      <w:marTop w:val="180"/>
      <w:marBottom w:val="180"/>
      <w:divBdr>
        <w:top w:val="none" w:sz="0" w:space="0" w:color="auto"/>
        <w:left w:val="none" w:sz="0" w:space="0" w:color="auto"/>
        <w:bottom w:val="none" w:sz="0" w:space="0" w:color="auto"/>
        <w:right w:val="none" w:sz="0" w:space="0" w:color="auto"/>
      </w:divBdr>
    </w:div>
    <w:div w:id="1686007711">
      <w:marLeft w:val="0"/>
      <w:marRight w:val="0"/>
      <w:marTop w:val="240"/>
      <w:marBottom w:val="180"/>
      <w:divBdr>
        <w:top w:val="none" w:sz="0" w:space="0" w:color="auto"/>
        <w:left w:val="none" w:sz="0" w:space="0" w:color="auto"/>
        <w:bottom w:val="none" w:sz="0" w:space="0" w:color="auto"/>
        <w:right w:val="none" w:sz="0" w:space="0" w:color="auto"/>
      </w:divBdr>
    </w:div>
    <w:div w:id="1686663986">
      <w:marLeft w:val="0"/>
      <w:marRight w:val="0"/>
      <w:marTop w:val="0"/>
      <w:marBottom w:val="0"/>
      <w:divBdr>
        <w:top w:val="none" w:sz="0" w:space="0" w:color="auto"/>
        <w:left w:val="none" w:sz="0" w:space="0" w:color="auto"/>
        <w:bottom w:val="none" w:sz="0" w:space="0" w:color="auto"/>
        <w:right w:val="none" w:sz="0" w:space="0" w:color="auto"/>
      </w:divBdr>
      <w:divsChild>
        <w:div w:id="861241062">
          <w:marLeft w:val="0"/>
          <w:marRight w:val="0"/>
          <w:marTop w:val="0"/>
          <w:marBottom w:val="0"/>
          <w:divBdr>
            <w:top w:val="none" w:sz="0" w:space="0" w:color="auto"/>
            <w:left w:val="none" w:sz="0" w:space="0" w:color="auto"/>
            <w:bottom w:val="none" w:sz="0" w:space="0" w:color="auto"/>
            <w:right w:val="none" w:sz="0" w:space="0" w:color="auto"/>
          </w:divBdr>
          <w:divsChild>
            <w:div w:id="8759692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86664340">
      <w:marLeft w:val="0"/>
      <w:marRight w:val="0"/>
      <w:marTop w:val="60"/>
      <w:marBottom w:val="60"/>
      <w:divBdr>
        <w:top w:val="none" w:sz="0" w:space="0" w:color="auto"/>
        <w:left w:val="none" w:sz="0" w:space="0" w:color="auto"/>
        <w:bottom w:val="none" w:sz="0" w:space="0" w:color="auto"/>
        <w:right w:val="none" w:sz="0" w:space="0" w:color="auto"/>
      </w:divBdr>
    </w:div>
    <w:div w:id="1687175298">
      <w:marLeft w:val="0"/>
      <w:marRight w:val="0"/>
      <w:marTop w:val="180"/>
      <w:marBottom w:val="180"/>
      <w:divBdr>
        <w:top w:val="none" w:sz="0" w:space="0" w:color="auto"/>
        <w:left w:val="none" w:sz="0" w:space="0" w:color="auto"/>
        <w:bottom w:val="none" w:sz="0" w:space="0" w:color="auto"/>
        <w:right w:val="none" w:sz="0" w:space="0" w:color="auto"/>
      </w:divBdr>
    </w:div>
    <w:div w:id="1687562924">
      <w:marLeft w:val="0"/>
      <w:marRight w:val="0"/>
      <w:marTop w:val="180"/>
      <w:marBottom w:val="180"/>
      <w:divBdr>
        <w:top w:val="none" w:sz="0" w:space="0" w:color="auto"/>
        <w:left w:val="none" w:sz="0" w:space="0" w:color="auto"/>
        <w:bottom w:val="none" w:sz="0" w:space="0" w:color="auto"/>
        <w:right w:val="none" w:sz="0" w:space="0" w:color="auto"/>
      </w:divBdr>
    </w:div>
    <w:div w:id="1687711813">
      <w:marLeft w:val="0"/>
      <w:marRight w:val="0"/>
      <w:marTop w:val="180"/>
      <w:marBottom w:val="180"/>
      <w:divBdr>
        <w:top w:val="none" w:sz="0" w:space="0" w:color="auto"/>
        <w:left w:val="none" w:sz="0" w:space="0" w:color="auto"/>
        <w:bottom w:val="none" w:sz="0" w:space="0" w:color="auto"/>
        <w:right w:val="none" w:sz="0" w:space="0" w:color="auto"/>
      </w:divBdr>
    </w:div>
    <w:div w:id="1689403920">
      <w:marLeft w:val="0"/>
      <w:marRight w:val="0"/>
      <w:marTop w:val="180"/>
      <w:marBottom w:val="180"/>
      <w:divBdr>
        <w:top w:val="none" w:sz="0" w:space="0" w:color="auto"/>
        <w:left w:val="none" w:sz="0" w:space="0" w:color="auto"/>
        <w:bottom w:val="none" w:sz="0" w:space="0" w:color="auto"/>
        <w:right w:val="none" w:sz="0" w:space="0" w:color="auto"/>
      </w:divBdr>
    </w:div>
    <w:div w:id="1689526698">
      <w:marLeft w:val="0"/>
      <w:marRight w:val="0"/>
      <w:marTop w:val="180"/>
      <w:marBottom w:val="180"/>
      <w:divBdr>
        <w:top w:val="none" w:sz="0" w:space="0" w:color="auto"/>
        <w:left w:val="none" w:sz="0" w:space="0" w:color="auto"/>
        <w:bottom w:val="none" w:sz="0" w:space="0" w:color="auto"/>
        <w:right w:val="none" w:sz="0" w:space="0" w:color="auto"/>
      </w:divBdr>
    </w:div>
    <w:div w:id="1690066070">
      <w:marLeft w:val="0"/>
      <w:marRight w:val="0"/>
      <w:marTop w:val="180"/>
      <w:marBottom w:val="180"/>
      <w:divBdr>
        <w:top w:val="none" w:sz="0" w:space="0" w:color="auto"/>
        <w:left w:val="none" w:sz="0" w:space="0" w:color="auto"/>
        <w:bottom w:val="none" w:sz="0" w:space="0" w:color="auto"/>
        <w:right w:val="none" w:sz="0" w:space="0" w:color="auto"/>
      </w:divBdr>
    </w:div>
    <w:div w:id="1691175917">
      <w:marLeft w:val="0"/>
      <w:marRight w:val="0"/>
      <w:marTop w:val="180"/>
      <w:marBottom w:val="180"/>
      <w:divBdr>
        <w:top w:val="none" w:sz="0" w:space="0" w:color="auto"/>
        <w:left w:val="none" w:sz="0" w:space="0" w:color="auto"/>
        <w:bottom w:val="none" w:sz="0" w:space="0" w:color="auto"/>
        <w:right w:val="none" w:sz="0" w:space="0" w:color="auto"/>
      </w:divBdr>
    </w:div>
    <w:div w:id="1691952654">
      <w:marLeft w:val="0"/>
      <w:marRight w:val="0"/>
      <w:marTop w:val="180"/>
      <w:marBottom w:val="180"/>
      <w:divBdr>
        <w:top w:val="none" w:sz="0" w:space="0" w:color="auto"/>
        <w:left w:val="none" w:sz="0" w:space="0" w:color="auto"/>
        <w:bottom w:val="none" w:sz="0" w:space="0" w:color="auto"/>
        <w:right w:val="none" w:sz="0" w:space="0" w:color="auto"/>
      </w:divBdr>
    </w:div>
    <w:div w:id="1692343662">
      <w:marLeft w:val="0"/>
      <w:marRight w:val="0"/>
      <w:marTop w:val="180"/>
      <w:marBottom w:val="180"/>
      <w:divBdr>
        <w:top w:val="none" w:sz="0" w:space="0" w:color="auto"/>
        <w:left w:val="none" w:sz="0" w:space="0" w:color="auto"/>
        <w:bottom w:val="none" w:sz="0" w:space="0" w:color="auto"/>
        <w:right w:val="none" w:sz="0" w:space="0" w:color="auto"/>
      </w:divBdr>
    </w:div>
    <w:div w:id="1693215677">
      <w:marLeft w:val="0"/>
      <w:marRight w:val="0"/>
      <w:marTop w:val="180"/>
      <w:marBottom w:val="180"/>
      <w:divBdr>
        <w:top w:val="none" w:sz="0" w:space="0" w:color="auto"/>
        <w:left w:val="none" w:sz="0" w:space="0" w:color="auto"/>
        <w:bottom w:val="none" w:sz="0" w:space="0" w:color="auto"/>
        <w:right w:val="none" w:sz="0" w:space="0" w:color="auto"/>
      </w:divBdr>
    </w:div>
    <w:div w:id="1693725020">
      <w:marLeft w:val="0"/>
      <w:marRight w:val="0"/>
      <w:marTop w:val="0"/>
      <w:marBottom w:val="0"/>
      <w:divBdr>
        <w:top w:val="none" w:sz="0" w:space="0" w:color="auto"/>
        <w:left w:val="none" w:sz="0" w:space="0" w:color="auto"/>
        <w:bottom w:val="none" w:sz="0" w:space="0" w:color="auto"/>
        <w:right w:val="none" w:sz="0" w:space="0" w:color="auto"/>
      </w:divBdr>
      <w:divsChild>
        <w:div w:id="636449309">
          <w:marLeft w:val="0"/>
          <w:marRight w:val="0"/>
          <w:marTop w:val="60"/>
          <w:marBottom w:val="60"/>
          <w:divBdr>
            <w:top w:val="none" w:sz="0" w:space="0" w:color="auto"/>
            <w:left w:val="none" w:sz="0" w:space="0" w:color="auto"/>
            <w:bottom w:val="none" w:sz="0" w:space="0" w:color="auto"/>
            <w:right w:val="none" w:sz="0" w:space="0" w:color="auto"/>
          </w:divBdr>
        </w:div>
      </w:divsChild>
    </w:div>
    <w:div w:id="1693917050">
      <w:marLeft w:val="0"/>
      <w:marRight w:val="0"/>
      <w:marTop w:val="60"/>
      <w:marBottom w:val="60"/>
      <w:divBdr>
        <w:top w:val="none" w:sz="0" w:space="0" w:color="auto"/>
        <w:left w:val="none" w:sz="0" w:space="0" w:color="auto"/>
        <w:bottom w:val="none" w:sz="0" w:space="0" w:color="auto"/>
        <w:right w:val="none" w:sz="0" w:space="0" w:color="auto"/>
      </w:divBdr>
    </w:div>
    <w:div w:id="1694841766">
      <w:marLeft w:val="0"/>
      <w:marRight w:val="0"/>
      <w:marTop w:val="60"/>
      <w:marBottom w:val="60"/>
      <w:divBdr>
        <w:top w:val="none" w:sz="0" w:space="0" w:color="auto"/>
        <w:left w:val="none" w:sz="0" w:space="0" w:color="auto"/>
        <w:bottom w:val="none" w:sz="0" w:space="0" w:color="auto"/>
        <w:right w:val="none" w:sz="0" w:space="0" w:color="auto"/>
      </w:divBdr>
    </w:div>
    <w:div w:id="1697920889">
      <w:marLeft w:val="0"/>
      <w:marRight w:val="0"/>
      <w:marTop w:val="0"/>
      <w:marBottom w:val="0"/>
      <w:divBdr>
        <w:top w:val="none" w:sz="0" w:space="0" w:color="auto"/>
        <w:left w:val="none" w:sz="0" w:space="0" w:color="auto"/>
        <w:bottom w:val="none" w:sz="0" w:space="0" w:color="auto"/>
        <w:right w:val="none" w:sz="0" w:space="0" w:color="auto"/>
      </w:divBdr>
      <w:divsChild>
        <w:div w:id="1722825898">
          <w:marLeft w:val="0"/>
          <w:marRight w:val="0"/>
          <w:marTop w:val="0"/>
          <w:marBottom w:val="0"/>
          <w:divBdr>
            <w:top w:val="none" w:sz="0" w:space="0" w:color="auto"/>
            <w:left w:val="none" w:sz="0" w:space="0" w:color="auto"/>
            <w:bottom w:val="none" w:sz="0" w:space="0" w:color="auto"/>
            <w:right w:val="none" w:sz="0" w:space="0" w:color="auto"/>
          </w:divBdr>
          <w:divsChild>
            <w:div w:id="7628434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97926608">
      <w:marLeft w:val="0"/>
      <w:marRight w:val="0"/>
      <w:marTop w:val="180"/>
      <w:marBottom w:val="180"/>
      <w:divBdr>
        <w:top w:val="none" w:sz="0" w:space="0" w:color="auto"/>
        <w:left w:val="none" w:sz="0" w:space="0" w:color="auto"/>
        <w:bottom w:val="none" w:sz="0" w:space="0" w:color="auto"/>
        <w:right w:val="none" w:sz="0" w:space="0" w:color="auto"/>
      </w:divBdr>
    </w:div>
    <w:div w:id="1698120367">
      <w:marLeft w:val="0"/>
      <w:marRight w:val="0"/>
      <w:marTop w:val="0"/>
      <w:marBottom w:val="0"/>
      <w:divBdr>
        <w:top w:val="none" w:sz="0" w:space="0" w:color="auto"/>
        <w:left w:val="none" w:sz="0" w:space="0" w:color="auto"/>
        <w:bottom w:val="none" w:sz="0" w:space="0" w:color="auto"/>
        <w:right w:val="none" w:sz="0" w:space="0" w:color="auto"/>
      </w:divBdr>
      <w:divsChild>
        <w:div w:id="1128662059">
          <w:marLeft w:val="0"/>
          <w:marRight w:val="0"/>
          <w:marTop w:val="0"/>
          <w:marBottom w:val="0"/>
          <w:divBdr>
            <w:top w:val="none" w:sz="0" w:space="0" w:color="auto"/>
            <w:left w:val="none" w:sz="0" w:space="0" w:color="auto"/>
            <w:bottom w:val="none" w:sz="0" w:space="0" w:color="auto"/>
            <w:right w:val="none" w:sz="0" w:space="0" w:color="auto"/>
          </w:divBdr>
          <w:divsChild>
            <w:div w:id="1664819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0084951">
      <w:marLeft w:val="0"/>
      <w:marRight w:val="0"/>
      <w:marTop w:val="60"/>
      <w:marBottom w:val="60"/>
      <w:divBdr>
        <w:top w:val="none" w:sz="0" w:space="0" w:color="auto"/>
        <w:left w:val="none" w:sz="0" w:space="0" w:color="auto"/>
        <w:bottom w:val="none" w:sz="0" w:space="0" w:color="auto"/>
        <w:right w:val="none" w:sz="0" w:space="0" w:color="auto"/>
      </w:divBdr>
    </w:div>
    <w:div w:id="1700428962">
      <w:marLeft w:val="0"/>
      <w:marRight w:val="0"/>
      <w:marTop w:val="180"/>
      <w:marBottom w:val="180"/>
      <w:divBdr>
        <w:top w:val="none" w:sz="0" w:space="0" w:color="auto"/>
        <w:left w:val="none" w:sz="0" w:space="0" w:color="auto"/>
        <w:bottom w:val="none" w:sz="0" w:space="0" w:color="auto"/>
        <w:right w:val="none" w:sz="0" w:space="0" w:color="auto"/>
      </w:divBdr>
    </w:div>
    <w:div w:id="1703364728">
      <w:marLeft w:val="0"/>
      <w:marRight w:val="0"/>
      <w:marTop w:val="180"/>
      <w:marBottom w:val="180"/>
      <w:divBdr>
        <w:top w:val="none" w:sz="0" w:space="0" w:color="auto"/>
        <w:left w:val="none" w:sz="0" w:space="0" w:color="auto"/>
        <w:bottom w:val="none" w:sz="0" w:space="0" w:color="auto"/>
        <w:right w:val="none" w:sz="0" w:space="0" w:color="auto"/>
      </w:divBdr>
    </w:div>
    <w:div w:id="1703699955">
      <w:marLeft w:val="0"/>
      <w:marRight w:val="0"/>
      <w:marTop w:val="100"/>
      <w:marBottom w:val="100"/>
      <w:divBdr>
        <w:top w:val="none" w:sz="0" w:space="0" w:color="auto"/>
        <w:left w:val="none" w:sz="0" w:space="0" w:color="auto"/>
        <w:bottom w:val="none" w:sz="0" w:space="0" w:color="auto"/>
        <w:right w:val="none" w:sz="0" w:space="0" w:color="auto"/>
      </w:divBdr>
    </w:div>
    <w:div w:id="1705909835">
      <w:marLeft w:val="0"/>
      <w:marRight w:val="0"/>
      <w:marTop w:val="180"/>
      <w:marBottom w:val="180"/>
      <w:divBdr>
        <w:top w:val="none" w:sz="0" w:space="0" w:color="auto"/>
        <w:left w:val="none" w:sz="0" w:space="0" w:color="auto"/>
        <w:bottom w:val="none" w:sz="0" w:space="0" w:color="auto"/>
        <w:right w:val="none" w:sz="0" w:space="0" w:color="auto"/>
      </w:divBdr>
    </w:div>
    <w:div w:id="1706442758">
      <w:marLeft w:val="0"/>
      <w:marRight w:val="0"/>
      <w:marTop w:val="180"/>
      <w:marBottom w:val="180"/>
      <w:divBdr>
        <w:top w:val="none" w:sz="0" w:space="0" w:color="auto"/>
        <w:left w:val="none" w:sz="0" w:space="0" w:color="auto"/>
        <w:bottom w:val="none" w:sz="0" w:space="0" w:color="auto"/>
        <w:right w:val="none" w:sz="0" w:space="0" w:color="auto"/>
      </w:divBdr>
    </w:div>
    <w:div w:id="1706564744">
      <w:marLeft w:val="0"/>
      <w:marRight w:val="0"/>
      <w:marTop w:val="0"/>
      <w:marBottom w:val="0"/>
      <w:divBdr>
        <w:top w:val="none" w:sz="0" w:space="0" w:color="auto"/>
        <w:left w:val="none" w:sz="0" w:space="0" w:color="auto"/>
        <w:bottom w:val="none" w:sz="0" w:space="0" w:color="auto"/>
        <w:right w:val="none" w:sz="0" w:space="0" w:color="auto"/>
      </w:divBdr>
    </w:div>
    <w:div w:id="1707217458">
      <w:marLeft w:val="0"/>
      <w:marRight w:val="0"/>
      <w:marTop w:val="60"/>
      <w:marBottom w:val="60"/>
      <w:divBdr>
        <w:top w:val="none" w:sz="0" w:space="0" w:color="auto"/>
        <w:left w:val="none" w:sz="0" w:space="0" w:color="auto"/>
        <w:bottom w:val="none" w:sz="0" w:space="0" w:color="auto"/>
        <w:right w:val="none" w:sz="0" w:space="0" w:color="auto"/>
      </w:divBdr>
    </w:div>
    <w:div w:id="1708872379">
      <w:marLeft w:val="0"/>
      <w:marRight w:val="0"/>
      <w:marTop w:val="180"/>
      <w:marBottom w:val="180"/>
      <w:divBdr>
        <w:top w:val="none" w:sz="0" w:space="0" w:color="auto"/>
        <w:left w:val="none" w:sz="0" w:space="0" w:color="auto"/>
        <w:bottom w:val="none" w:sz="0" w:space="0" w:color="auto"/>
        <w:right w:val="none" w:sz="0" w:space="0" w:color="auto"/>
      </w:divBdr>
    </w:div>
    <w:div w:id="1708875323">
      <w:marLeft w:val="0"/>
      <w:marRight w:val="0"/>
      <w:marTop w:val="180"/>
      <w:marBottom w:val="180"/>
      <w:divBdr>
        <w:top w:val="none" w:sz="0" w:space="0" w:color="auto"/>
        <w:left w:val="none" w:sz="0" w:space="0" w:color="auto"/>
        <w:bottom w:val="none" w:sz="0" w:space="0" w:color="auto"/>
        <w:right w:val="none" w:sz="0" w:space="0" w:color="auto"/>
      </w:divBdr>
    </w:div>
    <w:div w:id="1709182090">
      <w:marLeft w:val="0"/>
      <w:marRight w:val="0"/>
      <w:marTop w:val="180"/>
      <w:marBottom w:val="180"/>
      <w:divBdr>
        <w:top w:val="none" w:sz="0" w:space="0" w:color="auto"/>
        <w:left w:val="none" w:sz="0" w:space="0" w:color="auto"/>
        <w:bottom w:val="none" w:sz="0" w:space="0" w:color="auto"/>
        <w:right w:val="none" w:sz="0" w:space="0" w:color="auto"/>
      </w:divBdr>
    </w:div>
    <w:div w:id="1710180911">
      <w:marLeft w:val="0"/>
      <w:marRight w:val="0"/>
      <w:marTop w:val="180"/>
      <w:marBottom w:val="180"/>
      <w:divBdr>
        <w:top w:val="none" w:sz="0" w:space="0" w:color="auto"/>
        <w:left w:val="none" w:sz="0" w:space="0" w:color="auto"/>
        <w:bottom w:val="none" w:sz="0" w:space="0" w:color="auto"/>
        <w:right w:val="none" w:sz="0" w:space="0" w:color="auto"/>
      </w:divBdr>
    </w:div>
    <w:div w:id="1711686376">
      <w:marLeft w:val="0"/>
      <w:marRight w:val="0"/>
      <w:marTop w:val="180"/>
      <w:marBottom w:val="180"/>
      <w:divBdr>
        <w:top w:val="none" w:sz="0" w:space="0" w:color="auto"/>
        <w:left w:val="none" w:sz="0" w:space="0" w:color="auto"/>
        <w:bottom w:val="none" w:sz="0" w:space="0" w:color="auto"/>
        <w:right w:val="none" w:sz="0" w:space="0" w:color="auto"/>
      </w:divBdr>
    </w:div>
    <w:div w:id="1711952590">
      <w:marLeft w:val="0"/>
      <w:marRight w:val="0"/>
      <w:marTop w:val="0"/>
      <w:marBottom w:val="0"/>
      <w:divBdr>
        <w:top w:val="none" w:sz="0" w:space="0" w:color="auto"/>
        <w:left w:val="none" w:sz="0" w:space="0" w:color="auto"/>
        <w:bottom w:val="none" w:sz="0" w:space="0" w:color="auto"/>
        <w:right w:val="none" w:sz="0" w:space="0" w:color="auto"/>
      </w:divBdr>
      <w:divsChild>
        <w:div w:id="1514371493">
          <w:marLeft w:val="0"/>
          <w:marRight w:val="0"/>
          <w:marTop w:val="0"/>
          <w:marBottom w:val="0"/>
          <w:divBdr>
            <w:top w:val="none" w:sz="0" w:space="0" w:color="auto"/>
            <w:left w:val="none" w:sz="0" w:space="0" w:color="auto"/>
            <w:bottom w:val="none" w:sz="0" w:space="0" w:color="auto"/>
            <w:right w:val="none" w:sz="0" w:space="0" w:color="auto"/>
          </w:divBdr>
          <w:divsChild>
            <w:div w:id="5107273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12075125">
      <w:marLeft w:val="0"/>
      <w:marRight w:val="0"/>
      <w:marTop w:val="180"/>
      <w:marBottom w:val="180"/>
      <w:divBdr>
        <w:top w:val="none" w:sz="0" w:space="0" w:color="auto"/>
        <w:left w:val="none" w:sz="0" w:space="0" w:color="auto"/>
        <w:bottom w:val="none" w:sz="0" w:space="0" w:color="auto"/>
        <w:right w:val="none" w:sz="0" w:space="0" w:color="auto"/>
      </w:divBdr>
    </w:div>
    <w:div w:id="1714110238">
      <w:marLeft w:val="0"/>
      <w:marRight w:val="0"/>
      <w:marTop w:val="0"/>
      <w:marBottom w:val="0"/>
      <w:divBdr>
        <w:top w:val="none" w:sz="0" w:space="0" w:color="auto"/>
        <w:left w:val="none" w:sz="0" w:space="0" w:color="auto"/>
        <w:bottom w:val="none" w:sz="0" w:space="0" w:color="auto"/>
        <w:right w:val="none" w:sz="0" w:space="0" w:color="auto"/>
      </w:divBdr>
    </w:div>
    <w:div w:id="1716849212">
      <w:marLeft w:val="0"/>
      <w:marRight w:val="0"/>
      <w:marTop w:val="60"/>
      <w:marBottom w:val="60"/>
      <w:divBdr>
        <w:top w:val="none" w:sz="0" w:space="0" w:color="auto"/>
        <w:left w:val="none" w:sz="0" w:space="0" w:color="auto"/>
        <w:bottom w:val="none" w:sz="0" w:space="0" w:color="auto"/>
        <w:right w:val="none" w:sz="0" w:space="0" w:color="auto"/>
      </w:divBdr>
    </w:div>
    <w:div w:id="1717730124">
      <w:marLeft w:val="0"/>
      <w:marRight w:val="0"/>
      <w:marTop w:val="180"/>
      <w:marBottom w:val="180"/>
      <w:divBdr>
        <w:top w:val="none" w:sz="0" w:space="0" w:color="auto"/>
        <w:left w:val="none" w:sz="0" w:space="0" w:color="auto"/>
        <w:bottom w:val="none" w:sz="0" w:space="0" w:color="auto"/>
        <w:right w:val="none" w:sz="0" w:space="0" w:color="auto"/>
      </w:divBdr>
    </w:div>
    <w:div w:id="1718814544">
      <w:marLeft w:val="0"/>
      <w:marRight w:val="0"/>
      <w:marTop w:val="180"/>
      <w:marBottom w:val="180"/>
      <w:divBdr>
        <w:top w:val="none" w:sz="0" w:space="0" w:color="auto"/>
        <w:left w:val="none" w:sz="0" w:space="0" w:color="auto"/>
        <w:bottom w:val="none" w:sz="0" w:space="0" w:color="auto"/>
        <w:right w:val="none" w:sz="0" w:space="0" w:color="auto"/>
      </w:divBdr>
    </w:div>
    <w:div w:id="1718973112">
      <w:marLeft w:val="0"/>
      <w:marRight w:val="0"/>
      <w:marTop w:val="60"/>
      <w:marBottom w:val="60"/>
      <w:divBdr>
        <w:top w:val="none" w:sz="0" w:space="0" w:color="auto"/>
        <w:left w:val="none" w:sz="0" w:space="0" w:color="auto"/>
        <w:bottom w:val="none" w:sz="0" w:space="0" w:color="auto"/>
        <w:right w:val="none" w:sz="0" w:space="0" w:color="auto"/>
      </w:divBdr>
    </w:div>
    <w:div w:id="1719625727">
      <w:marLeft w:val="0"/>
      <w:marRight w:val="0"/>
      <w:marTop w:val="0"/>
      <w:marBottom w:val="0"/>
      <w:divBdr>
        <w:top w:val="none" w:sz="0" w:space="0" w:color="auto"/>
        <w:left w:val="none" w:sz="0" w:space="0" w:color="auto"/>
        <w:bottom w:val="none" w:sz="0" w:space="0" w:color="auto"/>
        <w:right w:val="none" w:sz="0" w:space="0" w:color="auto"/>
      </w:divBdr>
      <w:divsChild>
        <w:div w:id="1800878330">
          <w:marLeft w:val="0"/>
          <w:marRight w:val="0"/>
          <w:marTop w:val="0"/>
          <w:marBottom w:val="0"/>
          <w:divBdr>
            <w:top w:val="none" w:sz="0" w:space="0" w:color="auto"/>
            <w:left w:val="none" w:sz="0" w:space="0" w:color="auto"/>
            <w:bottom w:val="none" w:sz="0" w:space="0" w:color="auto"/>
            <w:right w:val="none" w:sz="0" w:space="0" w:color="auto"/>
          </w:divBdr>
          <w:divsChild>
            <w:div w:id="15453657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20324369">
      <w:marLeft w:val="0"/>
      <w:marRight w:val="0"/>
      <w:marTop w:val="180"/>
      <w:marBottom w:val="180"/>
      <w:divBdr>
        <w:top w:val="none" w:sz="0" w:space="0" w:color="auto"/>
        <w:left w:val="none" w:sz="0" w:space="0" w:color="auto"/>
        <w:bottom w:val="none" w:sz="0" w:space="0" w:color="auto"/>
        <w:right w:val="none" w:sz="0" w:space="0" w:color="auto"/>
      </w:divBdr>
    </w:div>
    <w:div w:id="1720548298">
      <w:marLeft w:val="0"/>
      <w:marRight w:val="0"/>
      <w:marTop w:val="180"/>
      <w:marBottom w:val="180"/>
      <w:divBdr>
        <w:top w:val="none" w:sz="0" w:space="0" w:color="auto"/>
        <w:left w:val="none" w:sz="0" w:space="0" w:color="auto"/>
        <w:bottom w:val="none" w:sz="0" w:space="0" w:color="auto"/>
        <w:right w:val="none" w:sz="0" w:space="0" w:color="auto"/>
      </w:divBdr>
    </w:div>
    <w:div w:id="1724209879">
      <w:marLeft w:val="0"/>
      <w:marRight w:val="0"/>
      <w:marTop w:val="60"/>
      <w:marBottom w:val="60"/>
      <w:divBdr>
        <w:top w:val="none" w:sz="0" w:space="0" w:color="auto"/>
        <w:left w:val="none" w:sz="0" w:space="0" w:color="auto"/>
        <w:bottom w:val="none" w:sz="0" w:space="0" w:color="auto"/>
        <w:right w:val="none" w:sz="0" w:space="0" w:color="auto"/>
      </w:divBdr>
    </w:div>
    <w:div w:id="1725637964">
      <w:marLeft w:val="0"/>
      <w:marRight w:val="0"/>
      <w:marTop w:val="180"/>
      <w:marBottom w:val="180"/>
      <w:divBdr>
        <w:top w:val="none" w:sz="0" w:space="0" w:color="auto"/>
        <w:left w:val="none" w:sz="0" w:space="0" w:color="auto"/>
        <w:bottom w:val="none" w:sz="0" w:space="0" w:color="auto"/>
        <w:right w:val="none" w:sz="0" w:space="0" w:color="auto"/>
      </w:divBdr>
    </w:div>
    <w:div w:id="1726247848">
      <w:marLeft w:val="0"/>
      <w:marRight w:val="0"/>
      <w:marTop w:val="60"/>
      <w:marBottom w:val="60"/>
      <w:divBdr>
        <w:top w:val="none" w:sz="0" w:space="0" w:color="auto"/>
        <w:left w:val="none" w:sz="0" w:space="0" w:color="auto"/>
        <w:bottom w:val="none" w:sz="0" w:space="0" w:color="auto"/>
        <w:right w:val="none" w:sz="0" w:space="0" w:color="auto"/>
      </w:divBdr>
    </w:div>
    <w:div w:id="1727071996">
      <w:marLeft w:val="0"/>
      <w:marRight w:val="0"/>
      <w:marTop w:val="180"/>
      <w:marBottom w:val="180"/>
      <w:divBdr>
        <w:top w:val="none" w:sz="0" w:space="0" w:color="auto"/>
        <w:left w:val="none" w:sz="0" w:space="0" w:color="auto"/>
        <w:bottom w:val="none" w:sz="0" w:space="0" w:color="auto"/>
        <w:right w:val="none" w:sz="0" w:space="0" w:color="auto"/>
      </w:divBdr>
    </w:div>
    <w:div w:id="1727219043">
      <w:marLeft w:val="0"/>
      <w:marRight w:val="0"/>
      <w:marTop w:val="100"/>
      <w:marBottom w:val="60"/>
      <w:divBdr>
        <w:top w:val="none" w:sz="0" w:space="0" w:color="auto"/>
        <w:left w:val="none" w:sz="0" w:space="0" w:color="auto"/>
        <w:bottom w:val="none" w:sz="0" w:space="0" w:color="auto"/>
        <w:right w:val="none" w:sz="0" w:space="0" w:color="auto"/>
      </w:divBdr>
    </w:div>
    <w:div w:id="1727682252">
      <w:marLeft w:val="0"/>
      <w:marRight w:val="0"/>
      <w:marTop w:val="180"/>
      <w:marBottom w:val="180"/>
      <w:divBdr>
        <w:top w:val="none" w:sz="0" w:space="0" w:color="auto"/>
        <w:left w:val="none" w:sz="0" w:space="0" w:color="auto"/>
        <w:bottom w:val="none" w:sz="0" w:space="0" w:color="auto"/>
        <w:right w:val="none" w:sz="0" w:space="0" w:color="auto"/>
      </w:divBdr>
    </w:div>
    <w:div w:id="1728532967">
      <w:marLeft w:val="0"/>
      <w:marRight w:val="0"/>
      <w:marTop w:val="180"/>
      <w:marBottom w:val="180"/>
      <w:divBdr>
        <w:top w:val="none" w:sz="0" w:space="0" w:color="auto"/>
        <w:left w:val="none" w:sz="0" w:space="0" w:color="auto"/>
        <w:bottom w:val="none" w:sz="0" w:space="0" w:color="auto"/>
        <w:right w:val="none" w:sz="0" w:space="0" w:color="auto"/>
      </w:divBdr>
    </w:div>
    <w:div w:id="1729573691">
      <w:marLeft w:val="0"/>
      <w:marRight w:val="0"/>
      <w:marTop w:val="180"/>
      <w:marBottom w:val="180"/>
      <w:divBdr>
        <w:top w:val="none" w:sz="0" w:space="0" w:color="auto"/>
        <w:left w:val="none" w:sz="0" w:space="0" w:color="auto"/>
        <w:bottom w:val="none" w:sz="0" w:space="0" w:color="auto"/>
        <w:right w:val="none" w:sz="0" w:space="0" w:color="auto"/>
      </w:divBdr>
    </w:div>
    <w:div w:id="1729765956">
      <w:marLeft w:val="0"/>
      <w:marRight w:val="0"/>
      <w:marTop w:val="60"/>
      <w:marBottom w:val="60"/>
      <w:divBdr>
        <w:top w:val="none" w:sz="0" w:space="0" w:color="auto"/>
        <w:left w:val="none" w:sz="0" w:space="0" w:color="auto"/>
        <w:bottom w:val="none" w:sz="0" w:space="0" w:color="auto"/>
        <w:right w:val="none" w:sz="0" w:space="0" w:color="auto"/>
      </w:divBdr>
    </w:div>
    <w:div w:id="1729840423">
      <w:marLeft w:val="0"/>
      <w:marRight w:val="0"/>
      <w:marTop w:val="0"/>
      <w:marBottom w:val="0"/>
      <w:divBdr>
        <w:top w:val="none" w:sz="0" w:space="0" w:color="auto"/>
        <w:left w:val="none" w:sz="0" w:space="0" w:color="auto"/>
        <w:bottom w:val="none" w:sz="0" w:space="0" w:color="auto"/>
        <w:right w:val="none" w:sz="0" w:space="0" w:color="auto"/>
      </w:divBdr>
    </w:div>
    <w:div w:id="1730955709">
      <w:marLeft w:val="0"/>
      <w:marRight w:val="0"/>
      <w:marTop w:val="0"/>
      <w:marBottom w:val="0"/>
      <w:divBdr>
        <w:top w:val="none" w:sz="0" w:space="0" w:color="auto"/>
        <w:left w:val="none" w:sz="0" w:space="0" w:color="auto"/>
        <w:bottom w:val="none" w:sz="0" w:space="0" w:color="auto"/>
        <w:right w:val="none" w:sz="0" w:space="0" w:color="auto"/>
      </w:divBdr>
      <w:divsChild>
        <w:div w:id="588658364">
          <w:marLeft w:val="0"/>
          <w:marRight w:val="0"/>
          <w:marTop w:val="0"/>
          <w:marBottom w:val="0"/>
          <w:divBdr>
            <w:top w:val="none" w:sz="0" w:space="0" w:color="auto"/>
            <w:left w:val="none" w:sz="0" w:space="0" w:color="auto"/>
            <w:bottom w:val="none" w:sz="0" w:space="0" w:color="auto"/>
            <w:right w:val="none" w:sz="0" w:space="0" w:color="auto"/>
          </w:divBdr>
          <w:divsChild>
            <w:div w:id="7971867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2801407">
      <w:marLeft w:val="0"/>
      <w:marRight w:val="0"/>
      <w:marTop w:val="60"/>
      <w:marBottom w:val="60"/>
      <w:divBdr>
        <w:top w:val="none" w:sz="0" w:space="0" w:color="auto"/>
        <w:left w:val="none" w:sz="0" w:space="0" w:color="auto"/>
        <w:bottom w:val="none" w:sz="0" w:space="0" w:color="auto"/>
        <w:right w:val="none" w:sz="0" w:space="0" w:color="auto"/>
      </w:divBdr>
    </w:div>
    <w:div w:id="1732849029">
      <w:marLeft w:val="0"/>
      <w:marRight w:val="0"/>
      <w:marTop w:val="0"/>
      <w:marBottom w:val="0"/>
      <w:divBdr>
        <w:top w:val="none" w:sz="0" w:space="0" w:color="auto"/>
        <w:left w:val="none" w:sz="0" w:space="0" w:color="auto"/>
        <w:bottom w:val="none" w:sz="0" w:space="0" w:color="auto"/>
        <w:right w:val="none" w:sz="0" w:space="0" w:color="auto"/>
      </w:divBdr>
    </w:div>
    <w:div w:id="1733040997">
      <w:marLeft w:val="0"/>
      <w:marRight w:val="0"/>
      <w:marTop w:val="0"/>
      <w:marBottom w:val="180"/>
      <w:divBdr>
        <w:top w:val="none" w:sz="0" w:space="0" w:color="auto"/>
        <w:left w:val="none" w:sz="0" w:space="0" w:color="auto"/>
        <w:bottom w:val="none" w:sz="0" w:space="0" w:color="auto"/>
        <w:right w:val="none" w:sz="0" w:space="0" w:color="auto"/>
      </w:divBdr>
    </w:div>
    <w:div w:id="1735661921">
      <w:marLeft w:val="0"/>
      <w:marRight w:val="0"/>
      <w:marTop w:val="0"/>
      <w:marBottom w:val="0"/>
      <w:divBdr>
        <w:top w:val="none" w:sz="0" w:space="0" w:color="auto"/>
        <w:left w:val="none" w:sz="0" w:space="0" w:color="auto"/>
        <w:bottom w:val="none" w:sz="0" w:space="0" w:color="auto"/>
        <w:right w:val="none" w:sz="0" w:space="0" w:color="auto"/>
      </w:divBdr>
      <w:divsChild>
        <w:div w:id="278415117">
          <w:marLeft w:val="0"/>
          <w:marRight w:val="0"/>
          <w:marTop w:val="0"/>
          <w:marBottom w:val="0"/>
          <w:divBdr>
            <w:top w:val="none" w:sz="0" w:space="0" w:color="auto"/>
            <w:left w:val="none" w:sz="0" w:space="0" w:color="auto"/>
            <w:bottom w:val="none" w:sz="0" w:space="0" w:color="auto"/>
            <w:right w:val="none" w:sz="0" w:space="0" w:color="auto"/>
          </w:divBdr>
          <w:divsChild>
            <w:div w:id="4076501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5738882">
      <w:marLeft w:val="0"/>
      <w:marRight w:val="0"/>
      <w:marTop w:val="60"/>
      <w:marBottom w:val="60"/>
      <w:divBdr>
        <w:top w:val="none" w:sz="0" w:space="0" w:color="auto"/>
        <w:left w:val="none" w:sz="0" w:space="0" w:color="auto"/>
        <w:bottom w:val="none" w:sz="0" w:space="0" w:color="auto"/>
        <w:right w:val="none" w:sz="0" w:space="0" w:color="auto"/>
      </w:divBdr>
    </w:div>
    <w:div w:id="1736277885">
      <w:marLeft w:val="0"/>
      <w:marRight w:val="0"/>
      <w:marTop w:val="60"/>
      <w:marBottom w:val="60"/>
      <w:divBdr>
        <w:top w:val="none" w:sz="0" w:space="0" w:color="auto"/>
        <w:left w:val="none" w:sz="0" w:space="0" w:color="auto"/>
        <w:bottom w:val="none" w:sz="0" w:space="0" w:color="auto"/>
        <w:right w:val="none" w:sz="0" w:space="0" w:color="auto"/>
      </w:divBdr>
    </w:div>
    <w:div w:id="1736514554">
      <w:marLeft w:val="0"/>
      <w:marRight w:val="0"/>
      <w:marTop w:val="180"/>
      <w:marBottom w:val="180"/>
      <w:divBdr>
        <w:top w:val="none" w:sz="0" w:space="0" w:color="auto"/>
        <w:left w:val="none" w:sz="0" w:space="0" w:color="auto"/>
        <w:bottom w:val="none" w:sz="0" w:space="0" w:color="auto"/>
        <w:right w:val="none" w:sz="0" w:space="0" w:color="auto"/>
      </w:divBdr>
    </w:div>
    <w:div w:id="1737820474">
      <w:marLeft w:val="0"/>
      <w:marRight w:val="0"/>
      <w:marTop w:val="180"/>
      <w:marBottom w:val="180"/>
      <w:divBdr>
        <w:top w:val="none" w:sz="0" w:space="0" w:color="auto"/>
        <w:left w:val="none" w:sz="0" w:space="0" w:color="auto"/>
        <w:bottom w:val="none" w:sz="0" w:space="0" w:color="auto"/>
        <w:right w:val="none" w:sz="0" w:space="0" w:color="auto"/>
      </w:divBdr>
    </w:div>
    <w:div w:id="1738242812">
      <w:marLeft w:val="0"/>
      <w:marRight w:val="0"/>
      <w:marTop w:val="0"/>
      <w:marBottom w:val="0"/>
      <w:divBdr>
        <w:top w:val="none" w:sz="0" w:space="0" w:color="auto"/>
        <w:left w:val="none" w:sz="0" w:space="0" w:color="auto"/>
        <w:bottom w:val="none" w:sz="0" w:space="0" w:color="auto"/>
        <w:right w:val="none" w:sz="0" w:space="0" w:color="auto"/>
      </w:divBdr>
      <w:divsChild>
        <w:div w:id="1282539980">
          <w:marLeft w:val="0"/>
          <w:marRight w:val="0"/>
          <w:marTop w:val="0"/>
          <w:marBottom w:val="0"/>
          <w:divBdr>
            <w:top w:val="none" w:sz="0" w:space="0" w:color="auto"/>
            <w:left w:val="none" w:sz="0" w:space="0" w:color="auto"/>
            <w:bottom w:val="none" w:sz="0" w:space="0" w:color="auto"/>
            <w:right w:val="none" w:sz="0" w:space="0" w:color="auto"/>
          </w:divBdr>
          <w:divsChild>
            <w:div w:id="4018754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8747454">
      <w:marLeft w:val="0"/>
      <w:marRight w:val="0"/>
      <w:marTop w:val="240"/>
      <w:marBottom w:val="180"/>
      <w:divBdr>
        <w:top w:val="none" w:sz="0" w:space="0" w:color="auto"/>
        <w:left w:val="none" w:sz="0" w:space="0" w:color="auto"/>
        <w:bottom w:val="none" w:sz="0" w:space="0" w:color="auto"/>
        <w:right w:val="none" w:sz="0" w:space="0" w:color="auto"/>
      </w:divBdr>
    </w:div>
    <w:div w:id="1738892208">
      <w:marLeft w:val="0"/>
      <w:marRight w:val="0"/>
      <w:marTop w:val="60"/>
      <w:marBottom w:val="60"/>
      <w:divBdr>
        <w:top w:val="none" w:sz="0" w:space="0" w:color="auto"/>
        <w:left w:val="none" w:sz="0" w:space="0" w:color="auto"/>
        <w:bottom w:val="none" w:sz="0" w:space="0" w:color="auto"/>
        <w:right w:val="none" w:sz="0" w:space="0" w:color="auto"/>
      </w:divBdr>
    </w:div>
    <w:div w:id="1738893005">
      <w:marLeft w:val="0"/>
      <w:marRight w:val="0"/>
      <w:marTop w:val="180"/>
      <w:marBottom w:val="180"/>
      <w:divBdr>
        <w:top w:val="none" w:sz="0" w:space="0" w:color="auto"/>
        <w:left w:val="none" w:sz="0" w:space="0" w:color="auto"/>
        <w:bottom w:val="none" w:sz="0" w:space="0" w:color="auto"/>
        <w:right w:val="none" w:sz="0" w:space="0" w:color="auto"/>
      </w:divBdr>
    </w:div>
    <w:div w:id="1739211773">
      <w:marLeft w:val="0"/>
      <w:marRight w:val="0"/>
      <w:marTop w:val="180"/>
      <w:marBottom w:val="180"/>
      <w:divBdr>
        <w:top w:val="none" w:sz="0" w:space="0" w:color="auto"/>
        <w:left w:val="none" w:sz="0" w:space="0" w:color="auto"/>
        <w:bottom w:val="none" w:sz="0" w:space="0" w:color="auto"/>
        <w:right w:val="none" w:sz="0" w:space="0" w:color="auto"/>
      </w:divBdr>
    </w:div>
    <w:div w:id="1739477942">
      <w:marLeft w:val="0"/>
      <w:marRight w:val="0"/>
      <w:marTop w:val="0"/>
      <w:marBottom w:val="0"/>
      <w:divBdr>
        <w:top w:val="none" w:sz="0" w:space="0" w:color="auto"/>
        <w:left w:val="none" w:sz="0" w:space="0" w:color="auto"/>
        <w:bottom w:val="none" w:sz="0" w:space="0" w:color="auto"/>
        <w:right w:val="none" w:sz="0" w:space="0" w:color="auto"/>
      </w:divBdr>
      <w:divsChild>
        <w:div w:id="317274549">
          <w:marLeft w:val="0"/>
          <w:marRight w:val="0"/>
          <w:marTop w:val="0"/>
          <w:marBottom w:val="0"/>
          <w:divBdr>
            <w:top w:val="none" w:sz="0" w:space="0" w:color="auto"/>
            <w:left w:val="none" w:sz="0" w:space="0" w:color="auto"/>
            <w:bottom w:val="none" w:sz="0" w:space="0" w:color="auto"/>
            <w:right w:val="none" w:sz="0" w:space="0" w:color="auto"/>
          </w:divBdr>
          <w:divsChild>
            <w:div w:id="6011052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39671845">
      <w:marLeft w:val="0"/>
      <w:marRight w:val="0"/>
      <w:marTop w:val="180"/>
      <w:marBottom w:val="180"/>
      <w:divBdr>
        <w:top w:val="none" w:sz="0" w:space="0" w:color="auto"/>
        <w:left w:val="none" w:sz="0" w:space="0" w:color="auto"/>
        <w:bottom w:val="none" w:sz="0" w:space="0" w:color="auto"/>
        <w:right w:val="none" w:sz="0" w:space="0" w:color="auto"/>
      </w:divBdr>
    </w:div>
    <w:div w:id="1740205689">
      <w:marLeft w:val="0"/>
      <w:marRight w:val="0"/>
      <w:marTop w:val="180"/>
      <w:marBottom w:val="180"/>
      <w:divBdr>
        <w:top w:val="none" w:sz="0" w:space="0" w:color="auto"/>
        <w:left w:val="none" w:sz="0" w:space="0" w:color="auto"/>
        <w:bottom w:val="none" w:sz="0" w:space="0" w:color="auto"/>
        <w:right w:val="none" w:sz="0" w:space="0" w:color="auto"/>
      </w:divBdr>
    </w:div>
    <w:div w:id="1741292445">
      <w:marLeft w:val="0"/>
      <w:marRight w:val="0"/>
      <w:marTop w:val="60"/>
      <w:marBottom w:val="60"/>
      <w:divBdr>
        <w:top w:val="none" w:sz="0" w:space="0" w:color="auto"/>
        <w:left w:val="none" w:sz="0" w:space="0" w:color="auto"/>
        <w:bottom w:val="none" w:sz="0" w:space="0" w:color="auto"/>
        <w:right w:val="none" w:sz="0" w:space="0" w:color="auto"/>
      </w:divBdr>
    </w:div>
    <w:div w:id="1741979020">
      <w:marLeft w:val="0"/>
      <w:marRight w:val="0"/>
      <w:marTop w:val="60"/>
      <w:marBottom w:val="60"/>
      <w:divBdr>
        <w:top w:val="none" w:sz="0" w:space="0" w:color="auto"/>
        <w:left w:val="none" w:sz="0" w:space="0" w:color="auto"/>
        <w:bottom w:val="none" w:sz="0" w:space="0" w:color="auto"/>
        <w:right w:val="none" w:sz="0" w:space="0" w:color="auto"/>
      </w:divBdr>
    </w:div>
    <w:div w:id="1742170090">
      <w:marLeft w:val="0"/>
      <w:marRight w:val="0"/>
      <w:marTop w:val="0"/>
      <w:marBottom w:val="0"/>
      <w:divBdr>
        <w:top w:val="none" w:sz="0" w:space="0" w:color="auto"/>
        <w:left w:val="none" w:sz="0" w:space="0" w:color="auto"/>
        <w:bottom w:val="none" w:sz="0" w:space="0" w:color="auto"/>
        <w:right w:val="none" w:sz="0" w:space="0" w:color="auto"/>
      </w:divBdr>
      <w:divsChild>
        <w:div w:id="1518038440">
          <w:marLeft w:val="0"/>
          <w:marRight w:val="0"/>
          <w:marTop w:val="0"/>
          <w:marBottom w:val="0"/>
          <w:divBdr>
            <w:top w:val="none" w:sz="0" w:space="0" w:color="auto"/>
            <w:left w:val="none" w:sz="0" w:space="0" w:color="auto"/>
            <w:bottom w:val="none" w:sz="0" w:space="0" w:color="auto"/>
            <w:right w:val="none" w:sz="0" w:space="0" w:color="auto"/>
          </w:divBdr>
          <w:divsChild>
            <w:div w:id="12032028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2173578">
      <w:marLeft w:val="0"/>
      <w:marRight w:val="0"/>
      <w:marTop w:val="60"/>
      <w:marBottom w:val="60"/>
      <w:divBdr>
        <w:top w:val="none" w:sz="0" w:space="0" w:color="auto"/>
        <w:left w:val="none" w:sz="0" w:space="0" w:color="auto"/>
        <w:bottom w:val="none" w:sz="0" w:space="0" w:color="auto"/>
        <w:right w:val="none" w:sz="0" w:space="0" w:color="auto"/>
      </w:divBdr>
    </w:div>
    <w:div w:id="1742603187">
      <w:marLeft w:val="0"/>
      <w:marRight w:val="0"/>
      <w:marTop w:val="180"/>
      <w:marBottom w:val="180"/>
      <w:divBdr>
        <w:top w:val="none" w:sz="0" w:space="0" w:color="auto"/>
        <w:left w:val="none" w:sz="0" w:space="0" w:color="auto"/>
        <w:bottom w:val="none" w:sz="0" w:space="0" w:color="auto"/>
        <w:right w:val="none" w:sz="0" w:space="0" w:color="auto"/>
      </w:divBdr>
    </w:div>
    <w:div w:id="1743260340">
      <w:marLeft w:val="0"/>
      <w:marRight w:val="0"/>
      <w:marTop w:val="180"/>
      <w:marBottom w:val="60"/>
      <w:divBdr>
        <w:top w:val="none" w:sz="0" w:space="0" w:color="auto"/>
        <w:left w:val="none" w:sz="0" w:space="0" w:color="auto"/>
        <w:bottom w:val="none" w:sz="0" w:space="0" w:color="auto"/>
        <w:right w:val="none" w:sz="0" w:space="0" w:color="auto"/>
      </w:divBdr>
    </w:div>
    <w:div w:id="1743598161">
      <w:marLeft w:val="0"/>
      <w:marRight w:val="0"/>
      <w:marTop w:val="180"/>
      <w:marBottom w:val="180"/>
      <w:divBdr>
        <w:top w:val="none" w:sz="0" w:space="0" w:color="auto"/>
        <w:left w:val="none" w:sz="0" w:space="0" w:color="auto"/>
        <w:bottom w:val="none" w:sz="0" w:space="0" w:color="auto"/>
        <w:right w:val="none" w:sz="0" w:space="0" w:color="auto"/>
      </w:divBdr>
    </w:div>
    <w:div w:id="1745757703">
      <w:marLeft w:val="0"/>
      <w:marRight w:val="0"/>
      <w:marTop w:val="0"/>
      <w:marBottom w:val="0"/>
      <w:divBdr>
        <w:top w:val="none" w:sz="0" w:space="0" w:color="auto"/>
        <w:left w:val="none" w:sz="0" w:space="0" w:color="auto"/>
        <w:bottom w:val="none" w:sz="0" w:space="0" w:color="auto"/>
        <w:right w:val="none" w:sz="0" w:space="0" w:color="auto"/>
      </w:divBdr>
      <w:divsChild>
        <w:div w:id="1360550164">
          <w:marLeft w:val="0"/>
          <w:marRight w:val="0"/>
          <w:marTop w:val="180"/>
          <w:marBottom w:val="180"/>
          <w:divBdr>
            <w:top w:val="none" w:sz="0" w:space="0" w:color="auto"/>
            <w:left w:val="none" w:sz="0" w:space="0" w:color="auto"/>
            <w:bottom w:val="none" w:sz="0" w:space="0" w:color="auto"/>
            <w:right w:val="none" w:sz="0" w:space="0" w:color="auto"/>
          </w:divBdr>
        </w:div>
      </w:divsChild>
    </w:div>
    <w:div w:id="1745949077">
      <w:marLeft w:val="0"/>
      <w:marRight w:val="0"/>
      <w:marTop w:val="180"/>
      <w:marBottom w:val="180"/>
      <w:divBdr>
        <w:top w:val="none" w:sz="0" w:space="0" w:color="auto"/>
        <w:left w:val="none" w:sz="0" w:space="0" w:color="auto"/>
        <w:bottom w:val="none" w:sz="0" w:space="0" w:color="auto"/>
        <w:right w:val="none" w:sz="0" w:space="0" w:color="auto"/>
      </w:divBdr>
    </w:div>
    <w:div w:id="1746025820">
      <w:marLeft w:val="0"/>
      <w:marRight w:val="0"/>
      <w:marTop w:val="0"/>
      <w:marBottom w:val="0"/>
      <w:divBdr>
        <w:top w:val="none" w:sz="0" w:space="0" w:color="auto"/>
        <w:left w:val="none" w:sz="0" w:space="0" w:color="auto"/>
        <w:bottom w:val="none" w:sz="0" w:space="0" w:color="auto"/>
        <w:right w:val="none" w:sz="0" w:space="0" w:color="auto"/>
      </w:divBdr>
      <w:divsChild>
        <w:div w:id="590966224">
          <w:marLeft w:val="0"/>
          <w:marRight w:val="0"/>
          <w:marTop w:val="180"/>
          <w:marBottom w:val="180"/>
          <w:divBdr>
            <w:top w:val="none" w:sz="0" w:space="0" w:color="auto"/>
            <w:left w:val="none" w:sz="0" w:space="0" w:color="auto"/>
            <w:bottom w:val="none" w:sz="0" w:space="0" w:color="auto"/>
            <w:right w:val="none" w:sz="0" w:space="0" w:color="auto"/>
          </w:divBdr>
        </w:div>
      </w:divsChild>
    </w:div>
    <w:div w:id="1746030563">
      <w:marLeft w:val="0"/>
      <w:marRight w:val="0"/>
      <w:marTop w:val="180"/>
      <w:marBottom w:val="0"/>
      <w:divBdr>
        <w:top w:val="none" w:sz="0" w:space="0" w:color="auto"/>
        <w:left w:val="none" w:sz="0" w:space="0" w:color="auto"/>
        <w:bottom w:val="none" w:sz="0" w:space="0" w:color="auto"/>
        <w:right w:val="none" w:sz="0" w:space="0" w:color="auto"/>
      </w:divBdr>
    </w:div>
    <w:div w:id="1746759074">
      <w:marLeft w:val="0"/>
      <w:marRight w:val="0"/>
      <w:marTop w:val="180"/>
      <w:marBottom w:val="180"/>
      <w:divBdr>
        <w:top w:val="none" w:sz="0" w:space="0" w:color="auto"/>
        <w:left w:val="none" w:sz="0" w:space="0" w:color="auto"/>
        <w:bottom w:val="none" w:sz="0" w:space="0" w:color="auto"/>
        <w:right w:val="none" w:sz="0" w:space="0" w:color="auto"/>
      </w:divBdr>
    </w:div>
    <w:div w:id="1747070665">
      <w:marLeft w:val="0"/>
      <w:marRight w:val="0"/>
      <w:marTop w:val="180"/>
      <w:marBottom w:val="180"/>
      <w:divBdr>
        <w:top w:val="none" w:sz="0" w:space="0" w:color="auto"/>
        <w:left w:val="none" w:sz="0" w:space="0" w:color="auto"/>
        <w:bottom w:val="none" w:sz="0" w:space="0" w:color="auto"/>
        <w:right w:val="none" w:sz="0" w:space="0" w:color="auto"/>
      </w:divBdr>
    </w:div>
    <w:div w:id="1747417291">
      <w:marLeft w:val="0"/>
      <w:marRight w:val="0"/>
      <w:marTop w:val="180"/>
      <w:marBottom w:val="180"/>
      <w:divBdr>
        <w:top w:val="none" w:sz="0" w:space="0" w:color="auto"/>
        <w:left w:val="none" w:sz="0" w:space="0" w:color="auto"/>
        <w:bottom w:val="none" w:sz="0" w:space="0" w:color="auto"/>
        <w:right w:val="none" w:sz="0" w:space="0" w:color="auto"/>
      </w:divBdr>
    </w:div>
    <w:div w:id="1748187213">
      <w:marLeft w:val="0"/>
      <w:marRight w:val="0"/>
      <w:marTop w:val="180"/>
      <w:marBottom w:val="180"/>
      <w:divBdr>
        <w:top w:val="none" w:sz="0" w:space="0" w:color="auto"/>
        <w:left w:val="none" w:sz="0" w:space="0" w:color="auto"/>
        <w:bottom w:val="none" w:sz="0" w:space="0" w:color="auto"/>
        <w:right w:val="none" w:sz="0" w:space="0" w:color="auto"/>
      </w:divBdr>
    </w:div>
    <w:div w:id="1748335318">
      <w:marLeft w:val="0"/>
      <w:marRight w:val="0"/>
      <w:marTop w:val="180"/>
      <w:marBottom w:val="180"/>
      <w:divBdr>
        <w:top w:val="none" w:sz="0" w:space="0" w:color="auto"/>
        <w:left w:val="none" w:sz="0" w:space="0" w:color="auto"/>
        <w:bottom w:val="none" w:sz="0" w:space="0" w:color="auto"/>
        <w:right w:val="none" w:sz="0" w:space="0" w:color="auto"/>
      </w:divBdr>
    </w:div>
    <w:div w:id="1750731945">
      <w:marLeft w:val="0"/>
      <w:marRight w:val="0"/>
      <w:marTop w:val="0"/>
      <w:marBottom w:val="0"/>
      <w:divBdr>
        <w:top w:val="none" w:sz="0" w:space="0" w:color="auto"/>
        <w:left w:val="none" w:sz="0" w:space="0" w:color="auto"/>
        <w:bottom w:val="none" w:sz="0" w:space="0" w:color="auto"/>
        <w:right w:val="none" w:sz="0" w:space="0" w:color="auto"/>
      </w:divBdr>
      <w:divsChild>
        <w:div w:id="1250113446">
          <w:marLeft w:val="0"/>
          <w:marRight w:val="0"/>
          <w:marTop w:val="60"/>
          <w:marBottom w:val="60"/>
          <w:divBdr>
            <w:top w:val="none" w:sz="0" w:space="0" w:color="auto"/>
            <w:left w:val="none" w:sz="0" w:space="0" w:color="auto"/>
            <w:bottom w:val="none" w:sz="0" w:space="0" w:color="auto"/>
            <w:right w:val="none" w:sz="0" w:space="0" w:color="auto"/>
          </w:divBdr>
        </w:div>
      </w:divsChild>
    </w:div>
    <w:div w:id="1751461032">
      <w:marLeft w:val="0"/>
      <w:marRight w:val="0"/>
      <w:marTop w:val="0"/>
      <w:marBottom w:val="0"/>
      <w:divBdr>
        <w:top w:val="none" w:sz="0" w:space="0" w:color="auto"/>
        <w:left w:val="none" w:sz="0" w:space="0" w:color="auto"/>
        <w:bottom w:val="none" w:sz="0" w:space="0" w:color="auto"/>
        <w:right w:val="none" w:sz="0" w:space="0" w:color="auto"/>
      </w:divBdr>
    </w:div>
    <w:div w:id="1751585680">
      <w:marLeft w:val="0"/>
      <w:marRight w:val="0"/>
      <w:marTop w:val="180"/>
      <w:marBottom w:val="180"/>
      <w:divBdr>
        <w:top w:val="none" w:sz="0" w:space="0" w:color="auto"/>
        <w:left w:val="none" w:sz="0" w:space="0" w:color="auto"/>
        <w:bottom w:val="none" w:sz="0" w:space="0" w:color="auto"/>
        <w:right w:val="none" w:sz="0" w:space="0" w:color="auto"/>
      </w:divBdr>
    </w:div>
    <w:div w:id="1752310782">
      <w:marLeft w:val="0"/>
      <w:marRight w:val="0"/>
      <w:marTop w:val="180"/>
      <w:marBottom w:val="180"/>
      <w:divBdr>
        <w:top w:val="none" w:sz="0" w:space="0" w:color="auto"/>
        <w:left w:val="none" w:sz="0" w:space="0" w:color="auto"/>
        <w:bottom w:val="none" w:sz="0" w:space="0" w:color="auto"/>
        <w:right w:val="none" w:sz="0" w:space="0" w:color="auto"/>
      </w:divBdr>
    </w:div>
    <w:div w:id="1753120605">
      <w:marLeft w:val="0"/>
      <w:marRight w:val="0"/>
      <w:marTop w:val="60"/>
      <w:marBottom w:val="60"/>
      <w:divBdr>
        <w:top w:val="none" w:sz="0" w:space="0" w:color="auto"/>
        <w:left w:val="none" w:sz="0" w:space="0" w:color="auto"/>
        <w:bottom w:val="none" w:sz="0" w:space="0" w:color="auto"/>
        <w:right w:val="none" w:sz="0" w:space="0" w:color="auto"/>
      </w:divBdr>
    </w:div>
    <w:div w:id="1753702753">
      <w:marLeft w:val="0"/>
      <w:marRight w:val="0"/>
      <w:marTop w:val="180"/>
      <w:marBottom w:val="180"/>
      <w:divBdr>
        <w:top w:val="none" w:sz="0" w:space="0" w:color="auto"/>
        <w:left w:val="none" w:sz="0" w:space="0" w:color="auto"/>
        <w:bottom w:val="none" w:sz="0" w:space="0" w:color="auto"/>
        <w:right w:val="none" w:sz="0" w:space="0" w:color="auto"/>
      </w:divBdr>
    </w:div>
    <w:div w:id="1754815367">
      <w:marLeft w:val="0"/>
      <w:marRight w:val="0"/>
      <w:marTop w:val="0"/>
      <w:marBottom w:val="0"/>
      <w:divBdr>
        <w:top w:val="none" w:sz="0" w:space="0" w:color="auto"/>
        <w:left w:val="none" w:sz="0" w:space="0" w:color="auto"/>
        <w:bottom w:val="none" w:sz="0" w:space="0" w:color="auto"/>
        <w:right w:val="none" w:sz="0" w:space="0" w:color="auto"/>
      </w:divBdr>
      <w:divsChild>
        <w:div w:id="704794936">
          <w:marLeft w:val="0"/>
          <w:marRight w:val="0"/>
          <w:marTop w:val="0"/>
          <w:marBottom w:val="0"/>
          <w:divBdr>
            <w:top w:val="none" w:sz="0" w:space="0" w:color="auto"/>
            <w:left w:val="none" w:sz="0" w:space="0" w:color="auto"/>
            <w:bottom w:val="none" w:sz="0" w:space="0" w:color="auto"/>
            <w:right w:val="none" w:sz="0" w:space="0" w:color="auto"/>
          </w:divBdr>
          <w:divsChild>
            <w:div w:id="10131478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5080603">
      <w:marLeft w:val="0"/>
      <w:marRight w:val="0"/>
      <w:marTop w:val="180"/>
      <w:marBottom w:val="60"/>
      <w:divBdr>
        <w:top w:val="none" w:sz="0" w:space="0" w:color="auto"/>
        <w:left w:val="none" w:sz="0" w:space="0" w:color="auto"/>
        <w:bottom w:val="none" w:sz="0" w:space="0" w:color="auto"/>
        <w:right w:val="none" w:sz="0" w:space="0" w:color="auto"/>
      </w:divBdr>
    </w:div>
    <w:div w:id="1757313989">
      <w:marLeft w:val="0"/>
      <w:marRight w:val="0"/>
      <w:marTop w:val="180"/>
      <w:marBottom w:val="180"/>
      <w:divBdr>
        <w:top w:val="none" w:sz="0" w:space="0" w:color="auto"/>
        <w:left w:val="none" w:sz="0" w:space="0" w:color="auto"/>
        <w:bottom w:val="none" w:sz="0" w:space="0" w:color="auto"/>
        <w:right w:val="none" w:sz="0" w:space="0" w:color="auto"/>
      </w:divBdr>
    </w:div>
    <w:div w:id="1758361889">
      <w:marLeft w:val="0"/>
      <w:marRight w:val="0"/>
      <w:marTop w:val="0"/>
      <w:marBottom w:val="0"/>
      <w:divBdr>
        <w:top w:val="none" w:sz="0" w:space="0" w:color="auto"/>
        <w:left w:val="none" w:sz="0" w:space="0" w:color="auto"/>
        <w:bottom w:val="none" w:sz="0" w:space="0" w:color="auto"/>
        <w:right w:val="none" w:sz="0" w:space="0" w:color="auto"/>
      </w:divBdr>
      <w:divsChild>
        <w:div w:id="2013874921">
          <w:marLeft w:val="0"/>
          <w:marRight w:val="0"/>
          <w:marTop w:val="0"/>
          <w:marBottom w:val="0"/>
          <w:divBdr>
            <w:top w:val="none" w:sz="0" w:space="0" w:color="auto"/>
            <w:left w:val="none" w:sz="0" w:space="0" w:color="auto"/>
            <w:bottom w:val="none" w:sz="0" w:space="0" w:color="auto"/>
            <w:right w:val="none" w:sz="0" w:space="0" w:color="auto"/>
          </w:divBdr>
          <w:divsChild>
            <w:div w:id="18558810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8822281">
      <w:marLeft w:val="0"/>
      <w:marRight w:val="0"/>
      <w:marTop w:val="180"/>
      <w:marBottom w:val="60"/>
      <w:divBdr>
        <w:top w:val="none" w:sz="0" w:space="0" w:color="auto"/>
        <w:left w:val="none" w:sz="0" w:space="0" w:color="auto"/>
        <w:bottom w:val="none" w:sz="0" w:space="0" w:color="auto"/>
        <w:right w:val="none" w:sz="0" w:space="0" w:color="auto"/>
      </w:divBdr>
    </w:div>
    <w:div w:id="1760174042">
      <w:marLeft w:val="0"/>
      <w:marRight w:val="0"/>
      <w:marTop w:val="60"/>
      <w:marBottom w:val="60"/>
      <w:divBdr>
        <w:top w:val="none" w:sz="0" w:space="0" w:color="auto"/>
        <w:left w:val="none" w:sz="0" w:space="0" w:color="auto"/>
        <w:bottom w:val="none" w:sz="0" w:space="0" w:color="auto"/>
        <w:right w:val="none" w:sz="0" w:space="0" w:color="auto"/>
      </w:divBdr>
    </w:div>
    <w:div w:id="1760560969">
      <w:marLeft w:val="0"/>
      <w:marRight w:val="0"/>
      <w:marTop w:val="180"/>
      <w:marBottom w:val="180"/>
      <w:divBdr>
        <w:top w:val="none" w:sz="0" w:space="0" w:color="auto"/>
        <w:left w:val="none" w:sz="0" w:space="0" w:color="auto"/>
        <w:bottom w:val="none" w:sz="0" w:space="0" w:color="auto"/>
        <w:right w:val="none" w:sz="0" w:space="0" w:color="auto"/>
      </w:divBdr>
    </w:div>
    <w:div w:id="1761024909">
      <w:marLeft w:val="0"/>
      <w:marRight w:val="0"/>
      <w:marTop w:val="60"/>
      <w:marBottom w:val="60"/>
      <w:divBdr>
        <w:top w:val="none" w:sz="0" w:space="0" w:color="auto"/>
        <w:left w:val="none" w:sz="0" w:space="0" w:color="auto"/>
        <w:bottom w:val="none" w:sz="0" w:space="0" w:color="auto"/>
        <w:right w:val="none" w:sz="0" w:space="0" w:color="auto"/>
      </w:divBdr>
    </w:div>
    <w:div w:id="1761175793">
      <w:marLeft w:val="0"/>
      <w:marRight w:val="0"/>
      <w:marTop w:val="0"/>
      <w:marBottom w:val="0"/>
      <w:divBdr>
        <w:top w:val="none" w:sz="0" w:space="0" w:color="auto"/>
        <w:left w:val="none" w:sz="0" w:space="0" w:color="auto"/>
        <w:bottom w:val="none" w:sz="0" w:space="0" w:color="auto"/>
        <w:right w:val="none" w:sz="0" w:space="0" w:color="auto"/>
      </w:divBdr>
    </w:div>
    <w:div w:id="1761634997">
      <w:marLeft w:val="0"/>
      <w:marRight w:val="0"/>
      <w:marTop w:val="240"/>
      <w:marBottom w:val="180"/>
      <w:divBdr>
        <w:top w:val="none" w:sz="0" w:space="0" w:color="auto"/>
        <w:left w:val="none" w:sz="0" w:space="0" w:color="auto"/>
        <w:bottom w:val="none" w:sz="0" w:space="0" w:color="auto"/>
        <w:right w:val="none" w:sz="0" w:space="0" w:color="auto"/>
      </w:divBdr>
    </w:div>
    <w:div w:id="1762142283">
      <w:marLeft w:val="0"/>
      <w:marRight w:val="0"/>
      <w:marTop w:val="180"/>
      <w:marBottom w:val="180"/>
      <w:divBdr>
        <w:top w:val="none" w:sz="0" w:space="0" w:color="auto"/>
        <w:left w:val="none" w:sz="0" w:space="0" w:color="auto"/>
        <w:bottom w:val="none" w:sz="0" w:space="0" w:color="auto"/>
        <w:right w:val="none" w:sz="0" w:space="0" w:color="auto"/>
      </w:divBdr>
    </w:div>
    <w:div w:id="1763598357">
      <w:marLeft w:val="0"/>
      <w:marRight w:val="0"/>
      <w:marTop w:val="0"/>
      <w:marBottom w:val="0"/>
      <w:divBdr>
        <w:top w:val="none" w:sz="0" w:space="0" w:color="auto"/>
        <w:left w:val="none" w:sz="0" w:space="0" w:color="auto"/>
        <w:bottom w:val="none" w:sz="0" w:space="0" w:color="auto"/>
        <w:right w:val="none" w:sz="0" w:space="0" w:color="auto"/>
      </w:divBdr>
      <w:divsChild>
        <w:div w:id="1604419352">
          <w:marLeft w:val="0"/>
          <w:marRight w:val="0"/>
          <w:marTop w:val="60"/>
          <w:marBottom w:val="60"/>
          <w:divBdr>
            <w:top w:val="none" w:sz="0" w:space="0" w:color="auto"/>
            <w:left w:val="none" w:sz="0" w:space="0" w:color="auto"/>
            <w:bottom w:val="none" w:sz="0" w:space="0" w:color="auto"/>
            <w:right w:val="none" w:sz="0" w:space="0" w:color="auto"/>
          </w:divBdr>
        </w:div>
      </w:divsChild>
    </w:div>
    <w:div w:id="1764255948">
      <w:marLeft w:val="0"/>
      <w:marRight w:val="0"/>
      <w:marTop w:val="180"/>
      <w:marBottom w:val="180"/>
      <w:divBdr>
        <w:top w:val="none" w:sz="0" w:space="0" w:color="auto"/>
        <w:left w:val="none" w:sz="0" w:space="0" w:color="auto"/>
        <w:bottom w:val="none" w:sz="0" w:space="0" w:color="auto"/>
        <w:right w:val="none" w:sz="0" w:space="0" w:color="auto"/>
      </w:divBdr>
    </w:div>
    <w:div w:id="1764261805">
      <w:marLeft w:val="0"/>
      <w:marRight w:val="0"/>
      <w:marTop w:val="180"/>
      <w:marBottom w:val="180"/>
      <w:divBdr>
        <w:top w:val="none" w:sz="0" w:space="0" w:color="auto"/>
        <w:left w:val="none" w:sz="0" w:space="0" w:color="auto"/>
        <w:bottom w:val="none" w:sz="0" w:space="0" w:color="auto"/>
        <w:right w:val="none" w:sz="0" w:space="0" w:color="auto"/>
      </w:divBdr>
    </w:div>
    <w:div w:id="1764641168">
      <w:marLeft w:val="0"/>
      <w:marRight w:val="0"/>
      <w:marTop w:val="0"/>
      <w:marBottom w:val="0"/>
      <w:divBdr>
        <w:top w:val="none" w:sz="0" w:space="0" w:color="auto"/>
        <w:left w:val="none" w:sz="0" w:space="0" w:color="auto"/>
        <w:bottom w:val="none" w:sz="0" w:space="0" w:color="auto"/>
        <w:right w:val="none" w:sz="0" w:space="0" w:color="auto"/>
      </w:divBdr>
      <w:divsChild>
        <w:div w:id="222104249">
          <w:marLeft w:val="0"/>
          <w:marRight w:val="0"/>
          <w:marTop w:val="0"/>
          <w:marBottom w:val="0"/>
          <w:divBdr>
            <w:top w:val="none" w:sz="0" w:space="0" w:color="auto"/>
            <w:left w:val="none" w:sz="0" w:space="0" w:color="auto"/>
            <w:bottom w:val="none" w:sz="0" w:space="0" w:color="auto"/>
            <w:right w:val="none" w:sz="0" w:space="0" w:color="auto"/>
          </w:divBdr>
          <w:divsChild>
            <w:div w:id="11083569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5489770">
      <w:marLeft w:val="0"/>
      <w:marRight w:val="0"/>
      <w:marTop w:val="60"/>
      <w:marBottom w:val="60"/>
      <w:divBdr>
        <w:top w:val="none" w:sz="0" w:space="0" w:color="auto"/>
        <w:left w:val="none" w:sz="0" w:space="0" w:color="auto"/>
        <w:bottom w:val="none" w:sz="0" w:space="0" w:color="auto"/>
        <w:right w:val="none" w:sz="0" w:space="0" w:color="auto"/>
      </w:divBdr>
    </w:div>
    <w:div w:id="1766345403">
      <w:marLeft w:val="0"/>
      <w:marRight w:val="0"/>
      <w:marTop w:val="0"/>
      <w:marBottom w:val="0"/>
      <w:divBdr>
        <w:top w:val="none" w:sz="0" w:space="0" w:color="auto"/>
        <w:left w:val="none" w:sz="0" w:space="0" w:color="auto"/>
        <w:bottom w:val="none" w:sz="0" w:space="0" w:color="auto"/>
        <w:right w:val="none" w:sz="0" w:space="0" w:color="auto"/>
      </w:divBdr>
    </w:div>
    <w:div w:id="1768580628">
      <w:marLeft w:val="0"/>
      <w:marRight w:val="0"/>
      <w:marTop w:val="180"/>
      <w:marBottom w:val="180"/>
      <w:divBdr>
        <w:top w:val="none" w:sz="0" w:space="0" w:color="auto"/>
        <w:left w:val="none" w:sz="0" w:space="0" w:color="auto"/>
        <w:bottom w:val="none" w:sz="0" w:space="0" w:color="auto"/>
        <w:right w:val="none" w:sz="0" w:space="0" w:color="auto"/>
      </w:divBdr>
    </w:div>
    <w:div w:id="1769035460">
      <w:marLeft w:val="0"/>
      <w:marRight w:val="0"/>
      <w:marTop w:val="60"/>
      <w:marBottom w:val="0"/>
      <w:divBdr>
        <w:top w:val="none" w:sz="0" w:space="0" w:color="auto"/>
        <w:left w:val="none" w:sz="0" w:space="0" w:color="auto"/>
        <w:bottom w:val="none" w:sz="0" w:space="0" w:color="auto"/>
        <w:right w:val="none" w:sz="0" w:space="0" w:color="auto"/>
      </w:divBdr>
    </w:div>
    <w:div w:id="1769420689">
      <w:marLeft w:val="0"/>
      <w:marRight w:val="0"/>
      <w:marTop w:val="60"/>
      <w:marBottom w:val="60"/>
      <w:divBdr>
        <w:top w:val="none" w:sz="0" w:space="0" w:color="auto"/>
        <w:left w:val="none" w:sz="0" w:space="0" w:color="auto"/>
        <w:bottom w:val="none" w:sz="0" w:space="0" w:color="auto"/>
        <w:right w:val="none" w:sz="0" w:space="0" w:color="auto"/>
      </w:divBdr>
    </w:div>
    <w:div w:id="1769737728">
      <w:marLeft w:val="0"/>
      <w:marRight w:val="0"/>
      <w:marTop w:val="180"/>
      <w:marBottom w:val="180"/>
      <w:divBdr>
        <w:top w:val="none" w:sz="0" w:space="0" w:color="auto"/>
        <w:left w:val="none" w:sz="0" w:space="0" w:color="auto"/>
        <w:bottom w:val="none" w:sz="0" w:space="0" w:color="auto"/>
        <w:right w:val="none" w:sz="0" w:space="0" w:color="auto"/>
      </w:divBdr>
    </w:div>
    <w:div w:id="1771899920">
      <w:marLeft w:val="0"/>
      <w:marRight w:val="0"/>
      <w:marTop w:val="180"/>
      <w:marBottom w:val="180"/>
      <w:divBdr>
        <w:top w:val="none" w:sz="0" w:space="0" w:color="auto"/>
        <w:left w:val="none" w:sz="0" w:space="0" w:color="auto"/>
        <w:bottom w:val="none" w:sz="0" w:space="0" w:color="auto"/>
        <w:right w:val="none" w:sz="0" w:space="0" w:color="auto"/>
      </w:divBdr>
    </w:div>
    <w:div w:id="1771924207">
      <w:marLeft w:val="0"/>
      <w:marRight w:val="0"/>
      <w:marTop w:val="0"/>
      <w:marBottom w:val="0"/>
      <w:divBdr>
        <w:top w:val="none" w:sz="0" w:space="0" w:color="auto"/>
        <w:left w:val="none" w:sz="0" w:space="0" w:color="auto"/>
        <w:bottom w:val="none" w:sz="0" w:space="0" w:color="auto"/>
        <w:right w:val="none" w:sz="0" w:space="0" w:color="auto"/>
      </w:divBdr>
      <w:divsChild>
        <w:div w:id="68119789">
          <w:marLeft w:val="0"/>
          <w:marRight w:val="0"/>
          <w:marTop w:val="0"/>
          <w:marBottom w:val="0"/>
          <w:divBdr>
            <w:top w:val="none" w:sz="0" w:space="0" w:color="auto"/>
            <w:left w:val="none" w:sz="0" w:space="0" w:color="auto"/>
            <w:bottom w:val="none" w:sz="0" w:space="0" w:color="auto"/>
            <w:right w:val="none" w:sz="0" w:space="0" w:color="auto"/>
          </w:divBdr>
          <w:divsChild>
            <w:div w:id="14754891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3358770">
      <w:marLeft w:val="0"/>
      <w:marRight w:val="0"/>
      <w:marTop w:val="180"/>
      <w:marBottom w:val="180"/>
      <w:divBdr>
        <w:top w:val="none" w:sz="0" w:space="0" w:color="auto"/>
        <w:left w:val="none" w:sz="0" w:space="0" w:color="auto"/>
        <w:bottom w:val="none" w:sz="0" w:space="0" w:color="auto"/>
        <w:right w:val="none" w:sz="0" w:space="0" w:color="auto"/>
      </w:divBdr>
    </w:div>
    <w:div w:id="1773747005">
      <w:marLeft w:val="0"/>
      <w:marRight w:val="0"/>
      <w:marTop w:val="180"/>
      <w:marBottom w:val="180"/>
      <w:divBdr>
        <w:top w:val="none" w:sz="0" w:space="0" w:color="auto"/>
        <w:left w:val="none" w:sz="0" w:space="0" w:color="auto"/>
        <w:bottom w:val="none" w:sz="0" w:space="0" w:color="auto"/>
        <w:right w:val="none" w:sz="0" w:space="0" w:color="auto"/>
      </w:divBdr>
    </w:div>
    <w:div w:id="1773864707">
      <w:marLeft w:val="0"/>
      <w:marRight w:val="0"/>
      <w:marTop w:val="0"/>
      <w:marBottom w:val="0"/>
      <w:divBdr>
        <w:top w:val="none" w:sz="0" w:space="0" w:color="auto"/>
        <w:left w:val="none" w:sz="0" w:space="0" w:color="auto"/>
        <w:bottom w:val="none" w:sz="0" w:space="0" w:color="auto"/>
        <w:right w:val="none" w:sz="0" w:space="0" w:color="auto"/>
      </w:divBdr>
      <w:divsChild>
        <w:div w:id="75976712">
          <w:marLeft w:val="0"/>
          <w:marRight w:val="0"/>
          <w:marTop w:val="0"/>
          <w:marBottom w:val="0"/>
          <w:divBdr>
            <w:top w:val="none" w:sz="0" w:space="0" w:color="auto"/>
            <w:left w:val="none" w:sz="0" w:space="0" w:color="auto"/>
            <w:bottom w:val="none" w:sz="0" w:space="0" w:color="auto"/>
            <w:right w:val="none" w:sz="0" w:space="0" w:color="auto"/>
          </w:divBdr>
          <w:divsChild>
            <w:div w:id="19444561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9564606">
      <w:marLeft w:val="0"/>
      <w:marRight w:val="0"/>
      <w:marTop w:val="180"/>
      <w:marBottom w:val="180"/>
      <w:divBdr>
        <w:top w:val="none" w:sz="0" w:space="0" w:color="auto"/>
        <w:left w:val="none" w:sz="0" w:space="0" w:color="auto"/>
        <w:bottom w:val="none" w:sz="0" w:space="0" w:color="auto"/>
        <w:right w:val="none" w:sz="0" w:space="0" w:color="auto"/>
      </w:divBdr>
    </w:div>
    <w:div w:id="1779837887">
      <w:marLeft w:val="0"/>
      <w:marRight w:val="0"/>
      <w:marTop w:val="60"/>
      <w:marBottom w:val="60"/>
      <w:divBdr>
        <w:top w:val="none" w:sz="0" w:space="0" w:color="auto"/>
        <w:left w:val="none" w:sz="0" w:space="0" w:color="auto"/>
        <w:bottom w:val="none" w:sz="0" w:space="0" w:color="auto"/>
        <w:right w:val="none" w:sz="0" w:space="0" w:color="auto"/>
      </w:divBdr>
    </w:div>
    <w:div w:id="1781997828">
      <w:marLeft w:val="0"/>
      <w:marRight w:val="0"/>
      <w:marTop w:val="180"/>
      <w:marBottom w:val="60"/>
      <w:divBdr>
        <w:top w:val="none" w:sz="0" w:space="0" w:color="auto"/>
        <w:left w:val="none" w:sz="0" w:space="0" w:color="auto"/>
        <w:bottom w:val="none" w:sz="0" w:space="0" w:color="auto"/>
        <w:right w:val="none" w:sz="0" w:space="0" w:color="auto"/>
      </w:divBdr>
    </w:div>
    <w:div w:id="1783383306">
      <w:marLeft w:val="0"/>
      <w:marRight w:val="0"/>
      <w:marTop w:val="180"/>
      <w:marBottom w:val="180"/>
      <w:divBdr>
        <w:top w:val="none" w:sz="0" w:space="0" w:color="auto"/>
        <w:left w:val="none" w:sz="0" w:space="0" w:color="auto"/>
        <w:bottom w:val="none" w:sz="0" w:space="0" w:color="auto"/>
        <w:right w:val="none" w:sz="0" w:space="0" w:color="auto"/>
      </w:divBdr>
    </w:div>
    <w:div w:id="1784500909">
      <w:marLeft w:val="0"/>
      <w:marRight w:val="0"/>
      <w:marTop w:val="100"/>
      <w:marBottom w:val="100"/>
      <w:divBdr>
        <w:top w:val="none" w:sz="0" w:space="0" w:color="auto"/>
        <w:left w:val="none" w:sz="0" w:space="0" w:color="auto"/>
        <w:bottom w:val="none" w:sz="0" w:space="0" w:color="auto"/>
        <w:right w:val="none" w:sz="0" w:space="0" w:color="auto"/>
      </w:divBdr>
      <w:divsChild>
        <w:div w:id="609044762">
          <w:marLeft w:val="0"/>
          <w:marRight w:val="0"/>
          <w:marTop w:val="0"/>
          <w:marBottom w:val="0"/>
          <w:divBdr>
            <w:top w:val="none" w:sz="0" w:space="0" w:color="auto"/>
            <w:left w:val="none" w:sz="0" w:space="0" w:color="auto"/>
            <w:bottom w:val="none" w:sz="0" w:space="0" w:color="auto"/>
            <w:right w:val="none" w:sz="0" w:space="0" w:color="auto"/>
          </w:divBdr>
        </w:div>
        <w:div w:id="301808320">
          <w:marLeft w:val="0"/>
          <w:marRight w:val="0"/>
          <w:marTop w:val="0"/>
          <w:marBottom w:val="0"/>
          <w:divBdr>
            <w:top w:val="none" w:sz="0" w:space="0" w:color="auto"/>
            <w:left w:val="none" w:sz="0" w:space="0" w:color="auto"/>
            <w:bottom w:val="none" w:sz="0" w:space="0" w:color="auto"/>
            <w:right w:val="none" w:sz="0" w:space="0" w:color="auto"/>
          </w:divBdr>
        </w:div>
      </w:divsChild>
    </w:div>
    <w:div w:id="1784763785">
      <w:marLeft w:val="0"/>
      <w:marRight w:val="0"/>
      <w:marTop w:val="180"/>
      <w:marBottom w:val="180"/>
      <w:divBdr>
        <w:top w:val="none" w:sz="0" w:space="0" w:color="auto"/>
        <w:left w:val="none" w:sz="0" w:space="0" w:color="auto"/>
        <w:bottom w:val="none" w:sz="0" w:space="0" w:color="auto"/>
        <w:right w:val="none" w:sz="0" w:space="0" w:color="auto"/>
      </w:divBdr>
    </w:div>
    <w:div w:id="1785029074">
      <w:marLeft w:val="0"/>
      <w:marRight w:val="0"/>
      <w:marTop w:val="180"/>
      <w:marBottom w:val="180"/>
      <w:divBdr>
        <w:top w:val="none" w:sz="0" w:space="0" w:color="auto"/>
        <w:left w:val="none" w:sz="0" w:space="0" w:color="auto"/>
        <w:bottom w:val="none" w:sz="0" w:space="0" w:color="auto"/>
        <w:right w:val="none" w:sz="0" w:space="0" w:color="auto"/>
      </w:divBdr>
    </w:div>
    <w:div w:id="1786607969">
      <w:marLeft w:val="0"/>
      <w:marRight w:val="0"/>
      <w:marTop w:val="180"/>
      <w:marBottom w:val="180"/>
      <w:divBdr>
        <w:top w:val="none" w:sz="0" w:space="0" w:color="auto"/>
        <w:left w:val="none" w:sz="0" w:space="0" w:color="auto"/>
        <w:bottom w:val="none" w:sz="0" w:space="0" w:color="auto"/>
        <w:right w:val="none" w:sz="0" w:space="0" w:color="auto"/>
      </w:divBdr>
    </w:div>
    <w:div w:id="1788622752">
      <w:marLeft w:val="0"/>
      <w:marRight w:val="0"/>
      <w:marTop w:val="180"/>
      <w:marBottom w:val="180"/>
      <w:divBdr>
        <w:top w:val="none" w:sz="0" w:space="0" w:color="auto"/>
        <w:left w:val="none" w:sz="0" w:space="0" w:color="auto"/>
        <w:bottom w:val="none" w:sz="0" w:space="0" w:color="auto"/>
        <w:right w:val="none" w:sz="0" w:space="0" w:color="auto"/>
      </w:divBdr>
    </w:div>
    <w:div w:id="1788742880">
      <w:marLeft w:val="0"/>
      <w:marRight w:val="0"/>
      <w:marTop w:val="180"/>
      <w:marBottom w:val="180"/>
      <w:divBdr>
        <w:top w:val="none" w:sz="0" w:space="0" w:color="auto"/>
        <w:left w:val="none" w:sz="0" w:space="0" w:color="auto"/>
        <w:bottom w:val="none" w:sz="0" w:space="0" w:color="auto"/>
        <w:right w:val="none" w:sz="0" w:space="0" w:color="auto"/>
      </w:divBdr>
    </w:div>
    <w:div w:id="1788770022">
      <w:marLeft w:val="0"/>
      <w:marRight w:val="0"/>
      <w:marTop w:val="180"/>
      <w:marBottom w:val="180"/>
      <w:divBdr>
        <w:top w:val="none" w:sz="0" w:space="0" w:color="auto"/>
        <w:left w:val="none" w:sz="0" w:space="0" w:color="auto"/>
        <w:bottom w:val="none" w:sz="0" w:space="0" w:color="auto"/>
        <w:right w:val="none" w:sz="0" w:space="0" w:color="auto"/>
      </w:divBdr>
    </w:div>
    <w:div w:id="1789279423">
      <w:marLeft w:val="0"/>
      <w:marRight w:val="0"/>
      <w:marTop w:val="0"/>
      <w:marBottom w:val="0"/>
      <w:divBdr>
        <w:top w:val="none" w:sz="0" w:space="0" w:color="auto"/>
        <w:left w:val="none" w:sz="0" w:space="0" w:color="auto"/>
        <w:bottom w:val="none" w:sz="0" w:space="0" w:color="auto"/>
        <w:right w:val="none" w:sz="0" w:space="0" w:color="auto"/>
      </w:divBdr>
      <w:divsChild>
        <w:div w:id="241255952">
          <w:marLeft w:val="0"/>
          <w:marRight w:val="0"/>
          <w:marTop w:val="0"/>
          <w:marBottom w:val="0"/>
          <w:divBdr>
            <w:top w:val="none" w:sz="0" w:space="0" w:color="auto"/>
            <w:left w:val="none" w:sz="0" w:space="0" w:color="auto"/>
            <w:bottom w:val="none" w:sz="0" w:space="0" w:color="auto"/>
            <w:right w:val="none" w:sz="0" w:space="0" w:color="auto"/>
          </w:divBdr>
          <w:divsChild>
            <w:div w:id="1632781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91364468">
      <w:marLeft w:val="0"/>
      <w:marRight w:val="0"/>
      <w:marTop w:val="180"/>
      <w:marBottom w:val="180"/>
      <w:divBdr>
        <w:top w:val="none" w:sz="0" w:space="0" w:color="auto"/>
        <w:left w:val="none" w:sz="0" w:space="0" w:color="auto"/>
        <w:bottom w:val="none" w:sz="0" w:space="0" w:color="auto"/>
        <w:right w:val="none" w:sz="0" w:space="0" w:color="auto"/>
      </w:divBdr>
    </w:div>
    <w:div w:id="1792166255">
      <w:marLeft w:val="0"/>
      <w:marRight w:val="0"/>
      <w:marTop w:val="180"/>
      <w:marBottom w:val="180"/>
      <w:divBdr>
        <w:top w:val="none" w:sz="0" w:space="0" w:color="auto"/>
        <w:left w:val="none" w:sz="0" w:space="0" w:color="auto"/>
        <w:bottom w:val="none" w:sz="0" w:space="0" w:color="auto"/>
        <w:right w:val="none" w:sz="0" w:space="0" w:color="auto"/>
      </w:divBdr>
    </w:div>
    <w:div w:id="1792284774">
      <w:marLeft w:val="0"/>
      <w:marRight w:val="0"/>
      <w:marTop w:val="180"/>
      <w:marBottom w:val="0"/>
      <w:divBdr>
        <w:top w:val="none" w:sz="0" w:space="0" w:color="auto"/>
        <w:left w:val="none" w:sz="0" w:space="0" w:color="auto"/>
        <w:bottom w:val="none" w:sz="0" w:space="0" w:color="auto"/>
        <w:right w:val="none" w:sz="0" w:space="0" w:color="auto"/>
      </w:divBdr>
    </w:div>
    <w:div w:id="1794445356">
      <w:marLeft w:val="0"/>
      <w:marRight w:val="0"/>
      <w:marTop w:val="180"/>
      <w:marBottom w:val="180"/>
      <w:divBdr>
        <w:top w:val="none" w:sz="0" w:space="0" w:color="auto"/>
        <w:left w:val="none" w:sz="0" w:space="0" w:color="auto"/>
        <w:bottom w:val="none" w:sz="0" w:space="0" w:color="auto"/>
        <w:right w:val="none" w:sz="0" w:space="0" w:color="auto"/>
      </w:divBdr>
    </w:div>
    <w:div w:id="1798570699">
      <w:marLeft w:val="0"/>
      <w:marRight w:val="0"/>
      <w:marTop w:val="100"/>
      <w:marBottom w:val="100"/>
      <w:divBdr>
        <w:top w:val="none" w:sz="0" w:space="0" w:color="auto"/>
        <w:left w:val="none" w:sz="0" w:space="0" w:color="auto"/>
        <w:bottom w:val="none" w:sz="0" w:space="0" w:color="auto"/>
        <w:right w:val="none" w:sz="0" w:space="0" w:color="auto"/>
      </w:divBdr>
      <w:divsChild>
        <w:div w:id="769668349">
          <w:marLeft w:val="0"/>
          <w:marRight w:val="0"/>
          <w:marTop w:val="0"/>
          <w:marBottom w:val="0"/>
          <w:divBdr>
            <w:top w:val="none" w:sz="0" w:space="0" w:color="auto"/>
            <w:left w:val="none" w:sz="0" w:space="0" w:color="auto"/>
            <w:bottom w:val="none" w:sz="0" w:space="0" w:color="auto"/>
            <w:right w:val="none" w:sz="0" w:space="0" w:color="auto"/>
          </w:divBdr>
        </w:div>
        <w:div w:id="1537620487">
          <w:marLeft w:val="0"/>
          <w:marRight w:val="0"/>
          <w:marTop w:val="0"/>
          <w:marBottom w:val="0"/>
          <w:divBdr>
            <w:top w:val="none" w:sz="0" w:space="0" w:color="auto"/>
            <w:left w:val="none" w:sz="0" w:space="0" w:color="auto"/>
            <w:bottom w:val="none" w:sz="0" w:space="0" w:color="auto"/>
            <w:right w:val="none" w:sz="0" w:space="0" w:color="auto"/>
          </w:divBdr>
        </w:div>
      </w:divsChild>
    </w:div>
    <w:div w:id="1798599092">
      <w:marLeft w:val="0"/>
      <w:marRight w:val="0"/>
      <w:marTop w:val="180"/>
      <w:marBottom w:val="180"/>
      <w:divBdr>
        <w:top w:val="none" w:sz="0" w:space="0" w:color="auto"/>
        <w:left w:val="none" w:sz="0" w:space="0" w:color="auto"/>
        <w:bottom w:val="none" w:sz="0" w:space="0" w:color="auto"/>
        <w:right w:val="none" w:sz="0" w:space="0" w:color="auto"/>
      </w:divBdr>
    </w:div>
    <w:div w:id="1798716592">
      <w:marLeft w:val="0"/>
      <w:marRight w:val="0"/>
      <w:marTop w:val="180"/>
      <w:marBottom w:val="180"/>
      <w:divBdr>
        <w:top w:val="none" w:sz="0" w:space="0" w:color="auto"/>
        <w:left w:val="none" w:sz="0" w:space="0" w:color="auto"/>
        <w:bottom w:val="none" w:sz="0" w:space="0" w:color="auto"/>
        <w:right w:val="none" w:sz="0" w:space="0" w:color="auto"/>
      </w:divBdr>
    </w:div>
    <w:div w:id="1800143104">
      <w:marLeft w:val="0"/>
      <w:marRight w:val="0"/>
      <w:marTop w:val="180"/>
      <w:marBottom w:val="180"/>
      <w:divBdr>
        <w:top w:val="none" w:sz="0" w:space="0" w:color="auto"/>
        <w:left w:val="none" w:sz="0" w:space="0" w:color="auto"/>
        <w:bottom w:val="none" w:sz="0" w:space="0" w:color="auto"/>
        <w:right w:val="none" w:sz="0" w:space="0" w:color="auto"/>
      </w:divBdr>
    </w:div>
    <w:div w:id="1800417078">
      <w:marLeft w:val="0"/>
      <w:marRight w:val="0"/>
      <w:marTop w:val="180"/>
      <w:marBottom w:val="180"/>
      <w:divBdr>
        <w:top w:val="none" w:sz="0" w:space="0" w:color="auto"/>
        <w:left w:val="none" w:sz="0" w:space="0" w:color="auto"/>
        <w:bottom w:val="none" w:sz="0" w:space="0" w:color="auto"/>
        <w:right w:val="none" w:sz="0" w:space="0" w:color="auto"/>
      </w:divBdr>
    </w:div>
    <w:div w:id="1800760317">
      <w:marLeft w:val="0"/>
      <w:marRight w:val="0"/>
      <w:marTop w:val="180"/>
      <w:marBottom w:val="0"/>
      <w:divBdr>
        <w:top w:val="none" w:sz="0" w:space="0" w:color="auto"/>
        <w:left w:val="none" w:sz="0" w:space="0" w:color="auto"/>
        <w:bottom w:val="none" w:sz="0" w:space="0" w:color="auto"/>
        <w:right w:val="none" w:sz="0" w:space="0" w:color="auto"/>
      </w:divBdr>
    </w:div>
    <w:div w:id="1801217664">
      <w:marLeft w:val="0"/>
      <w:marRight w:val="0"/>
      <w:marTop w:val="180"/>
      <w:marBottom w:val="180"/>
      <w:divBdr>
        <w:top w:val="none" w:sz="0" w:space="0" w:color="auto"/>
        <w:left w:val="none" w:sz="0" w:space="0" w:color="auto"/>
        <w:bottom w:val="none" w:sz="0" w:space="0" w:color="auto"/>
        <w:right w:val="none" w:sz="0" w:space="0" w:color="auto"/>
      </w:divBdr>
    </w:div>
    <w:div w:id="1801874009">
      <w:marLeft w:val="0"/>
      <w:marRight w:val="0"/>
      <w:marTop w:val="60"/>
      <w:marBottom w:val="60"/>
      <w:divBdr>
        <w:top w:val="none" w:sz="0" w:space="0" w:color="auto"/>
        <w:left w:val="none" w:sz="0" w:space="0" w:color="auto"/>
        <w:bottom w:val="none" w:sz="0" w:space="0" w:color="auto"/>
        <w:right w:val="none" w:sz="0" w:space="0" w:color="auto"/>
      </w:divBdr>
    </w:div>
    <w:div w:id="1802382189">
      <w:marLeft w:val="0"/>
      <w:marRight w:val="0"/>
      <w:marTop w:val="240"/>
      <w:marBottom w:val="180"/>
      <w:divBdr>
        <w:top w:val="none" w:sz="0" w:space="0" w:color="auto"/>
        <w:left w:val="none" w:sz="0" w:space="0" w:color="auto"/>
        <w:bottom w:val="none" w:sz="0" w:space="0" w:color="auto"/>
        <w:right w:val="none" w:sz="0" w:space="0" w:color="auto"/>
      </w:divBdr>
    </w:div>
    <w:div w:id="1804154616">
      <w:marLeft w:val="0"/>
      <w:marRight w:val="0"/>
      <w:marTop w:val="60"/>
      <w:marBottom w:val="60"/>
      <w:divBdr>
        <w:top w:val="none" w:sz="0" w:space="0" w:color="auto"/>
        <w:left w:val="none" w:sz="0" w:space="0" w:color="auto"/>
        <w:bottom w:val="none" w:sz="0" w:space="0" w:color="auto"/>
        <w:right w:val="none" w:sz="0" w:space="0" w:color="auto"/>
      </w:divBdr>
    </w:div>
    <w:div w:id="1805846617">
      <w:marLeft w:val="0"/>
      <w:marRight w:val="0"/>
      <w:marTop w:val="180"/>
      <w:marBottom w:val="180"/>
      <w:divBdr>
        <w:top w:val="none" w:sz="0" w:space="0" w:color="auto"/>
        <w:left w:val="none" w:sz="0" w:space="0" w:color="auto"/>
        <w:bottom w:val="none" w:sz="0" w:space="0" w:color="auto"/>
        <w:right w:val="none" w:sz="0" w:space="0" w:color="auto"/>
      </w:divBdr>
    </w:div>
    <w:div w:id="1807041293">
      <w:marLeft w:val="0"/>
      <w:marRight w:val="0"/>
      <w:marTop w:val="180"/>
      <w:marBottom w:val="180"/>
      <w:divBdr>
        <w:top w:val="none" w:sz="0" w:space="0" w:color="auto"/>
        <w:left w:val="none" w:sz="0" w:space="0" w:color="auto"/>
        <w:bottom w:val="none" w:sz="0" w:space="0" w:color="auto"/>
        <w:right w:val="none" w:sz="0" w:space="0" w:color="auto"/>
      </w:divBdr>
    </w:div>
    <w:div w:id="1808014142">
      <w:marLeft w:val="0"/>
      <w:marRight w:val="0"/>
      <w:marTop w:val="0"/>
      <w:marBottom w:val="0"/>
      <w:divBdr>
        <w:top w:val="none" w:sz="0" w:space="0" w:color="auto"/>
        <w:left w:val="none" w:sz="0" w:space="0" w:color="auto"/>
        <w:bottom w:val="none" w:sz="0" w:space="0" w:color="auto"/>
        <w:right w:val="none" w:sz="0" w:space="0" w:color="auto"/>
      </w:divBdr>
      <w:divsChild>
        <w:div w:id="1813668977">
          <w:marLeft w:val="0"/>
          <w:marRight w:val="0"/>
          <w:marTop w:val="0"/>
          <w:marBottom w:val="0"/>
          <w:divBdr>
            <w:top w:val="none" w:sz="0" w:space="0" w:color="auto"/>
            <w:left w:val="none" w:sz="0" w:space="0" w:color="auto"/>
            <w:bottom w:val="none" w:sz="0" w:space="0" w:color="auto"/>
            <w:right w:val="none" w:sz="0" w:space="0" w:color="auto"/>
          </w:divBdr>
          <w:divsChild>
            <w:div w:id="13587730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8235746">
      <w:marLeft w:val="0"/>
      <w:marRight w:val="0"/>
      <w:marTop w:val="180"/>
      <w:marBottom w:val="180"/>
      <w:divBdr>
        <w:top w:val="none" w:sz="0" w:space="0" w:color="auto"/>
        <w:left w:val="none" w:sz="0" w:space="0" w:color="auto"/>
        <w:bottom w:val="none" w:sz="0" w:space="0" w:color="auto"/>
        <w:right w:val="none" w:sz="0" w:space="0" w:color="auto"/>
      </w:divBdr>
    </w:div>
    <w:div w:id="1808860885">
      <w:marLeft w:val="0"/>
      <w:marRight w:val="0"/>
      <w:marTop w:val="180"/>
      <w:marBottom w:val="180"/>
      <w:divBdr>
        <w:top w:val="none" w:sz="0" w:space="0" w:color="auto"/>
        <w:left w:val="none" w:sz="0" w:space="0" w:color="auto"/>
        <w:bottom w:val="none" w:sz="0" w:space="0" w:color="auto"/>
        <w:right w:val="none" w:sz="0" w:space="0" w:color="auto"/>
      </w:divBdr>
    </w:div>
    <w:div w:id="1809393043">
      <w:marLeft w:val="0"/>
      <w:marRight w:val="0"/>
      <w:marTop w:val="180"/>
      <w:marBottom w:val="180"/>
      <w:divBdr>
        <w:top w:val="none" w:sz="0" w:space="0" w:color="auto"/>
        <w:left w:val="none" w:sz="0" w:space="0" w:color="auto"/>
        <w:bottom w:val="none" w:sz="0" w:space="0" w:color="auto"/>
        <w:right w:val="none" w:sz="0" w:space="0" w:color="auto"/>
      </w:divBdr>
    </w:div>
    <w:div w:id="1809474103">
      <w:marLeft w:val="0"/>
      <w:marRight w:val="0"/>
      <w:marTop w:val="180"/>
      <w:marBottom w:val="180"/>
      <w:divBdr>
        <w:top w:val="none" w:sz="0" w:space="0" w:color="auto"/>
        <w:left w:val="none" w:sz="0" w:space="0" w:color="auto"/>
        <w:bottom w:val="none" w:sz="0" w:space="0" w:color="auto"/>
        <w:right w:val="none" w:sz="0" w:space="0" w:color="auto"/>
      </w:divBdr>
    </w:div>
    <w:div w:id="1810398846">
      <w:marLeft w:val="0"/>
      <w:marRight w:val="0"/>
      <w:marTop w:val="100"/>
      <w:marBottom w:val="100"/>
      <w:divBdr>
        <w:top w:val="none" w:sz="0" w:space="0" w:color="auto"/>
        <w:left w:val="none" w:sz="0" w:space="0" w:color="auto"/>
        <w:bottom w:val="none" w:sz="0" w:space="0" w:color="auto"/>
        <w:right w:val="none" w:sz="0" w:space="0" w:color="auto"/>
      </w:divBdr>
      <w:divsChild>
        <w:div w:id="1678341681">
          <w:marLeft w:val="0"/>
          <w:marRight w:val="0"/>
          <w:marTop w:val="0"/>
          <w:marBottom w:val="0"/>
          <w:divBdr>
            <w:top w:val="none" w:sz="0" w:space="0" w:color="auto"/>
            <w:left w:val="none" w:sz="0" w:space="0" w:color="auto"/>
            <w:bottom w:val="none" w:sz="0" w:space="0" w:color="auto"/>
            <w:right w:val="none" w:sz="0" w:space="0" w:color="auto"/>
          </w:divBdr>
        </w:div>
        <w:div w:id="1374427309">
          <w:marLeft w:val="0"/>
          <w:marRight w:val="0"/>
          <w:marTop w:val="0"/>
          <w:marBottom w:val="0"/>
          <w:divBdr>
            <w:top w:val="none" w:sz="0" w:space="0" w:color="auto"/>
            <w:left w:val="none" w:sz="0" w:space="0" w:color="auto"/>
            <w:bottom w:val="none" w:sz="0" w:space="0" w:color="auto"/>
            <w:right w:val="none" w:sz="0" w:space="0" w:color="auto"/>
          </w:divBdr>
        </w:div>
      </w:divsChild>
    </w:div>
    <w:div w:id="1811089980">
      <w:marLeft w:val="0"/>
      <w:marRight w:val="0"/>
      <w:marTop w:val="240"/>
      <w:marBottom w:val="100"/>
      <w:divBdr>
        <w:top w:val="none" w:sz="0" w:space="0" w:color="auto"/>
        <w:left w:val="none" w:sz="0" w:space="0" w:color="auto"/>
        <w:bottom w:val="none" w:sz="0" w:space="0" w:color="auto"/>
        <w:right w:val="none" w:sz="0" w:space="0" w:color="auto"/>
      </w:divBdr>
    </w:div>
    <w:div w:id="1813717366">
      <w:marLeft w:val="0"/>
      <w:marRight w:val="0"/>
      <w:marTop w:val="180"/>
      <w:marBottom w:val="180"/>
      <w:divBdr>
        <w:top w:val="none" w:sz="0" w:space="0" w:color="auto"/>
        <w:left w:val="none" w:sz="0" w:space="0" w:color="auto"/>
        <w:bottom w:val="none" w:sz="0" w:space="0" w:color="auto"/>
        <w:right w:val="none" w:sz="0" w:space="0" w:color="auto"/>
      </w:divBdr>
    </w:div>
    <w:div w:id="1813911695">
      <w:marLeft w:val="0"/>
      <w:marRight w:val="0"/>
      <w:marTop w:val="60"/>
      <w:marBottom w:val="60"/>
      <w:divBdr>
        <w:top w:val="none" w:sz="0" w:space="0" w:color="auto"/>
        <w:left w:val="none" w:sz="0" w:space="0" w:color="auto"/>
        <w:bottom w:val="none" w:sz="0" w:space="0" w:color="auto"/>
        <w:right w:val="none" w:sz="0" w:space="0" w:color="auto"/>
      </w:divBdr>
    </w:div>
    <w:div w:id="1815487571">
      <w:marLeft w:val="0"/>
      <w:marRight w:val="0"/>
      <w:marTop w:val="180"/>
      <w:marBottom w:val="180"/>
      <w:divBdr>
        <w:top w:val="none" w:sz="0" w:space="0" w:color="auto"/>
        <w:left w:val="none" w:sz="0" w:space="0" w:color="auto"/>
        <w:bottom w:val="none" w:sz="0" w:space="0" w:color="auto"/>
        <w:right w:val="none" w:sz="0" w:space="0" w:color="auto"/>
      </w:divBdr>
    </w:div>
    <w:div w:id="1817187252">
      <w:marLeft w:val="0"/>
      <w:marRight w:val="0"/>
      <w:marTop w:val="180"/>
      <w:marBottom w:val="180"/>
      <w:divBdr>
        <w:top w:val="none" w:sz="0" w:space="0" w:color="auto"/>
        <w:left w:val="none" w:sz="0" w:space="0" w:color="auto"/>
        <w:bottom w:val="none" w:sz="0" w:space="0" w:color="auto"/>
        <w:right w:val="none" w:sz="0" w:space="0" w:color="auto"/>
      </w:divBdr>
    </w:div>
    <w:div w:id="1818450975">
      <w:marLeft w:val="0"/>
      <w:marRight w:val="0"/>
      <w:marTop w:val="0"/>
      <w:marBottom w:val="0"/>
      <w:divBdr>
        <w:top w:val="none" w:sz="0" w:space="0" w:color="auto"/>
        <w:left w:val="none" w:sz="0" w:space="0" w:color="auto"/>
        <w:bottom w:val="none" w:sz="0" w:space="0" w:color="auto"/>
        <w:right w:val="none" w:sz="0" w:space="0" w:color="auto"/>
      </w:divBdr>
    </w:div>
    <w:div w:id="1818690872">
      <w:marLeft w:val="0"/>
      <w:marRight w:val="0"/>
      <w:marTop w:val="180"/>
      <w:marBottom w:val="180"/>
      <w:divBdr>
        <w:top w:val="none" w:sz="0" w:space="0" w:color="auto"/>
        <w:left w:val="none" w:sz="0" w:space="0" w:color="auto"/>
        <w:bottom w:val="none" w:sz="0" w:space="0" w:color="auto"/>
        <w:right w:val="none" w:sz="0" w:space="0" w:color="auto"/>
      </w:divBdr>
    </w:div>
    <w:div w:id="1819345789">
      <w:marLeft w:val="0"/>
      <w:marRight w:val="0"/>
      <w:marTop w:val="180"/>
      <w:marBottom w:val="180"/>
      <w:divBdr>
        <w:top w:val="none" w:sz="0" w:space="0" w:color="auto"/>
        <w:left w:val="none" w:sz="0" w:space="0" w:color="auto"/>
        <w:bottom w:val="none" w:sz="0" w:space="0" w:color="auto"/>
        <w:right w:val="none" w:sz="0" w:space="0" w:color="auto"/>
      </w:divBdr>
    </w:div>
    <w:div w:id="1819879055">
      <w:marLeft w:val="0"/>
      <w:marRight w:val="0"/>
      <w:marTop w:val="60"/>
      <w:marBottom w:val="60"/>
      <w:divBdr>
        <w:top w:val="none" w:sz="0" w:space="0" w:color="auto"/>
        <w:left w:val="none" w:sz="0" w:space="0" w:color="auto"/>
        <w:bottom w:val="none" w:sz="0" w:space="0" w:color="auto"/>
        <w:right w:val="none" w:sz="0" w:space="0" w:color="auto"/>
      </w:divBdr>
    </w:div>
    <w:div w:id="1822576114">
      <w:marLeft w:val="0"/>
      <w:marRight w:val="0"/>
      <w:marTop w:val="180"/>
      <w:marBottom w:val="180"/>
      <w:divBdr>
        <w:top w:val="none" w:sz="0" w:space="0" w:color="auto"/>
        <w:left w:val="none" w:sz="0" w:space="0" w:color="auto"/>
        <w:bottom w:val="none" w:sz="0" w:space="0" w:color="auto"/>
        <w:right w:val="none" w:sz="0" w:space="0" w:color="auto"/>
      </w:divBdr>
    </w:div>
    <w:div w:id="1822577493">
      <w:marLeft w:val="0"/>
      <w:marRight w:val="0"/>
      <w:marTop w:val="180"/>
      <w:marBottom w:val="180"/>
      <w:divBdr>
        <w:top w:val="none" w:sz="0" w:space="0" w:color="auto"/>
        <w:left w:val="none" w:sz="0" w:space="0" w:color="auto"/>
        <w:bottom w:val="none" w:sz="0" w:space="0" w:color="auto"/>
        <w:right w:val="none" w:sz="0" w:space="0" w:color="auto"/>
      </w:divBdr>
    </w:div>
    <w:div w:id="1823543571">
      <w:marLeft w:val="0"/>
      <w:marRight w:val="0"/>
      <w:marTop w:val="180"/>
      <w:marBottom w:val="180"/>
      <w:divBdr>
        <w:top w:val="none" w:sz="0" w:space="0" w:color="auto"/>
        <w:left w:val="none" w:sz="0" w:space="0" w:color="auto"/>
        <w:bottom w:val="none" w:sz="0" w:space="0" w:color="auto"/>
        <w:right w:val="none" w:sz="0" w:space="0" w:color="auto"/>
      </w:divBdr>
    </w:div>
    <w:div w:id="1823616271">
      <w:marLeft w:val="0"/>
      <w:marRight w:val="0"/>
      <w:marTop w:val="0"/>
      <w:marBottom w:val="0"/>
      <w:divBdr>
        <w:top w:val="none" w:sz="0" w:space="0" w:color="auto"/>
        <w:left w:val="none" w:sz="0" w:space="0" w:color="auto"/>
        <w:bottom w:val="none" w:sz="0" w:space="0" w:color="auto"/>
        <w:right w:val="none" w:sz="0" w:space="0" w:color="auto"/>
      </w:divBdr>
      <w:divsChild>
        <w:div w:id="58330853">
          <w:marLeft w:val="0"/>
          <w:marRight w:val="0"/>
          <w:marTop w:val="0"/>
          <w:marBottom w:val="0"/>
          <w:divBdr>
            <w:top w:val="none" w:sz="0" w:space="0" w:color="auto"/>
            <w:left w:val="none" w:sz="0" w:space="0" w:color="auto"/>
            <w:bottom w:val="none" w:sz="0" w:space="0" w:color="auto"/>
            <w:right w:val="none" w:sz="0" w:space="0" w:color="auto"/>
          </w:divBdr>
          <w:divsChild>
            <w:div w:id="475223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5008623">
      <w:marLeft w:val="0"/>
      <w:marRight w:val="0"/>
      <w:marTop w:val="180"/>
      <w:marBottom w:val="180"/>
      <w:divBdr>
        <w:top w:val="none" w:sz="0" w:space="0" w:color="auto"/>
        <w:left w:val="none" w:sz="0" w:space="0" w:color="auto"/>
        <w:bottom w:val="none" w:sz="0" w:space="0" w:color="auto"/>
        <w:right w:val="none" w:sz="0" w:space="0" w:color="auto"/>
      </w:divBdr>
    </w:div>
    <w:div w:id="1825972220">
      <w:marLeft w:val="0"/>
      <w:marRight w:val="0"/>
      <w:marTop w:val="60"/>
      <w:marBottom w:val="60"/>
      <w:divBdr>
        <w:top w:val="none" w:sz="0" w:space="0" w:color="auto"/>
        <w:left w:val="none" w:sz="0" w:space="0" w:color="auto"/>
        <w:bottom w:val="none" w:sz="0" w:space="0" w:color="auto"/>
        <w:right w:val="none" w:sz="0" w:space="0" w:color="auto"/>
      </w:divBdr>
    </w:div>
    <w:div w:id="1825975576">
      <w:marLeft w:val="0"/>
      <w:marRight w:val="0"/>
      <w:marTop w:val="0"/>
      <w:marBottom w:val="0"/>
      <w:divBdr>
        <w:top w:val="none" w:sz="0" w:space="0" w:color="auto"/>
        <w:left w:val="none" w:sz="0" w:space="0" w:color="auto"/>
        <w:bottom w:val="none" w:sz="0" w:space="0" w:color="auto"/>
        <w:right w:val="none" w:sz="0" w:space="0" w:color="auto"/>
      </w:divBdr>
      <w:divsChild>
        <w:div w:id="619802518">
          <w:marLeft w:val="0"/>
          <w:marRight w:val="0"/>
          <w:marTop w:val="0"/>
          <w:marBottom w:val="0"/>
          <w:divBdr>
            <w:top w:val="none" w:sz="0" w:space="0" w:color="auto"/>
            <w:left w:val="none" w:sz="0" w:space="0" w:color="auto"/>
            <w:bottom w:val="none" w:sz="0" w:space="0" w:color="auto"/>
            <w:right w:val="none" w:sz="0" w:space="0" w:color="auto"/>
          </w:divBdr>
          <w:divsChild>
            <w:div w:id="4608023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6042644">
      <w:marLeft w:val="0"/>
      <w:marRight w:val="0"/>
      <w:marTop w:val="180"/>
      <w:marBottom w:val="60"/>
      <w:divBdr>
        <w:top w:val="none" w:sz="0" w:space="0" w:color="auto"/>
        <w:left w:val="none" w:sz="0" w:space="0" w:color="auto"/>
        <w:bottom w:val="none" w:sz="0" w:space="0" w:color="auto"/>
        <w:right w:val="none" w:sz="0" w:space="0" w:color="auto"/>
      </w:divBdr>
    </w:div>
    <w:div w:id="1827013671">
      <w:marLeft w:val="0"/>
      <w:marRight w:val="0"/>
      <w:marTop w:val="180"/>
      <w:marBottom w:val="180"/>
      <w:divBdr>
        <w:top w:val="none" w:sz="0" w:space="0" w:color="auto"/>
        <w:left w:val="none" w:sz="0" w:space="0" w:color="auto"/>
        <w:bottom w:val="none" w:sz="0" w:space="0" w:color="auto"/>
        <w:right w:val="none" w:sz="0" w:space="0" w:color="auto"/>
      </w:divBdr>
    </w:div>
    <w:div w:id="1827210836">
      <w:marLeft w:val="0"/>
      <w:marRight w:val="0"/>
      <w:marTop w:val="180"/>
      <w:marBottom w:val="180"/>
      <w:divBdr>
        <w:top w:val="none" w:sz="0" w:space="0" w:color="auto"/>
        <w:left w:val="none" w:sz="0" w:space="0" w:color="auto"/>
        <w:bottom w:val="none" w:sz="0" w:space="0" w:color="auto"/>
        <w:right w:val="none" w:sz="0" w:space="0" w:color="auto"/>
      </w:divBdr>
    </w:div>
    <w:div w:id="1827896811">
      <w:marLeft w:val="0"/>
      <w:marRight w:val="0"/>
      <w:marTop w:val="180"/>
      <w:marBottom w:val="180"/>
      <w:divBdr>
        <w:top w:val="none" w:sz="0" w:space="0" w:color="auto"/>
        <w:left w:val="none" w:sz="0" w:space="0" w:color="auto"/>
        <w:bottom w:val="none" w:sz="0" w:space="0" w:color="auto"/>
        <w:right w:val="none" w:sz="0" w:space="0" w:color="auto"/>
      </w:divBdr>
    </w:div>
    <w:div w:id="1829980740">
      <w:marLeft w:val="0"/>
      <w:marRight w:val="0"/>
      <w:marTop w:val="0"/>
      <w:marBottom w:val="0"/>
      <w:divBdr>
        <w:top w:val="none" w:sz="0" w:space="0" w:color="auto"/>
        <w:left w:val="none" w:sz="0" w:space="0" w:color="auto"/>
        <w:bottom w:val="none" w:sz="0" w:space="0" w:color="auto"/>
        <w:right w:val="none" w:sz="0" w:space="0" w:color="auto"/>
      </w:divBdr>
    </w:div>
    <w:div w:id="1830097287">
      <w:marLeft w:val="0"/>
      <w:marRight w:val="0"/>
      <w:marTop w:val="180"/>
      <w:marBottom w:val="180"/>
      <w:divBdr>
        <w:top w:val="none" w:sz="0" w:space="0" w:color="auto"/>
        <w:left w:val="none" w:sz="0" w:space="0" w:color="auto"/>
        <w:bottom w:val="none" w:sz="0" w:space="0" w:color="auto"/>
        <w:right w:val="none" w:sz="0" w:space="0" w:color="auto"/>
      </w:divBdr>
    </w:div>
    <w:div w:id="1831560643">
      <w:marLeft w:val="0"/>
      <w:marRight w:val="0"/>
      <w:marTop w:val="180"/>
      <w:marBottom w:val="180"/>
      <w:divBdr>
        <w:top w:val="none" w:sz="0" w:space="0" w:color="auto"/>
        <w:left w:val="none" w:sz="0" w:space="0" w:color="auto"/>
        <w:bottom w:val="none" w:sz="0" w:space="0" w:color="auto"/>
        <w:right w:val="none" w:sz="0" w:space="0" w:color="auto"/>
      </w:divBdr>
    </w:div>
    <w:div w:id="1832714779">
      <w:marLeft w:val="0"/>
      <w:marRight w:val="0"/>
      <w:marTop w:val="60"/>
      <w:marBottom w:val="60"/>
      <w:divBdr>
        <w:top w:val="none" w:sz="0" w:space="0" w:color="auto"/>
        <w:left w:val="none" w:sz="0" w:space="0" w:color="auto"/>
        <w:bottom w:val="none" w:sz="0" w:space="0" w:color="auto"/>
        <w:right w:val="none" w:sz="0" w:space="0" w:color="auto"/>
      </w:divBdr>
    </w:div>
    <w:div w:id="1832789733">
      <w:marLeft w:val="0"/>
      <w:marRight w:val="0"/>
      <w:marTop w:val="180"/>
      <w:marBottom w:val="180"/>
      <w:divBdr>
        <w:top w:val="none" w:sz="0" w:space="0" w:color="auto"/>
        <w:left w:val="none" w:sz="0" w:space="0" w:color="auto"/>
        <w:bottom w:val="none" w:sz="0" w:space="0" w:color="auto"/>
        <w:right w:val="none" w:sz="0" w:space="0" w:color="auto"/>
      </w:divBdr>
    </w:div>
    <w:div w:id="1833913752">
      <w:marLeft w:val="0"/>
      <w:marRight w:val="0"/>
      <w:marTop w:val="180"/>
      <w:marBottom w:val="180"/>
      <w:divBdr>
        <w:top w:val="none" w:sz="0" w:space="0" w:color="auto"/>
        <w:left w:val="none" w:sz="0" w:space="0" w:color="auto"/>
        <w:bottom w:val="none" w:sz="0" w:space="0" w:color="auto"/>
        <w:right w:val="none" w:sz="0" w:space="0" w:color="auto"/>
      </w:divBdr>
    </w:div>
    <w:div w:id="1834101739">
      <w:marLeft w:val="0"/>
      <w:marRight w:val="0"/>
      <w:marTop w:val="180"/>
      <w:marBottom w:val="180"/>
      <w:divBdr>
        <w:top w:val="none" w:sz="0" w:space="0" w:color="auto"/>
        <w:left w:val="none" w:sz="0" w:space="0" w:color="auto"/>
        <w:bottom w:val="none" w:sz="0" w:space="0" w:color="auto"/>
        <w:right w:val="none" w:sz="0" w:space="0" w:color="auto"/>
      </w:divBdr>
    </w:div>
    <w:div w:id="1835098093">
      <w:marLeft w:val="0"/>
      <w:marRight w:val="0"/>
      <w:marTop w:val="180"/>
      <w:marBottom w:val="180"/>
      <w:divBdr>
        <w:top w:val="none" w:sz="0" w:space="0" w:color="auto"/>
        <w:left w:val="none" w:sz="0" w:space="0" w:color="auto"/>
        <w:bottom w:val="none" w:sz="0" w:space="0" w:color="auto"/>
        <w:right w:val="none" w:sz="0" w:space="0" w:color="auto"/>
      </w:divBdr>
    </w:div>
    <w:div w:id="1835337327">
      <w:marLeft w:val="0"/>
      <w:marRight w:val="0"/>
      <w:marTop w:val="180"/>
      <w:marBottom w:val="180"/>
      <w:divBdr>
        <w:top w:val="none" w:sz="0" w:space="0" w:color="auto"/>
        <w:left w:val="none" w:sz="0" w:space="0" w:color="auto"/>
        <w:bottom w:val="none" w:sz="0" w:space="0" w:color="auto"/>
        <w:right w:val="none" w:sz="0" w:space="0" w:color="auto"/>
      </w:divBdr>
    </w:div>
    <w:div w:id="1836677298">
      <w:marLeft w:val="0"/>
      <w:marRight w:val="0"/>
      <w:marTop w:val="0"/>
      <w:marBottom w:val="0"/>
      <w:divBdr>
        <w:top w:val="none" w:sz="0" w:space="0" w:color="auto"/>
        <w:left w:val="none" w:sz="0" w:space="0" w:color="auto"/>
        <w:bottom w:val="none" w:sz="0" w:space="0" w:color="auto"/>
        <w:right w:val="none" w:sz="0" w:space="0" w:color="auto"/>
      </w:divBdr>
      <w:divsChild>
        <w:div w:id="1374958191">
          <w:marLeft w:val="0"/>
          <w:marRight w:val="0"/>
          <w:marTop w:val="0"/>
          <w:marBottom w:val="0"/>
          <w:divBdr>
            <w:top w:val="none" w:sz="0" w:space="0" w:color="auto"/>
            <w:left w:val="none" w:sz="0" w:space="0" w:color="auto"/>
            <w:bottom w:val="none" w:sz="0" w:space="0" w:color="auto"/>
            <w:right w:val="none" w:sz="0" w:space="0" w:color="auto"/>
          </w:divBdr>
          <w:divsChild>
            <w:div w:id="18731521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1196932">
      <w:marLeft w:val="0"/>
      <w:marRight w:val="0"/>
      <w:marTop w:val="180"/>
      <w:marBottom w:val="180"/>
      <w:divBdr>
        <w:top w:val="none" w:sz="0" w:space="0" w:color="auto"/>
        <w:left w:val="none" w:sz="0" w:space="0" w:color="auto"/>
        <w:bottom w:val="none" w:sz="0" w:space="0" w:color="auto"/>
        <w:right w:val="none" w:sz="0" w:space="0" w:color="auto"/>
      </w:divBdr>
    </w:div>
    <w:div w:id="1841895496">
      <w:marLeft w:val="0"/>
      <w:marRight w:val="0"/>
      <w:marTop w:val="180"/>
      <w:marBottom w:val="180"/>
      <w:divBdr>
        <w:top w:val="none" w:sz="0" w:space="0" w:color="auto"/>
        <w:left w:val="none" w:sz="0" w:space="0" w:color="auto"/>
        <w:bottom w:val="none" w:sz="0" w:space="0" w:color="auto"/>
        <w:right w:val="none" w:sz="0" w:space="0" w:color="auto"/>
      </w:divBdr>
    </w:div>
    <w:div w:id="1842045146">
      <w:marLeft w:val="0"/>
      <w:marRight w:val="0"/>
      <w:marTop w:val="180"/>
      <w:marBottom w:val="180"/>
      <w:divBdr>
        <w:top w:val="none" w:sz="0" w:space="0" w:color="auto"/>
        <w:left w:val="none" w:sz="0" w:space="0" w:color="auto"/>
        <w:bottom w:val="none" w:sz="0" w:space="0" w:color="auto"/>
        <w:right w:val="none" w:sz="0" w:space="0" w:color="auto"/>
      </w:divBdr>
    </w:div>
    <w:div w:id="1842155250">
      <w:marLeft w:val="0"/>
      <w:marRight w:val="0"/>
      <w:marTop w:val="180"/>
      <w:marBottom w:val="180"/>
      <w:divBdr>
        <w:top w:val="none" w:sz="0" w:space="0" w:color="auto"/>
        <w:left w:val="none" w:sz="0" w:space="0" w:color="auto"/>
        <w:bottom w:val="none" w:sz="0" w:space="0" w:color="auto"/>
        <w:right w:val="none" w:sz="0" w:space="0" w:color="auto"/>
      </w:divBdr>
    </w:div>
    <w:div w:id="1843616825">
      <w:marLeft w:val="0"/>
      <w:marRight w:val="0"/>
      <w:marTop w:val="180"/>
      <w:marBottom w:val="180"/>
      <w:divBdr>
        <w:top w:val="none" w:sz="0" w:space="0" w:color="auto"/>
        <w:left w:val="none" w:sz="0" w:space="0" w:color="auto"/>
        <w:bottom w:val="none" w:sz="0" w:space="0" w:color="auto"/>
        <w:right w:val="none" w:sz="0" w:space="0" w:color="auto"/>
      </w:divBdr>
    </w:div>
    <w:div w:id="1847550297">
      <w:marLeft w:val="0"/>
      <w:marRight w:val="0"/>
      <w:marTop w:val="60"/>
      <w:marBottom w:val="60"/>
      <w:divBdr>
        <w:top w:val="none" w:sz="0" w:space="0" w:color="auto"/>
        <w:left w:val="none" w:sz="0" w:space="0" w:color="auto"/>
        <w:bottom w:val="none" w:sz="0" w:space="0" w:color="auto"/>
        <w:right w:val="none" w:sz="0" w:space="0" w:color="auto"/>
      </w:divBdr>
    </w:div>
    <w:div w:id="1848859889">
      <w:marLeft w:val="0"/>
      <w:marRight w:val="0"/>
      <w:marTop w:val="180"/>
      <w:marBottom w:val="180"/>
      <w:divBdr>
        <w:top w:val="none" w:sz="0" w:space="0" w:color="auto"/>
        <w:left w:val="none" w:sz="0" w:space="0" w:color="auto"/>
        <w:bottom w:val="none" w:sz="0" w:space="0" w:color="auto"/>
        <w:right w:val="none" w:sz="0" w:space="0" w:color="auto"/>
      </w:divBdr>
    </w:div>
    <w:div w:id="1851211839">
      <w:marLeft w:val="0"/>
      <w:marRight w:val="0"/>
      <w:marTop w:val="0"/>
      <w:marBottom w:val="0"/>
      <w:divBdr>
        <w:top w:val="none" w:sz="0" w:space="0" w:color="auto"/>
        <w:left w:val="none" w:sz="0" w:space="0" w:color="auto"/>
        <w:bottom w:val="none" w:sz="0" w:space="0" w:color="auto"/>
        <w:right w:val="none" w:sz="0" w:space="0" w:color="auto"/>
      </w:divBdr>
    </w:div>
    <w:div w:id="1851720856">
      <w:marLeft w:val="0"/>
      <w:marRight w:val="0"/>
      <w:marTop w:val="180"/>
      <w:marBottom w:val="180"/>
      <w:divBdr>
        <w:top w:val="none" w:sz="0" w:space="0" w:color="auto"/>
        <w:left w:val="none" w:sz="0" w:space="0" w:color="auto"/>
        <w:bottom w:val="none" w:sz="0" w:space="0" w:color="auto"/>
        <w:right w:val="none" w:sz="0" w:space="0" w:color="auto"/>
      </w:divBdr>
    </w:div>
    <w:div w:id="1852604103">
      <w:marLeft w:val="0"/>
      <w:marRight w:val="0"/>
      <w:marTop w:val="0"/>
      <w:marBottom w:val="0"/>
      <w:divBdr>
        <w:top w:val="none" w:sz="0" w:space="0" w:color="auto"/>
        <w:left w:val="none" w:sz="0" w:space="0" w:color="auto"/>
        <w:bottom w:val="none" w:sz="0" w:space="0" w:color="auto"/>
        <w:right w:val="none" w:sz="0" w:space="0" w:color="auto"/>
      </w:divBdr>
    </w:div>
    <w:div w:id="1853296641">
      <w:marLeft w:val="0"/>
      <w:marRight w:val="0"/>
      <w:marTop w:val="180"/>
      <w:marBottom w:val="180"/>
      <w:divBdr>
        <w:top w:val="none" w:sz="0" w:space="0" w:color="auto"/>
        <w:left w:val="none" w:sz="0" w:space="0" w:color="auto"/>
        <w:bottom w:val="none" w:sz="0" w:space="0" w:color="auto"/>
        <w:right w:val="none" w:sz="0" w:space="0" w:color="auto"/>
      </w:divBdr>
    </w:div>
    <w:div w:id="1853642300">
      <w:marLeft w:val="0"/>
      <w:marRight w:val="0"/>
      <w:marTop w:val="180"/>
      <w:marBottom w:val="180"/>
      <w:divBdr>
        <w:top w:val="none" w:sz="0" w:space="0" w:color="auto"/>
        <w:left w:val="none" w:sz="0" w:space="0" w:color="auto"/>
        <w:bottom w:val="none" w:sz="0" w:space="0" w:color="auto"/>
        <w:right w:val="none" w:sz="0" w:space="0" w:color="auto"/>
      </w:divBdr>
    </w:div>
    <w:div w:id="1853838092">
      <w:marLeft w:val="0"/>
      <w:marRight w:val="0"/>
      <w:marTop w:val="0"/>
      <w:marBottom w:val="0"/>
      <w:divBdr>
        <w:top w:val="none" w:sz="0" w:space="0" w:color="auto"/>
        <w:left w:val="none" w:sz="0" w:space="0" w:color="auto"/>
        <w:bottom w:val="none" w:sz="0" w:space="0" w:color="auto"/>
        <w:right w:val="none" w:sz="0" w:space="0" w:color="auto"/>
      </w:divBdr>
      <w:divsChild>
        <w:div w:id="82990702">
          <w:marLeft w:val="0"/>
          <w:marRight w:val="0"/>
          <w:marTop w:val="0"/>
          <w:marBottom w:val="0"/>
          <w:divBdr>
            <w:top w:val="none" w:sz="0" w:space="0" w:color="auto"/>
            <w:left w:val="none" w:sz="0" w:space="0" w:color="auto"/>
            <w:bottom w:val="none" w:sz="0" w:space="0" w:color="auto"/>
            <w:right w:val="none" w:sz="0" w:space="0" w:color="auto"/>
          </w:divBdr>
          <w:divsChild>
            <w:div w:id="15302149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3470238">
      <w:marLeft w:val="0"/>
      <w:marRight w:val="0"/>
      <w:marTop w:val="180"/>
      <w:marBottom w:val="180"/>
      <w:divBdr>
        <w:top w:val="none" w:sz="0" w:space="0" w:color="auto"/>
        <w:left w:val="none" w:sz="0" w:space="0" w:color="auto"/>
        <w:bottom w:val="none" w:sz="0" w:space="0" w:color="auto"/>
        <w:right w:val="none" w:sz="0" w:space="0" w:color="auto"/>
      </w:divBdr>
    </w:div>
    <w:div w:id="1863857451">
      <w:marLeft w:val="0"/>
      <w:marRight w:val="0"/>
      <w:marTop w:val="180"/>
      <w:marBottom w:val="180"/>
      <w:divBdr>
        <w:top w:val="none" w:sz="0" w:space="0" w:color="auto"/>
        <w:left w:val="none" w:sz="0" w:space="0" w:color="auto"/>
        <w:bottom w:val="none" w:sz="0" w:space="0" w:color="auto"/>
        <w:right w:val="none" w:sz="0" w:space="0" w:color="auto"/>
      </w:divBdr>
    </w:div>
    <w:div w:id="1864131263">
      <w:marLeft w:val="0"/>
      <w:marRight w:val="0"/>
      <w:marTop w:val="0"/>
      <w:marBottom w:val="0"/>
      <w:divBdr>
        <w:top w:val="none" w:sz="0" w:space="0" w:color="auto"/>
        <w:left w:val="none" w:sz="0" w:space="0" w:color="auto"/>
        <w:bottom w:val="none" w:sz="0" w:space="0" w:color="auto"/>
        <w:right w:val="none" w:sz="0" w:space="0" w:color="auto"/>
      </w:divBdr>
      <w:divsChild>
        <w:div w:id="1263755684">
          <w:marLeft w:val="0"/>
          <w:marRight w:val="0"/>
          <w:marTop w:val="0"/>
          <w:marBottom w:val="0"/>
          <w:divBdr>
            <w:top w:val="none" w:sz="0" w:space="0" w:color="auto"/>
            <w:left w:val="none" w:sz="0" w:space="0" w:color="auto"/>
            <w:bottom w:val="none" w:sz="0" w:space="0" w:color="auto"/>
            <w:right w:val="none" w:sz="0" w:space="0" w:color="auto"/>
          </w:divBdr>
          <w:divsChild>
            <w:div w:id="8875743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4707490">
      <w:marLeft w:val="0"/>
      <w:marRight w:val="0"/>
      <w:marTop w:val="0"/>
      <w:marBottom w:val="180"/>
      <w:divBdr>
        <w:top w:val="none" w:sz="0" w:space="0" w:color="auto"/>
        <w:left w:val="none" w:sz="0" w:space="0" w:color="auto"/>
        <w:bottom w:val="none" w:sz="0" w:space="0" w:color="auto"/>
        <w:right w:val="none" w:sz="0" w:space="0" w:color="auto"/>
      </w:divBdr>
    </w:div>
    <w:div w:id="1865364789">
      <w:marLeft w:val="0"/>
      <w:marRight w:val="0"/>
      <w:marTop w:val="180"/>
      <w:marBottom w:val="180"/>
      <w:divBdr>
        <w:top w:val="none" w:sz="0" w:space="0" w:color="auto"/>
        <w:left w:val="none" w:sz="0" w:space="0" w:color="auto"/>
        <w:bottom w:val="none" w:sz="0" w:space="0" w:color="auto"/>
        <w:right w:val="none" w:sz="0" w:space="0" w:color="auto"/>
      </w:divBdr>
    </w:div>
    <w:div w:id="1865749255">
      <w:marLeft w:val="0"/>
      <w:marRight w:val="0"/>
      <w:marTop w:val="180"/>
      <w:marBottom w:val="180"/>
      <w:divBdr>
        <w:top w:val="none" w:sz="0" w:space="0" w:color="auto"/>
        <w:left w:val="none" w:sz="0" w:space="0" w:color="auto"/>
        <w:bottom w:val="none" w:sz="0" w:space="0" w:color="auto"/>
        <w:right w:val="none" w:sz="0" w:space="0" w:color="auto"/>
      </w:divBdr>
    </w:div>
    <w:div w:id="1866018661">
      <w:marLeft w:val="0"/>
      <w:marRight w:val="0"/>
      <w:marTop w:val="180"/>
      <w:marBottom w:val="180"/>
      <w:divBdr>
        <w:top w:val="none" w:sz="0" w:space="0" w:color="auto"/>
        <w:left w:val="none" w:sz="0" w:space="0" w:color="auto"/>
        <w:bottom w:val="none" w:sz="0" w:space="0" w:color="auto"/>
        <w:right w:val="none" w:sz="0" w:space="0" w:color="auto"/>
      </w:divBdr>
    </w:div>
    <w:div w:id="1868640658">
      <w:marLeft w:val="0"/>
      <w:marRight w:val="0"/>
      <w:marTop w:val="180"/>
      <w:marBottom w:val="180"/>
      <w:divBdr>
        <w:top w:val="none" w:sz="0" w:space="0" w:color="auto"/>
        <w:left w:val="none" w:sz="0" w:space="0" w:color="auto"/>
        <w:bottom w:val="none" w:sz="0" w:space="0" w:color="auto"/>
        <w:right w:val="none" w:sz="0" w:space="0" w:color="auto"/>
      </w:divBdr>
    </w:div>
    <w:div w:id="1869488274">
      <w:marLeft w:val="0"/>
      <w:marRight w:val="0"/>
      <w:marTop w:val="180"/>
      <w:marBottom w:val="180"/>
      <w:divBdr>
        <w:top w:val="none" w:sz="0" w:space="0" w:color="auto"/>
        <w:left w:val="none" w:sz="0" w:space="0" w:color="auto"/>
        <w:bottom w:val="none" w:sz="0" w:space="0" w:color="auto"/>
        <w:right w:val="none" w:sz="0" w:space="0" w:color="auto"/>
      </w:divBdr>
    </w:div>
    <w:div w:id="1877428940">
      <w:marLeft w:val="0"/>
      <w:marRight w:val="0"/>
      <w:marTop w:val="0"/>
      <w:marBottom w:val="0"/>
      <w:divBdr>
        <w:top w:val="none" w:sz="0" w:space="0" w:color="auto"/>
        <w:left w:val="none" w:sz="0" w:space="0" w:color="auto"/>
        <w:bottom w:val="none" w:sz="0" w:space="0" w:color="auto"/>
        <w:right w:val="none" w:sz="0" w:space="0" w:color="auto"/>
      </w:divBdr>
      <w:divsChild>
        <w:div w:id="608200037">
          <w:marLeft w:val="0"/>
          <w:marRight w:val="0"/>
          <w:marTop w:val="0"/>
          <w:marBottom w:val="0"/>
          <w:divBdr>
            <w:top w:val="none" w:sz="0" w:space="0" w:color="auto"/>
            <w:left w:val="none" w:sz="0" w:space="0" w:color="auto"/>
            <w:bottom w:val="none" w:sz="0" w:space="0" w:color="auto"/>
            <w:right w:val="none" w:sz="0" w:space="0" w:color="auto"/>
          </w:divBdr>
          <w:divsChild>
            <w:div w:id="9993150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9008362">
      <w:marLeft w:val="0"/>
      <w:marRight w:val="0"/>
      <w:marTop w:val="0"/>
      <w:marBottom w:val="0"/>
      <w:divBdr>
        <w:top w:val="none" w:sz="0" w:space="0" w:color="auto"/>
        <w:left w:val="none" w:sz="0" w:space="0" w:color="auto"/>
        <w:bottom w:val="none" w:sz="0" w:space="0" w:color="auto"/>
        <w:right w:val="none" w:sz="0" w:space="0" w:color="auto"/>
      </w:divBdr>
    </w:div>
    <w:div w:id="1879127588">
      <w:marLeft w:val="0"/>
      <w:marRight w:val="0"/>
      <w:marTop w:val="180"/>
      <w:marBottom w:val="180"/>
      <w:divBdr>
        <w:top w:val="none" w:sz="0" w:space="0" w:color="auto"/>
        <w:left w:val="none" w:sz="0" w:space="0" w:color="auto"/>
        <w:bottom w:val="none" w:sz="0" w:space="0" w:color="auto"/>
        <w:right w:val="none" w:sz="0" w:space="0" w:color="auto"/>
      </w:divBdr>
    </w:div>
    <w:div w:id="1880119707">
      <w:marLeft w:val="0"/>
      <w:marRight w:val="0"/>
      <w:marTop w:val="240"/>
      <w:marBottom w:val="180"/>
      <w:divBdr>
        <w:top w:val="none" w:sz="0" w:space="0" w:color="auto"/>
        <w:left w:val="none" w:sz="0" w:space="0" w:color="auto"/>
        <w:bottom w:val="none" w:sz="0" w:space="0" w:color="auto"/>
        <w:right w:val="none" w:sz="0" w:space="0" w:color="auto"/>
      </w:divBdr>
    </w:div>
    <w:div w:id="1880629877">
      <w:marLeft w:val="0"/>
      <w:marRight w:val="0"/>
      <w:marTop w:val="180"/>
      <w:marBottom w:val="180"/>
      <w:divBdr>
        <w:top w:val="none" w:sz="0" w:space="0" w:color="auto"/>
        <w:left w:val="none" w:sz="0" w:space="0" w:color="auto"/>
        <w:bottom w:val="none" w:sz="0" w:space="0" w:color="auto"/>
        <w:right w:val="none" w:sz="0" w:space="0" w:color="auto"/>
      </w:divBdr>
    </w:div>
    <w:div w:id="1880970971">
      <w:marLeft w:val="0"/>
      <w:marRight w:val="0"/>
      <w:marTop w:val="180"/>
      <w:marBottom w:val="180"/>
      <w:divBdr>
        <w:top w:val="none" w:sz="0" w:space="0" w:color="auto"/>
        <w:left w:val="none" w:sz="0" w:space="0" w:color="auto"/>
        <w:bottom w:val="none" w:sz="0" w:space="0" w:color="auto"/>
        <w:right w:val="none" w:sz="0" w:space="0" w:color="auto"/>
      </w:divBdr>
    </w:div>
    <w:div w:id="1881046567">
      <w:marLeft w:val="0"/>
      <w:marRight w:val="0"/>
      <w:marTop w:val="180"/>
      <w:marBottom w:val="180"/>
      <w:divBdr>
        <w:top w:val="none" w:sz="0" w:space="0" w:color="auto"/>
        <w:left w:val="none" w:sz="0" w:space="0" w:color="auto"/>
        <w:bottom w:val="none" w:sz="0" w:space="0" w:color="auto"/>
        <w:right w:val="none" w:sz="0" w:space="0" w:color="auto"/>
      </w:divBdr>
    </w:div>
    <w:div w:id="1881168343">
      <w:marLeft w:val="0"/>
      <w:marRight w:val="0"/>
      <w:marTop w:val="180"/>
      <w:marBottom w:val="180"/>
      <w:divBdr>
        <w:top w:val="none" w:sz="0" w:space="0" w:color="auto"/>
        <w:left w:val="none" w:sz="0" w:space="0" w:color="auto"/>
        <w:bottom w:val="none" w:sz="0" w:space="0" w:color="auto"/>
        <w:right w:val="none" w:sz="0" w:space="0" w:color="auto"/>
      </w:divBdr>
    </w:div>
    <w:div w:id="1882087548">
      <w:marLeft w:val="0"/>
      <w:marRight w:val="0"/>
      <w:marTop w:val="180"/>
      <w:marBottom w:val="180"/>
      <w:divBdr>
        <w:top w:val="none" w:sz="0" w:space="0" w:color="auto"/>
        <w:left w:val="none" w:sz="0" w:space="0" w:color="auto"/>
        <w:bottom w:val="none" w:sz="0" w:space="0" w:color="auto"/>
        <w:right w:val="none" w:sz="0" w:space="0" w:color="auto"/>
      </w:divBdr>
    </w:div>
    <w:div w:id="1882280855">
      <w:marLeft w:val="0"/>
      <w:marRight w:val="0"/>
      <w:marTop w:val="180"/>
      <w:marBottom w:val="180"/>
      <w:divBdr>
        <w:top w:val="none" w:sz="0" w:space="0" w:color="auto"/>
        <w:left w:val="none" w:sz="0" w:space="0" w:color="auto"/>
        <w:bottom w:val="none" w:sz="0" w:space="0" w:color="auto"/>
        <w:right w:val="none" w:sz="0" w:space="0" w:color="auto"/>
      </w:divBdr>
    </w:div>
    <w:div w:id="1884098208">
      <w:marLeft w:val="0"/>
      <w:marRight w:val="0"/>
      <w:marTop w:val="60"/>
      <w:marBottom w:val="60"/>
      <w:divBdr>
        <w:top w:val="none" w:sz="0" w:space="0" w:color="auto"/>
        <w:left w:val="none" w:sz="0" w:space="0" w:color="auto"/>
        <w:bottom w:val="none" w:sz="0" w:space="0" w:color="auto"/>
        <w:right w:val="none" w:sz="0" w:space="0" w:color="auto"/>
      </w:divBdr>
    </w:div>
    <w:div w:id="1885865140">
      <w:marLeft w:val="0"/>
      <w:marRight w:val="0"/>
      <w:marTop w:val="180"/>
      <w:marBottom w:val="180"/>
      <w:divBdr>
        <w:top w:val="none" w:sz="0" w:space="0" w:color="auto"/>
        <w:left w:val="none" w:sz="0" w:space="0" w:color="auto"/>
        <w:bottom w:val="none" w:sz="0" w:space="0" w:color="auto"/>
        <w:right w:val="none" w:sz="0" w:space="0" w:color="auto"/>
      </w:divBdr>
    </w:div>
    <w:div w:id="1886529403">
      <w:marLeft w:val="0"/>
      <w:marRight w:val="0"/>
      <w:marTop w:val="180"/>
      <w:marBottom w:val="180"/>
      <w:divBdr>
        <w:top w:val="none" w:sz="0" w:space="0" w:color="auto"/>
        <w:left w:val="none" w:sz="0" w:space="0" w:color="auto"/>
        <w:bottom w:val="none" w:sz="0" w:space="0" w:color="auto"/>
        <w:right w:val="none" w:sz="0" w:space="0" w:color="auto"/>
      </w:divBdr>
    </w:div>
    <w:div w:id="1886716941">
      <w:marLeft w:val="0"/>
      <w:marRight w:val="0"/>
      <w:marTop w:val="0"/>
      <w:marBottom w:val="0"/>
      <w:divBdr>
        <w:top w:val="none" w:sz="0" w:space="0" w:color="auto"/>
        <w:left w:val="none" w:sz="0" w:space="0" w:color="auto"/>
        <w:bottom w:val="none" w:sz="0" w:space="0" w:color="auto"/>
        <w:right w:val="none" w:sz="0" w:space="0" w:color="auto"/>
      </w:divBdr>
      <w:divsChild>
        <w:div w:id="1041977553">
          <w:marLeft w:val="0"/>
          <w:marRight w:val="0"/>
          <w:marTop w:val="60"/>
          <w:marBottom w:val="60"/>
          <w:divBdr>
            <w:top w:val="none" w:sz="0" w:space="0" w:color="auto"/>
            <w:left w:val="none" w:sz="0" w:space="0" w:color="auto"/>
            <w:bottom w:val="none" w:sz="0" w:space="0" w:color="auto"/>
            <w:right w:val="none" w:sz="0" w:space="0" w:color="auto"/>
          </w:divBdr>
        </w:div>
      </w:divsChild>
    </w:div>
    <w:div w:id="1888181154">
      <w:marLeft w:val="0"/>
      <w:marRight w:val="0"/>
      <w:marTop w:val="60"/>
      <w:marBottom w:val="60"/>
      <w:divBdr>
        <w:top w:val="none" w:sz="0" w:space="0" w:color="auto"/>
        <w:left w:val="none" w:sz="0" w:space="0" w:color="auto"/>
        <w:bottom w:val="none" w:sz="0" w:space="0" w:color="auto"/>
        <w:right w:val="none" w:sz="0" w:space="0" w:color="auto"/>
      </w:divBdr>
    </w:div>
    <w:div w:id="1888297583">
      <w:marLeft w:val="0"/>
      <w:marRight w:val="0"/>
      <w:marTop w:val="180"/>
      <w:marBottom w:val="180"/>
      <w:divBdr>
        <w:top w:val="none" w:sz="0" w:space="0" w:color="auto"/>
        <w:left w:val="none" w:sz="0" w:space="0" w:color="auto"/>
        <w:bottom w:val="none" w:sz="0" w:space="0" w:color="auto"/>
        <w:right w:val="none" w:sz="0" w:space="0" w:color="auto"/>
      </w:divBdr>
    </w:div>
    <w:div w:id="1888561353">
      <w:marLeft w:val="0"/>
      <w:marRight w:val="0"/>
      <w:marTop w:val="180"/>
      <w:marBottom w:val="180"/>
      <w:divBdr>
        <w:top w:val="none" w:sz="0" w:space="0" w:color="auto"/>
        <w:left w:val="none" w:sz="0" w:space="0" w:color="auto"/>
        <w:bottom w:val="none" w:sz="0" w:space="0" w:color="auto"/>
        <w:right w:val="none" w:sz="0" w:space="0" w:color="auto"/>
      </w:divBdr>
    </w:div>
    <w:div w:id="1889760934">
      <w:marLeft w:val="0"/>
      <w:marRight w:val="0"/>
      <w:marTop w:val="180"/>
      <w:marBottom w:val="180"/>
      <w:divBdr>
        <w:top w:val="none" w:sz="0" w:space="0" w:color="auto"/>
        <w:left w:val="none" w:sz="0" w:space="0" w:color="auto"/>
        <w:bottom w:val="none" w:sz="0" w:space="0" w:color="auto"/>
        <w:right w:val="none" w:sz="0" w:space="0" w:color="auto"/>
      </w:divBdr>
    </w:div>
    <w:div w:id="1890413890">
      <w:marLeft w:val="0"/>
      <w:marRight w:val="0"/>
      <w:marTop w:val="0"/>
      <w:marBottom w:val="0"/>
      <w:divBdr>
        <w:top w:val="none" w:sz="0" w:space="0" w:color="auto"/>
        <w:left w:val="none" w:sz="0" w:space="0" w:color="auto"/>
        <w:bottom w:val="none" w:sz="0" w:space="0" w:color="auto"/>
        <w:right w:val="none" w:sz="0" w:space="0" w:color="auto"/>
      </w:divBdr>
      <w:divsChild>
        <w:div w:id="95178877">
          <w:marLeft w:val="0"/>
          <w:marRight w:val="0"/>
          <w:marTop w:val="0"/>
          <w:marBottom w:val="0"/>
          <w:divBdr>
            <w:top w:val="none" w:sz="0" w:space="0" w:color="auto"/>
            <w:left w:val="none" w:sz="0" w:space="0" w:color="auto"/>
            <w:bottom w:val="none" w:sz="0" w:space="0" w:color="auto"/>
            <w:right w:val="none" w:sz="0" w:space="0" w:color="auto"/>
          </w:divBdr>
          <w:divsChild>
            <w:div w:id="10534258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3542638">
      <w:marLeft w:val="0"/>
      <w:marRight w:val="0"/>
      <w:marTop w:val="0"/>
      <w:marBottom w:val="180"/>
      <w:divBdr>
        <w:top w:val="none" w:sz="0" w:space="0" w:color="auto"/>
        <w:left w:val="none" w:sz="0" w:space="0" w:color="auto"/>
        <w:bottom w:val="none" w:sz="0" w:space="0" w:color="auto"/>
        <w:right w:val="none" w:sz="0" w:space="0" w:color="auto"/>
      </w:divBdr>
    </w:div>
    <w:div w:id="1893804385">
      <w:marLeft w:val="0"/>
      <w:marRight w:val="0"/>
      <w:marTop w:val="0"/>
      <w:marBottom w:val="0"/>
      <w:divBdr>
        <w:top w:val="none" w:sz="0" w:space="0" w:color="auto"/>
        <w:left w:val="none" w:sz="0" w:space="0" w:color="auto"/>
        <w:bottom w:val="none" w:sz="0" w:space="0" w:color="auto"/>
        <w:right w:val="none" w:sz="0" w:space="0" w:color="auto"/>
      </w:divBdr>
      <w:divsChild>
        <w:div w:id="2084791780">
          <w:marLeft w:val="0"/>
          <w:marRight w:val="0"/>
          <w:marTop w:val="180"/>
          <w:marBottom w:val="180"/>
          <w:divBdr>
            <w:top w:val="none" w:sz="0" w:space="0" w:color="auto"/>
            <w:left w:val="none" w:sz="0" w:space="0" w:color="auto"/>
            <w:bottom w:val="none" w:sz="0" w:space="0" w:color="auto"/>
            <w:right w:val="none" w:sz="0" w:space="0" w:color="auto"/>
          </w:divBdr>
        </w:div>
      </w:divsChild>
    </w:div>
    <w:div w:id="1894122593">
      <w:marLeft w:val="0"/>
      <w:marRight w:val="0"/>
      <w:marTop w:val="180"/>
      <w:marBottom w:val="180"/>
      <w:divBdr>
        <w:top w:val="none" w:sz="0" w:space="0" w:color="auto"/>
        <w:left w:val="none" w:sz="0" w:space="0" w:color="auto"/>
        <w:bottom w:val="none" w:sz="0" w:space="0" w:color="auto"/>
        <w:right w:val="none" w:sz="0" w:space="0" w:color="auto"/>
      </w:divBdr>
    </w:div>
    <w:div w:id="1894268472">
      <w:marLeft w:val="0"/>
      <w:marRight w:val="0"/>
      <w:marTop w:val="0"/>
      <w:marBottom w:val="0"/>
      <w:divBdr>
        <w:top w:val="none" w:sz="0" w:space="0" w:color="auto"/>
        <w:left w:val="none" w:sz="0" w:space="0" w:color="auto"/>
        <w:bottom w:val="none" w:sz="0" w:space="0" w:color="auto"/>
        <w:right w:val="none" w:sz="0" w:space="0" w:color="auto"/>
      </w:divBdr>
      <w:divsChild>
        <w:div w:id="777916740">
          <w:marLeft w:val="0"/>
          <w:marRight w:val="0"/>
          <w:marTop w:val="0"/>
          <w:marBottom w:val="0"/>
          <w:divBdr>
            <w:top w:val="none" w:sz="0" w:space="0" w:color="auto"/>
            <w:left w:val="none" w:sz="0" w:space="0" w:color="auto"/>
            <w:bottom w:val="none" w:sz="0" w:space="0" w:color="auto"/>
            <w:right w:val="none" w:sz="0" w:space="0" w:color="auto"/>
          </w:divBdr>
          <w:divsChild>
            <w:div w:id="115136895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5047615">
      <w:marLeft w:val="0"/>
      <w:marRight w:val="0"/>
      <w:marTop w:val="60"/>
      <w:marBottom w:val="60"/>
      <w:divBdr>
        <w:top w:val="none" w:sz="0" w:space="0" w:color="auto"/>
        <w:left w:val="none" w:sz="0" w:space="0" w:color="auto"/>
        <w:bottom w:val="none" w:sz="0" w:space="0" w:color="auto"/>
        <w:right w:val="none" w:sz="0" w:space="0" w:color="auto"/>
      </w:divBdr>
    </w:div>
    <w:div w:id="1896308104">
      <w:marLeft w:val="0"/>
      <w:marRight w:val="0"/>
      <w:marTop w:val="0"/>
      <w:marBottom w:val="0"/>
      <w:divBdr>
        <w:top w:val="none" w:sz="0" w:space="0" w:color="auto"/>
        <w:left w:val="none" w:sz="0" w:space="0" w:color="auto"/>
        <w:bottom w:val="none" w:sz="0" w:space="0" w:color="auto"/>
        <w:right w:val="none" w:sz="0" w:space="0" w:color="auto"/>
      </w:divBdr>
      <w:divsChild>
        <w:div w:id="831721249">
          <w:marLeft w:val="0"/>
          <w:marRight w:val="0"/>
          <w:marTop w:val="0"/>
          <w:marBottom w:val="0"/>
          <w:divBdr>
            <w:top w:val="none" w:sz="0" w:space="0" w:color="auto"/>
            <w:left w:val="none" w:sz="0" w:space="0" w:color="auto"/>
            <w:bottom w:val="none" w:sz="0" w:space="0" w:color="auto"/>
            <w:right w:val="none" w:sz="0" w:space="0" w:color="auto"/>
          </w:divBdr>
          <w:divsChild>
            <w:div w:id="11196865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6743027">
      <w:marLeft w:val="0"/>
      <w:marRight w:val="0"/>
      <w:marTop w:val="0"/>
      <w:marBottom w:val="0"/>
      <w:divBdr>
        <w:top w:val="none" w:sz="0" w:space="0" w:color="auto"/>
        <w:left w:val="none" w:sz="0" w:space="0" w:color="auto"/>
        <w:bottom w:val="none" w:sz="0" w:space="0" w:color="auto"/>
        <w:right w:val="none" w:sz="0" w:space="0" w:color="auto"/>
      </w:divBdr>
      <w:divsChild>
        <w:div w:id="107437215">
          <w:marLeft w:val="0"/>
          <w:marRight w:val="0"/>
          <w:marTop w:val="60"/>
          <w:marBottom w:val="60"/>
          <w:divBdr>
            <w:top w:val="none" w:sz="0" w:space="0" w:color="auto"/>
            <w:left w:val="none" w:sz="0" w:space="0" w:color="auto"/>
            <w:bottom w:val="none" w:sz="0" w:space="0" w:color="auto"/>
            <w:right w:val="none" w:sz="0" w:space="0" w:color="auto"/>
          </w:divBdr>
        </w:div>
      </w:divsChild>
    </w:div>
    <w:div w:id="1897160813">
      <w:marLeft w:val="0"/>
      <w:marRight w:val="0"/>
      <w:marTop w:val="60"/>
      <w:marBottom w:val="60"/>
      <w:divBdr>
        <w:top w:val="none" w:sz="0" w:space="0" w:color="auto"/>
        <w:left w:val="none" w:sz="0" w:space="0" w:color="auto"/>
        <w:bottom w:val="none" w:sz="0" w:space="0" w:color="auto"/>
        <w:right w:val="none" w:sz="0" w:space="0" w:color="auto"/>
      </w:divBdr>
    </w:div>
    <w:div w:id="1897202631">
      <w:marLeft w:val="0"/>
      <w:marRight w:val="0"/>
      <w:marTop w:val="60"/>
      <w:marBottom w:val="60"/>
      <w:divBdr>
        <w:top w:val="none" w:sz="0" w:space="0" w:color="auto"/>
        <w:left w:val="none" w:sz="0" w:space="0" w:color="auto"/>
        <w:bottom w:val="none" w:sz="0" w:space="0" w:color="auto"/>
        <w:right w:val="none" w:sz="0" w:space="0" w:color="auto"/>
      </w:divBdr>
    </w:div>
    <w:div w:id="1897663588">
      <w:marLeft w:val="0"/>
      <w:marRight w:val="0"/>
      <w:marTop w:val="0"/>
      <w:marBottom w:val="0"/>
      <w:divBdr>
        <w:top w:val="none" w:sz="0" w:space="0" w:color="auto"/>
        <w:left w:val="none" w:sz="0" w:space="0" w:color="auto"/>
        <w:bottom w:val="none" w:sz="0" w:space="0" w:color="auto"/>
        <w:right w:val="none" w:sz="0" w:space="0" w:color="auto"/>
      </w:divBdr>
      <w:divsChild>
        <w:div w:id="1004210186">
          <w:marLeft w:val="0"/>
          <w:marRight w:val="0"/>
          <w:marTop w:val="0"/>
          <w:marBottom w:val="0"/>
          <w:divBdr>
            <w:top w:val="none" w:sz="0" w:space="0" w:color="auto"/>
            <w:left w:val="none" w:sz="0" w:space="0" w:color="auto"/>
            <w:bottom w:val="none" w:sz="0" w:space="0" w:color="auto"/>
            <w:right w:val="none" w:sz="0" w:space="0" w:color="auto"/>
          </w:divBdr>
          <w:divsChild>
            <w:div w:id="19939488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99703248">
      <w:marLeft w:val="0"/>
      <w:marRight w:val="0"/>
      <w:marTop w:val="180"/>
      <w:marBottom w:val="60"/>
      <w:divBdr>
        <w:top w:val="none" w:sz="0" w:space="0" w:color="auto"/>
        <w:left w:val="none" w:sz="0" w:space="0" w:color="auto"/>
        <w:bottom w:val="none" w:sz="0" w:space="0" w:color="auto"/>
        <w:right w:val="none" w:sz="0" w:space="0" w:color="auto"/>
      </w:divBdr>
    </w:div>
    <w:div w:id="1904290100">
      <w:marLeft w:val="0"/>
      <w:marRight w:val="0"/>
      <w:marTop w:val="0"/>
      <w:marBottom w:val="0"/>
      <w:divBdr>
        <w:top w:val="none" w:sz="0" w:space="0" w:color="auto"/>
        <w:left w:val="none" w:sz="0" w:space="0" w:color="auto"/>
        <w:bottom w:val="none" w:sz="0" w:space="0" w:color="auto"/>
        <w:right w:val="none" w:sz="0" w:space="0" w:color="auto"/>
      </w:divBdr>
      <w:divsChild>
        <w:div w:id="1840196354">
          <w:marLeft w:val="0"/>
          <w:marRight w:val="0"/>
          <w:marTop w:val="60"/>
          <w:marBottom w:val="60"/>
          <w:divBdr>
            <w:top w:val="none" w:sz="0" w:space="0" w:color="auto"/>
            <w:left w:val="none" w:sz="0" w:space="0" w:color="auto"/>
            <w:bottom w:val="none" w:sz="0" w:space="0" w:color="auto"/>
            <w:right w:val="none" w:sz="0" w:space="0" w:color="auto"/>
          </w:divBdr>
        </w:div>
      </w:divsChild>
    </w:div>
    <w:div w:id="1904563220">
      <w:marLeft w:val="0"/>
      <w:marRight w:val="0"/>
      <w:marTop w:val="60"/>
      <w:marBottom w:val="60"/>
      <w:divBdr>
        <w:top w:val="none" w:sz="0" w:space="0" w:color="auto"/>
        <w:left w:val="none" w:sz="0" w:space="0" w:color="auto"/>
        <w:bottom w:val="none" w:sz="0" w:space="0" w:color="auto"/>
        <w:right w:val="none" w:sz="0" w:space="0" w:color="auto"/>
      </w:divBdr>
    </w:div>
    <w:div w:id="1906378464">
      <w:marLeft w:val="0"/>
      <w:marRight w:val="0"/>
      <w:marTop w:val="180"/>
      <w:marBottom w:val="180"/>
      <w:divBdr>
        <w:top w:val="none" w:sz="0" w:space="0" w:color="auto"/>
        <w:left w:val="none" w:sz="0" w:space="0" w:color="auto"/>
        <w:bottom w:val="none" w:sz="0" w:space="0" w:color="auto"/>
        <w:right w:val="none" w:sz="0" w:space="0" w:color="auto"/>
      </w:divBdr>
    </w:div>
    <w:div w:id="1906643536">
      <w:marLeft w:val="0"/>
      <w:marRight w:val="0"/>
      <w:marTop w:val="180"/>
      <w:marBottom w:val="180"/>
      <w:divBdr>
        <w:top w:val="none" w:sz="0" w:space="0" w:color="auto"/>
        <w:left w:val="none" w:sz="0" w:space="0" w:color="auto"/>
        <w:bottom w:val="none" w:sz="0" w:space="0" w:color="auto"/>
        <w:right w:val="none" w:sz="0" w:space="0" w:color="auto"/>
      </w:divBdr>
    </w:div>
    <w:div w:id="1908682652">
      <w:marLeft w:val="0"/>
      <w:marRight w:val="0"/>
      <w:marTop w:val="100"/>
      <w:marBottom w:val="100"/>
      <w:divBdr>
        <w:top w:val="none" w:sz="0" w:space="0" w:color="auto"/>
        <w:left w:val="none" w:sz="0" w:space="0" w:color="auto"/>
        <w:bottom w:val="none" w:sz="0" w:space="0" w:color="auto"/>
        <w:right w:val="none" w:sz="0" w:space="0" w:color="auto"/>
      </w:divBdr>
      <w:divsChild>
        <w:div w:id="287395232">
          <w:marLeft w:val="0"/>
          <w:marRight w:val="0"/>
          <w:marTop w:val="0"/>
          <w:marBottom w:val="0"/>
          <w:divBdr>
            <w:top w:val="none" w:sz="0" w:space="0" w:color="auto"/>
            <w:left w:val="none" w:sz="0" w:space="0" w:color="auto"/>
            <w:bottom w:val="none" w:sz="0" w:space="0" w:color="auto"/>
            <w:right w:val="none" w:sz="0" w:space="0" w:color="auto"/>
          </w:divBdr>
        </w:div>
        <w:div w:id="565653112">
          <w:marLeft w:val="0"/>
          <w:marRight w:val="0"/>
          <w:marTop w:val="0"/>
          <w:marBottom w:val="0"/>
          <w:divBdr>
            <w:top w:val="none" w:sz="0" w:space="0" w:color="auto"/>
            <w:left w:val="none" w:sz="0" w:space="0" w:color="auto"/>
            <w:bottom w:val="none" w:sz="0" w:space="0" w:color="auto"/>
            <w:right w:val="none" w:sz="0" w:space="0" w:color="auto"/>
          </w:divBdr>
        </w:div>
        <w:div w:id="914239702">
          <w:marLeft w:val="0"/>
          <w:marRight w:val="0"/>
          <w:marTop w:val="0"/>
          <w:marBottom w:val="0"/>
          <w:divBdr>
            <w:top w:val="none" w:sz="0" w:space="0" w:color="auto"/>
            <w:left w:val="none" w:sz="0" w:space="0" w:color="auto"/>
            <w:bottom w:val="none" w:sz="0" w:space="0" w:color="auto"/>
            <w:right w:val="none" w:sz="0" w:space="0" w:color="auto"/>
          </w:divBdr>
        </w:div>
        <w:div w:id="236593569">
          <w:marLeft w:val="0"/>
          <w:marRight w:val="0"/>
          <w:marTop w:val="0"/>
          <w:marBottom w:val="0"/>
          <w:divBdr>
            <w:top w:val="none" w:sz="0" w:space="0" w:color="auto"/>
            <w:left w:val="none" w:sz="0" w:space="0" w:color="auto"/>
            <w:bottom w:val="none" w:sz="0" w:space="0" w:color="auto"/>
            <w:right w:val="none" w:sz="0" w:space="0" w:color="auto"/>
          </w:divBdr>
        </w:div>
        <w:div w:id="1080713452">
          <w:marLeft w:val="0"/>
          <w:marRight w:val="0"/>
          <w:marTop w:val="0"/>
          <w:marBottom w:val="0"/>
          <w:divBdr>
            <w:top w:val="none" w:sz="0" w:space="0" w:color="auto"/>
            <w:left w:val="none" w:sz="0" w:space="0" w:color="auto"/>
            <w:bottom w:val="none" w:sz="0" w:space="0" w:color="auto"/>
            <w:right w:val="none" w:sz="0" w:space="0" w:color="auto"/>
          </w:divBdr>
        </w:div>
      </w:divsChild>
    </w:div>
    <w:div w:id="1909150973">
      <w:marLeft w:val="0"/>
      <w:marRight w:val="0"/>
      <w:marTop w:val="180"/>
      <w:marBottom w:val="180"/>
      <w:divBdr>
        <w:top w:val="none" w:sz="0" w:space="0" w:color="auto"/>
        <w:left w:val="none" w:sz="0" w:space="0" w:color="auto"/>
        <w:bottom w:val="none" w:sz="0" w:space="0" w:color="auto"/>
        <w:right w:val="none" w:sz="0" w:space="0" w:color="auto"/>
      </w:divBdr>
    </w:div>
    <w:div w:id="1909338195">
      <w:marLeft w:val="0"/>
      <w:marRight w:val="0"/>
      <w:marTop w:val="180"/>
      <w:marBottom w:val="60"/>
      <w:divBdr>
        <w:top w:val="none" w:sz="0" w:space="0" w:color="auto"/>
        <w:left w:val="none" w:sz="0" w:space="0" w:color="auto"/>
        <w:bottom w:val="none" w:sz="0" w:space="0" w:color="auto"/>
        <w:right w:val="none" w:sz="0" w:space="0" w:color="auto"/>
      </w:divBdr>
    </w:div>
    <w:div w:id="1910265385">
      <w:marLeft w:val="0"/>
      <w:marRight w:val="0"/>
      <w:marTop w:val="180"/>
      <w:marBottom w:val="180"/>
      <w:divBdr>
        <w:top w:val="none" w:sz="0" w:space="0" w:color="auto"/>
        <w:left w:val="none" w:sz="0" w:space="0" w:color="auto"/>
        <w:bottom w:val="none" w:sz="0" w:space="0" w:color="auto"/>
        <w:right w:val="none" w:sz="0" w:space="0" w:color="auto"/>
      </w:divBdr>
    </w:div>
    <w:div w:id="1912344231">
      <w:marLeft w:val="0"/>
      <w:marRight w:val="0"/>
      <w:marTop w:val="60"/>
      <w:marBottom w:val="60"/>
      <w:divBdr>
        <w:top w:val="none" w:sz="0" w:space="0" w:color="auto"/>
        <w:left w:val="none" w:sz="0" w:space="0" w:color="auto"/>
        <w:bottom w:val="none" w:sz="0" w:space="0" w:color="auto"/>
        <w:right w:val="none" w:sz="0" w:space="0" w:color="auto"/>
      </w:divBdr>
    </w:div>
    <w:div w:id="1913157879">
      <w:marLeft w:val="0"/>
      <w:marRight w:val="0"/>
      <w:marTop w:val="0"/>
      <w:marBottom w:val="0"/>
      <w:divBdr>
        <w:top w:val="none" w:sz="0" w:space="0" w:color="auto"/>
        <w:left w:val="none" w:sz="0" w:space="0" w:color="auto"/>
        <w:bottom w:val="none" w:sz="0" w:space="0" w:color="auto"/>
        <w:right w:val="none" w:sz="0" w:space="0" w:color="auto"/>
      </w:divBdr>
      <w:divsChild>
        <w:div w:id="1715543512">
          <w:marLeft w:val="0"/>
          <w:marRight w:val="0"/>
          <w:marTop w:val="0"/>
          <w:marBottom w:val="0"/>
          <w:divBdr>
            <w:top w:val="none" w:sz="0" w:space="0" w:color="auto"/>
            <w:left w:val="none" w:sz="0" w:space="0" w:color="auto"/>
            <w:bottom w:val="none" w:sz="0" w:space="0" w:color="auto"/>
            <w:right w:val="none" w:sz="0" w:space="0" w:color="auto"/>
          </w:divBdr>
          <w:divsChild>
            <w:div w:id="6445057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4392942">
      <w:marLeft w:val="0"/>
      <w:marRight w:val="0"/>
      <w:marTop w:val="180"/>
      <w:marBottom w:val="180"/>
      <w:divBdr>
        <w:top w:val="none" w:sz="0" w:space="0" w:color="auto"/>
        <w:left w:val="none" w:sz="0" w:space="0" w:color="auto"/>
        <w:bottom w:val="none" w:sz="0" w:space="0" w:color="auto"/>
        <w:right w:val="none" w:sz="0" w:space="0" w:color="auto"/>
      </w:divBdr>
    </w:div>
    <w:div w:id="1914852010">
      <w:marLeft w:val="0"/>
      <w:marRight w:val="0"/>
      <w:marTop w:val="60"/>
      <w:marBottom w:val="60"/>
      <w:divBdr>
        <w:top w:val="none" w:sz="0" w:space="0" w:color="auto"/>
        <w:left w:val="none" w:sz="0" w:space="0" w:color="auto"/>
        <w:bottom w:val="none" w:sz="0" w:space="0" w:color="auto"/>
        <w:right w:val="none" w:sz="0" w:space="0" w:color="auto"/>
      </w:divBdr>
    </w:div>
    <w:div w:id="1914856091">
      <w:marLeft w:val="0"/>
      <w:marRight w:val="0"/>
      <w:marTop w:val="180"/>
      <w:marBottom w:val="180"/>
      <w:divBdr>
        <w:top w:val="none" w:sz="0" w:space="0" w:color="auto"/>
        <w:left w:val="none" w:sz="0" w:space="0" w:color="auto"/>
        <w:bottom w:val="none" w:sz="0" w:space="0" w:color="auto"/>
        <w:right w:val="none" w:sz="0" w:space="0" w:color="auto"/>
      </w:divBdr>
    </w:div>
    <w:div w:id="1915777436">
      <w:marLeft w:val="0"/>
      <w:marRight w:val="0"/>
      <w:marTop w:val="0"/>
      <w:marBottom w:val="0"/>
      <w:divBdr>
        <w:top w:val="none" w:sz="0" w:space="0" w:color="auto"/>
        <w:left w:val="none" w:sz="0" w:space="0" w:color="auto"/>
        <w:bottom w:val="none" w:sz="0" w:space="0" w:color="auto"/>
        <w:right w:val="none" w:sz="0" w:space="0" w:color="auto"/>
      </w:divBdr>
      <w:divsChild>
        <w:div w:id="651063794">
          <w:marLeft w:val="0"/>
          <w:marRight w:val="0"/>
          <w:marTop w:val="0"/>
          <w:marBottom w:val="0"/>
          <w:divBdr>
            <w:top w:val="none" w:sz="0" w:space="0" w:color="auto"/>
            <w:left w:val="none" w:sz="0" w:space="0" w:color="auto"/>
            <w:bottom w:val="none" w:sz="0" w:space="0" w:color="auto"/>
            <w:right w:val="none" w:sz="0" w:space="0" w:color="auto"/>
          </w:divBdr>
          <w:divsChild>
            <w:div w:id="14702008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15894743">
      <w:marLeft w:val="0"/>
      <w:marRight w:val="0"/>
      <w:marTop w:val="180"/>
      <w:marBottom w:val="180"/>
      <w:divBdr>
        <w:top w:val="none" w:sz="0" w:space="0" w:color="auto"/>
        <w:left w:val="none" w:sz="0" w:space="0" w:color="auto"/>
        <w:bottom w:val="none" w:sz="0" w:space="0" w:color="auto"/>
        <w:right w:val="none" w:sz="0" w:space="0" w:color="auto"/>
      </w:divBdr>
    </w:div>
    <w:div w:id="1915973403">
      <w:marLeft w:val="0"/>
      <w:marRight w:val="0"/>
      <w:marTop w:val="180"/>
      <w:marBottom w:val="180"/>
      <w:divBdr>
        <w:top w:val="none" w:sz="0" w:space="0" w:color="auto"/>
        <w:left w:val="none" w:sz="0" w:space="0" w:color="auto"/>
        <w:bottom w:val="none" w:sz="0" w:space="0" w:color="auto"/>
        <w:right w:val="none" w:sz="0" w:space="0" w:color="auto"/>
      </w:divBdr>
    </w:div>
    <w:div w:id="1916353813">
      <w:marLeft w:val="0"/>
      <w:marRight w:val="0"/>
      <w:marTop w:val="180"/>
      <w:marBottom w:val="180"/>
      <w:divBdr>
        <w:top w:val="none" w:sz="0" w:space="0" w:color="auto"/>
        <w:left w:val="none" w:sz="0" w:space="0" w:color="auto"/>
        <w:bottom w:val="none" w:sz="0" w:space="0" w:color="auto"/>
        <w:right w:val="none" w:sz="0" w:space="0" w:color="auto"/>
      </w:divBdr>
    </w:div>
    <w:div w:id="1916696166">
      <w:marLeft w:val="0"/>
      <w:marRight w:val="0"/>
      <w:marTop w:val="240"/>
      <w:marBottom w:val="180"/>
      <w:divBdr>
        <w:top w:val="none" w:sz="0" w:space="0" w:color="auto"/>
        <w:left w:val="none" w:sz="0" w:space="0" w:color="auto"/>
        <w:bottom w:val="none" w:sz="0" w:space="0" w:color="auto"/>
        <w:right w:val="none" w:sz="0" w:space="0" w:color="auto"/>
      </w:divBdr>
    </w:div>
    <w:div w:id="1916863439">
      <w:marLeft w:val="0"/>
      <w:marRight w:val="0"/>
      <w:marTop w:val="180"/>
      <w:marBottom w:val="180"/>
      <w:divBdr>
        <w:top w:val="none" w:sz="0" w:space="0" w:color="auto"/>
        <w:left w:val="none" w:sz="0" w:space="0" w:color="auto"/>
        <w:bottom w:val="none" w:sz="0" w:space="0" w:color="auto"/>
        <w:right w:val="none" w:sz="0" w:space="0" w:color="auto"/>
      </w:divBdr>
    </w:div>
    <w:div w:id="1916937176">
      <w:marLeft w:val="0"/>
      <w:marRight w:val="0"/>
      <w:marTop w:val="180"/>
      <w:marBottom w:val="180"/>
      <w:divBdr>
        <w:top w:val="none" w:sz="0" w:space="0" w:color="auto"/>
        <w:left w:val="none" w:sz="0" w:space="0" w:color="auto"/>
        <w:bottom w:val="none" w:sz="0" w:space="0" w:color="auto"/>
        <w:right w:val="none" w:sz="0" w:space="0" w:color="auto"/>
      </w:divBdr>
    </w:div>
    <w:div w:id="1919709920">
      <w:marLeft w:val="0"/>
      <w:marRight w:val="0"/>
      <w:marTop w:val="180"/>
      <w:marBottom w:val="180"/>
      <w:divBdr>
        <w:top w:val="none" w:sz="0" w:space="0" w:color="auto"/>
        <w:left w:val="none" w:sz="0" w:space="0" w:color="auto"/>
        <w:bottom w:val="none" w:sz="0" w:space="0" w:color="auto"/>
        <w:right w:val="none" w:sz="0" w:space="0" w:color="auto"/>
      </w:divBdr>
    </w:div>
    <w:div w:id="1922790046">
      <w:marLeft w:val="0"/>
      <w:marRight w:val="0"/>
      <w:marTop w:val="180"/>
      <w:marBottom w:val="180"/>
      <w:divBdr>
        <w:top w:val="none" w:sz="0" w:space="0" w:color="auto"/>
        <w:left w:val="none" w:sz="0" w:space="0" w:color="auto"/>
        <w:bottom w:val="none" w:sz="0" w:space="0" w:color="auto"/>
        <w:right w:val="none" w:sz="0" w:space="0" w:color="auto"/>
      </w:divBdr>
    </w:div>
    <w:div w:id="1924100707">
      <w:marLeft w:val="0"/>
      <w:marRight w:val="0"/>
      <w:marTop w:val="180"/>
      <w:marBottom w:val="180"/>
      <w:divBdr>
        <w:top w:val="none" w:sz="0" w:space="0" w:color="auto"/>
        <w:left w:val="none" w:sz="0" w:space="0" w:color="auto"/>
        <w:bottom w:val="none" w:sz="0" w:space="0" w:color="auto"/>
        <w:right w:val="none" w:sz="0" w:space="0" w:color="auto"/>
      </w:divBdr>
    </w:div>
    <w:div w:id="1925069188">
      <w:marLeft w:val="0"/>
      <w:marRight w:val="0"/>
      <w:marTop w:val="0"/>
      <w:marBottom w:val="0"/>
      <w:divBdr>
        <w:top w:val="none" w:sz="0" w:space="0" w:color="auto"/>
        <w:left w:val="none" w:sz="0" w:space="0" w:color="auto"/>
        <w:bottom w:val="none" w:sz="0" w:space="0" w:color="auto"/>
        <w:right w:val="none" w:sz="0" w:space="0" w:color="auto"/>
      </w:divBdr>
      <w:divsChild>
        <w:div w:id="1823934814">
          <w:marLeft w:val="0"/>
          <w:marRight w:val="0"/>
          <w:marTop w:val="60"/>
          <w:marBottom w:val="60"/>
          <w:divBdr>
            <w:top w:val="none" w:sz="0" w:space="0" w:color="auto"/>
            <w:left w:val="none" w:sz="0" w:space="0" w:color="auto"/>
            <w:bottom w:val="none" w:sz="0" w:space="0" w:color="auto"/>
            <w:right w:val="none" w:sz="0" w:space="0" w:color="auto"/>
          </w:divBdr>
        </w:div>
      </w:divsChild>
    </w:div>
    <w:div w:id="1925918966">
      <w:marLeft w:val="0"/>
      <w:marRight w:val="0"/>
      <w:marTop w:val="180"/>
      <w:marBottom w:val="180"/>
      <w:divBdr>
        <w:top w:val="none" w:sz="0" w:space="0" w:color="auto"/>
        <w:left w:val="none" w:sz="0" w:space="0" w:color="auto"/>
        <w:bottom w:val="none" w:sz="0" w:space="0" w:color="auto"/>
        <w:right w:val="none" w:sz="0" w:space="0" w:color="auto"/>
      </w:divBdr>
    </w:div>
    <w:div w:id="1926835646">
      <w:marLeft w:val="0"/>
      <w:marRight w:val="0"/>
      <w:marTop w:val="180"/>
      <w:marBottom w:val="180"/>
      <w:divBdr>
        <w:top w:val="none" w:sz="0" w:space="0" w:color="auto"/>
        <w:left w:val="none" w:sz="0" w:space="0" w:color="auto"/>
        <w:bottom w:val="none" w:sz="0" w:space="0" w:color="auto"/>
        <w:right w:val="none" w:sz="0" w:space="0" w:color="auto"/>
      </w:divBdr>
    </w:div>
    <w:div w:id="1927838400">
      <w:marLeft w:val="0"/>
      <w:marRight w:val="0"/>
      <w:marTop w:val="0"/>
      <w:marBottom w:val="0"/>
      <w:divBdr>
        <w:top w:val="none" w:sz="0" w:space="0" w:color="auto"/>
        <w:left w:val="none" w:sz="0" w:space="0" w:color="auto"/>
        <w:bottom w:val="none" w:sz="0" w:space="0" w:color="auto"/>
        <w:right w:val="none" w:sz="0" w:space="0" w:color="auto"/>
      </w:divBdr>
    </w:div>
    <w:div w:id="1929343794">
      <w:marLeft w:val="0"/>
      <w:marRight w:val="0"/>
      <w:marTop w:val="180"/>
      <w:marBottom w:val="180"/>
      <w:divBdr>
        <w:top w:val="none" w:sz="0" w:space="0" w:color="auto"/>
        <w:left w:val="none" w:sz="0" w:space="0" w:color="auto"/>
        <w:bottom w:val="none" w:sz="0" w:space="0" w:color="auto"/>
        <w:right w:val="none" w:sz="0" w:space="0" w:color="auto"/>
      </w:divBdr>
    </w:div>
    <w:div w:id="1930236497">
      <w:marLeft w:val="0"/>
      <w:marRight w:val="0"/>
      <w:marTop w:val="60"/>
      <w:marBottom w:val="60"/>
      <w:divBdr>
        <w:top w:val="none" w:sz="0" w:space="0" w:color="auto"/>
        <w:left w:val="none" w:sz="0" w:space="0" w:color="auto"/>
        <w:bottom w:val="none" w:sz="0" w:space="0" w:color="auto"/>
        <w:right w:val="none" w:sz="0" w:space="0" w:color="auto"/>
      </w:divBdr>
    </w:div>
    <w:div w:id="1930574409">
      <w:marLeft w:val="0"/>
      <w:marRight w:val="0"/>
      <w:marTop w:val="0"/>
      <w:marBottom w:val="0"/>
      <w:divBdr>
        <w:top w:val="none" w:sz="0" w:space="0" w:color="auto"/>
        <w:left w:val="none" w:sz="0" w:space="0" w:color="auto"/>
        <w:bottom w:val="none" w:sz="0" w:space="0" w:color="auto"/>
        <w:right w:val="none" w:sz="0" w:space="0" w:color="auto"/>
      </w:divBdr>
      <w:divsChild>
        <w:div w:id="933053968">
          <w:marLeft w:val="0"/>
          <w:marRight w:val="0"/>
          <w:marTop w:val="0"/>
          <w:marBottom w:val="0"/>
          <w:divBdr>
            <w:top w:val="none" w:sz="0" w:space="0" w:color="auto"/>
            <w:left w:val="none" w:sz="0" w:space="0" w:color="auto"/>
            <w:bottom w:val="none" w:sz="0" w:space="0" w:color="auto"/>
            <w:right w:val="none" w:sz="0" w:space="0" w:color="auto"/>
          </w:divBdr>
          <w:divsChild>
            <w:div w:id="1138377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2230155">
      <w:marLeft w:val="0"/>
      <w:marRight w:val="0"/>
      <w:marTop w:val="60"/>
      <w:marBottom w:val="180"/>
      <w:divBdr>
        <w:top w:val="none" w:sz="0" w:space="0" w:color="auto"/>
        <w:left w:val="none" w:sz="0" w:space="0" w:color="auto"/>
        <w:bottom w:val="none" w:sz="0" w:space="0" w:color="auto"/>
        <w:right w:val="none" w:sz="0" w:space="0" w:color="auto"/>
      </w:divBdr>
    </w:div>
    <w:div w:id="1936327594">
      <w:marLeft w:val="0"/>
      <w:marRight w:val="0"/>
      <w:marTop w:val="0"/>
      <w:marBottom w:val="0"/>
      <w:divBdr>
        <w:top w:val="none" w:sz="0" w:space="0" w:color="auto"/>
        <w:left w:val="none" w:sz="0" w:space="0" w:color="auto"/>
        <w:bottom w:val="none" w:sz="0" w:space="0" w:color="auto"/>
        <w:right w:val="none" w:sz="0" w:space="0" w:color="auto"/>
      </w:divBdr>
      <w:divsChild>
        <w:div w:id="522325977">
          <w:marLeft w:val="0"/>
          <w:marRight w:val="0"/>
          <w:marTop w:val="0"/>
          <w:marBottom w:val="0"/>
          <w:divBdr>
            <w:top w:val="none" w:sz="0" w:space="0" w:color="auto"/>
            <w:left w:val="none" w:sz="0" w:space="0" w:color="auto"/>
            <w:bottom w:val="none" w:sz="0" w:space="0" w:color="auto"/>
            <w:right w:val="none" w:sz="0" w:space="0" w:color="auto"/>
          </w:divBdr>
          <w:divsChild>
            <w:div w:id="8624735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6983206">
      <w:marLeft w:val="0"/>
      <w:marRight w:val="0"/>
      <w:marTop w:val="60"/>
      <w:marBottom w:val="60"/>
      <w:divBdr>
        <w:top w:val="none" w:sz="0" w:space="0" w:color="auto"/>
        <w:left w:val="none" w:sz="0" w:space="0" w:color="auto"/>
        <w:bottom w:val="none" w:sz="0" w:space="0" w:color="auto"/>
        <w:right w:val="none" w:sz="0" w:space="0" w:color="auto"/>
      </w:divBdr>
    </w:div>
    <w:div w:id="1937403129">
      <w:marLeft w:val="0"/>
      <w:marRight w:val="0"/>
      <w:marTop w:val="180"/>
      <w:marBottom w:val="60"/>
      <w:divBdr>
        <w:top w:val="none" w:sz="0" w:space="0" w:color="auto"/>
        <w:left w:val="none" w:sz="0" w:space="0" w:color="auto"/>
        <w:bottom w:val="none" w:sz="0" w:space="0" w:color="auto"/>
        <w:right w:val="none" w:sz="0" w:space="0" w:color="auto"/>
      </w:divBdr>
    </w:div>
    <w:div w:id="1938319898">
      <w:marLeft w:val="0"/>
      <w:marRight w:val="0"/>
      <w:marTop w:val="60"/>
      <w:marBottom w:val="60"/>
      <w:divBdr>
        <w:top w:val="none" w:sz="0" w:space="0" w:color="auto"/>
        <w:left w:val="none" w:sz="0" w:space="0" w:color="auto"/>
        <w:bottom w:val="none" w:sz="0" w:space="0" w:color="auto"/>
        <w:right w:val="none" w:sz="0" w:space="0" w:color="auto"/>
      </w:divBdr>
    </w:div>
    <w:div w:id="1940065213">
      <w:marLeft w:val="0"/>
      <w:marRight w:val="0"/>
      <w:marTop w:val="180"/>
      <w:marBottom w:val="180"/>
      <w:divBdr>
        <w:top w:val="none" w:sz="0" w:space="0" w:color="auto"/>
        <w:left w:val="none" w:sz="0" w:space="0" w:color="auto"/>
        <w:bottom w:val="none" w:sz="0" w:space="0" w:color="auto"/>
        <w:right w:val="none" w:sz="0" w:space="0" w:color="auto"/>
      </w:divBdr>
    </w:div>
    <w:div w:id="1940406851">
      <w:marLeft w:val="0"/>
      <w:marRight w:val="0"/>
      <w:marTop w:val="180"/>
      <w:marBottom w:val="180"/>
      <w:divBdr>
        <w:top w:val="none" w:sz="0" w:space="0" w:color="auto"/>
        <w:left w:val="none" w:sz="0" w:space="0" w:color="auto"/>
        <w:bottom w:val="none" w:sz="0" w:space="0" w:color="auto"/>
        <w:right w:val="none" w:sz="0" w:space="0" w:color="auto"/>
      </w:divBdr>
    </w:div>
    <w:div w:id="1943684575">
      <w:marLeft w:val="0"/>
      <w:marRight w:val="0"/>
      <w:marTop w:val="60"/>
      <w:marBottom w:val="60"/>
      <w:divBdr>
        <w:top w:val="none" w:sz="0" w:space="0" w:color="auto"/>
        <w:left w:val="none" w:sz="0" w:space="0" w:color="auto"/>
        <w:bottom w:val="none" w:sz="0" w:space="0" w:color="auto"/>
        <w:right w:val="none" w:sz="0" w:space="0" w:color="auto"/>
      </w:divBdr>
    </w:div>
    <w:div w:id="1944875128">
      <w:marLeft w:val="0"/>
      <w:marRight w:val="0"/>
      <w:marTop w:val="60"/>
      <w:marBottom w:val="60"/>
      <w:divBdr>
        <w:top w:val="none" w:sz="0" w:space="0" w:color="auto"/>
        <w:left w:val="none" w:sz="0" w:space="0" w:color="auto"/>
        <w:bottom w:val="none" w:sz="0" w:space="0" w:color="auto"/>
        <w:right w:val="none" w:sz="0" w:space="0" w:color="auto"/>
      </w:divBdr>
    </w:div>
    <w:div w:id="1944920265">
      <w:marLeft w:val="0"/>
      <w:marRight w:val="0"/>
      <w:marTop w:val="0"/>
      <w:marBottom w:val="0"/>
      <w:divBdr>
        <w:top w:val="none" w:sz="0" w:space="0" w:color="auto"/>
        <w:left w:val="none" w:sz="0" w:space="0" w:color="auto"/>
        <w:bottom w:val="none" w:sz="0" w:space="0" w:color="auto"/>
        <w:right w:val="none" w:sz="0" w:space="0" w:color="auto"/>
      </w:divBdr>
      <w:divsChild>
        <w:div w:id="1484158934">
          <w:marLeft w:val="0"/>
          <w:marRight w:val="0"/>
          <w:marTop w:val="0"/>
          <w:marBottom w:val="0"/>
          <w:divBdr>
            <w:top w:val="none" w:sz="0" w:space="0" w:color="auto"/>
            <w:left w:val="none" w:sz="0" w:space="0" w:color="auto"/>
            <w:bottom w:val="none" w:sz="0" w:space="0" w:color="auto"/>
            <w:right w:val="none" w:sz="0" w:space="0" w:color="auto"/>
          </w:divBdr>
          <w:divsChild>
            <w:div w:id="1093267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46231637">
      <w:marLeft w:val="0"/>
      <w:marRight w:val="0"/>
      <w:marTop w:val="180"/>
      <w:marBottom w:val="180"/>
      <w:divBdr>
        <w:top w:val="none" w:sz="0" w:space="0" w:color="auto"/>
        <w:left w:val="none" w:sz="0" w:space="0" w:color="auto"/>
        <w:bottom w:val="none" w:sz="0" w:space="0" w:color="auto"/>
        <w:right w:val="none" w:sz="0" w:space="0" w:color="auto"/>
      </w:divBdr>
    </w:div>
    <w:div w:id="1946694861">
      <w:marLeft w:val="0"/>
      <w:marRight w:val="0"/>
      <w:marTop w:val="180"/>
      <w:marBottom w:val="180"/>
      <w:divBdr>
        <w:top w:val="none" w:sz="0" w:space="0" w:color="auto"/>
        <w:left w:val="none" w:sz="0" w:space="0" w:color="auto"/>
        <w:bottom w:val="none" w:sz="0" w:space="0" w:color="auto"/>
        <w:right w:val="none" w:sz="0" w:space="0" w:color="auto"/>
      </w:divBdr>
    </w:div>
    <w:div w:id="1946958603">
      <w:marLeft w:val="0"/>
      <w:marRight w:val="0"/>
      <w:marTop w:val="180"/>
      <w:marBottom w:val="180"/>
      <w:divBdr>
        <w:top w:val="none" w:sz="0" w:space="0" w:color="auto"/>
        <w:left w:val="none" w:sz="0" w:space="0" w:color="auto"/>
        <w:bottom w:val="none" w:sz="0" w:space="0" w:color="auto"/>
        <w:right w:val="none" w:sz="0" w:space="0" w:color="auto"/>
      </w:divBdr>
    </w:div>
    <w:div w:id="1948194674">
      <w:marLeft w:val="0"/>
      <w:marRight w:val="0"/>
      <w:marTop w:val="180"/>
      <w:marBottom w:val="0"/>
      <w:divBdr>
        <w:top w:val="none" w:sz="0" w:space="0" w:color="auto"/>
        <w:left w:val="none" w:sz="0" w:space="0" w:color="auto"/>
        <w:bottom w:val="none" w:sz="0" w:space="0" w:color="auto"/>
        <w:right w:val="none" w:sz="0" w:space="0" w:color="auto"/>
      </w:divBdr>
    </w:div>
    <w:div w:id="1949462601">
      <w:marLeft w:val="0"/>
      <w:marRight w:val="0"/>
      <w:marTop w:val="180"/>
      <w:marBottom w:val="180"/>
      <w:divBdr>
        <w:top w:val="none" w:sz="0" w:space="0" w:color="auto"/>
        <w:left w:val="none" w:sz="0" w:space="0" w:color="auto"/>
        <w:bottom w:val="none" w:sz="0" w:space="0" w:color="auto"/>
        <w:right w:val="none" w:sz="0" w:space="0" w:color="auto"/>
      </w:divBdr>
    </w:div>
    <w:div w:id="1950117289">
      <w:marLeft w:val="0"/>
      <w:marRight w:val="0"/>
      <w:marTop w:val="180"/>
      <w:marBottom w:val="180"/>
      <w:divBdr>
        <w:top w:val="none" w:sz="0" w:space="0" w:color="auto"/>
        <w:left w:val="none" w:sz="0" w:space="0" w:color="auto"/>
        <w:bottom w:val="none" w:sz="0" w:space="0" w:color="auto"/>
        <w:right w:val="none" w:sz="0" w:space="0" w:color="auto"/>
      </w:divBdr>
    </w:div>
    <w:div w:id="1951082836">
      <w:marLeft w:val="0"/>
      <w:marRight w:val="0"/>
      <w:marTop w:val="180"/>
      <w:marBottom w:val="180"/>
      <w:divBdr>
        <w:top w:val="none" w:sz="0" w:space="0" w:color="auto"/>
        <w:left w:val="none" w:sz="0" w:space="0" w:color="auto"/>
        <w:bottom w:val="none" w:sz="0" w:space="0" w:color="auto"/>
        <w:right w:val="none" w:sz="0" w:space="0" w:color="auto"/>
      </w:divBdr>
    </w:div>
    <w:div w:id="1952399646">
      <w:marLeft w:val="0"/>
      <w:marRight w:val="0"/>
      <w:marTop w:val="180"/>
      <w:marBottom w:val="180"/>
      <w:divBdr>
        <w:top w:val="none" w:sz="0" w:space="0" w:color="auto"/>
        <w:left w:val="none" w:sz="0" w:space="0" w:color="auto"/>
        <w:bottom w:val="none" w:sz="0" w:space="0" w:color="auto"/>
        <w:right w:val="none" w:sz="0" w:space="0" w:color="auto"/>
      </w:divBdr>
    </w:div>
    <w:div w:id="1952786517">
      <w:marLeft w:val="0"/>
      <w:marRight w:val="0"/>
      <w:marTop w:val="180"/>
      <w:marBottom w:val="180"/>
      <w:divBdr>
        <w:top w:val="none" w:sz="0" w:space="0" w:color="auto"/>
        <w:left w:val="none" w:sz="0" w:space="0" w:color="auto"/>
        <w:bottom w:val="none" w:sz="0" w:space="0" w:color="auto"/>
        <w:right w:val="none" w:sz="0" w:space="0" w:color="auto"/>
      </w:divBdr>
    </w:div>
    <w:div w:id="1953508282">
      <w:marLeft w:val="0"/>
      <w:marRight w:val="0"/>
      <w:marTop w:val="180"/>
      <w:marBottom w:val="180"/>
      <w:divBdr>
        <w:top w:val="none" w:sz="0" w:space="0" w:color="auto"/>
        <w:left w:val="none" w:sz="0" w:space="0" w:color="auto"/>
        <w:bottom w:val="none" w:sz="0" w:space="0" w:color="auto"/>
        <w:right w:val="none" w:sz="0" w:space="0" w:color="auto"/>
      </w:divBdr>
    </w:div>
    <w:div w:id="1953517353">
      <w:marLeft w:val="0"/>
      <w:marRight w:val="0"/>
      <w:marTop w:val="180"/>
      <w:marBottom w:val="180"/>
      <w:divBdr>
        <w:top w:val="none" w:sz="0" w:space="0" w:color="auto"/>
        <w:left w:val="none" w:sz="0" w:space="0" w:color="auto"/>
        <w:bottom w:val="none" w:sz="0" w:space="0" w:color="auto"/>
        <w:right w:val="none" w:sz="0" w:space="0" w:color="auto"/>
      </w:divBdr>
    </w:div>
    <w:div w:id="1954480954">
      <w:marLeft w:val="0"/>
      <w:marRight w:val="0"/>
      <w:marTop w:val="100"/>
      <w:marBottom w:val="180"/>
      <w:divBdr>
        <w:top w:val="none" w:sz="0" w:space="0" w:color="auto"/>
        <w:left w:val="none" w:sz="0" w:space="0" w:color="auto"/>
        <w:bottom w:val="none" w:sz="0" w:space="0" w:color="auto"/>
        <w:right w:val="none" w:sz="0" w:space="0" w:color="auto"/>
      </w:divBdr>
    </w:div>
    <w:div w:id="1955283467">
      <w:marLeft w:val="0"/>
      <w:marRight w:val="0"/>
      <w:marTop w:val="180"/>
      <w:marBottom w:val="180"/>
      <w:divBdr>
        <w:top w:val="none" w:sz="0" w:space="0" w:color="auto"/>
        <w:left w:val="none" w:sz="0" w:space="0" w:color="auto"/>
        <w:bottom w:val="none" w:sz="0" w:space="0" w:color="auto"/>
        <w:right w:val="none" w:sz="0" w:space="0" w:color="auto"/>
      </w:divBdr>
    </w:div>
    <w:div w:id="1955601003">
      <w:marLeft w:val="0"/>
      <w:marRight w:val="0"/>
      <w:marTop w:val="180"/>
      <w:marBottom w:val="180"/>
      <w:divBdr>
        <w:top w:val="none" w:sz="0" w:space="0" w:color="auto"/>
        <w:left w:val="none" w:sz="0" w:space="0" w:color="auto"/>
        <w:bottom w:val="none" w:sz="0" w:space="0" w:color="auto"/>
        <w:right w:val="none" w:sz="0" w:space="0" w:color="auto"/>
      </w:divBdr>
    </w:div>
    <w:div w:id="1955869999">
      <w:marLeft w:val="0"/>
      <w:marRight w:val="0"/>
      <w:marTop w:val="180"/>
      <w:marBottom w:val="60"/>
      <w:divBdr>
        <w:top w:val="none" w:sz="0" w:space="0" w:color="auto"/>
        <w:left w:val="none" w:sz="0" w:space="0" w:color="auto"/>
        <w:bottom w:val="none" w:sz="0" w:space="0" w:color="auto"/>
        <w:right w:val="none" w:sz="0" w:space="0" w:color="auto"/>
      </w:divBdr>
    </w:div>
    <w:div w:id="1956213040">
      <w:marLeft w:val="0"/>
      <w:marRight w:val="0"/>
      <w:marTop w:val="0"/>
      <w:marBottom w:val="0"/>
      <w:divBdr>
        <w:top w:val="none" w:sz="0" w:space="0" w:color="auto"/>
        <w:left w:val="none" w:sz="0" w:space="0" w:color="auto"/>
        <w:bottom w:val="none" w:sz="0" w:space="0" w:color="auto"/>
        <w:right w:val="none" w:sz="0" w:space="0" w:color="auto"/>
      </w:divBdr>
      <w:divsChild>
        <w:div w:id="2066877767">
          <w:marLeft w:val="0"/>
          <w:marRight w:val="0"/>
          <w:marTop w:val="0"/>
          <w:marBottom w:val="0"/>
          <w:divBdr>
            <w:top w:val="none" w:sz="0" w:space="0" w:color="auto"/>
            <w:left w:val="none" w:sz="0" w:space="0" w:color="auto"/>
            <w:bottom w:val="none" w:sz="0" w:space="0" w:color="auto"/>
            <w:right w:val="none" w:sz="0" w:space="0" w:color="auto"/>
          </w:divBdr>
          <w:divsChild>
            <w:div w:id="14658534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6980493">
      <w:marLeft w:val="0"/>
      <w:marRight w:val="0"/>
      <w:marTop w:val="180"/>
      <w:marBottom w:val="180"/>
      <w:divBdr>
        <w:top w:val="none" w:sz="0" w:space="0" w:color="auto"/>
        <w:left w:val="none" w:sz="0" w:space="0" w:color="auto"/>
        <w:bottom w:val="none" w:sz="0" w:space="0" w:color="auto"/>
        <w:right w:val="none" w:sz="0" w:space="0" w:color="auto"/>
      </w:divBdr>
    </w:div>
    <w:div w:id="1957449425">
      <w:marLeft w:val="0"/>
      <w:marRight w:val="0"/>
      <w:marTop w:val="180"/>
      <w:marBottom w:val="180"/>
      <w:divBdr>
        <w:top w:val="none" w:sz="0" w:space="0" w:color="auto"/>
        <w:left w:val="none" w:sz="0" w:space="0" w:color="auto"/>
        <w:bottom w:val="none" w:sz="0" w:space="0" w:color="auto"/>
        <w:right w:val="none" w:sz="0" w:space="0" w:color="auto"/>
      </w:divBdr>
    </w:div>
    <w:div w:id="1960257723">
      <w:marLeft w:val="0"/>
      <w:marRight w:val="0"/>
      <w:marTop w:val="60"/>
      <w:marBottom w:val="60"/>
      <w:divBdr>
        <w:top w:val="none" w:sz="0" w:space="0" w:color="auto"/>
        <w:left w:val="none" w:sz="0" w:space="0" w:color="auto"/>
        <w:bottom w:val="none" w:sz="0" w:space="0" w:color="auto"/>
        <w:right w:val="none" w:sz="0" w:space="0" w:color="auto"/>
      </w:divBdr>
    </w:div>
    <w:div w:id="1962758195">
      <w:marLeft w:val="0"/>
      <w:marRight w:val="0"/>
      <w:marTop w:val="180"/>
      <w:marBottom w:val="180"/>
      <w:divBdr>
        <w:top w:val="none" w:sz="0" w:space="0" w:color="auto"/>
        <w:left w:val="none" w:sz="0" w:space="0" w:color="auto"/>
        <w:bottom w:val="none" w:sz="0" w:space="0" w:color="auto"/>
        <w:right w:val="none" w:sz="0" w:space="0" w:color="auto"/>
      </w:divBdr>
    </w:div>
    <w:div w:id="1964918715">
      <w:marLeft w:val="0"/>
      <w:marRight w:val="0"/>
      <w:marTop w:val="180"/>
      <w:marBottom w:val="60"/>
      <w:divBdr>
        <w:top w:val="none" w:sz="0" w:space="0" w:color="auto"/>
        <w:left w:val="none" w:sz="0" w:space="0" w:color="auto"/>
        <w:bottom w:val="none" w:sz="0" w:space="0" w:color="auto"/>
        <w:right w:val="none" w:sz="0" w:space="0" w:color="auto"/>
      </w:divBdr>
    </w:div>
    <w:div w:id="1965311891">
      <w:marLeft w:val="0"/>
      <w:marRight w:val="0"/>
      <w:marTop w:val="180"/>
      <w:marBottom w:val="18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965774385">
      <w:marLeft w:val="0"/>
      <w:marRight w:val="0"/>
      <w:marTop w:val="180"/>
      <w:marBottom w:val="180"/>
      <w:divBdr>
        <w:top w:val="none" w:sz="0" w:space="0" w:color="auto"/>
        <w:left w:val="none" w:sz="0" w:space="0" w:color="auto"/>
        <w:bottom w:val="none" w:sz="0" w:space="0" w:color="auto"/>
        <w:right w:val="none" w:sz="0" w:space="0" w:color="auto"/>
      </w:divBdr>
    </w:div>
    <w:div w:id="1967200832">
      <w:marLeft w:val="0"/>
      <w:marRight w:val="0"/>
      <w:marTop w:val="180"/>
      <w:marBottom w:val="180"/>
      <w:divBdr>
        <w:top w:val="none" w:sz="0" w:space="0" w:color="auto"/>
        <w:left w:val="none" w:sz="0" w:space="0" w:color="auto"/>
        <w:bottom w:val="none" w:sz="0" w:space="0" w:color="auto"/>
        <w:right w:val="none" w:sz="0" w:space="0" w:color="auto"/>
      </w:divBdr>
    </w:div>
    <w:div w:id="1968773052">
      <w:marLeft w:val="0"/>
      <w:marRight w:val="0"/>
      <w:marTop w:val="180"/>
      <w:marBottom w:val="180"/>
      <w:divBdr>
        <w:top w:val="none" w:sz="0" w:space="0" w:color="auto"/>
        <w:left w:val="none" w:sz="0" w:space="0" w:color="auto"/>
        <w:bottom w:val="none" w:sz="0" w:space="0" w:color="auto"/>
        <w:right w:val="none" w:sz="0" w:space="0" w:color="auto"/>
      </w:divBdr>
    </w:div>
    <w:div w:id="1970697038">
      <w:marLeft w:val="0"/>
      <w:marRight w:val="0"/>
      <w:marTop w:val="180"/>
      <w:marBottom w:val="180"/>
      <w:divBdr>
        <w:top w:val="none" w:sz="0" w:space="0" w:color="auto"/>
        <w:left w:val="none" w:sz="0" w:space="0" w:color="auto"/>
        <w:bottom w:val="none" w:sz="0" w:space="0" w:color="auto"/>
        <w:right w:val="none" w:sz="0" w:space="0" w:color="auto"/>
      </w:divBdr>
    </w:div>
    <w:div w:id="1972057177">
      <w:marLeft w:val="0"/>
      <w:marRight w:val="0"/>
      <w:marTop w:val="100"/>
      <w:marBottom w:val="100"/>
      <w:divBdr>
        <w:top w:val="none" w:sz="0" w:space="0" w:color="auto"/>
        <w:left w:val="none" w:sz="0" w:space="0" w:color="auto"/>
        <w:bottom w:val="none" w:sz="0" w:space="0" w:color="auto"/>
        <w:right w:val="none" w:sz="0" w:space="0" w:color="auto"/>
      </w:divBdr>
      <w:divsChild>
        <w:div w:id="2039039474">
          <w:marLeft w:val="0"/>
          <w:marRight w:val="0"/>
          <w:marTop w:val="0"/>
          <w:marBottom w:val="0"/>
          <w:divBdr>
            <w:top w:val="none" w:sz="0" w:space="0" w:color="auto"/>
            <w:left w:val="none" w:sz="0" w:space="0" w:color="auto"/>
            <w:bottom w:val="none" w:sz="0" w:space="0" w:color="auto"/>
            <w:right w:val="none" w:sz="0" w:space="0" w:color="auto"/>
          </w:divBdr>
        </w:div>
        <w:div w:id="1806387779">
          <w:marLeft w:val="0"/>
          <w:marRight w:val="0"/>
          <w:marTop w:val="0"/>
          <w:marBottom w:val="0"/>
          <w:divBdr>
            <w:top w:val="none" w:sz="0" w:space="0" w:color="auto"/>
            <w:left w:val="none" w:sz="0" w:space="0" w:color="auto"/>
            <w:bottom w:val="none" w:sz="0" w:space="0" w:color="auto"/>
            <w:right w:val="none" w:sz="0" w:space="0" w:color="auto"/>
          </w:divBdr>
        </w:div>
        <w:div w:id="474108958">
          <w:marLeft w:val="0"/>
          <w:marRight w:val="0"/>
          <w:marTop w:val="0"/>
          <w:marBottom w:val="0"/>
          <w:divBdr>
            <w:top w:val="none" w:sz="0" w:space="0" w:color="auto"/>
            <w:left w:val="none" w:sz="0" w:space="0" w:color="auto"/>
            <w:bottom w:val="none" w:sz="0" w:space="0" w:color="auto"/>
            <w:right w:val="none" w:sz="0" w:space="0" w:color="auto"/>
          </w:divBdr>
        </w:div>
        <w:div w:id="822427707">
          <w:marLeft w:val="0"/>
          <w:marRight w:val="0"/>
          <w:marTop w:val="0"/>
          <w:marBottom w:val="0"/>
          <w:divBdr>
            <w:top w:val="none" w:sz="0" w:space="0" w:color="auto"/>
            <w:left w:val="none" w:sz="0" w:space="0" w:color="auto"/>
            <w:bottom w:val="none" w:sz="0" w:space="0" w:color="auto"/>
            <w:right w:val="none" w:sz="0" w:space="0" w:color="auto"/>
          </w:divBdr>
        </w:div>
        <w:div w:id="819659791">
          <w:marLeft w:val="0"/>
          <w:marRight w:val="0"/>
          <w:marTop w:val="0"/>
          <w:marBottom w:val="0"/>
          <w:divBdr>
            <w:top w:val="none" w:sz="0" w:space="0" w:color="auto"/>
            <w:left w:val="none" w:sz="0" w:space="0" w:color="auto"/>
            <w:bottom w:val="none" w:sz="0" w:space="0" w:color="auto"/>
            <w:right w:val="none" w:sz="0" w:space="0" w:color="auto"/>
          </w:divBdr>
        </w:div>
      </w:divsChild>
    </w:div>
    <w:div w:id="1976369860">
      <w:marLeft w:val="0"/>
      <w:marRight w:val="0"/>
      <w:marTop w:val="180"/>
      <w:marBottom w:val="180"/>
      <w:divBdr>
        <w:top w:val="none" w:sz="0" w:space="0" w:color="auto"/>
        <w:left w:val="none" w:sz="0" w:space="0" w:color="auto"/>
        <w:bottom w:val="none" w:sz="0" w:space="0" w:color="auto"/>
        <w:right w:val="none" w:sz="0" w:space="0" w:color="auto"/>
      </w:divBdr>
    </w:div>
    <w:div w:id="1977831690">
      <w:marLeft w:val="0"/>
      <w:marRight w:val="0"/>
      <w:marTop w:val="0"/>
      <w:marBottom w:val="0"/>
      <w:divBdr>
        <w:top w:val="none" w:sz="0" w:space="0" w:color="auto"/>
        <w:left w:val="none" w:sz="0" w:space="0" w:color="auto"/>
        <w:bottom w:val="none" w:sz="0" w:space="0" w:color="auto"/>
        <w:right w:val="none" w:sz="0" w:space="0" w:color="auto"/>
      </w:divBdr>
    </w:div>
    <w:div w:id="1977954497">
      <w:marLeft w:val="0"/>
      <w:marRight w:val="0"/>
      <w:marTop w:val="180"/>
      <w:marBottom w:val="180"/>
      <w:divBdr>
        <w:top w:val="none" w:sz="0" w:space="0" w:color="auto"/>
        <w:left w:val="none" w:sz="0" w:space="0" w:color="auto"/>
        <w:bottom w:val="none" w:sz="0" w:space="0" w:color="auto"/>
        <w:right w:val="none" w:sz="0" w:space="0" w:color="auto"/>
      </w:divBdr>
    </w:div>
    <w:div w:id="1978876507">
      <w:marLeft w:val="0"/>
      <w:marRight w:val="0"/>
      <w:marTop w:val="180"/>
      <w:marBottom w:val="180"/>
      <w:divBdr>
        <w:top w:val="none" w:sz="0" w:space="0" w:color="auto"/>
        <w:left w:val="none" w:sz="0" w:space="0" w:color="auto"/>
        <w:bottom w:val="none" w:sz="0" w:space="0" w:color="auto"/>
        <w:right w:val="none" w:sz="0" w:space="0" w:color="auto"/>
      </w:divBdr>
    </w:div>
    <w:div w:id="1979063857">
      <w:marLeft w:val="0"/>
      <w:marRight w:val="0"/>
      <w:marTop w:val="180"/>
      <w:marBottom w:val="180"/>
      <w:divBdr>
        <w:top w:val="none" w:sz="0" w:space="0" w:color="auto"/>
        <w:left w:val="none" w:sz="0" w:space="0" w:color="auto"/>
        <w:bottom w:val="none" w:sz="0" w:space="0" w:color="auto"/>
        <w:right w:val="none" w:sz="0" w:space="0" w:color="auto"/>
      </w:divBdr>
    </w:div>
    <w:div w:id="1979916965">
      <w:marLeft w:val="0"/>
      <w:marRight w:val="0"/>
      <w:marTop w:val="240"/>
      <w:marBottom w:val="180"/>
      <w:divBdr>
        <w:top w:val="none" w:sz="0" w:space="0" w:color="auto"/>
        <w:left w:val="none" w:sz="0" w:space="0" w:color="auto"/>
        <w:bottom w:val="none" w:sz="0" w:space="0" w:color="auto"/>
        <w:right w:val="none" w:sz="0" w:space="0" w:color="auto"/>
      </w:divBdr>
    </w:div>
    <w:div w:id="1979917183">
      <w:marLeft w:val="0"/>
      <w:marRight w:val="0"/>
      <w:marTop w:val="60"/>
      <w:marBottom w:val="60"/>
      <w:divBdr>
        <w:top w:val="none" w:sz="0" w:space="0" w:color="auto"/>
        <w:left w:val="none" w:sz="0" w:space="0" w:color="auto"/>
        <w:bottom w:val="none" w:sz="0" w:space="0" w:color="auto"/>
        <w:right w:val="none" w:sz="0" w:space="0" w:color="auto"/>
      </w:divBdr>
    </w:div>
    <w:div w:id="1980190398">
      <w:marLeft w:val="0"/>
      <w:marRight w:val="0"/>
      <w:marTop w:val="240"/>
      <w:marBottom w:val="180"/>
      <w:divBdr>
        <w:top w:val="none" w:sz="0" w:space="0" w:color="auto"/>
        <w:left w:val="none" w:sz="0" w:space="0" w:color="auto"/>
        <w:bottom w:val="none" w:sz="0" w:space="0" w:color="auto"/>
        <w:right w:val="none" w:sz="0" w:space="0" w:color="auto"/>
      </w:divBdr>
    </w:div>
    <w:div w:id="1980259690">
      <w:marLeft w:val="0"/>
      <w:marRight w:val="0"/>
      <w:marTop w:val="60"/>
      <w:marBottom w:val="60"/>
      <w:divBdr>
        <w:top w:val="none" w:sz="0" w:space="0" w:color="auto"/>
        <w:left w:val="none" w:sz="0" w:space="0" w:color="auto"/>
        <w:bottom w:val="none" w:sz="0" w:space="0" w:color="auto"/>
        <w:right w:val="none" w:sz="0" w:space="0" w:color="auto"/>
      </w:divBdr>
    </w:div>
    <w:div w:id="1982031850">
      <w:marLeft w:val="0"/>
      <w:marRight w:val="0"/>
      <w:marTop w:val="60"/>
      <w:marBottom w:val="60"/>
      <w:divBdr>
        <w:top w:val="none" w:sz="0" w:space="0" w:color="auto"/>
        <w:left w:val="none" w:sz="0" w:space="0" w:color="auto"/>
        <w:bottom w:val="none" w:sz="0" w:space="0" w:color="auto"/>
        <w:right w:val="none" w:sz="0" w:space="0" w:color="auto"/>
      </w:divBdr>
    </w:div>
    <w:div w:id="1982034687">
      <w:marLeft w:val="0"/>
      <w:marRight w:val="0"/>
      <w:marTop w:val="180"/>
      <w:marBottom w:val="180"/>
      <w:divBdr>
        <w:top w:val="none" w:sz="0" w:space="0" w:color="auto"/>
        <w:left w:val="none" w:sz="0" w:space="0" w:color="auto"/>
        <w:bottom w:val="none" w:sz="0" w:space="0" w:color="auto"/>
        <w:right w:val="none" w:sz="0" w:space="0" w:color="auto"/>
      </w:divBdr>
    </w:div>
    <w:div w:id="1982804297">
      <w:marLeft w:val="0"/>
      <w:marRight w:val="0"/>
      <w:marTop w:val="180"/>
      <w:marBottom w:val="180"/>
      <w:divBdr>
        <w:top w:val="none" w:sz="0" w:space="0" w:color="auto"/>
        <w:left w:val="none" w:sz="0" w:space="0" w:color="auto"/>
        <w:bottom w:val="none" w:sz="0" w:space="0" w:color="auto"/>
        <w:right w:val="none" w:sz="0" w:space="0" w:color="auto"/>
      </w:divBdr>
    </w:div>
    <w:div w:id="1985159150">
      <w:marLeft w:val="0"/>
      <w:marRight w:val="0"/>
      <w:marTop w:val="60"/>
      <w:marBottom w:val="60"/>
      <w:divBdr>
        <w:top w:val="none" w:sz="0" w:space="0" w:color="auto"/>
        <w:left w:val="none" w:sz="0" w:space="0" w:color="auto"/>
        <w:bottom w:val="none" w:sz="0" w:space="0" w:color="auto"/>
        <w:right w:val="none" w:sz="0" w:space="0" w:color="auto"/>
      </w:divBdr>
    </w:div>
    <w:div w:id="1985811538">
      <w:marLeft w:val="0"/>
      <w:marRight w:val="0"/>
      <w:marTop w:val="60"/>
      <w:marBottom w:val="60"/>
      <w:divBdr>
        <w:top w:val="none" w:sz="0" w:space="0" w:color="auto"/>
        <w:left w:val="none" w:sz="0" w:space="0" w:color="auto"/>
        <w:bottom w:val="none" w:sz="0" w:space="0" w:color="auto"/>
        <w:right w:val="none" w:sz="0" w:space="0" w:color="auto"/>
      </w:divBdr>
    </w:div>
    <w:div w:id="1986229382">
      <w:marLeft w:val="0"/>
      <w:marRight w:val="0"/>
      <w:marTop w:val="180"/>
      <w:marBottom w:val="180"/>
      <w:divBdr>
        <w:top w:val="none" w:sz="0" w:space="0" w:color="auto"/>
        <w:left w:val="none" w:sz="0" w:space="0" w:color="auto"/>
        <w:bottom w:val="none" w:sz="0" w:space="0" w:color="auto"/>
        <w:right w:val="none" w:sz="0" w:space="0" w:color="auto"/>
      </w:divBdr>
    </w:div>
    <w:div w:id="1986812951">
      <w:marLeft w:val="0"/>
      <w:marRight w:val="0"/>
      <w:marTop w:val="60"/>
      <w:marBottom w:val="60"/>
      <w:divBdr>
        <w:top w:val="none" w:sz="0" w:space="0" w:color="auto"/>
        <w:left w:val="none" w:sz="0" w:space="0" w:color="auto"/>
        <w:bottom w:val="none" w:sz="0" w:space="0" w:color="auto"/>
        <w:right w:val="none" w:sz="0" w:space="0" w:color="auto"/>
      </w:divBdr>
    </w:div>
    <w:div w:id="1987079855">
      <w:marLeft w:val="0"/>
      <w:marRight w:val="0"/>
      <w:marTop w:val="180"/>
      <w:marBottom w:val="180"/>
      <w:divBdr>
        <w:top w:val="none" w:sz="0" w:space="0" w:color="auto"/>
        <w:left w:val="none" w:sz="0" w:space="0" w:color="auto"/>
        <w:bottom w:val="none" w:sz="0" w:space="0" w:color="auto"/>
        <w:right w:val="none" w:sz="0" w:space="0" w:color="auto"/>
      </w:divBdr>
    </w:div>
    <w:div w:id="1988322249">
      <w:marLeft w:val="0"/>
      <w:marRight w:val="0"/>
      <w:marTop w:val="180"/>
      <w:marBottom w:val="180"/>
      <w:divBdr>
        <w:top w:val="none" w:sz="0" w:space="0" w:color="auto"/>
        <w:left w:val="none" w:sz="0" w:space="0" w:color="auto"/>
        <w:bottom w:val="none" w:sz="0" w:space="0" w:color="auto"/>
        <w:right w:val="none" w:sz="0" w:space="0" w:color="auto"/>
      </w:divBdr>
    </w:div>
    <w:div w:id="1988627490">
      <w:marLeft w:val="0"/>
      <w:marRight w:val="0"/>
      <w:marTop w:val="180"/>
      <w:marBottom w:val="180"/>
      <w:divBdr>
        <w:top w:val="none" w:sz="0" w:space="0" w:color="auto"/>
        <w:left w:val="none" w:sz="0" w:space="0" w:color="auto"/>
        <w:bottom w:val="none" w:sz="0" w:space="0" w:color="auto"/>
        <w:right w:val="none" w:sz="0" w:space="0" w:color="auto"/>
      </w:divBdr>
    </w:div>
    <w:div w:id="1990866100">
      <w:marLeft w:val="0"/>
      <w:marRight w:val="0"/>
      <w:marTop w:val="60"/>
      <w:marBottom w:val="60"/>
      <w:divBdr>
        <w:top w:val="none" w:sz="0" w:space="0" w:color="auto"/>
        <w:left w:val="none" w:sz="0" w:space="0" w:color="auto"/>
        <w:bottom w:val="none" w:sz="0" w:space="0" w:color="auto"/>
        <w:right w:val="none" w:sz="0" w:space="0" w:color="auto"/>
      </w:divBdr>
    </w:div>
    <w:div w:id="1992172836">
      <w:marLeft w:val="0"/>
      <w:marRight w:val="0"/>
      <w:marTop w:val="0"/>
      <w:marBottom w:val="0"/>
      <w:divBdr>
        <w:top w:val="none" w:sz="0" w:space="0" w:color="auto"/>
        <w:left w:val="none" w:sz="0" w:space="0" w:color="auto"/>
        <w:bottom w:val="none" w:sz="0" w:space="0" w:color="auto"/>
        <w:right w:val="none" w:sz="0" w:space="0" w:color="auto"/>
      </w:divBdr>
      <w:divsChild>
        <w:div w:id="1482696970">
          <w:marLeft w:val="0"/>
          <w:marRight w:val="0"/>
          <w:marTop w:val="0"/>
          <w:marBottom w:val="0"/>
          <w:divBdr>
            <w:top w:val="none" w:sz="0" w:space="0" w:color="auto"/>
            <w:left w:val="none" w:sz="0" w:space="0" w:color="auto"/>
            <w:bottom w:val="none" w:sz="0" w:space="0" w:color="auto"/>
            <w:right w:val="none" w:sz="0" w:space="0" w:color="auto"/>
          </w:divBdr>
          <w:divsChild>
            <w:div w:id="2673218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2636702">
      <w:marLeft w:val="0"/>
      <w:marRight w:val="0"/>
      <w:marTop w:val="180"/>
      <w:marBottom w:val="0"/>
      <w:divBdr>
        <w:top w:val="none" w:sz="0" w:space="0" w:color="auto"/>
        <w:left w:val="none" w:sz="0" w:space="0" w:color="auto"/>
        <w:bottom w:val="none" w:sz="0" w:space="0" w:color="auto"/>
        <w:right w:val="none" w:sz="0" w:space="0" w:color="auto"/>
      </w:divBdr>
    </w:div>
    <w:div w:id="1994021862">
      <w:marLeft w:val="0"/>
      <w:marRight w:val="0"/>
      <w:marTop w:val="0"/>
      <w:marBottom w:val="0"/>
      <w:divBdr>
        <w:top w:val="none" w:sz="0" w:space="0" w:color="auto"/>
        <w:left w:val="none" w:sz="0" w:space="0" w:color="auto"/>
        <w:bottom w:val="none" w:sz="0" w:space="0" w:color="auto"/>
        <w:right w:val="none" w:sz="0" w:space="0" w:color="auto"/>
      </w:divBdr>
      <w:divsChild>
        <w:div w:id="1501002216">
          <w:marLeft w:val="0"/>
          <w:marRight w:val="0"/>
          <w:marTop w:val="0"/>
          <w:marBottom w:val="0"/>
          <w:divBdr>
            <w:top w:val="none" w:sz="0" w:space="0" w:color="auto"/>
            <w:left w:val="none" w:sz="0" w:space="0" w:color="auto"/>
            <w:bottom w:val="none" w:sz="0" w:space="0" w:color="auto"/>
            <w:right w:val="none" w:sz="0" w:space="0" w:color="auto"/>
          </w:divBdr>
          <w:divsChild>
            <w:div w:id="4031853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7688250">
      <w:marLeft w:val="0"/>
      <w:marRight w:val="0"/>
      <w:marTop w:val="0"/>
      <w:marBottom w:val="0"/>
      <w:divBdr>
        <w:top w:val="none" w:sz="0" w:space="0" w:color="auto"/>
        <w:left w:val="none" w:sz="0" w:space="0" w:color="auto"/>
        <w:bottom w:val="none" w:sz="0" w:space="0" w:color="auto"/>
        <w:right w:val="none" w:sz="0" w:space="0" w:color="auto"/>
      </w:divBdr>
      <w:divsChild>
        <w:div w:id="1233931019">
          <w:marLeft w:val="0"/>
          <w:marRight w:val="0"/>
          <w:marTop w:val="60"/>
          <w:marBottom w:val="60"/>
          <w:divBdr>
            <w:top w:val="none" w:sz="0" w:space="0" w:color="auto"/>
            <w:left w:val="none" w:sz="0" w:space="0" w:color="auto"/>
            <w:bottom w:val="none" w:sz="0" w:space="0" w:color="auto"/>
            <w:right w:val="none" w:sz="0" w:space="0" w:color="auto"/>
          </w:divBdr>
        </w:div>
      </w:divsChild>
    </w:div>
    <w:div w:id="1998151226">
      <w:marLeft w:val="0"/>
      <w:marRight w:val="0"/>
      <w:marTop w:val="180"/>
      <w:marBottom w:val="180"/>
      <w:divBdr>
        <w:top w:val="none" w:sz="0" w:space="0" w:color="auto"/>
        <w:left w:val="none" w:sz="0" w:space="0" w:color="auto"/>
        <w:bottom w:val="none" w:sz="0" w:space="0" w:color="auto"/>
        <w:right w:val="none" w:sz="0" w:space="0" w:color="auto"/>
      </w:divBdr>
    </w:div>
    <w:div w:id="1998337330">
      <w:marLeft w:val="0"/>
      <w:marRight w:val="0"/>
      <w:marTop w:val="180"/>
      <w:marBottom w:val="180"/>
      <w:divBdr>
        <w:top w:val="none" w:sz="0" w:space="0" w:color="auto"/>
        <w:left w:val="none" w:sz="0" w:space="0" w:color="auto"/>
        <w:bottom w:val="none" w:sz="0" w:space="0" w:color="auto"/>
        <w:right w:val="none" w:sz="0" w:space="0" w:color="auto"/>
      </w:divBdr>
    </w:div>
    <w:div w:id="2000621179">
      <w:marLeft w:val="0"/>
      <w:marRight w:val="0"/>
      <w:marTop w:val="180"/>
      <w:marBottom w:val="180"/>
      <w:divBdr>
        <w:top w:val="none" w:sz="0" w:space="0" w:color="auto"/>
        <w:left w:val="none" w:sz="0" w:space="0" w:color="auto"/>
        <w:bottom w:val="none" w:sz="0" w:space="0" w:color="auto"/>
        <w:right w:val="none" w:sz="0" w:space="0" w:color="auto"/>
      </w:divBdr>
    </w:div>
    <w:div w:id="2001040667">
      <w:marLeft w:val="0"/>
      <w:marRight w:val="0"/>
      <w:marTop w:val="0"/>
      <w:marBottom w:val="0"/>
      <w:divBdr>
        <w:top w:val="none" w:sz="0" w:space="0" w:color="auto"/>
        <w:left w:val="none" w:sz="0" w:space="0" w:color="auto"/>
        <w:bottom w:val="none" w:sz="0" w:space="0" w:color="auto"/>
        <w:right w:val="none" w:sz="0" w:space="0" w:color="auto"/>
      </w:divBdr>
      <w:divsChild>
        <w:div w:id="604650813">
          <w:marLeft w:val="0"/>
          <w:marRight w:val="0"/>
          <w:marTop w:val="180"/>
          <w:marBottom w:val="180"/>
          <w:divBdr>
            <w:top w:val="none" w:sz="0" w:space="0" w:color="auto"/>
            <w:left w:val="none" w:sz="0" w:space="0" w:color="auto"/>
            <w:bottom w:val="none" w:sz="0" w:space="0" w:color="auto"/>
            <w:right w:val="none" w:sz="0" w:space="0" w:color="auto"/>
          </w:divBdr>
        </w:div>
      </w:divsChild>
    </w:div>
    <w:div w:id="2002199977">
      <w:marLeft w:val="0"/>
      <w:marRight w:val="0"/>
      <w:marTop w:val="180"/>
      <w:marBottom w:val="180"/>
      <w:divBdr>
        <w:top w:val="none" w:sz="0" w:space="0" w:color="auto"/>
        <w:left w:val="none" w:sz="0" w:space="0" w:color="auto"/>
        <w:bottom w:val="none" w:sz="0" w:space="0" w:color="auto"/>
        <w:right w:val="none" w:sz="0" w:space="0" w:color="auto"/>
      </w:divBdr>
    </w:div>
    <w:div w:id="2002276051">
      <w:marLeft w:val="0"/>
      <w:marRight w:val="0"/>
      <w:marTop w:val="240"/>
      <w:marBottom w:val="180"/>
      <w:divBdr>
        <w:top w:val="none" w:sz="0" w:space="0" w:color="auto"/>
        <w:left w:val="none" w:sz="0" w:space="0" w:color="auto"/>
        <w:bottom w:val="none" w:sz="0" w:space="0" w:color="auto"/>
        <w:right w:val="none" w:sz="0" w:space="0" w:color="auto"/>
      </w:divBdr>
    </w:div>
    <w:div w:id="2003310331">
      <w:marLeft w:val="0"/>
      <w:marRight w:val="0"/>
      <w:marTop w:val="0"/>
      <w:marBottom w:val="0"/>
      <w:divBdr>
        <w:top w:val="none" w:sz="0" w:space="0" w:color="auto"/>
        <w:left w:val="none" w:sz="0" w:space="0" w:color="auto"/>
        <w:bottom w:val="none" w:sz="0" w:space="0" w:color="auto"/>
        <w:right w:val="none" w:sz="0" w:space="0" w:color="auto"/>
      </w:divBdr>
    </w:div>
    <w:div w:id="2004043499">
      <w:marLeft w:val="0"/>
      <w:marRight w:val="0"/>
      <w:marTop w:val="180"/>
      <w:marBottom w:val="180"/>
      <w:divBdr>
        <w:top w:val="none" w:sz="0" w:space="0" w:color="auto"/>
        <w:left w:val="none" w:sz="0" w:space="0" w:color="auto"/>
        <w:bottom w:val="none" w:sz="0" w:space="0" w:color="auto"/>
        <w:right w:val="none" w:sz="0" w:space="0" w:color="auto"/>
      </w:divBdr>
    </w:div>
    <w:div w:id="2004166015">
      <w:marLeft w:val="0"/>
      <w:marRight w:val="0"/>
      <w:marTop w:val="60"/>
      <w:marBottom w:val="60"/>
      <w:divBdr>
        <w:top w:val="none" w:sz="0" w:space="0" w:color="auto"/>
        <w:left w:val="none" w:sz="0" w:space="0" w:color="auto"/>
        <w:bottom w:val="none" w:sz="0" w:space="0" w:color="auto"/>
        <w:right w:val="none" w:sz="0" w:space="0" w:color="auto"/>
      </w:divBdr>
      <w:divsChild>
        <w:div w:id="1758868228">
          <w:marLeft w:val="0"/>
          <w:marRight w:val="0"/>
          <w:marTop w:val="0"/>
          <w:marBottom w:val="0"/>
          <w:divBdr>
            <w:top w:val="none" w:sz="0" w:space="0" w:color="auto"/>
            <w:left w:val="none" w:sz="0" w:space="0" w:color="auto"/>
            <w:bottom w:val="none" w:sz="0" w:space="0" w:color="auto"/>
            <w:right w:val="none" w:sz="0" w:space="0" w:color="auto"/>
          </w:divBdr>
        </w:div>
      </w:divsChild>
    </w:div>
    <w:div w:id="2004965696">
      <w:marLeft w:val="0"/>
      <w:marRight w:val="0"/>
      <w:marTop w:val="0"/>
      <w:marBottom w:val="0"/>
      <w:divBdr>
        <w:top w:val="none" w:sz="0" w:space="0" w:color="auto"/>
        <w:left w:val="none" w:sz="0" w:space="0" w:color="auto"/>
        <w:bottom w:val="none" w:sz="0" w:space="0" w:color="auto"/>
        <w:right w:val="none" w:sz="0" w:space="0" w:color="auto"/>
      </w:divBdr>
      <w:divsChild>
        <w:div w:id="284964527">
          <w:marLeft w:val="0"/>
          <w:marRight w:val="0"/>
          <w:marTop w:val="60"/>
          <w:marBottom w:val="60"/>
          <w:divBdr>
            <w:top w:val="none" w:sz="0" w:space="0" w:color="auto"/>
            <w:left w:val="none" w:sz="0" w:space="0" w:color="auto"/>
            <w:bottom w:val="none" w:sz="0" w:space="0" w:color="auto"/>
            <w:right w:val="none" w:sz="0" w:space="0" w:color="auto"/>
          </w:divBdr>
        </w:div>
      </w:divsChild>
    </w:div>
    <w:div w:id="2005082331">
      <w:marLeft w:val="0"/>
      <w:marRight w:val="0"/>
      <w:marTop w:val="180"/>
      <w:marBottom w:val="180"/>
      <w:divBdr>
        <w:top w:val="none" w:sz="0" w:space="0" w:color="auto"/>
        <w:left w:val="none" w:sz="0" w:space="0" w:color="auto"/>
        <w:bottom w:val="none" w:sz="0" w:space="0" w:color="auto"/>
        <w:right w:val="none" w:sz="0" w:space="0" w:color="auto"/>
      </w:divBdr>
    </w:div>
    <w:div w:id="2005157244">
      <w:marLeft w:val="0"/>
      <w:marRight w:val="0"/>
      <w:marTop w:val="180"/>
      <w:marBottom w:val="60"/>
      <w:divBdr>
        <w:top w:val="none" w:sz="0" w:space="0" w:color="auto"/>
        <w:left w:val="none" w:sz="0" w:space="0" w:color="auto"/>
        <w:bottom w:val="none" w:sz="0" w:space="0" w:color="auto"/>
        <w:right w:val="none" w:sz="0" w:space="0" w:color="auto"/>
      </w:divBdr>
    </w:div>
    <w:div w:id="2005552083">
      <w:marLeft w:val="0"/>
      <w:marRight w:val="0"/>
      <w:marTop w:val="0"/>
      <w:marBottom w:val="0"/>
      <w:divBdr>
        <w:top w:val="none" w:sz="0" w:space="0" w:color="auto"/>
        <w:left w:val="none" w:sz="0" w:space="0" w:color="auto"/>
        <w:bottom w:val="none" w:sz="0" w:space="0" w:color="auto"/>
        <w:right w:val="none" w:sz="0" w:space="0" w:color="auto"/>
      </w:divBdr>
    </w:div>
    <w:div w:id="2005743918">
      <w:marLeft w:val="0"/>
      <w:marRight w:val="0"/>
      <w:marTop w:val="0"/>
      <w:marBottom w:val="180"/>
      <w:divBdr>
        <w:top w:val="none" w:sz="0" w:space="0" w:color="auto"/>
        <w:left w:val="none" w:sz="0" w:space="0" w:color="auto"/>
        <w:bottom w:val="none" w:sz="0" w:space="0" w:color="auto"/>
        <w:right w:val="none" w:sz="0" w:space="0" w:color="auto"/>
      </w:divBdr>
    </w:div>
    <w:div w:id="2005820082">
      <w:marLeft w:val="0"/>
      <w:marRight w:val="0"/>
      <w:marTop w:val="0"/>
      <w:marBottom w:val="0"/>
      <w:divBdr>
        <w:top w:val="none" w:sz="0" w:space="0" w:color="auto"/>
        <w:left w:val="none" w:sz="0" w:space="0" w:color="auto"/>
        <w:bottom w:val="none" w:sz="0" w:space="0" w:color="auto"/>
        <w:right w:val="none" w:sz="0" w:space="0" w:color="auto"/>
      </w:divBdr>
    </w:div>
    <w:div w:id="2005891256">
      <w:marLeft w:val="0"/>
      <w:marRight w:val="0"/>
      <w:marTop w:val="180"/>
      <w:marBottom w:val="180"/>
      <w:divBdr>
        <w:top w:val="none" w:sz="0" w:space="0" w:color="auto"/>
        <w:left w:val="none" w:sz="0" w:space="0" w:color="auto"/>
        <w:bottom w:val="none" w:sz="0" w:space="0" w:color="auto"/>
        <w:right w:val="none" w:sz="0" w:space="0" w:color="auto"/>
      </w:divBdr>
    </w:div>
    <w:div w:id="2006276537">
      <w:marLeft w:val="0"/>
      <w:marRight w:val="0"/>
      <w:marTop w:val="100"/>
      <w:marBottom w:val="100"/>
      <w:divBdr>
        <w:top w:val="none" w:sz="0" w:space="0" w:color="auto"/>
        <w:left w:val="none" w:sz="0" w:space="0" w:color="auto"/>
        <w:bottom w:val="none" w:sz="0" w:space="0" w:color="auto"/>
        <w:right w:val="none" w:sz="0" w:space="0" w:color="auto"/>
      </w:divBdr>
      <w:divsChild>
        <w:div w:id="1365525014">
          <w:marLeft w:val="0"/>
          <w:marRight w:val="0"/>
          <w:marTop w:val="0"/>
          <w:marBottom w:val="0"/>
          <w:divBdr>
            <w:top w:val="none" w:sz="0" w:space="0" w:color="auto"/>
            <w:left w:val="none" w:sz="0" w:space="0" w:color="auto"/>
            <w:bottom w:val="none" w:sz="0" w:space="0" w:color="auto"/>
            <w:right w:val="none" w:sz="0" w:space="0" w:color="auto"/>
          </w:divBdr>
        </w:div>
      </w:divsChild>
    </w:div>
    <w:div w:id="2006518960">
      <w:marLeft w:val="0"/>
      <w:marRight w:val="0"/>
      <w:marTop w:val="0"/>
      <w:marBottom w:val="0"/>
      <w:divBdr>
        <w:top w:val="none" w:sz="0" w:space="0" w:color="auto"/>
        <w:left w:val="none" w:sz="0" w:space="0" w:color="auto"/>
        <w:bottom w:val="none" w:sz="0" w:space="0" w:color="auto"/>
        <w:right w:val="none" w:sz="0" w:space="0" w:color="auto"/>
      </w:divBdr>
    </w:div>
    <w:div w:id="2008944615">
      <w:marLeft w:val="0"/>
      <w:marRight w:val="0"/>
      <w:marTop w:val="180"/>
      <w:marBottom w:val="180"/>
      <w:divBdr>
        <w:top w:val="none" w:sz="0" w:space="0" w:color="auto"/>
        <w:left w:val="none" w:sz="0" w:space="0" w:color="auto"/>
        <w:bottom w:val="none" w:sz="0" w:space="0" w:color="auto"/>
        <w:right w:val="none" w:sz="0" w:space="0" w:color="auto"/>
      </w:divBdr>
    </w:div>
    <w:div w:id="2012104057">
      <w:marLeft w:val="0"/>
      <w:marRight w:val="0"/>
      <w:marTop w:val="180"/>
      <w:marBottom w:val="0"/>
      <w:divBdr>
        <w:top w:val="none" w:sz="0" w:space="0" w:color="auto"/>
        <w:left w:val="none" w:sz="0" w:space="0" w:color="auto"/>
        <w:bottom w:val="none" w:sz="0" w:space="0" w:color="auto"/>
        <w:right w:val="none" w:sz="0" w:space="0" w:color="auto"/>
      </w:divBdr>
    </w:div>
    <w:div w:id="2012221963">
      <w:marLeft w:val="0"/>
      <w:marRight w:val="0"/>
      <w:marTop w:val="180"/>
      <w:marBottom w:val="180"/>
      <w:divBdr>
        <w:top w:val="none" w:sz="0" w:space="0" w:color="auto"/>
        <w:left w:val="none" w:sz="0" w:space="0" w:color="auto"/>
        <w:bottom w:val="none" w:sz="0" w:space="0" w:color="auto"/>
        <w:right w:val="none" w:sz="0" w:space="0" w:color="auto"/>
      </w:divBdr>
    </w:div>
    <w:div w:id="2014019350">
      <w:marLeft w:val="0"/>
      <w:marRight w:val="0"/>
      <w:marTop w:val="180"/>
      <w:marBottom w:val="180"/>
      <w:divBdr>
        <w:top w:val="none" w:sz="0" w:space="0" w:color="auto"/>
        <w:left w:val="none" w:sz="0" w:space="0" w:color="auto"/>
        <w:bottom w:val="none" w:sz="0" w:space="0" w:color="auto"/>
        <w:right w:val="none" w:sz="0" w:space="0" w:color="auto"/>
      </w:divBdr>
    </w:div>
    <w:div w:id="2015841629">
      <w:marLeft w:val="0"/>
      <w:marRight w:val="0"/>
      <w:marTop w:val="180"/>
      <w:marBottom w:val="180"/>
      <w:divBdr>
        <w:top w:val="none" w:sz="0" w:space="0" w:color="auto"/>
        <w:left w:val="none" w:sz="0" w:space="0" w:color="auto"/>
        <w:bottom w:val="none" w:sz="0" w:space="0" w:color="auto"/>
        <w:right w:val="none" w:sz="0" w:space="0" w:color="auto"/>
      </w:divBdr>
    </w:div>
    <w:div w:id="2018312901">
      <w:marLeft w:val="0"/>
      <w:marRight w:val="0"/>
      <w:marTop w:val="0"/>
      <w:marBottom w:val="15"/>
      <w:divBdr>
        <w:top w:val="none" w:sz="0" w:space="0" w:color="auto"/>
        <w:left w:val="none" w:sz="0" w:space="0" w:color="auto"/>
        <w:bottom w:val="none" w:sz="0" w:space="0" w:color="auto"/>
        <w:right w:val="none" w:sz="0" w:space="0" w:color="auto"/>
      </w:divBdr>
    </w:div>
    <w:div w:id="2021464452">
      <w:marLeft w:val="0"/>
      <w:marRight w:val="0"/>
      <w:marTop w:val="180"/>
      <w:marBottom w:val="180"/>
      <w:divBdr>
        <w:top w:val="none" w:sz="0" w:space="0" w:color="auto"/>
        <w:left w:val="none" w:sz="0" w:space="0" w:color="auto"/>
        <w:bottom w:val="none" w:sz="0" w:space="0" w:color="auto"/>
        <w:right w:val="none" w:sz="0" w:space="0" w:color="auto"/>
      </w:divBdr>
    </w:div>
    <w:div w:id="2022076216">
      <w:marLeft w:val="0"/>
      <w:marRight w:val="0"/>
      <w:marTop w:val="180"/>
      <w:marBottom w:val="180"/>
      <w:divBdr>
        <w:top w:val="none" w:sz="0" w:space="0" w:color="auto"/>
        <w:left w:val="none" w:sz="0" w:space="0" w:color="auto"/>
        <w:bottom w:val="none" w:sz="0" w:space="0" w:color="auto"/>
        <w:right w:val="none" w:sz="0" w:space="0" w:color="auto"/>
      </w:divBdr>
    </w:div>
    <w:div w:id="2022271495">
      <w:marLeft w:val="0"/>
      <w:marRight w:val="0"/>
      <w:marTop w:val="100"/>
      <w:marBottom w:val="100"/>
      <w:divBdr>
        <w:top w:val="none" w:sz="0" w:space="0" w:color="auto"/>
        <w:left w:val="none" w:sz="0" w:space="0" w:color="auto"/>
        <w:bottom w:val="none" w:sz="0" w:space="0" w:color="auto"/>
        <w:right w:val="none" w:sz="0" w:space="0" w:color="auto"/>
      </w:divBdr>
    </w:div>
    <w:div w:id="2023702563">
      <w:marLeft w:val="0"/>
      <w:marRight w:val="0"/>
      <w:marTop w:val="180"/>
      <w:marBottom w:val="180"/>
      <w:divBdr>
        <w:top w:val="none" w:sz="0" w:space="0" w:color="auto"/>
        <w:left w:val="none" w:sz="0" w:space="0" w:color="auto"/>
        <w:bottom w:val="none" w:sz="0" w:space="0" w:color="auto"/>
        <w:right w:val="none" w:sz="0" w:space="0" w:color="auto"/>
      </w:divBdr>
    </w:div>
    <w:div w:id="2024161293">
      <w:marLeft w:val="0"/>
      <w:marRight w:val="0"/>
      <w:marTop w:val="180"/>
      <w:marBottom w:val="180"/>
      <w:divBdr>
        <w:top w:val="none" w:sz="0" w:space="0" w:color="auto"/>
        <w:left w:val="none" w:sz="0" w:space="0" w:color="auto"/>
        <w:bottom w:val="none" w:sz="0" w:space="0" w:color="auto"/>
        <w:right w:val="none" w:sz="0" w:space="0" w:color="auto"/>
      </w:divBdr>
    </w:div>
    <w:div w:id="2025401154">
      <w:marLeft w:val="0"/>
      <w:marRight w:val="0"/>
      <w:marTop w:val="0"/>
      <w:marBottom w:val="0"/>
      <w:divBdr>
        <w:top w:val="none" w:sz="0" w:space="0" w:color="auto"/>
        <w:left w:val="none" w:sz="0" w:space="0" w:color="auto"/>
        <w:bottom w:val="none" w:sz="0" w:space="0" w:color="auto"/>
        <w:right w:val="none" w:sz="0" w:space="0" w:color="auto"/>
      </w:divBdr>
    </w:div>
    <w:div w:id="2026319832">
      <w:marLeft w:val="0"/>
      <w:marRight w:val="0"/>
      <w:marTop w:val="180"/>
      <w:marBottom w:val="180"/>
      <w:divBdr>
        <w:top w:val="none" w:sz="0" w:space="0" w:color="auto"/>
        <w:left w:val="none" w:sz="0" w:space="0" w:color="auto"/>
        <w:bottom w:val="none" w:sz="0" w:space="0" w:color="auto"/>
        <w:right w:val="none" w:sz="0" w:space="0" w:color="auto"/>
      </w:divBdr>
    </w:div>
    <w:div w:id="2026862205">
      <w:marLeft w:val="0"/>
      <w:marRight w:val="0"/>
      <w:marTop w:val="180"/>
      <w:marBottom w:val="180"/>
      <w:divBdr>
        <w:top w:val="none" w:sz="0" w:space="0" w:color="auto"/>
        <w:left w:val="none" w:sz="0" w:space="0" w:color="auto"/>
        <w:bottom w:val="none" w:sz="0" w:space="0" w:color="auto"/>
        <w:right w:val="none" w:sz="0" w:space="0" w:color="auto"/>
      </w:divBdr>
    </w:div>
    <w:div w:id="2028825339">
      <w:marLeft w:val="0"/>
      <w:marRight w:val="0"/>
      <w:marTop w:val="180"/>
      <w:marBottom w:val="180"/>
      <w:divBdr>
        <w:top w:val="none" w:sz="0" w:space="0" w:color="auto"/>
        <w:left w:val="none" w:sz="0" w:space="0" w:color="auto"/>
        <w:bottom w:val="none" w:sz="0" w:space="0" w:color="auto"/>
        <w:right w:val="none" w:sz="0" w:space="0" w:color="auto"/>
      </w:divBdr>
    </w:div>
    <w:div w:id="2029595426">
      <w:marLeft w:val="0"/>
      <w:marRight w:val="0"/>
      <w:marTop w:val="180"/>
      <w:marBottom w:val="0"/>
      <w:divBdr>
        <w:top w:val="none" w:sz="0" w:space="0" w:color="auto"/>
        <w:left w:val="none" w:sz="0" w:space="0" w:color="auto"/>
        <w:bottom w:val="none" w:sz="0" w:space="0" w:color="auto"/>
        <w:right w:val="none" w:sz="0" w:space="0" w:color="auto"/>
      </w:divBdr>
    </w:div>
    <w:div w:id="2030136209">
      <w:marLeft w:val="0"/>
      <w:marRight w:val="0"/>
      <w:marTop w:val="180"/>
      <w:marBottom w:val="180"/>
      <w:divBdr>
        <w:top w:val="none" w:sz="0" w:space="0" w:color="auto"/>
        <w:left w:val="none" w:sz="0" w:space="0" w:color="auto"/>
        <w:bottom w:val="none" w:sz="0" w:space="0" w:color="auto"/>
        <w:right w:val="none" w:sz="0" w:space="0" w:color="auto"/>
      </w:divBdr>
    </w:div>
    <w:div w:id="2031107692">
      <w:marLeft w:val="0"/>
      <w:marRight w:val="0"/>
      <w:marTop w:val="180"/>
      <w:marBottom w:val="180"/>
      <w:divBdr>
        <w:top w:val="none" w:sz="0" w:space="0" w:color="auto"/>
        <w:left w:val="none" w:sz="0" w:space="0" w:color="auto"/>
        <w:bottom w:val="none" w:sz="0" w:space="0" w:color="auto"/>
        <w:right w:val="none" w:sz="0" w:space="0" w:color="auto"/>
      </w:divBdr>
    </w:div>
    <w:div w:id="2031712894">
      <w:marLeft w:val="0"/>
      <w:marRight w:val="0"/>
      <w:marTop w:val="180"/>
      <w:marBottom w:val="180"/>
      <w:divBdr>
        <w:top w:val="none" w:sz="0" w:space="0" w:color="auto"/>
        <w:left w:val="none" w:sz="0" w:space="0" w:color="auto"/>
        <w:bottom w:val="none" w:sz="0" w:space="0" w:color="auto"/>
        <w:right w:val="none" w:sz="0" w:space="0" w:color="auto"/>
      </w:divBdr>
    </w:div>
    <w:div w:id="2032144843">
      <w:marLeft w:val="0"/>
      <w:marRight w:val="0"/>
      <w:marTop w:val="180"/>
      <w:marBottom w:val="0"/>
      <w:divBdr>
        <w:top w:val="none" w:sz="0" w:space="0" w:color="auto"/>
        <w:left w:val="none" w:sz="0" w:space="0" w:color="auto"/>
        <w:bottom w:val="none" w:sz="0" w:space="0" w:color="auto"/>
        <w:right w:val="none" w:sz="0" w:space="0" w:color="auto"/>
      </w:divBdr>
    </w:div>
    <w:div w:id="2032491784">
      <w:marLeft w:val="0"/>
      <w:marRight w:val="0"/>
      <w:marTop w:val="180"/>
      <w:marBottom w:val="180"/>
      <w:divBdr>
        <w:top w:val="none" w:sz="0" w:space="0" w:color="auto"/>
        <w:left w:val="none" w:sz="0" w:space="0" w:color="auto"/>
        <w:bottom w:val="none" w:sz="0" w:space="0" w:color="auto"/>
        <w:right w:val="none" w:sz="0" w:space="0" w:color="auto"/>
      </w:divBdr>
    </w:div>
    <w:div w:id="2032956047">
      <w:marLeft w:val="0"/>
      <w:marRight w:val="0"/>
      <w:marTop w:val="180"/>
      <w:marBottom w:val="180"/>
      <w:divBdr>
        <w:top w:val="none" w:sz="0" w:space="0" w:color="auto"/>
        <w:left w:val="none" w:sz="0" w:space="0" w:color="auto"/>
        <w:bottom w:val="none" w:sz="0" w:space="0" w:color="auto"/>
        <w:right w:val="none" w:sz="0" w:space="0" w:color="auto"/>
      </w:divBdr>
    </w:div>
    <w:div w:id="2033215022">
      <w:marLeft w:val="0"/>
      <w:marRight w:val="0"/>
      <w:marTop w:val="0"/>
      <w:marBottom w:val="0"/>
      <w:divBdr>
        <w:top w:val="none" w:sz="0" w:space="0" w:color="auto"/>
        <w:left w:val="none" w:sz="0" w:space="0" w:color="auto"/>
        <w:bottom w:val="none" w:sz="0" w:space="0" w:color="auto"/>
        <w:right w:val="none" w:sz="0" w:space="0" w:color="auto"/>
      </w:divBdr>
    </w:div>
    <w:div w:id="2034531596">
      <w:marLeft w:val="0"/>
      <w:marRight w:val="0"/>
      <w:marTop w:val="0"/>
      <w:marBottom w:val="0"/>
      <w:divBdr>
        <w:top w:val="none" w:sz="0" w:space="0" w:color="auto"/>
        <w:left w:val="none" w:sz="0" w:space="0" w:color="auto"/>
        <w:bottom w:val="none" w:sz="0" w:space="0" w:color="auto"/>
        <w:right w:val="none" w:sz="0" w:space="0" w:color="auto"/>
      </w:divBdr>
      <w:divsChild>
        <w:div w:id="1732994208">
          <w:marLeft w:val="0"/>
          <w:marRight w:val="0"/>
          <w:marTop w:val="180"/>
          <w:marBottom w:val="180"/>
          <w:divBdr>
            <w:top w:val="none" w:sz="0" w:space="0" w:color="auto"/>
            <w:left w:val="none" w:sz="0" w:space="0" w:color="auto"/>
            <w:bottom w:val="none" w:sz="0" w:space="0" w:color="auto"/>
            <w:right w:val="none" w:sz="0" w:space="0" w:color="auto"/>
          </w:divBdr>
        </w:div>
      </w:divsChild>
    </w:div>
    <w:div w:id="2034769007">
      <w:marLeft w:val="0"/>
      <w:marRight w:val="0"/>
      <w:marTop w:val="0"/>
      <w:marBottom w:val="0"/>
      <w:divBdr>
        <w:top w:val="none" w:sz="0" w:space="0" w:color="auto"/>
        <w:left w:val="none" w:sz="0" w:space="0" w:color="auto"/>
        <w:bottom w:val="none" w:sz="0" w:space="0" w:color="auto"/>
        <w:right w:val="none" w:sz="0" w:space="0" w:color="auto"/>
      </w:divBdr>
      <w:divsChild>
        <w:div w:id="945962488">
          <w:marLeft w:val="0"/>
          <w:marRight w:val="0"/>
          <w:marTop w:val="0"/>
          <w:marBottom w:val="0"/>
          <w:divBdr>
            <w:top w:val="none" w:sz="0" w:space="0" w:color="auto"/>
            <w:left w:val="none" w:sz="0" w:space="0" w:color="auto"/>
            <w:bottom w:val="none" w:sz="0" w:space="0" w:color="auto"/>
            <w:right w:val="none" w:sz="0" w:space="0" w:color="auto"/>
          </w:divBdr>
          <w:divsChild>
            <w:div w:id="1475677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998077">
      <w:marLeft w:val="0"/>
      <w:marRight w:val="0"/>
      <w:marTop w:val="180"/>
      <w:marBottom w:val="180"/>
      <w:divBdr>
        <w:top w:val="none" w:sz="0" w:space="0" w:color="auto"/>
        <w:left w:val="none" w:sz="0" w:space="0" w:color="auto"/>
        <w:bottom w:val="none" w:sz="0" w:space="0" w:color="auto"/>
        <w:right w:val="none" w:sz="0" w:space="0" w:color="auto"/>
      </w:divBdr>
    </w:div>
    <w:div w:id="2038383802">
      <w:marLeft w:val="0"/>
      <w:marRight w:val="0"/>
      <w:marTop w:val="60"/>
      <w:marBottom w:val="60"/>
      <w:divBdr>
        <w:top w:val="none" w:sz="0" w:space="0" w:color="auto"/>
        <w:left w:val="none" w:sz="0" w:space="0" w:color="auto"/>
        <w:bottom w:val="none" w:sz="0" w:space="0" w:color="auto"/>
        <w:right w:val="none" w:sz="0" w:space="0" w:color="auto"/>
      </w:divBdr>
    </w:div>
    <w:div w:id="2041465260">
      <w:marLeft w:val="0"/>
      <w:marRight w:val="0"/>
      <w:marTop w:val="0"/>
      <w:marBottom w:val="0"/>
      <w:divBdr>
        <w:top w:val="none" w:sz="0" w:space="0" w:color="auto"/>
        <w:left w:val="none" w:sz="0" w:space="0" w:color="auto"/>
        <w:bottom w:val="none" w:sz="0" w:space="0" w:color="auto"/>
        <w:right w:val="none" w:sz="0" w:space="0" w:color="auto"/>
      </w:divBdr>
      <w:divsChild>
        <w:div w:id="2107381141">
          <w:marLeft w:val="0"/>
          <w:marRight w:val="0"/>
          <w:marTop w:val="0"/>
          <w:marBottom w:val="0"/>
          <w:divBdr>
            <w:top w:val="none" w:sz="0" w:space="0" w:color="auto"/>
            <w:left w:val="none" w:sz="0" w:space="0" w:color="auto"/>
            <w:bottom w:val="none" w:sz="0" w:space="0" w:color="auto"/>
            <w:right w:val="none" w:sz="0" w:space="0" w:color="auto"/>
          </w:divBdr>
          <w:divsChild>
            <w:div w:id="3255205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1858218">
      <w:marLeft w:val="0"/>
      <w:marRight w:val="0"/>
      <w:marTop w:val="180"/>
      <w:marBottom w:val="180"/>
      <w:divBdr>
        <w:top w:val="none" w:sz="0" w:space="0" w:color="auto"/>
        <w:left w:val="none" w:sz="0" w:space="0" w:color="auto"/>
        <w:bottom w:val="none" w:sz="0" w:space="0" w:color="auto"/>
        <w:right w:val="none" w:sz="0" w:space="0" w:color="auto"/>
      </w:divBdr>
    </w:div>
    <w:div w:id="2041973482">
      <w:marLeft w:val="0"/>
      <w:marRight w:val="0"/>
      <w:marTop w:val="180"/>
      <w:marBottom w:val="0"/>
      <w:divBdr>
        <w:top w:val="none" w:sz="0" w:space="0" w:color="auto"/>
        <w:left w:val="none" w:sz="0" w:space="0" w:color="auto"/>
        <w:bottom w:val="none" w:sz="0" w:space="0" w:color="auto"/>
        <w:right w:val="none" w:sz="0" w:space="0" w:color="auto"/>
      </w:divBdr>
    </w:div>
    <w:div w:id="2042431830">
      <w:marLeft w:val="0"/>
      <w:marRight w:val="0"/>
      <w:marTop w:val="180"/>
      <w:marBottom w:val="180"/>
      <w:divBdr>
        <w:top w:val="none" w:sz="0" w:space="0" w:color="auto"/>
        <w:left w:val="none" w:sz="0" w:space="0" w:color="auto"/>
        <w:bottom w:val="none" w:sz="0" w:space="0" w:color="auto"/>
        <w:right w:val="none" w:sz="0" w:space="0" w:color="auto"/>
      </w:divBdr>
    </w:div>
    <w:div w:id="2042586213">
      <w:marLeft w:val="0"/>
      <w:marRight w:val="0"/>
      <w:marTop w:val="180"/>
      <w:marBottom w:val="180"/>
      <w:divBdr>
        <w:top w:val="none" w:sz="0" w:space="0" w:color="auto"/>
        <w:left w:val="none" w:sz="0" w:space="0" w:color="auto"/>
        <w:bottom w:val="none" w:sz="0" w:space="0" w:color="auto"/>
        <w:right w:val="none" w:sz="0" w:space="0" w:color="auto"/>
      </w:divBdr>
    </w:div>
    <w:div w:id="2042657970">
      <w:marLeft w:val="0"/>
      <w:marRight w:val="0"/>
      <w:marTop w:val="180"/>
      <w:marBottom w:val="180"/>
      <w:divBdr>
        <w:top w:val="none" w:sz="0" w:space="0" w:color="auto"/>
        <w:left w:val="none" w:sz="0" w:space="0" w:color="auto"/>
        <w:bottom w:val="none" w:sz="0" w:space="0" w:color="auto"/>
        <w:right w:val="none" w:sz="0" w:space="0" w:color="auto"/>
      </w:divBdr>
    </w:div>
    <w:div w:id="2043163435">
      <w:marLeft w:val="0"/>
      <w:marRight w:val="0"/>
      <w:marTop w:val="180"/>
      <w:marBottom w:val="180"/>
      <w:divBdr>
        <w:top w:val="none" w:sz="0" w:space="0" w:color="auto"/>
        <w:left w:val="none" w:sz="0" w:space="0" w:color="auto"/>
        <w:bottom w:val="none" w:sz="0" w:space="0" w:color="auto"/>
        <w:right w:val="none" w:sz="0" w:space="0" w:color="auto"/>
      </w:divBdr>
    </w:div>
    <w:div w:id="2044792715">
      <w:marLeft w:val="0"/>
      <w:marRight w:val="0"/>
      <w:marTop w:val="180"/>
      <w:marBottom w:val="180"/>
      <w:divBdr>
        <w:top w:val="none" w:sz="0" w:space="0" w:color="auto"/>
        <w:left w:val="none" w:sz="0" w:space="0" w:color="auto"/>
        <w:bottom w:val="none" w:sz="0" w:space="0" w:color="auto"/>
        <w:right w:val="none" w:sz="0" w:space="0" w:color="auto"/>
      </w:divBdr>
    </w:div>
    <w:div w:id="2044866193">
      <w:marLeft w:val="0"/>
      <w:marRight w:val="0"/>
      <w:marTop w:val="100"/>
      <w:marBottom w:val="100"/>
      <w:divBdr>
        <w:top w:val="none" w:sz="0" w:space="0" w:color="auto"/>
        <w:left w:val="none" w:sz="0" w:space="0" w:color="auto"/>
        <w:bottom w:val="none" w:sz="0" w:space="0" w:color="auto"/>
        <w:right w:val="none" w:sz="0" w:space="0" w:color="auto"/>
      </w:divBdr>
      <w:divsChild>
        <w:div w:id="2118718033">
          <w:marLeft w:val="0"/>
          <w:marRight w:val="0"/>
          <w:marTop w:val="0"/>
          <w:marBottom w:val="0"/>
          <w:divBdr>
            <w:top w:val="none" w:sz="0" w:space="0" w:color="auto"/>
            <w:left w:val="none" w:sz="0" w:space="0" w:color="auto"/>
            <w:bottom w:val="none" w:sz="0" w:space="0" w:color="auto"/>
            <w:right w:val="none" w:sz="0" w:space="0" w:color="auto"/>
          </w:divBdr>
        </w:div>
        <w:div w:id="1045759756">
          <w:marLeft w:val="0"/>
          <w:marRight w:val="0"/>
          <w:marTop w:val="0"/>
          <w:marBottom w:val="0"/>
          <w:divBdr>
            <w:top w:val="none" w:sz="0" w:space="0" w:color="auto"/>
            <w:left w:val="none" w:sz="0" w:space="0" w:color="auto"/>
            <w:bottom w:val="none" w:sz="0" w:space="0" w:color="auto"/>
            <w:right w:val="none" w:sz="0" w:space="0" w:color="auto"/>
          </w:divBdr>
        </w:div>
        <w:div w:id="1708873273">
          <w:marLeft w:val="0"/>
          <w:marRight w:val="0"/>
          <w:marTop w:val="0"/>
          <w:marBottom w:val="0"/>
          <w:divBdr>
            <w:top w:val="none" w:sz="0" w:space="0" w:color="auto"/>
            <w:left w:val="none" w:sz="0" w:space="0" w:color="auto"/>
            <w:bottom w:val="none" w:sz="0" w:space="0" w:color="auto"/>
            <w:right w:val="none" w:sz="0" w:space="0" w:color="auto"/>
          </w:divBdr>
        </w:div>
        <w:div w:id="2101367932">
          <w:marLeft w:val="0"/>
          <w:marRight w:val="0"/>
          <w:marTop w:val="0"/>
          <w:marBottom w:val="0"/>
          <w:divBdr>
            <w:top w:val="none" w:sz="0" w:space="0" w:color="auto"/>
            <w:left w:val="none" w:sz="0" w:space="0" w:color="auto"/>
            <w:bottom w:val="none" w:sz="0" w:space="0" w:color="auto"/>
            <w:right w:val="none" w:sz="0" w:space="0" w:color="auto"/>
          </w:divBdr>
        </w:div>
        <w:div w:id="999311082">
          <w:marLeft w:val="0"/>
          <w:marRight w:val="0"/>
          <w:marTop w:val="0"/>
          <w:marBottom w:val="0"/>
          <w:divBdr>
            <w:top w:val="none" w:sz="0" w:space="0" w:color="auto"/>
            <w:left w:val="none" w:sz="0" w:space="0" w:color="auto"/>
            <w:bottom w:val="none" w:sz="0" w:space="0" w:color="auto"/>
            <w:right w:val="none" w:sz="0" w:space="0" w:color="auto"/>
          </w:divBdr>
        </w:div>
        <w:div w:id="380205371">
          <w:marLeft w:val="0"/>
          <w:marRight w:val="0"/>
          <w:marTop w:val="0"/>
          <w:marBottom w:val="0"/>
          <w:divBdr>
            <w:top w:val="none" w:sz="0" w:space="0" w:color="auto"/>
            <w:left w:val="none" w:sz="0" w:space="0" w:color="auto"/>
            <w:bottom w:val="none" w:sz="0" w:space="0" w:color="auto"/>
            <w:right w:val="none" w:sz="0" w:space="0" w:color="auto"/>
          </w:divBdr>
        </w:div>
        <w:div w:id="170147518">
          <w:marLeft w:val="0"/>
          <w:marRight w:val="0"/>
          <w:marTop w:val="0"/>
          <w:marBottom w:val="0"/>
          <w:divBdr>
            <w:top w:val="none" w:sz="0" w:space="0" w:color="auto"/>
            <w:left w:val="none" w:sz="0" w:space="0" w:color="auto"/>
            <w:bottom w:val="none" w:sz="0" w:space="0" w:color="auto"/>
            <w:right w:val="none" w:sz="0" w:space="0" w:color="auto"/>
          </w:divBdr>
        </w:div>
      </w:divsChild>
    </w:div>
    <w:div w:id="2045054588">
      <w:marLeft w:val="0"/>
      <w:marRight w:val="0"/>
      <w:marTop w:val="180"/>
      <w:marBottom w:val="180"/>
      <w:divBdr>
        <w:top w:val="none" w:sz="0" w:space="0" w:color="auto"/>
        <w:left w:val="none" w:sz="0" w:space="0" w:color="auto"/>
        <w:bottom w:val="none" w:sz="0" w:space="0" w:color="auto"/>
        <w:right w:val="none" w:sz="0" w:space="0" w:color="auto"/>
      </w:divBdr>
    </w:div>
    <w:div w:id="2045133734">
      <w:marLeft w:val="0"/>
      <w:marRight w:val="0"/>
      <w:marTop w:val="180"/>
      <w:marBottom w:val="180"/>
      <w:divBdr>
        <w:top w:val="none" w:sz="0" w:space="0" w:color="auto"/>
        <w:left w:val="none" w:sz="0" w:space="0" w:color="auto"/>
        <w:bottom w:val="none" w:sz="0" w:space="0" w:color="auto"/>
        <w:right w:val="none" w:sz="0" w:space="0" w:color="auto"/>
      </w:divBdr>
    </w:div>
    <w:div w:id="2046370600">
      <w:marLeft w:val="0"/>
      <w:marRight w:val="0"/>
      <w:marTop w:val="180"/>
      <w:marBottom w:val="180"/>
      <w:divBdr>
        <w:top w:val="none" w:sz="0" w:space="0" w:color="auto"/>
        <w:left w:val="none" w:sz="0" w:space="0" w:color="auto"/>
        <w:bottom w:val="none" w:sz="0" w:space="0" w:color="auto"/>
        <w:right w:val="none" w:sz="0" w:space="0" w:color="auto"/>
      </w:divBdr>
    </w:div>
    <w:div w:id="2047678842">
      <w:marLeft w:val="0"/>
      <w:marRight w:val="0"/>
      <w:marTop w:val="180"/>
      <w:marBottom w:val="180"/>
      <w:divBdr>
        <w:top w:val="none" w:sz="0" w:space="0" w:color="auto"/>
        <w:left w:val="none" w:sz="0" w:space="0" w:color="auto"/>
        <w:bottom w:val="none" w:sz="0" w:space="0" w:color="auto"/>
        <w:right w:val="none" w:sz="0" w:space="0" w:color="auto"/>
      </w:divBdr>
    </w:div>
    <w:div w:id="2048407316">
      <w:marLeft w:val="0"/>
      <w:marRight w:val="0"/>
      <w:marTop w:val="180"/>
      <w:marBottom w:val="180"/>
      <w:divBdr>
        <w:top w:val="none" w:sz="0" w:space="0" w:color="auto"/>
        <w:left w:val="none" w:sz="0" w:space="0" w:color="auto"/>
        <w:bottom w:val="none" w:sz="0" w:space="0" w:color="auto"/>
        <w:right w:val="none" w:sz="0" w:space="0" w:color="auto"/>
      </w:divBdr>
    </w:div>
    <w:div w:id="2050062870">
      <w:marLeft w:val="0"/>
      <w:marRight w:val="0"/>
      <w:marTop w:val="0"/>
      <w:marBottom w:val="0"/>
      <w:divBdr>
        <w:top w:val="none" w:sz="0" w:space="0" w:color="auto"/>
        <w:left w:val="none" w:sz="0" w:space="0" w:color="auto"/>
        <w:bottom w:val="none" w:sz="0" w:space="0" w:color="auto"/>
        <w:right w:val="none" w:sz="0" w:space="0" w:color="auto"/>
      </w:divBdr>
    </w:div>
    <w:div w:id="2051103656">
      <w:marLeft w:val="0"/>
      <w:marRight w:val="0"/>
      <w:marTop w:val="180"/>
      <w:marBottom w:val="180"/>
      <w:divBdr>
        <w:top w:val="none" w:sz="0" w:space="0" w:color="auto"/>
        <w:left w:val="none" w:sz="0" w:space="0" w:color="auto"/>
        <w:bottom w:val="none" w:sz="0" w:space="0" w:color="auto"/>
        <w:right w:val="none" w:sz="0" w:space="0" w:color="auto"/>
      </w:divBdr>
    </w:div>
    <w:div w:id="2051682341">
      <w:marLeft w:val="0"/>
      <w:marRight w:val="0"/>
      <w:marTop w:val="180"/>
      <w:marBottom w:val="180"/>
      <w:divBdr>
        <w:top w:val="none" w:sz="0" w:space="0" w:color="auto"/>
        <w:left w:val="none" w:sz="0" w:space="0" w:color="auto"/>
        <w:bottom w:val="none" w:sz="0" w:space="0" w:color="auto"/>
        <w:right w:val="none" w:sz="0" w:space="0" w:color="auto"/>
      </w:divBdr>
    </w:div>
    <w:div w:id="2052681745">
      <w:marLeft w:val="0"/>
      <w:marRight w:val="0"/>
      <w:marTop w:val="60"/>
      <w:marBottom w:val="60"/>
      <w:divBdr>
        <w:top w:val="none" w:sz="0" w:space="0" w:color="auto"/>
        <w:left w:val="none" w:sz="0" w:space="0" w:color="auto"/>
        <w:bottom w:val="none" w:sz="0" w:space="0" w:color="auto"/>
        <w:right w:val="none" w:sz="0" w:space="0" w:color="auto"/>
      </w:divBdr>
    </w:div>
    <w:div w:id="2053455777">
      <w:marLeft w:val="0"/>
      <w:marRight w:val="0"/>
      <w:marTop w:val="180"/>
      <w:marBottom w:val="180"/>
      <w:divBdr>
        <w:top w:val="none" w:sz="0" w:space="0" w:color="auto"/>
        <w:left w:val="none" w:sz="0" w:space="0" w:color="auto"/>
        <w:bottom w:val="none" w:sz="0" w:space="0" w:color="auto"/>
        <w:right w:val="none" w:sz="0" w:space="0" w:color="auto"/>
      </w:divBdr>
    </w:div>
    <w:div w:id="2054577211">
      <w:marLeft w:val="0"/>
      <w:marRight w:val="0"/>
      <w:marTop w:val="180"/>
      <w:marBottom w:val="180"/>
      <w:divBdr>
        <w:top w:val="none" w:sz="0" w:space="0" w:color="auto"/>
        <w:left w:val="none" w:sz="0" w:space="0" w:color="auto"/>
        <w:bottom w:val="none" w:sz="0" w:space="0" w:color="auto"/>
        <w:right w:val="none" w:sz="0" w:space="0" w:color="auto"/>
      </w:divBdr>
    </w:div>
    <w:div w:id="2054890310">
      <w:marLeft w:val="0"/>
      <w:marRight w:val="0"/>
      <w:marTop w:val="180"/>
      <w:marBottom w:val="180"/>
      <w:divBdr>
        <w:top w:val="none" w:sz="0" w:space="0" w:color="auto"/>
        <w:left w:val="none" w:sz="0" w:space="0" w:color="auto"/>
        <w:bottom w:val="none" w:sz="0" w:space="0" w:color="auto"/>
        <w:right w:val="none" w:sz="0" w:space="0" w:color="auto"/>
      </w:divBdr>
    </w:div>
    <w:div w:id="2057965307">
      <w:marLeft w:val="0"/>
      <w:marRight w:val="0"/>
      <w:marTop w:val="180"/>
      <w:marBottom w:val="180"/>
      <w:divBdr>
        <w:top w:val="none" w:sz="0" w:space="0" w:color="auto"/>
        <w:left w:val="none" w:sz="0" w:space="0" w:color="auto"/>
        <w:bottom w:val="none" w:sz="0" w:space="0" w:color="auto"/>
        <w:right w:val="none" w:sz="0" w:space="0" w:color="auto"/>
      </w:divBdr>
    </w:div>
    <w:div w:id="2058699723">
      <w:marLeft w:val="0"/>
      <w:marRight w:val="0"/>
      <w:marTop w:val="0"/>
      <w:marBottom w:val="0"/>
      <w:divBdr>
        <w:top w:val="none" w:sz="0" w:space="0" w:color="auto"/>
        <w:left w:val="none" w:sz="0" w:space="0" w:color="auto"/>
        <w:bottom w:val="none" w:sz="0" w:space="0" w:color="auto"/>
        <w:right w:val="none" w:sz="0" w:space="0" w:color="auto"/>
      </w:divBdr>
      <w:divsChild>
        <w:div w:id="474370007">
          <w:marLeft w:val="0"/>
          <w:marRight w:val="0"/>
          <w:marTop w:val="60"/>
          <w:marBottom w:val="60"/>
          <w:divBdr>
            <w:top w:val="none" w:sz="0" w:space="0" w:color="auto"/>
            <w:left w:val="none" w:sz="0" w:space="0" w:color="auto"/>
            <w:bottom w:val="none" w:sz="0" w:space="0" w:color="auto"/>
            <w:right w:val="none" w:sz="0" w:space="0" w:color="auto"/>
          </w:divBdr>
        </w:div>
      </w:divsChild>
    </w:div>
    <w:div w:id="2058776586">
      <w:marLeft w:val="0"/>
      <w:marRight w:val="0"/>
      <w:marTop w:val="0"/>
      <w:marBottom w:val="0"/>
      <w:divBdr>
        <w:top w:val="none" w:sz="0" w:space="0" w:color="auto"/>
        <w:left w:val="none" w:sz="0" w:space="0" w:color="auto"/>
        <w:bottom w:val="none" w:sz="0" w:space="0" w:color="auto"/>
        <w:right w:val="none" w:sz="0" w:space="0" w:color="auto"/>
      </w:divBdr>
      <w:divsChild>
        <w:div w:id="353919800">
          <w:marLeft w:val="0"/>
          <w:marRight w:val="0"/>
          <w:marTop w:val="60"/>
          <w:marBottom w:val="60"/>
          <w:divBdr>
            <w:top w:val="none" w:sz="0" w:space="0" w:color="auto"/>
            <w:left w:val="none" w:sz="0" w:space="0" w:color="auto"/>
            <w:bottom w:val="none" w:sz="0" w:space="0" w:color="auto"/>
            <w:right w:val="none" w:sz="0" w:space="0" w:color="auto"/>
          </w:divBdr>
        </w:div>
      </w:divsChild>
    </w:div>
    <w:div w:id="2058820717">
      <w:marLeft w:val="0"/>
      <w:marRight w:val="0"/>
      <w:marTop w:val="180"/>
      <w:marBottom w:val="180"/>
      <w:divBdr>
        <w:top w:val="none" w:sz="0" w:space="0" w:color="auto"/>
        <w:left w:val="none" w:sz="0" w:space="0" w:color="auto"/>
        <w:bottom w:val="none" w:sz="0" w:space="0" w:color="auto"/>
        <w:right w:val="none" w:sz="0" w:space="0" w:color="auto"/>
      </w:divBdr>
    </w:div>
    <w:div w:id="2059894182">
      <w:marLeft w:val="0"/>
      <w:marRight w:val="0"/>
      <w:marTop w:val="180"/>
      <w:marBottom w:val="180"/>
      <w:divBdr>
        <w:top w:val="none" w:sz="0" w:space="0" w:color="auto"/>
        <w:left w:val="none" w:sz="0" w:space="0" w:color="auto"/>
        <w:bottom w:val="none" w:sz="0" w:space="0" w:color="auto"/>
        <w:right w:val="none" w:sz="0" w:space="0" w:color="auto"/>
      </w:divBdr>
    </w:div>
    <w:div w:id="2062245961">
      <w:marLeft w:val="0"/>
      <w:marRight w:val="0"/>
      <w:marTop w:val="0"/>
      <w:marBottom w:val="0"/>
      <w:divBdr>
        <w:top w:val="none" w:sz="0" w:space="0" w:color="auto"/>
        <w:left w:val="none" w:sz="0" w:space="0" w:color="auto"/>
        <w:bottom w:val="none" w:sz="0" w:space="0" w:color="auto"/>
        <w:right w:val="none" w:sz="0" w:space="0" w:color="auto"/>
      </w:divBdr>
      <w:divsChild>
        <w:div w:id="1342855447">
          <w:marLeft w:val="0"/>
          <w:marRight w:val="0"/>
          <w:marTop w:val="0"/>
          <w:marBottom w:val="0"/>
          <w:divBdr>
            <w:top w:val="none" w:sz="0" w:space="0" w:color="auto"/>
            <w:left w:val="none" w:sz="0" w:space="0" w:color="auto"/>
            <w:bottom w:val="none" w:sz="0" w:space="0" w:color="auto"/>
            <w:right w:val="none" w:sz="0" w:space="0" w:color="auto"/>
          </w:divBdr>
          <w:divsChild>
            <w:div w:id="7515808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3165234">
      <w:marLeft w:val="0"/>
      <w:marRight w:val="0"/>
      <w:marTop w:val="180"/>
      <w:marBottom w:val="180"/>
      <w:divBdr>
        <w:top w:val="none" w:sz="0" w:space="0" w:color="auto"/>
        <w:left w:val="none" w:sz="0" w:space="0" w:color="auto"/>
        <w:bottom w:val="none" w:sz="0" w:space="0" w:color="auto"/>
        <w:right w:val="none" w:sz="0" w:space="0" w:color="auto"/>
      </w:divBdr>
    </w:div>
    <w:div w:id="2065635375">
      <w:marLeft w:val="0"/>
      <w:marRight w:val="0"/>
      <w:marTop w:val="100"/>
      <w:marBottom w:val="100"/>
      <w:divBdr>
        <w:top w:val="none" w:sz="0" w:space="0" w:color="auto"/>
        <w:left w:val="none" w:sz="0" w:space="0" w:color="auto"/>
        <w:bottom w:val="none" w:sz="0" w:space="0" w:color="auto"/>
        <w:right w:val="none" w:sz="0" w:space="0" w:color="auto"/>
      </w:divBdr>
    </w:div>
    <w:div w:id="2066220498">
      <w:marLeft w:val="0"/>
      <w:marRight w:val="0"/>
      <w:marTop w:val="180"/>
      <w:marBottom w:val="180"/>
      <w:divBdr>
        <w:top w:val="none" w:sz="0" w:space="0" w:color="auto"/>
        <w:left w:val="none" w:sz="0" w:space="0" w:color="auto"/>
        <w:bottom w:val="none" w:sz="0" w:space="0" w:color="auto"/>
        <w:right w:val="none" w:sz="0" w:space="0" w:color="auto"/>
      </w:divBdr>
    </w:div>
    <w:div w:id="2066445554">
      <w:marLeft w:val="0"/>
      <w:marRight w:val="0"/>
      <w:marTop w:val="0"/>
      <w:marBottom w:val="0"/>
      <w:divBdr>
        <w:top w:val="none" w:sz="0" w:space="0" w:color="auto"/>
        <w:left w:val="none" w:sz="0" w:space="0" w:color="auto"/>
        <w:bottom w:val="none" w:sz="0" w:space="0" w:color="auto"/>
        <w:right w:val="none" w:sz="0" w:space="0" w:color="auto"/>
      </w:divBdr>
      <w:divsChild>
        <w:div w:id="1459957456">
          <w:marLeft w:val="0"/>
          <w:marRight w:val="0"/>
          <w:marTop w:val="0"/>
          <w:marBottom w:val="0"/>
          <w:divBdr>
            <w:top w:val="none" w:sz="0" w:space="0" w:color="auto"/>
            <w:left w:val="none" w:sz="0" w:space="0" w:color="auto"/>
            <w:bottom w:val="none" w:sz="0" w:space="0" w:color="auto"/>
            <w:right w:val="none" w:sz="0" w:space="0" w:color="auto"/>
          </w:divBdr>
          <w:divsChild>
            <w:div w:id="19015956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6489969">
      <w:marLeft w:val="0"/>
      <w:marRight w:val="0"/>
      <w:marTop w:val="180"/>
      <w:marBottom w:val="180"/>
      <w:divBdr>
        <w:top w:val="none" w:sz="0" w:space="0" w:color="auto"/>
        <w:left w:val="none" w:sz="0" w:space="0" w:color="auto"/>
        <w:bottom w:val="none" w:sz="0" w:space="0" w:color="auto"/>
        <w:right w:val="none" w:sz="0" w:space="0" w:color="auto"/>
      </w:divBdr>
    </w:div>
    <w:div w:id="2067338652">
      <w:marLeft w:val="0"/>
      <w:marRight w:val="0"/>
      <w:marTop w:val="180"/>
      <w:marBottom w:val="180"/>
      <w:divBdr>
        <w:top w:val="none" w:sz="0" w:space="0" w:color="auto"/>
        <w:left w:val="none" w:sz="0" w:space="0" w:color="auto"/>
        <w:bottom w:val="none" w:sz="0" w:space="0" w:color="auto"/>
        <w:right w:val="none" w:sz="0" w:space="0" w:color="auto"/>
      </w:divBdr>
    </w:div>
    <w:div w:id="2067683656">
      <w:marLeft w:val="0"/>
      <w:marRight w:val="0"/>
      <w:marTop w:val="60"/>
      <w:marBottom w:val="60"/>
      <w:divBdr>
        <w:top w:val="none" w:sz="0" w:space="0" w:color="auto"/>
        <w:left w:val="none" w:sz="0" w:space="0" w:color="auto"/>
        <w:bottom w:val="none" w:sz="0" w:space="0" w:color="auto"/>
        <w:right w:val="none" w:sz="0" w:space="0" w:color="auto"/>
      </w:divBdr>
    </w:div>
    <w:div w:id="2068408364">
      <w:marLeft w:val="0"/>
      <w:marRight w:val="0"/>
      <w:marTop w:val="180"/>
      <w:marBottom w:val="180"/>
      <w:divBdr>
        <w:top w:val="none" w:sz="0" w:space="0" w:color="auto"/>
        <w:left w:val="none" w:sz="0" w:space="0" w:color="auto"/>
        <w:bottom w:val="none" w:sz="0" w:space="0" w:color="auto"/>
        <w:right w:val="none" w:sz="0" w:space="0" w:color="auto"/>
      </w:divBdr>
    </w:div>
    <w:div w:id="2070178726">
      <w:marLeft w:val="0"/>
      <w:marRight w:val="0"/>
      <w:marTop w:val="180"/>
      <w:marBottom w:val="180"/>
      <w:divBdr>
        <w:top w:val="none" w:sz="0" w:space="0" w:color="auto"/>
        <w:left w:val="none" w:sz="0" w:space="0" w:color="auto"/>
        <w:bottom w:val="none" w:sz="0" w:space="0" w:color="auto"/>
        <w:right w:val="none" w:sz="0" w:space="0" w:color="auto"/>
      </w:divBdr>
    </w:div>
    <w:div w:id="2070879975">
      <w:marLeft w:val="0"/>
      <w:marRight w:val="0"/>
      <w:marTop w:val="0"/>
      <w:marBottom w:val="0"/>
      <w:divBdr>
        <w:top w:val="none" w:sz="0" w:space="0" w:color="auto"/>
        <w:left w:val="none" w:sz="0" w:space="0" w:color="auto"/>
        <w:bottom w:val="none" w:sz="0" w:space="0" w:color="auto"/>
        <w:right w:val="none" w:sz="0" w:space="0" w:color="auto"/>
      </w:divBdr>
      <w:divsChild>
        <w:div w:id="1957980427">
          <w:marLeft w:val="0"/>
          <w:marRight w:val="0"/>
          <w:marTop w:val="0"/>
          <w:marBottom w:val="0"/>
          <w:divBdr>
            <w:top w:val="none" w:sz="0" w:space="0" w:color="auto"/>
            <w:left w:val="none" w:sz="0" w:space="0" w:color="auto"/>
            <w:bottom w:val="none" w:sz="0" w:space="0" w:color="auto"/>
            <w:right w:val="none" w:sz="0" w:space="0" w:color="auto"/>
          </w:divBdr>
          <w:divsChild>
            <w:div w:id="4629684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1414573">
      <w:marLeft w:val="0"/>
      <w:marRight w:val="0"/>
      <w:marTop w:val="60"/>
      <w:marBottom w:val="60"/>
      <w:divBdr>
        <w:top w:val="none" w:sz="0" w:space="0" w:color="auto"/>
        <w:left w:val="none" w:sz="0" w:space="0" w:color="auto"/>
        <w:bottom w:val="none" w:sz="0" w:space="0" w:color="auto"/>
        <w:right w:val="none" w:sz="0" w:space="0" w:color="auto"/>
      </w:divBdr>
    </w:div>
    <w:div w:id="2072537170">
      <w:marLeft w:val="0"/>
      <w:marRight w:val="0"/>
      <w:marTop w:val="0"/>
      <w:marBottom w:val="0"/>
      <w:divBdr>
        <w:top w:val="none" w:sz="0" w:space="0" w:color="auto"/>
        <w:left w:val="none" w:sz="0" w:space="0" w:color="auto"/>
        <w:bottom w:val="none" w:sz="0" w:space="0" w:color="auto"/>
        <w:right w:val="none" w:sz="0" w:space="0" w:color="auto"/>
      </w:divBdr>
      <w:divsChild>
        <w:div w:id="1533230164">
          <w:marLeft w:val="0"/>
          <w:marRight w:val="0"/>
          <w:marTop w:val="180"/>
          <w:marBottom w:val="180"/>
          <w:divBdr>
            <w:top w:val="none" w:sz="0" w:space="0" w:color="auto"/>
            <w:left w:val="none" w:sz="0" w:space="0" w:color="auto"/>
            <w:bottom w:val="none" w:sz="0" w:space="0" w:color="auto"/>
            <w:right w:val="none" w:sz="0" w:space="0" w:color="auto"/>
          </w:divBdr>
        </w:div>
      </w:divsChild>
    </w:div>
    <w:div w:id="2072540467">
      <w:marLeft w:val="0"/>
      <w:marRight w:val="0"/>
      <w:marTop w:val="0"/>
      <w:marBottom w:val="0"/>
      <w:divBdr>
        <w:top w:val="none" w:sz="0" w:space="0" w:color="auto"/>
        <w:left w:val="none" w:sz="0" w:space="0" w:color="auto"/>
        <w:bottom w:val="none" w:sz="0" w:space="0" w:color="auto"/>
        <w:right w:val="none" w:sz="0" w:space="0" w:color="auto"/>
      </w:divBdr>
    </w:div>
    <w:div w:id="2073766412">
      <w:marLeft w:val="0"/>
      <w:marRight w:val="0"/>
      <w:marTop w:val="0"/>
      <w:marBottom w:val="0"/>
      <w:divBdr>
        <w:top w:val="none" w:sz="0" w:space="0" w:color="auto"/>
        <w:left w:val="none" w:sz="0" w:space="0" w:color="auto"/>
        <w:bottom w:val="none" w:sz="0" w:space="0" w:color="auto"/>
        <w:right w:val="none" w:sz="0" w:space="0" w:color="auto"/>
      </w:divBdr>
    </w:div>
    <w:div w:id="2073772369">
      <w:marLeft w:val="0"/>
      <w:marRight w:val="0"/>
      <w:marTop w:val="60"/>
      <w:marBottom w:val="60"/>
      <w:divBdr>
        <w:top w:val="none" w:sz="0" w:space="0" w:color="auto"/>
        <w:left w:val="none" w:sz="0" w:space="0" w:color="auto"/>
        <w:bottom w:val="none" w:sz="0" w:space="0" w:color="auto"/>
        <w:right w:val="none" w:sz="0" w:space="0" w:color="auto"/>
      </w:divBdr>
    </w:div>
    <w:div w:id="2074228354">
      <w:marLeft w:val="0"/>
      <w:marRight w:val="0"/>
      <w:marTop w:val="0"/>
      <w:marBottom w:val="0"/>
      <w:divBdr>
        <w:top w:val="none" w:sz="0" w:space="0" w:color="auto"/>
        <w:left w:val="none" w:sz="0" w:space="0" w:color="auto"/>
        <w:bottom w:val="none" w:sz="0" w:space="0" w:color="auto"/>
        <w:right w:val="none" w:sz="0" w:space="0" w:color="auto"/>
      </w:divBdr>
      <w:divsChild>
        <w:div w:id="200284108">
          <w:marLeft w:val="0"/>
          <w:marRight w:val="0"/>
          <w:marTop w:val="0"/>
          <w:marBottom w:val="0"/>
          <w:divBdr>
            <w:top w:val="none" w:sz="0" w:space="0" w:color="auto"/>
            <w:left w:val="none" w:sz="0" w:space="0" w:color="auto"/>
            <w:bottom w:val="none" w:sz="0" w:space="0" w:color="auto"/>
            <w:right w:val="none" w:sz="0" w:space="0" w:color="auto"/>
          </w:divBdr>
          <w:divsChild>
            <w:div w:id="9837053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4311922">
      <w:marLeft w:val="0"/>
      <w:marRight w:val="0"/>
      <w:marTop w:val="180"/>
      <w:marBottom w:val="180"/>
      <w:divBdr>
        <w:top w:val="none" w:sz="0" w:space="0" w:color="auto"/>
        <w:left w:val="none" w:sz="0" w:space="0" w:color="auto"/>
        <w:bottom w:val="none" w:sz="0" w:space="0" w:color="auto"/>
        <w:right w:val="none" w:sz="0" w:space="0" w:color="auto"/>
      </w:divBdr>
    </w:div>
    <w:div w:id="2075082620">
      <w:marLeft w:val="0"/>
      <w:marRight w:val="0"/>
      <w:marTop w:val="180"/>
      <w:marBottom w:val="180"/>
      <w:divBdr>
        <w:top w:val="none" w:sz="0" w:space="0" w:color="auto"/>
        <w:left w:val="none" w:sz="0" w:space="0" w:color="auto"/>
        <w:bottom w:val="none" w:sz="0" w:space="0" w:color="auto"/>
        <w:right w:val="none" w:sz="0" w:space="0" w:color="auto"/>
      </w:divBdr>
    </w:div>
    <w:div w:id="2075426156">
      <w:marLeft w:val="0"/>
      <w:marRight w:val="0"/>
      <w:marTop w:val="180"/>
      <w:marBottom w:val="180"/>
      <w:divBdr>
        <w:top w:val="none" w:sz="0" w:space="0" w:color="auto"/>
        <w:left w:val="none" w:sz="0" w:space="0" w:color="auto"/>
        <w:bottom w:val="none" w:sz="0" w:space="0" w:color="auto"/>
        <w:right w:val="none" w:sz="0" w:space="0" w:color="auto"/>
      </w:divBdr>
    </w:div>
    <w:div w:id="2077622760">
      <w:marLeft w:val="0"/>
      <w:marRight w:val="0"/>
      <w:marTop w:val="60"/>
      <w:marBottom w:val="60"/>
      <w:divBdr>
        <w:top w:val="none" w:sz="0" w:space="0" w:color="auto"/>
        <w:left w:val="none" w:sz="0" w:space="0" w:color="auto"/>
        <w:bottom w:val="none" w:sz="0" w:space="0" w:color="auto"/>
        <w:right w:val="none" w:sz="0" w:space="0" w:color="auto"/>
      </w:divBdr>
    </w:div>
    <w:div w:id="2077699094">
      <w:marLeft w:val="0"/>
      <w:marRight w:val="0"/>
      <w:marTop w:val="0"/>
      <w:marBottom w:val="0"/>
      <w:divBdr>
        <w:top w:val="none" w:sz="0" w:space="0" w:color="auto"/>
        <w:left w:val="none" w:sz="0" w:space="0" w:color="auto"/>
        <w:bottom w:val="none" w:sz="0" w:space="0" w:color="auto"/>
        <w:right w:val="none" w:sz="0" w:space="0" w:color="auto"/>
      </w:divBdr>
      <w:divsChild>
        <w:div w:id="840391736">
          <w:marLeft w:val="0"/>
          <w:marRight w:val="0"/>
          <w:marTop w:val="0"/>
          <w:marBottom w:val="0"/>
          <w:divBdr>
            <w:top w:val="none" w:sz="0" w:space="0" w:color="auto"/>
            <w:left w:val="none" w:sz="0" w:space="0" w:color="auto"/>
            <w:bottom w:val="none" w:sz="0" w:space="0" w:color="auto"/>
            <w:right w:val="none" w:sz="0" w:space="0" w:color="auto"/>
          </w:divBdr>
          <w:divsChild>
            <w:div w:id="4283102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7850706">
      <w:marLeft w:val="0"/>
      <w:marRight w:val="0"/>
      <w:marTop w:val="180"/>
      <w:marBottom w:val="180"/>
      <w:divBdr>
        <w:top w:val="none" w:sz="0" w:space="0" w:color="auto"/>
        <w:left w:val="none" w:sz="0" w:space="0" w:color="auto"/>
        <w:bottom w:val="none" w:sz="0" w:space="0" w:color="auto"/>
        <w:right w:val="none" w:sz="0" w:space="0" w:color="auto"/>
      </w:divBdr>
    </w:div>
    <w:div w:id="2078937815">
      <w:marLeft w:val="0"/>
      <w:marRight w:val="0"/>
      <w:marTop w:val="60"/>
      <w:marBottom w:val="60"/>
      <w:divBdr>
        <w:top w:val="none" w:sz="0" w:space="0" w:color="auto"/>
        <w:left w:val="none" w:sz="0" w:space="0" w:color="auto"/>
        <w:bottom w:val="none" w:sz="0" w:space="0" w:color="auto"/>
        <w:right w:val="none" w:sz="0" w:space="0" w:color="auto"/>
      </w:divBdr>
    </w:div>
    <w:div w:id="2080250049">
      <w:marLeft w:val="0"/>
      <w:marRight w:val="0"/>
      <w:marTop w:val="0"/>
      <w:marBottom w:val="0"/>
      <w:divBdr>
        <w:top w:val="none" w:sz="0" w:space="0" w:color="auto"/>
        <w:left w:val="none" w:sz="0" w:space="0" w:color="auto"/>
        <w:bottom w:val="none" w:sz="0" w:space="0" w:color="auto"/>
        <w:right w:val="none" w:sz="0" w:space="0" w:color="auto"/>
      </w:divBdr>
    </w:div>
    <w:div w:id="2080251745">
      <w:marLeft w:val="0"/>
      <w:marRight w:val="0"/>
      <w:marTop w:val="60"/>
      <w:marBottom w:val="60"/>
      <w:divBdr>
        <w:top w:val="none" w:sz="0" w:space="0" w:color="auto"/>
        <w:left w:val="none" w:sz="0" w:space="0" w:color="auto"/>
        <w:bottom w:val="none" w:sz="0" w:space="0" w:color="auto"/>
        <w:right w:val="none" w:sz="0" w:space="0" w:color="auto"/>
      </w:divBdr>
    </w:div>
    <w:div w:id="2080442811">
      <w:marLeft w:val="0"/>
      <w:marRight w:val="0"/>
      <w:marTop w:val="60"/>
      <w:marBottom w:val="60"/>
      <w:divBdr>
        <w:top w:val="none" w:sz="0" w:space="0" w:color="auto"/>
        <w:left w:val="none" w:sz="0" w:space="0" w:color="auto"/>
        <w:bottom w:val="none" w:sz="0" w:space="0" w:color="auto"/>
        <w:right w:val="none" w:sz="0" w:space="0" w:color="auto"/>
      </w:divBdr>
    </w:div>
    <w:div w:id="2080517779">
      <w:marLeft w:val="0"/>
      <w:marRight w:val="0"/>
      <w:marTop w:val="180"/>
      <w:marBottom w:val="180"/>
      <w:divBdr>
        <w:top w:val="none" w:sz="0" w:space="0" w:color="auto"/>
        <w:left w:val="none" w:sz="0" w:space="0" w:color="auto"/>
        <w:bottom w:val="none" w:sz="0" w:space="0" w:color="auto"/>
        <w:right w:val="none" w:sz="0" w:space="0" w:color="auto"/>
      </w:divBdr>
    </w:div>
    <w:div w:id="2081562192">
      <w:marLeft w:val="0"/>
      <w:marRight w:val="0"/>
      <w:marTop w:val="100"/>
      <w:marBottom w:val="100"/>
      <w:divBdr>
        <w:top w:val="none" w:sz="0" w:space="0" w:color="auto"/>
        <w:left w:val="none" w:sz="0" w:space="0" w:color="auto"/>
        <w:bottom w:val="none" w:sz="0" w:space="0" w:color="auto"/>
        <w:right w:val="none" w:sz="0" w:space="0" w:color="auto"/>
      </w:divBdr>
      <w:divsChild>
        <w:div w:id="789013002">
          <w:marLeft w:val="0"/>
          <w:marRight w:val="0"/>
          <w:marTop w:val="0"/>
          <w:marBottom w:val="0"/>
          <w:divBdr>
            <w:top w:val="none" w:sz="0" w:space="0" w:color="auto"/>
            <w:left w:val="none" w:sz="0" w:space="0" w:color="auto"/>
            <w:bottom w:val="none" w:sz="0" w:space="0" w:color="auto"/>
            <w:right w:val="none" w:sz="0" w:space="0" w:color="auto"/>
          </w:divBdr>
        </w:div>
        <w:div w:id="1209416382">
          <w:marLeft w:val="0"/>
          <w:marRight w:val="0"/>
          <w:marTop w:val="0"/>
          <w:marBottom w:val="0"/>
          <w:divBdr>
            <w:top w:val="none" w:sz="0" w:space="0" w:color="auto"/>
            <w:left w:val="none" w:sz="0" w:space="0" w:color="auto"/>
            <w:bottom w:val="none" w:sz="0" w:space="0" w:color="auto"/>
            <w:right w:val="none" w:sz="0" w:space="0" w:color="auto"/>
          </w:divBdr>
        </w:div>
        <w:div w:id="479883577">
          <w:marLeft w:val="0"/>
          <w:marRight w:val="0"/>
          <w:marTop w:val="0"/>
          <w:marBottom w:val="0"/>
          <w:divBdr>
            <w:top w:val="none" w:sz="0" w:space="0" w:color="auto"/>
            <w:left w:val="none" w:sz="0" w:space="0" w:color="auto"/>
            <w:bottom w:val="none" w:sz="0" w:space="0" w:color="auto"/>
            <w:right w:val="none" w:sz="0" w:space="0" w:color="auto"/>
          </w:divBdr>
        </w:div>
        <w:div w:id="868640527">
          <w:marLeft w:val="0"/>
          <w:marRight w:val="0"/>
          <w:marTop w:val="0"/>
          <w:marBottom w:val="0"/>
          <w:divBdr>
            <w:top w:val="none" w:sz="0" w:space="0" w:color="auto"/>
            <w:left w:val="none" w:sz="0" w:space="0" w:color="auto"/>
            <w:bottom w:val="none" w:sz="0" w:space="0" w:color="auto"/>
            <w:right w:val="none" w:sz="0" w:space="0" w:color="auto"/>
          </w:divBdr>
        </w:div>
        <w:div w:id="1392079750">
          <w:marLeft w:val="0"/>
          <w:marRight w:val="0"/>
          <w:marTop w:val="0"/>
          <w:marBottom w:val="0"/>
          <w:divBdr>
            <w:top w:val="none" w:sz="0" w:space="0" w:color="auto"/>
            <w:left w:val="none" w:sz="0" w:space="0" w:color="auto"/>
            <w:bottom w:val="none" w:sz="0" w:space="0" w:color="auto"/>
            <w:right w:val="none" w:sz="0" w:space="0" w:color="auto"/>
          </w:divBdr>
        </w:div>
        <w:div w:id="1985423412">
          <w:marLeft w:val="0"/>
          <w:marRight w:val="0"/>
          <w:marTop w:val="0"/>
          <w:marBottom w:val="0"/>
          <w:divBdr>
            <w:top w:val="none" w:sz="0" w:space="0" w:color="auto"/>
            <w:left w:val="none" w:sz="0" w:space="0" w:color="auto"/>
            <w:bottom w:val="none" w:sz="0" w:space="0" w:color="auto"/>
            <w:right w:val="none" w:sz="0" w:space="0" w:color="auto"/>
          </w:divBdr>
        </w:div>
        <w:div w:id="1457142111">
          <w:marLeft w:val="0"/>
          <w:marRight w:val="0"/>
          <w:marTop w:val="0"/>
          <w:marBottom w:val="0"/>
          <w:divBdr>
            <w:top w:val="none" w:sz="0" w:space="0" w:color="auto"/>
            <w:left w:val="none" w:sz="0" w:space="0" w:color="auto"/>
            <w:bottom w:val="none" w:sz="0" w:space="0" w:color="auto"/>
            <w:right w:val="none" w:sz="0" w:space="0" w:color="auto"/>
          </w:divBdr>
        </w:div>
        <w:div w:id="262887143">
          <w:marLeft w:val="0"/>
          <w:marRight w:val="0"/>
          <w:marTop w:val="0"/>
          <w:marBottom w:val="0"/>
          <w:divBdr>
            <w:top w:val="none" w:sz="0" w:space="0" w:color="auto"/>
            <w:left w:val="none" w:sz="0" w:space="0" w:color="auto"/>
            <w:bottom w:val="none" w:sz="0" w:space="0" w:color="auto"/>
            <w:right w:val="none" w:sz="0" w:space="0" w:color="auto"/>
          </w:divBdr>
        </w:div>
        <w:div w:id="1908421037">
          <w:marLeft w:val="0"/>
          <w:marRight w:val="0"/>
          <w:marTop w:val="0"/>
          <w:marBottom w:val="0"/>
          <w:divBdr>
            <w:top w:val="none" w:sz="0" w:space="0" w:color="auto"/>
            <w:left w:val="none" w:sz="0" w:space="0" w:color="auto"/>
            <w:bottom w:val="none" w:sz="0" w:space="0" w:color="auto"/>
            <w:right w:val="none" w:sz="0" w:space="0" w:color="auto"/>
          </w:divBdr>
        </w:div>
        <w:div w:id="1095400950">
          <w:marLeft w:val="0"/>
          <w:marRight w:val="0"/>
          <w:marTop w:val="0"/>
          <w:marBottom w:val="0"/>
          <w:divBdr>
            <w:top w:val="none" w:sz="0" w:space="0" w:color="auto"/>
            <w:left w:val="none" w:sz="0" w:space="0" w:color="auto"/>
            <w:bottom w:val="none" w:sz="0" w:space="0" w:color="auto"/>
            <w:right w:val="none" w:sz="0" w:space="0" w:color="auto"/>
          </w:divBdr>
        </w:div>
        <w:div w:id="1951935871">
          <w:marLeft w:val="0"/>
          <w:marRight w:val="0"/>
          <w:marTop w:val="0"/>
          <w:marBottom w:val="0"/>
          <w:divBdr>
            <w:top w:val="none" w:sz="0" w:space="0" w:color="auto"/>
            <w:left w:val="none" w:sz="0" w:space="0" w:color="auto"/>
            <w:bottom w:val="none" w:sz="0" w:space="0" w:color="auto"/>
            <w:right w:val="none" w:sz="0" w:space="0" w:color="auto"/>
          </w:divBdr>
        </w:div>
        <w:div w:id="1829248914">
          <w:marLeft w:val="0"/>
          <w:marRight w:val="0"/>
          <w:marTop w:val="0"/>
          <w:marBottom w:val="0"/>
          <w:divBdr>
            <w:top w:val="none" w:sz="0" w:space="0" w:color="auto"/>
            <w:left w:val="none" w:sz="0" w:space="0" w:color="auto"/>
            <w:bottom w:val="none" w:sz="0" w:space="0" w:color="auto"/>
            <w:right w:val="none" w:sz="0" w:space="0" w:color="auto"/>
          </w:divBdr>
        </w:div>
        <w:div w:id="1172723373">
          <w:marLeft w:val="0"/>
          <w:marRight w:val="0"/>
          <w:marTop w:val="0"/>
          <w:marBottom w:val="0"/>
          <w:divBdr>
            <w:top w:val="none" w:sz="0" w:space="0" w:color="auto"/>
            <w:left w:val="none" w:sz="0" w:space="0" w:color="auto"/>
            <w:bottom w:val="none" w:sz="0" w:space="0" w:color="auto"/>
            <w:right w:val="none" w:sz="0" w:space="0" w:color="auto"/>
          </w:divBdr>
        </w:div>
        <w:div w:id="1111777813">
          <w:marLeft w:val="0"/>
          <w:marRight w:val="0"/>
          <w:marTop w:val="0"/>
          <w:marBottom w:val="0"/>
          <w:divBdr>
            <w:top w:val="none" w:sz="0" w:space="0" w:color="auto"/>
            <w:left w:val="none" w:sz="0" w:space="0" w:color="auto"/>
            <w:bottom w:val="none" w:sz="0" w:space="0" w:color="auto"/>
            <w:right w:val="none" w:sz="0" w:space="0" w:color="auto"/>
          </w:divBdr>
        </w:div>
        <w:div w:id="1691182451">
          <w:marLeft w:val="0"/>
          <w:marRight w:val="0"/>
          <w:marTop w:val="0"/>
          <w:marBottom w:val="0"/>
          <w:divBdr>
            <w:top w:val="none" w:sz="0" w:space="0" w:color="auto"/>
            <w:left w:val="none" w:sz="0" w:space="0" w:color="auto"/>
            <w:bottom w:val="none" w:sz="0" w:space="0" w:color="auto"/>
            <w:right w:val="none" w:sz="0" w:space="0" w:color="auto"/>
          </w:divBdr>
        </w:div>
        <w:div w:id="306907925">
          <w:marLeft w:val="0"/>
          <w:marRight w:val="0"/>
          <w:marTop w:val="0"/>
          <w:marBottom w:val="0"/>
          <w:divBdr>
            <w:top w:val="none" w:sz="0" w:space="0" w:color="auto"/>
            <w:left w:val="none" w:sz="0" w:space="0" w:color="auto"/>
            <w:bottom w:val="none" w:sz="0" w:space="0" w:color="auto"/>
            <w:right w:val="none" w:sz="0" w:space="0" w:color="auto"/>
          </w:divBdr>
        </w:div>
        <w:div w:id="1123963952">
          <w:marLeft w:val="0"/>
          <w:marRight w:val="0"/>
          <w:marTop w:val="0"/>
          <w:marBottom w:val="0"/>
          <w:divBdr>
            <w:top w:val="none" w:sz="0" w:space="0" w:color="auto"/>
            <w:left w:val="none" w:sz="0" w:space="0" w:color="auto"/>
            <w:bottom w:val="none" w:sz="0" w:space="0" w:color="auto"/>
            <w:right w:val="none" w:sz="0" w:space="0" w:color="auto"/>
          </w:divBdr>
        </w:div>
        <w:div w:id="1260522945">
          <w:marLeft w:val="0"/>
          <w:marRight w:val="0"/>
          <w:marTop w:val="0"/>
          <w:marBottom w:val="0"/>
          <w:divBdr>
            <w:top w:val="none" w:sz="0" w:space="0" w:color="auto"/>
            <w:left w:val="none" w:sz="0" w:space="0" w:color="auto"/>
            <w:bottom w:val="none" w:sz="0" w:space="0" w:color="auto"/>
            <w:right w:val="none" w:sz="0" w:space="0" w:color="auto"/>
          </w:divBdr>
        </w:div>
        <w:div w:id="736628928">
          <w:marLeft w:val="0"/>
          <w:marRight w:val="0"/>
          <w:marTop w:val="0"/>
          <w:marBottom w:val="0"/>
          <w:divBdr>
            <w:top w:val="none" w:sz="0" w:space="0" w:color="auto"/>
            <w:left w:val="none" w:sz="0" w:space="0" w:color="auto"/>
            <w:bottom w:val="none" w:sz="0" w:space="0" w:color="auto"/>
            <w:right w:val="none" w:sz="0" w:space="0" w:color="auto"/>
          </w:divBdr>
        </w:div>
        <w:div w:id="365644223">
          <w:marLeft w:val="0"/>
          <w:marRight w:val="0"/>
          <w:marTop w:val="0"/>
          <w:marBottom w:val="0"/>
          <w:divBdr>
            <w:top w:val="none" w:sz="0" w:space="0" w:color="auto"/>
            <w:left w:val="none" w:sz="0" w:space="0" w:color="auto"/>
            <w:bottom w:val="none" w:sz="0" w:space="0" w:color="auto"/>
            <w:right w:val="none" w:sz="0" w:space="0" w:color="auto"/>
          </w:divBdr>
        </w:div>
        <w:div w:id="978729519">
          <w:marLeft w:val="0"/>
          <w:marRight w:val="0"/>
          <w:marTop w:val="0"/>
          <w:marBottom w:val="0"/>
          <w:divBdr>
            <w:top w:val="none" w:sz="0" w:space="0" w:color="auto"/>
            <w:left w:val="none" w:sz="0" w:space="0" w:color="auto"/>
            <w:bottom w:val="none" w:sz="0" w:space="0" w:color="auto"/>
            <w:right w:val="none" w:sz="0" w:space="0" w:color="auto"/>
          </w:divBdr>
        </w:div>
        <w:div w:id="863131907">
          <w:marLeft w:val="0"/>
          <w:marRight w:val="0"/>
          <w:marTop w:val="0"/>
          <w:marBottom w:val="0"/>
          <w:divBdr>
            <w:top w:val="none" w:sz="0" w:space="0" w:color="auto"/>
            <w:left w:val="none" w:sz="0" w:space="0" w:color="auto"/>
            <w:bottom w:val="none" w:sz="0" w:space="0" w:color="auto"/>
            <w:right w:val="none" w:sz="0" w:space="0" w:color="auto"/>
          </w:divBdr>
        </w:div>
        <w:div w:id="2046783829">
          <w:marLeft w:val="0"/>
          <w:marRight w:val="0"/>
          <w:marTop w:val="0"/>
          <w:marBottom w:val="0"/>
          <w:divBdr>
            <w:top w:val="none" w:sz="0" w:space="0" w:color="auto"/>
            <w:left w:val="none" w:sz="0" w:space="0" w:color="auto"/>
            <w:bottom w:val="none" w:sz="0" w:space="0" w:color="auto"/>
            <w:right w:val="none" w:sz="0" w:space="0" w:color="auto"/>
          </w:divBdr>
        </w:div>
        <w:div w:id="1947883738">
          <w:marLeft w:val="0"/>
          <w:marRight w:val="0"/>
          <w:marTop w:val="0"/>
          <w:marBottom w:val="0"/>
          <w:divBdr>
            <w:top w:val="none" w:sz="0" w:space="0" w:color="auto"/>
            <w:left w:val="none" w:sz="0" w:space="0" w:color="auto"/>
            <w:bottom w:val="none" w:sz="0" w:space="0" w:color="auto"/>
            <w:right w:val="none" w:sz="0" w:space="0" w:color="auto"/>
          </w:divBdr>
        </w:div>
        <w:div w:id="1360811766">
          <w:marLeft w:val="0"/>
          <w:marRight w:val="0"/>
          <w:marTop w:val="0"/>
          <w:marBottom w:val="0"/>
          <w:divBdr>
            <w:top w:val="none" w:sz="0" w:space="0" w:color="auto"/>
            <w:left w:val="none" w:sz="0" w:space="0" w:color="auto"/>
            <w:bottom w:val="none" w:sz="0" w:space="0" w:color="auto"/>
            <w:right w:val="none" w:sz="0" w:space="0" w:color="auto"/>
          </w:divBdr>
        </w:div>
        <w:div w:id="1227302930">
          <w:marLeft w:val="0"/>
          <w:marRight w:val="0"/>
          <w:marTop w:val="0"/>
          <w:marBottom w:val="0"/>
          <w:divBdr>
            <w:top w:val="none" w:sz="0" w:space="0" w:color="auto"/>
            <w:left w:val="none" w:sz="0" w:space="0" w:color="auto"/>
            <w:bottom w:val="none" w:sz="0" w:space="0" w:color="auto"/>
            <w:right w:val="none" w:sz="0" w:space="0" w:color="auto"/>
          </w:divBdr>
        </w:div>
        <w:div w:id="1008943168">
          <w:marLeft w:val="0"/>
          <w:marRight w:val="0"/>
          <w:marTop w:val="0"/>
          <w:marBottom w:val="0"/>
          <w:divBdr>
            <w:top w:val="none" w:sz="0" w:space="0" w:color="auto"/>
            <w:left w:val="none" w:sz="0" w:space="0" w:color="auto"/>
            <w:bottom w:val="none" w:sz="0" w:space="0" w:color="auto"/>
            <w:right w:val="none" w:sz="0" w:space="0" w:color="auto"/>
          </w:divBdr>
        </w:div>
        <w:div w:id="1600215737">
          <w:marLeft w:val="0"/>
          <w:marRight w:val="0"/>
          <w:marTop w:val="0"/>
          <w:marBottom w:val="0"/>
          <w:divBdr>
            <w:top w:val="none" w:sz="0" w:space="0" w:color="auto"/>
            <w:left w:val="none" w:sz="0" w:space="0" w:color="auto"/>
            <w:bottom w:val="none" w:sz="0" w:space="0" w:color="auto"/>
            <w:right w:val="none" w:sz="0" w:space="0" w:color="auto"/>
          </w:divBdr>
        </w:div>
        <w:div w:id="278804666">
          <w:marLeft w:val="0"/>
          <w:marRight w:val="0"/>
          <w:marTop w:val="0"/>
          <w:marBottom w:val="0"/>
          <w:divBdr>
            <w:top w:val="none" w:sz="0" w:space="0" w:color="auto"/>
            <w:left w:val="none" w:sz="0" w:space="0" w:color="auto"/>
            <w:bottom w:val="none" w:sz="0" w:space="0" w:color="auto"/>
            <w:right w:val="none" w:sz="0" w:space="0" w:color="auto"/>
          </w:divBdr>
        </w:div>
        <w:div w:id="1271006556">
          <w:marLeft w:val="0"/>
          <w:marRight w:val="0"/>
          <w:marTop w:val="0"/>
          <w:marBottom w:val="0"/>
          <w:divBdr>
            <w:top w:val="none" w:sz="0" w:space="0" w:color="auto"/>
            <w:left w:val="none" w:sz="0" w:space="0" w:color="auto"/>
            <w:bottom w:val="none" w:sz="0" w:space="0" w:color="auto"/>
            <w:right w:val="none" w:sz="0" w:space="0" w:color="auto"/>
          </w:divBdr>
        </w:div>
        <w:div w:id="780882319">
          <w:marLeft w:val="0"/>
          <w:marRight w:val="0"/>
          <w:marTop w:val="0"/>
          <w:marBottom w:val="0"/>
          <w:divBdr>
            <w:top w:val="none" w:sz="0" w:space="0" w:color="auto"/>
            <w:left w:val="none" w:sz="0" w:space="0" w:color="auto"/>
            <w:bottom w:val="none" w:sz="0" w:space="0" w:color="auto"/>
            <w:right w:val="none" w:sz="0" w:space="0" w:color="auto"/>
          </w:divBdr>
        </w:div>
        <w:div w:id="2010794187">
          <w:marLeft w:val="0"/>
          <w:marRight w:val="0"/>
          <w:marTop w:val="0"/>
          <w:marBottom w:val="0"/>
          <w:divBdr>
            <w:top w:val="none" w:sz="0" w:space="0" w:color="auto"/>
            <w:left w:val="none" w:sz="0" w:space="0" w:color="auto"/>
            <w:bottom w:val="none" w:sz="0" w:space="0" w:color="auto"/>
            <w:right w:val="none" w:sz="0" w:space="0" w:color="auto"/>
          </w:divBdr>
        </w:div>
        <w:div w:id="1121074572">
          <w:marLeft w:val="0"/>
          <w:marRight w:val="0"/>
          <w:marTop w:val="0"/>
          <w:marBottom w:val="0"/>
          <w:divBdr>
            <w:top w:val="none" w:sz="0" w:space="0" w:color="auto"/>
            <w:left w:val="none" w:sz="0" w:space="0" w:color="auto"/>
            <w:bottom w:val="none" w:sz="0" w:space="0" w:color="auto"/>
            <w:right w:val="none" w:sz="0" w:space="0" w:color="auto"/>
          </w:divBdr>
        </w:div>
        <w:div w:id="1050300804">
          <w:marLeft w:val="0"/>
          <w:marRight w:val="0"/>
          <w:marTop w:val="0"/>
          <w:marBottom w:val="0"/>
          <w:divBdr>
            <w:top w:val="none" w:sz="0" w:space="0" w:color="auto"/>
            <w:left w:val="none" w:sz="0" w:space="0" w:color="auto"/>
            <w:bottom w:val="none" w:sz="0" w:space="0" w:color="auto"/>
            <w:right w:val="none" w:sz="0" w:space="0" w:color="auto"/>
          </w:divBdr>
        </w:div>
        <w:div w:id="1621037537">
          <w:marLeft w:val="0"/>
          <w:marRight w:val="0"/>
          <w:marTop w:val="0"/>
          <w:marBottom w:val="0"/>
          <w:divBdr>
            <w:top w:val="none" w:sz="0" w:space="0" w:color="auto"/>
            <w:left w:val="none" w:sz="0" w:space="0" w:color="auto"/>
            <w:bottom w:val="none" w:sz="0" w:space="0" w:color="auto"/>
            <w:right w:val="none" w:sz="0" w:space="0" w:color="auto"/>
          </w:divBdr>
        </w:div>
        <w:div w:id="1958177220">
          <w:marLeft w:val="0"/>
          <w:marRight w:val="0"/>
          <w:marTop w:val="0"/>
          <w:marBottom w:val="0"/>
          <w:divBdr>
            <w:top w:val="none" w:sz="0" w:space="0" w:color="auto"/>
            <w:left w:val="none" w:sz="0" w:space="0" w:color="auto"/>
            <w:bottom w:val="none" w:sz="0" w:space="0" w:color="auto"/>
            <w:right w:val="none" w:sz="0" w:space="0" w:color="auto"/>
          </w:divBdr>
        </w:div>
        <w:div w:id="691415597">
          <w:marLeft w:val="0"/>
          <w:marRight w:val="0"/>
          <w:marTop w:val="0"/>
          <w:marBottom w:val="0"/>
          <w:divBdr>
            <w:top w:val="none" w:sz="0" w:space="0" w:color="auto"/>
            <w:left w:val="none" w:sz="0" w:space="0" w:color="auto"/>
            <w:bottom w:val="none" w:sz="0" w:space="0" w:color="auto"/>
            <w:right w:val="none" w:sz="0" w:space="0" w:color="auto"/>
          </w:divBdr>
        </w:div>
        <w:div w:id="599995628">
          <w:marLeft w:val="0"/>
          <w:marRight w:val="0"/>
          <w:marTop w:val="0"/>
          <w:marBottom w:val="0"/>
          <w:divBdr>
            <w:top w:val="none" w:sz="0" w:space="0" w:color="auto"/>
            <w:left w:val="none" w:sz="0" w:space="0" w:color="auto"/>
            <w:bottom w:val="none" w:sz="0" w:space="0" w:color="auto"/>
            <w:right w:val="none" w:sz="0" w:space="0" w:color="auto"/>
          </w:divBdr>
        </w:div>
        <w:div w:id="1631203965">
          <w:marLeft w:val="0"/>
          <w:marRight w:val="0"/>
          <w:marTop w:val="0"/>
          <w:marBottom w:val="0"/>
          <w:divBdr>
            <w:top w:val="none" w:sz="0" w:space="0" w:color="auto"/>
            <w:left w:val="none" w:sz="0" w:space="0" w:color="auto"/>
            <w:bottom w:val="none" w:sz="0" w:space="0" w:color="auto"/>
            <w:right w:val="none" w:sz="0" w:space="0" w:color="auto"/>
          </w:divBdr>
        </w:div>
        <w:div w:id="2023243614">
          <w:marLeft w:val="0"/>
          <w:marRight w:val="0"/>
          <w:marTop w:val="0"/>
          <w:marBottom w:val="0"/>
          <w:divBdr>
            <w:top w:val="none" w:sz="0" w:space="0" w:color="auto"/>
            <w:left w:val="none" w:sz="0" w:space="0" w:color="auto"/>
            <w:bottom w:val="none" w:sz="0" w:space="0" w:color="auto"/>
            <w:right w:val="none" w:sz="0" w:space="0" w:color="auto"/>
          </w:divBdr>
        </w:div>
        <w:div w:id="280111986">
          <w:marLeft w:val="0"/>
          <w:marRight w:val="0"/>
          <w:marTop w:val="0"/>
          <w:marBottom w:val="0"/>
          <w:divBdr>
            <w:top w:val="none" w:sz="0" w:space="0" w:color="auto"/>
            <w:left w:val="none" w:sz="0" w:space="0" w:color="auto"/>
            <w:bottom w:val="none" w:sz="0" w:space="0" w:color="auto"/>
            <w:right w:val="none" w:sz="0" w:space="0" w:color="auto"/>
          </w:divBdr>
        </w:div>
        <w:div w:id="1296450727">
          <w:marLeft w:val="0"/>
          <w:marRight w:val="0"/>
          <w:marTop w:val="0"/>
          <w:marBottom w:val="0"/>
          <w:divBdr>
            <w:top w:val="none" w:sz="0" w:space="0" w:color="auto"/>
            <w:left w:val="none" w:sz="0" w:space="0" w:color="auto"/>
            <w:bottom w:val="none" w:sz="0" w:space="0" w:color="auto"/>
            <w:right w:val="none" w:sz="0" w:space="0" w:color="auto"/>
          </w:divBdr>
        </w:div>
        <w:div w:id="1659453573">
          <w:marLeft w:val="0"/>
          <w:marRight w:val="0"/>
          <w:marTop w:val="0"/>
          <w:marBottom w:val="0"/>
          <w:divBdr>
            <w:top w:val="none" w:sz="0" w:space="0" w:color="auto"/>
            <w:left w:val="none" w:sz="0" w:space="0" w:color="auto"/>
            <w:bottom w:val="none" w:sz="0" w:space="0" w:color="auto"/>
            <w:right w:val="none" w:sz="0" w:space="0" w:color="auto"/>
          </w:divBdr>
        </w:div>
        <w:div w:id="1198589549">
          <w:marLeft w:val="0"/>
          <w:marRight w:val="0"/>
          <w:marTop w:val="0"/>
          <w:marBottom w:val="0"/>
          <w:divBdr>
            <w:top w:val="none" w:sz="0" w:space="0" w:color="auto"/>
            <w:left w:val="none" w:sz="0" w:space="0" w:color="auto"/>
            <w:bottom w:val="none" w:sz="0" w:space="0" w:color="auto"/>
            <w:right w:val="none" w:sz="0" w:space="0" w:color="auto"/>
          </w:divBdr>
        </w:div>
        <w:div w:id="230628823">
          <w:marLeft w:val="0"/>
          <w:marRight w:val="0"/>
          <w:marTop w:val="0"/>
          <w:marBottom w:val="0"/>
          <w:divBdr>
            <w:top w:val="none" w:sz="0" w:space="0" w:color="auto"/>
            <w:left w:val="none" w:sz="0" w:space="0" w:color="auto"/>
            <w:bottom w:val="none" w:sz="0" w:space="0" w:color="auto"/>
            <w:right w:val="none" w:sz="0" w:space="0" w:color="auto"/>
          </w:divBdr>
        </w:div>
        <w:div w:id="1601988900">
          <w:marLeft w:val="0"/>
          <w:marRight w:val="0"/>
          <w:marTop w:val="0"/>
          <w:marBottom w:val="0"/>
          <w:divBdr>
            <w:top w:val="none" w:sz="0" w:space="0" w:color="auto"/>
            <w:left w:val="none" w:sz="0" w:space="0" w:color="auto"/>
            <w:bottom w:val="none" w:sz="0" w:space="0" w:color="auto"/>
            <w:right w:val="none" w:sz="0" w:space="0" w:color="auto"/>
          </w:divBdr>
        </w:div>
        <w:div w:id="869612220">
          <w:marLeft w:val="0"/>
          <w:marRight w:val="0"/>
          <w:marTop w:val="0"/>
          <w:marBottom w:val="0"/>
          <w:divBdr>
            <w:top w:val="none" w:sz="0" w:space="0" w:color="auto"/>
            <w:left w:val="none" w:sz="0" w:space="0" w:color="auto"/>
            <w:bottom w:val="none" w:sz="0" w:space="0" w:color="auto"/>
            <w:right w:val="none" w:sz="0" w:space="0" w:color="auto"/>
          </w:divBdr>
        </w:div>
      </w:divsChild>
    </w:div>
    <w:div w:id="2082024060">
      <w:marLeft w:val="0"/>
      <w:marRight w:val="0"/>
      <w:marTop w:val="180"/>
      <w:marBottom w:val="180"/>
      <w:divBdr>
        <w:top w:val="none" w:sz="0" w:space="0" w:color="auto"/>
        <w:left w:val="none" w:sz="0" w:space="0" w:color="auto"/>
        <w:bottom w:val="none" w:sz="0" w:space="0" w:color="auto"/>
        <w:right w:val="none" w:sz="0" w:space="0" w:color="auto"/>
      </w:divBdr>
    </w:div>
    <w:div w:id="2082483377">
      <w:marLeft w:val="0"/>
      <w:marRight w:val="0"/>
      <w:marTop w:val="60"/>
      <w:marBottom w:val="60"/>
      <w:divBdr>
        <w:top w:val="none" w:sz="0" w:space="0" w:color="auto"/>
        <w:left w:val="none" w:sz="0" w:space="0" w:color="auto"/>
        <w:bottom w:val="none" w:sz="0" w:space="0" w:color="auto"/>
        <w:right w:val="none" w:sz="0" w:space="0" w:color="auto"/>
      </w:divBdr>
    </w:div>
    <w:div w:id="2083260560">
      <w:marLeft w:val="0"/>
      <w:marRight w:val="0"/>
      <w:marTop w:val="180"/>
      <w:marBottom w:val="180"/>
      <w:divBdr>
        <w:top w:val="none" w:sz="0" w:space="0" w:color="auto"/>
        <w:left w:val="none" w:sz="0" w:space="0" w:color="auto"/>
        <w:bottom w:val="none" w:sz="0" w:space="0" w:color="auto"/>
        <w:right w:val="none" w:sz="0" w:space="0" w:color="auto"/>
      </w:divBdr>
    </w:div>
    <w:div w:id="2084792875">
      <w:marLeft w:val="0"/>
      <w:marRight w:val="0"/>
      <w:marTop w:val="100"/>
      <w:marBottom w:val="100"/>
      <w:divBdr>
        <w:top w:val="none" w:sz="0" w:space="0" w:color="auto"/>
        <w:left w:val="none" w:sz="0" w:space="0" w:color="auto"/>
        <w:bottom w:val="none" w:sz="0" w:space="0" w:color="auto"/>
        <w:right w:val="none" w:sz="0" w:space="0" w:color="auto"/>
      </w:divBdr>
    </w:div>
    <w:div w:id="2087336925">
      <w:marLeft w:val="0"/>
      <w:marRight w:val="0"/>
      <w:marTop w:val="180"/>
      <w:marBottom w:val="180"/>
      <w:divBdr>
        <w:top w:val="none" w:sz="0" w:space="0" w:color="auto"/>
        <w:left w:val="none" w:sz="0" w:space="0" w:color="auto"/>
        <w:bottom w:val="none" w:sz="0" w:space="0" w:color="auto"/>
        <w:right w:val="none" w:sz="0" w:space="0" w:color="auto"/>
      </w:divBdr>
    </w:div>
    <w:div w:id="2088068994">
      <w:marLeft w:val="0"/>
      <w:marRight w:val="0"/>
      <w:marTop w:val="180"/>
      <w:marBottom w:val="180"/>
      <w:divBdr>
        <w:top w:val="none" w:sz="0" w:space="0" w:color="auto"/>
        <w:left w:val="none" w:sz="0" w:space="0" w:color="auto"/>
        <w:bottom w:val="none" w:sz="0" w:space="0" w:color="auto"/>
        <w:right w:val="none" w:sz="0" w:space="0" w:color="auto"/>
      </w:divBdr>
    </w:div>
    <w:div w:id="2088844099">
      <w:marLeft w:val="0"/>
      <w:marRight w:val="0"/>
      <w:marTop w:val="180"/>
      <w:marBottom w:val="180"/>
      <w:divBdr>
        <w:top w:val="none" w:sz="0" w:space="0" w:color="auto"/>
        <w:left w:val="none" w:sz="0" w:space="0" w:color="auto"/>
        <w:bottom w:val="none" w:sz="0" w:space="0" w:color="auto"/>
        <w:right w:val="none" w:sz="0" w:space="0" w:color="auto"/>
      </w:divBdr>
    </w:div>
    <w:div w:id="2091268859">
      <w:marLeft w:val="0"/>
      <w:marRight w:val="0"/>
      <w:marTop w:val="180"/>
      <w:marBottom w:val="180"/>
      <w:divBdr>
        <w:top w:val="none" w:sz="0" w:space="0" w:color="auto"/>
        <w:left w:val="none" w:sz="0" w:space="0" w:color="auto"/>
        <w:bottom w:val="none" w:sz="0" w:space="0" w:color="auto"/>
        <w:right w:val="none" w:sz="0" w:space="0" w:color="auto"/>
      </w:divBdr>
    </w:div>
    <w:div w:id="2092001020">
      <w:marLeft w:val="0"/>
      <w:marRight w:val="0"/>
      <w:marTop w:val="180"/>
      <w:marBottom w:val="180"/>
      <w:divBdr>
        <w:top w:val="none" w:sz="0" w:space="0" w:color="auto"/>
        <w:left w:val="none" w:sz="0" w:space="0" w:color="auto"/>
        <w:bottom w:val="none" w:sz="0" w:space="0" w:color="auto"/>
        <w:right w:val="none" w:sz="0" w:space="0" w:color="auto"/>
      </w:divBdr>
    </w:div>
    <w:div w:id="2092653336">
      <w:marLeft w:val="0"/>
      <w:marRight w:val="0"/>
      <w:marTop w:val="180"/>
      <w:marBottom w:val="180"/>
      <w:divBdr>
        <w:top w:val="none" w:sz="0" w:space="0" w:color="auto"/>
        <w:left w:val="none" w:sz="0" w:space="0" w:color="auto"/>
        <w:bottom w:val="none" w:sz="0" w:space="0" w:color="auto"/>
        <w:right w:val="none" w:sz="0" w:space="0" w:color="auto"/>
      </w:divBdr>
    </w:div>
    <w:div w:id="2092701474">
      <w:marLeft w:val="0"/>
      <w:marRight w:val="0"/>
      <w:marTop w:val="180"/>
      <w:marBottom w:val="180"/>
      <w:divBdr>
        <w:top w:val="none" w:sz="0" w:space="0" w:color="auto"/>
        <w:left w:val="none" w:sz="0" w:space="0" w:color="auto"/>
        <w:bottom w:val="none" w:sz="0" w:space="0" w:color="auto"/>
        <w:right w:val="none" w:sz="0" w:space="0" w:color="auto"/>
      </w:divBdr>
    </w:div>
    <w:div w:id="2093508768">
      <w:marLeft w:val="0"/>
      <w:marRight w:val="0"/>
      <w:marTop w:val="180"/>
      <w:marBottom w:val="60"/>
      <w:divBdr>
        <w:top w:val="none" w:sz="0" w:space="0" w:color="auto"/>
        <w:left w:val="none" w:sz="0" w:space="0" w:color="auto"/>
        <w:bottom w:val="none" w:sz="0" w:space="0" w:color="auto"/>
        <w:right w:val="none" w:sz="0" w:space="0" w:color="auto"/>
      </w:divBdr>
    </w:div>
    <w:div w:id="2094888722">
      <w:marLeft w:val="0"/>
      <w:marRight w:val="0"/>
      <w:marTop w:val="180"/>
      <w:marBottom w:val="180"/>
      <w:divBdr>
        <w:top w:val="none" w:sz="0" w:space="0" w:color="auto"/>
        <w:left w:val="none" w:sz="0" w:space="0" w:color="auto"/>
        <w:bottom w:val="none" w:sz="0" w:space="0" w:color="auto"/>
        <w:right w:val="none" w:sz="0" w:space="0" w:color="auto"/>
      </w:divBdr>
    </w:div>
    <w:div w:id="2095206600">
      <w:marLeft w:val="0"/>
      <w:marRight w:val="0"/>
      <w:marTop w:val="180"/>
      <w:marBottom w:val="180"/>
      <w:divBdr>
        <w:top w:val="none" w:sz="0" w:space="0" w:color="auto"/>
        <w:left w:val="none" w:sz="0" w:space="0" w:color="auto"/>
        <w:bottom w:val="none" w:sz="0" w:space="0" w:color="auto"/>
        <w:right w:val="none" w:sz="0" w:space="0" w:color="auto"/>
      </w:divBdr>
    </w:div>
    <w:div w:id="2096432243">
      <w:marLeft w:val="0"/>
      <w:marRight w:val="0"/>
      <w:marTop w:val="180"/>
      <w:marBottom w:val="180"/>
      <w:divBdr>
        <w:top w:val="none" w:sz="0" w:space="0" w:color="auto"/>
        <w:left w:val="none" w:sz="0" w:space="0" w:color="auto"/>
        <w:bottom w:val="none" w:sz="0" w:space="0" w:color="auto"/>
        <w:right w:val="none" w:sz="0" w:space="0" w:color="auto"/>
      </w:divBdr>
    </w:div>
    <w:div w:id="2097480069">
      <w:marLeft w:val="0"/>
      <w:marRight w:val="0"/>
      <w:marTop w:val="0"/>
      <w:marBottom w:val="0"/>
      <w:divBdr>
        <w:top w:val="none" w:sz="0" w:space="0" w:color="auto"/>
        <w:left w:val="none" w:sz="0" w:space="0" w:color="auto"/>
        <w:bottom w:val="none" w:sz="0" w:space="0" w:color="auto"/>
        <w:right w:val="none" w:sz="0" w:space="0" w:color="auto"/>
      </w:divBdr>
    </w:div>
    <w:div w:id="2100641893">
      <w:marLeft w:val="0"/>
      <w:marRight w:val="0"/>
      <w:marTop w:val="180"/>
      <w:marBottom w:val="180"/>
      <w:divBdr>
        <w:top w:val="none" w:sz="0" w:space="0" w:color="auto"/>
        <w:left w:val="none" w:sz="0" w:space="0" w:color="auto"/>
        <w:bottom w:val="none" w:sz="0" w:space="0" w:color="auto"/>
        <w:right w:val="none" w:sz="0" w:space="0" w:color="auto"/>
      </w:divBdr>
    </w:div>
    <w:div w:id="2101872239">
      <w:marLeft w:val="0"/>
      <w:marRight w:val="0"/>
      <w:marTop w:val="0"/>
      <w:marBottom w:val="0"/>
      <w:divBdr>
        <w:top w:val="none" w:sz="0" w:space="0" w:color="auto"/>
        <w:left w:val="none" w:sz="0" w:space="0" w:color="auto"/>
        <w:bottom w:val="none" w:sz="0" w:space="0" w:color="auto"/>
        <w:right w:val="none" w:sz="0" w:space="0" w:color="auto"/>
      </w:divBdr>
      <w:divsChild>
        <w:div w:id="2098751025">
          <w:marLeft w:val="0"/>
          <w:marRight w:val="0"/>
          <w:marTop w:val="60"/>
          <w:marBottom w:val="60"/>
          <w:divBdr>
            <w:top w:val="none" w:sz="0" w:space="0" w:color="auto"/>
            <w:left w:val="none" w:sz="0" w:space="0" w:color="auto"/>
            <w:bottom w:val="none" w:sz="0" w:space="0" w:color="auto"/>
            <w:right w:val="none" w:sz="0" w:space="0" w:color="auto"/>
          </w:divBdr>
        </w:div>
      </w:divsChild>
    </w:div>
    <w:div w:id="2102410781">
      <w:marLeft w:val="0"/>
      <w:marRight w:val="0"/>
      <w:marTop w:val="60"/>
      <w:marBottom w:val="60"/>
      <w:divBdr>
        <w:top w:val="none" w:sz="0" w:space="0" w:color="auto"/>
        <w:left w:val="none" w:sz="0" w:space="0" w:color="auto"/>
        <w:bottom w:val="none" w:sz="0" w:space="0" w:color="auto"/>
        <w:right w:val="none" w:sz="0" w:space="0" w:color="auto"/>
      </w:divBdr>
    </w:div>
    <w:div w:id="2103645425">
      <w:marLeft w:val="0"/>
      <w:marRight w:val="0"/>
      <w:marTop w:val="180"/>
      <w:marBottom w:val="180"/>
      <w:divBdr>
        <w:top w:val="none" w:sz="0" w:space="0" w:color="auto"/>
        <w:left w:val="none" w:sz="0" w:space="0" w:color="auto"/>
        <w:bottom w:val="none" w:sz="0" w:space="0" w:color="auto"/>
        <w:right w:val="none" w:sz="0" w:space="0" w:color="auto"/>
      </w:divBdr>
    </w:div>
    <w:div w:id="2104494354">
      <w:marLeft w:val="0"/>
      <w:marRight w:val="0"/>
      <w:marTop w:val="160"/>
      <w:marBottom w:val="60"/>
      <w:divBdr>
        <w:top w:val="none" w:sz="0" w:space="0" w:color="auto"/>
        <w:left w:val="none" w:sz="0" w:space="0" w:color="auto"/>
        <w:bottom w:val="none" w:sz="0" w:space="0" w:color="auto"/>
        <w:right w:val="none" w:sz="0" w:space="0" w:color="auto"/>
      </w:divBdr>
    </w:div>
    <w:div w:id="2106801629">
      <w:marLeft w:val="0"/>
      <w:marRight w:val="0"/>
      <w:marTop w:val="60"/>
      <w:marBottom w:val="60"/>
      <w:divBdr>
        <w:top w:val="none" w:sz="0" w:space="0" w:color="auto"/>
        <w:left w:val="none" w:sz="0" w:space="0" w:color="auto"/>
        <w:bottom w:val="none" w:sz="0" w:space="0" w:color="auto"/>
        <w:right w:val="none" w:sz="0" w:space="0" w:color="auto"/>
      </w:divBdr>
    </w:div>
    <w:div w:id="2107992541">
      <w:marLeft w:val="0"/>
      <w:marRight w:val="0"/>
      <w:marTop w:val="180"/>
      <w:marBottom w:val="180"/>
      <w:divBdr>
        <w:top w:val="none" w:sz="0" w:space="0" w:color="auto"/>
        <w:left w:val="none" w:sz="0" w:space="0" w:color="auto"/>
        <w:bottom w:val="none" w:sz="0" w:space="0" w:color="auto"/>
        <w:right w:val="none" w:sz="0" w:space="0" w:color="auto"/>
      </w:divBdr>
    </w:div>
    <w:div w:id="2109889085">
      <w:marLeft w:val="0"/>
      <w:marRight w:val="0"/>
      <w:marTop w:val="180"/>
      <w:marBottom w:val="60"/>
      <w:divBdr>
        <w:top w:val="none" w:sz="0" w:space="0" w:color="auto"/>
        <w:left w:val="none" w:sz="0" w:space="0" w:color="auto"/>
        <w:bottom w:val="none" w:sz="0" w:space="0" w:color="auto"/>
        <w:right w:val="none" w:sz="0" w:space="0" w:color="auto"/>
      </w:divBdr>
    </w:div>
    <w:div w:id="2111853211">
      <w:marLeft w:val="0"/>
      <w:marRight w:val="0"/>
      <w:marTop w:val="180"/>
      <w:marBottom w:val="180"/>
      <w:divBdr>
        <w:top w:val="none" w:sz="0" w:space="0" w:color="auto"/>
        <w:left w:val="none" w:sz="0" w:space="0" w:color="auto"/>
        <w:bottom w:val="none" w:sz="0" w:space="0" w:color="auto"/>
        <w:right w:val="none" w:sz="0" w:space="0" w:color="auto"/>
      </w:divBdr>
    </w:div>
    <w:div w:id="2112357891">
      <w:marLeft w:val="0"/>
      <w:marRight w:val="0"/>
      <w:marTop w:val="60"/>
      <w:marBottom w:val="60"/>
      <w:divBdr>
        <w:top w:val="none" w:sz="0" w:space="0" w:color="auto"/>
        <w:left w:val="none" w:sz="0" w:space="0" w:color="auto"/>
        <w:bottom w:val="none" w:sz="0" w:space="0" w:color="auto"/>
        <w:right w:val="none" w:sz="0" w:space="0" w:color="auto"/>
      </w:divBdr>
    </w:div>
    <w:div w:id="2114350722">
      <w:marLeft w:val="0"/>
      <w:marRight w:val="0"/>
      <w:marTop w:val="60"/>
      <w:marBottom w:val="0"/>
      <w:divBdr>
        <w:top w:val="none" w:sz="0" w:space="0" w:color="auto"/>
        <w:left w:val="none" w:sz="0" w:space="0" w:color="auto"/>
        <w:bottom w:val="none" w:sz="0" w:space="0" w:color="auto"/>
        <w:right w:val="none" w:sz="0" w:space="0" w:color="auto"/>
      </w:divBdr>
    </w:div>
    <w:div w:id="2115053284">
      <w:marLeft w:val="0"/>
      <w:marRight w:val="0"/>
      <w:marTop w:val="180"/>
      <w:marBottom w:val="180"/>
      <w:divBdr>
        <w:top w:val="none" w:sz="0" w:space="0" w:color="auto"/>
        <w:left w:val="none" w:sz="0" w:space="0" w:color="auto"/>
        <w:bottom w:val="none" w:sz="0" w:space="0" w:color="auto"/>
        <w:right w:val="none" w:sz="0" w:space="0" w:color="auto"/>
      </w:divBdr>
    </w:div>
    <w:div w:id="2115244370">
      <w:marLeft w:val="0"/>
      <w:marRight w:val="0"/>
      <w:marTop w:val="60"/>
      <w:marBottom w:val="60"/>
      <w:divBdr>
        <w:top w:val="none" w:sz="0" w:space="0" w:color="auto"/>
        <w:left w:val="none" w:sz="0" w:space="0" w:color="auto"/>
        <w:bottom w:val="none" w:sz="0" w:space="0" w:color="auto"/>
        <w:right w:val="none" w:sz="0" w:space="0" w:color="auto"/>
      </w:divBdr>
    </w:div>
    <w:div w:id="2115588416">
      <w:marLeft w:val="0"/>
      <w:marRight w:val="0"/>
      <w:marTop w:val="0"/>
      <w:marBottom w:val="0"/>
      <w:divBdr>
        <w:top w:val="none" w:sz="0" w:space="0" w:color="auto"/>
        <w:left w:val="none" w:sz="0" w:space="0" w:color="auto"/>
        <w:bottom w:val="none" w:sz="0" w:space="0" w:color="auto"/>
        <w:right w:val="none" w:sz="0" w:space="0" w:color="auto"/>
      </w:divBdr>
    </w:div>
    <w:div w:id="2115636461">
      <w:marLeft w:val="0"/>
      <w:marRight w:val="0"/>
      <w:marTop w:val="0"/>
      <w:marBottom w:val="0"/>
      <w:divBdr>
        <w:top w:val="none" w:sz="0" w:space="0" w:color="auto"/>
        <w:left w:val="none" w:sz="0" w:space="0" w:color="auto"/>
        <w:bottom w:val="none" w:sz="0" w:space="0" w:color="auto"/>
        <w:right w:val="none" w:sz="0" w:space="0" w:color="auto"/>
      </w:divBdr>
      <w:divsChild>
        <w:div w:id="27488023">
          <w:marLeft w:val="0"/>
          <w:marRight w:val="0"/>
          <w:marTop w:val="0"/>
          <w:marBottom w:val="0"/>
          <w:divBdr>
            <w:top w:val="none" w:sz="0" w:space="0" w:color="auto"/>
            <w:left w:val="none" w:sz="0" w:space="0" w:color="auto"/>
            <w:bottom w:val="none" w:sz="0" w:space="0" w:color="auto"/>
            <w:right w:val="none" w:sz="0" w:space="0" w:color="auto"/>
          </w:divBdr>
          <w:divsChild>
            <w:div w:id="8489567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5785760">
      <w:marLeft w:val="0"/>
      <w:marRight w:val="0"/>
      <w:marTop w:val="180"/>
      <w:marBottom w:val="180"/>
      <w:divBdr>
        <w:top w:val="none" w:sz="0" w:space="0" w:color="auto"/>
        <w:left w:val="none" w:sz="0" w:space="0" w:color="auto"/>
        <w:bottom w:val="none" w:sz="0" w:space="0" w:color="auto"/>
        <w:right w:val="none" w:sz="0" w:space="0" w:color="auto"/>
      </w:divBdr>
    </w:div>
    <w:div w:id="2116972601">
      <w:marLeft w:val="0"/>
      <w:marRight w:val="0"/>
      <w:marTop w:val="0"/>
      <w:marBottom w:val="0"/>
      <w:divBdr>
        <w:top w:val="none" w:sz="0" w:space="0" w:color="auto"/>
        <w:left w:val="none" w:sz="0" w:space="0" w:color="auto"/>
        <w:bottom w:val="none" w:sz="0" w:space="0" w:color="auto"/>
        <w:right w:val="none" w:sz="0" w:space="0" w:color="auto"/>
      </w:divBdr>
      <w:divsChild>
        <w:div w:id="111217695">
          <w:marLeft w:val="0"/>
          <w:marRight w:val="0"/>
          <w:marTop w:val="0"/>
          <w:marBottom w:val="0"/>
          <w:divBdr>
            <w:top w:val="none" w:sz="0" w:space="0" w:color="auto"/>
            <w:left w:val="none" w:sz="0" w:space="0" w:color="auto"/>
            <w:bottom w:val="none" w:sz="0" w:space="0" w:color="auto"/>
            <w:right w:val="none" w:sz="0" w:space="0" w:color="auto"/>
          </w:divBdr>
          <w:divsChild>
            <w:div w:id="13010314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7092067">
      <w:marLeft w:val="0"/>
      <w:marRight w:val="0"/>
      <w:marTop w:val="180"/>
      <w:marBottom w:val="180"/>
      <w:divBdr>
        <w:top w:val="none" w:sz="0" w:space="0" w:color="auto"/>
        <w:left w:val="none" w:sz="0" w:space="0" w:color="auto"/>
        <w:bottom w:val="none" w:sz="0" w:space="0" w:color="auto"/>
        <w:right w:val="none" w:sz="0" w:space="0" w:color="auto"/>
      </w:divBdr>
    </w:div>
    <w:div w:id="2117213401">
      <w:marLeft w:val="0"/>
      <w:marRight w:val="0"/>
      <w:marTop w:val="0"/>
      <w:marBottom w:val="0"/>
      <w:divBdr>
        <w:top w:val="none" w:sz="0" w:space="0" w:color="auto"/>
        <w:left w:val="none" w:sz="0" w:space="0" w:color="auto"/>
        <w:bottom w:val="none" w:sz="0" w:space="0" w:color="auto"/>
        <w:right w:val="none" w:sz="0" w:space="0" w:color="auto"/>
      </w:divBdr>
      <w:divsChild>
        <w:div w:id="2045057002">
          <w:marLeft w:val="0"/>
          <w:marRight w:val="0"/>
          <w:marTop w:val="0"/>
          <w:marBottom w:val="0"/>
          <w:divBdr>
            <w:top w:val="none" w:sz="0" w:space="0" w:color="auto"/>
            <w:left w:val="none" w:sz="0" w:space="0" w:color="auto"/>
            <w:bottom w:val="none" w:sz="0" w:space="0" w:color="auto"/>
            <w:right w:val="none" w:sz="0" w:space="0" w:color="auto"/>
          </w:divBdr>
          <w:divsChild>
            <w:div w:id="12753334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2724684">
      <w:marLeft w:val="0"/>
      <w:marRight w:val="0"/>
      <w:marTop w:val="180"/>
      <w:marBottom w:val="180"/>
      <w:divBdr>
        <w:top w:val="none" w:sz="0" w:space="0" w:color="auto"/>
        <w:left w:val="none" w:sz="0" w:space="0" w:color="auto"/>
        <w:bottom w:val="none" w:sz="0" w:space="0" w:color="auto"/>
        <w:right w:val="none" w:sz="0" w:space="0" w:color="auto"/>
      </w:divBdr>
    </w:div>
    <w:div w:id="2123566848">
      <w:marLeft w:val="0"/>
      <w:marRight w:val="0"/>
      <w:marTop w:val="180"/>
      <w:marBottom w:val="180"/>
      <w:divBdr>
        <w:top w:val="none" w:sz="0" w:space="0" w:color="auto"/>
        <w:left w:val="none" w:sz="0" w:space="0" w:color="auto"/>
        <w:bottom w:val="none" w:sz="0" w:space="0" w:color="auto"/>
        <w:right w:val="none" w:sz="0" w:space="0" w:color="auto"/>
      </w:divBdr>
    </w:div>
    <w:div w:id="2123912963">
      <w:marLeft w:val="0"/>
      <w:marRight w:val="0"/>
      <w:marTop w:val="180"/>
      <w:marBottom w:val="180"/>
      <w:divBdr>
        <w:top w:val="none" w:sz="0" w:space="0" w:color="auto"/>
        <w:left w:val="none" w:sz="0" w:space="0" w:color="auto"/>
        <w:bottom w:val="none" w:sz="0" w:space="0" w:color="auto"/>
        <w:right w:val="none" w:sz="0" w:space="0" w:color="auto"/>
      </w:divBdr>
    </w:div>
    <w:div w:id="2125728051">
      <w:marLeft w:val="0"/>
      <w:marRight w:val="0"/>
      <w:marTop w:val="180"/>
      <w:marBottom w:val="180"/>
      <w:divBdr>
        <w:top w:val="none" w:sz="0" w:space="0" w:color="auto"/>
        <w:left w:val="none" w:sz="0" w:space="0" w:color="auto"/>
        <w:bottom w:val="none" w:sz="0" w:space="0" w:color="auto"/>
        <w:right w:val="none" w:sz="0" w:space="0" w:color="auto"/>
      </w:divBdr>
    </w:div>
    <w:div w:id="2126534061">
      <w:marLeft w:val="0"/>
      <w:marRight w:val="0"/>
      <w:marTop w:val="0"/>
      <w:marBottom w:val="0"/>
      <w:divBdr>
        <w:top w:val="none" w:sz="0" w:space="0" w:color="auto"/>
        <w:left w:val="none" w:sz="0" w:space="0" w:color="auto"/>
        <w:bottom w:val="none" w:sz="0" w:space="0" w:color="auto"/>
        <w:right w:val="none" w:sz="0" w:space="0" w:color="auto"/>
      </w:divBdr>
      <w:divsChild>
        <w:div w:id="1951551223">
          <w:marLeft w:val="0"/>
          <w:marRight w:val="0"/>
          <w:marTop w:val="0"/>
          <w:marBottom w:val="0"/>
          <w:divBdr>
            <w:top w:val="none" w:sz="0" w:space="0" w:color="auto"/>
            <w:left w:val="none" w:sz="0" w:space="0" w:color="auto"/>
            <w:bottom w:val="none" w:sz="0" w:space="0" w:color="auto"/>
            <w:right w:val="none" w:sz="0" w:space="0" w:color="auto"/>
          </w:divBdr>
          <w:divsChild>
            <w:div w:id="7835736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8159071">
      <w:marLeft w:val="0"/>
      <w:marRight w:val="0"/>
      <w:marTop w:val="180"/>
      <w:marBottom w:val="180"/>
      <w:divBdr>
        <w:top w:val="none" w:sz="0" w:space="0" w:color="auto"/>
        <w:left w:val="none" w:sz="0" w:space="0" w:color="auto"/>
        <w:bottom w:val="none" w:sz="0" w:space="0" w:color="auto"/>
        <w:right w:val="none" w:sz="0" w:space="0" w:color="auto"/>
      </w:divBdr>
    </w:div>
    <w:div w:id="2131509042">
      <w:marLeft w:val="0"/>
      <w:marRight w:val="0"/>
      <w:marTop w:val="180"/>
      <w:marBottom w:val="180"/>
      <w:divBdr>
        <w:top w:val="none" w:sz="0" w:space="0" w:color="auto"/>
        <w:left w:val="none" w:sz="0" w:space="0" w:color="auto"/>
        <w:bottom w:val="none" w:sz="0" w:space="0" w:color="auto"/>
        <w:right w:val="none" w:sz="0" w:space="0" w:color="auto"/>
      </w:divBdr>
    </w:div>
    <w:div w:id="2132239611">
      <w:marLeft w:val="0"/>
      <w:marRight w:val="0"/>
      <w:marTop w:val="180"/>
      <w:marBottom w:val="180"/>
      <w:divBdr>
        <w:top w:val="none" w:sz="0" w:space="0" w:color="auto"/>
        <w:left w:val="none" w:sz="0" w:space="0" w:color="auto"/>
        <w:bottom w:val="none" w:sz="0" w:space="0" w:color="auto"/>
        <w:right w:val="none" w:sz="0" w:space="0" w:color="auto"/>
      </w:divBdr>
    </w:div>
    <w:div w:id="2132894804">
      <w:marLeft w:val="0"/>
      <w:marRight w:val="0"/>
      <w:marTop w:val="180"/>
      <w:marBottom w:val="180"/>
      <w:divBdr>
        <w:top w:val="none" w:sz="0" w:space="0" w:color="auto"/>
        <w:left w:val="none" w:sz="0" w:space="0" w:color="auto"/>
        <w:bottom w:val="none" w:sz="0" w:space="0" w:color="auto"/>
        <w:right w:val="none" w:sz="0" w:space="0" w:color="auto"/>
      </w:divBdr>
    </w:div>
    <w:div w:id="2134209234">
      <w:marLeft w:val="0"/>
      <w:marRight w:val="0"/>
      <w:marTop w:val="180"/>
      <w:marBottom w:val="180"/>
      <w:divBdr>
        <w:top w:val="none" w:sz="0" w:space="0" w:color="auto"/>
        <w:left w:val="none" w:sz="0" w:space="0" w:color="auto"/>
        <w:bottom w:val="none" w:sz="0" w:space="0" w:color="auto"/>
        <w:right w:val="none" w:sz="0" w:space="0" w:color="auto"/>
      </w:divBdr>
    </w:div>
    <w:div w:id="2134402098">
      <w:marLeft w:val="0"/>
      <w:marRight w:val="0"/>
      <w:marTop w:val="180"/>
      <w:marBottom w:val="180"/>
      <w:divBdr>
        <w:top w:val="none" w:sz="0" w:space="0" w:color="auto"/>
        <w:left w:val="none" w:sz="0" w:space="0" w:color="auto"/>
        <w:bottom w:val="none" w:sz="0" w:space="0" w:color="auto"/>
        <w:right w:val="none" w:sz="0" w:space="0" w:color="auto"/>
      </w:divBdr>
    </w:div>
    <w:div w:id="2135513539">
      <w:marLeft w:val="0"/>
      <w:marRight w:val="0"/>
      <w:marTop w:val="60"/>
      <w:marBottom w:val="60"/>
      <w:divBdr>
        <w:top w:val="none" w:sz="0" w:space="0" w:color="auto"/>
        <w:left w:val="none" w:sz="0" w:space="0" w:color="auto"/>
        <w:bottom w:val="none" w:sz="0" w:space="0" w:color="auto"/>
        <w:right w:val="none" w:sz="0" w:space="0" w:color="auto"/>
      </w:divBdr>
    </w:div>
    <w:div w:id="2136215020">
      <w:marLeft w:val="0"/>
      <w:marRight w:val="0"/>
      <w:marTop w:val="180"/>
      <w:marBottom w:val="180"/>
      <w:divBdr>
        <w:top w:val="none" w:sz="0" w:space="0" w:color="auto"/>
        <w:left w:val="none" w:sz="0" w:space="0" w:color="auto"/>
        <w:bottom w:val="none" w:sz="0" w:space="0" w:color="auto"/>
        <w:right w:val="none" w:sz="0" w:space="0" w:color="auto"/>
      </w:divBdr>
    </w:div>
    <w:div w:id="2136488345">
      <w:marLeft w:val="0"/>
      <w:marRight w:val="0"/>
      <w:marTop w:val="0"/>
      <w:marBottom w:val="0"/>
      <w:divBdr>
        <w:top w:val="none" w:sz="0" w:space="0" w:color="auto"/>
        <w:left w:val="none" w:sz="0" w:space="0" w:color="auto"/>
        <w:bottom w:val="none" w:sz="0" w:space="0" w:color="auto"/>
        <w:right w:val="none" w:sz="0" w:space="0" w:color="auto"/>
      </w:divBdr>
      <w:divsChild>
        <w:div w:id="1881817736">
          <w:marLeft w:val="0"/>
          <w:marRight w:val="0"/>
          <w:marTop w:val="60"/>
          <w:marBottom w:val="60"/>
          <w:divBdr>
            <w:top w:val="none" w:sz="0" w:space="0" w:color="auto"/>
            <w:left w:val="none" w:sz="0" w:space="0" w:color="auto"/>
            <w:bottom w:val="none" w:sz="0" w:space="0" w:color="auto"/>
            <w:right w:val="none" w:sz="0" w:space="0" w:color="auto"/>
          </w:divBdr>
        </w:div>
      </w:divsChild>
    </w:div>
    <w:div w:id="2137526311">
      <w:marLeft w:val="0"/>
      <w:marRight w:val="0"/>
      <w:marTop w:val="180"/>
      <w:marBottom w:val="180"/>
      <w:divBdr>
        <w:top w:val="none" w:sz="0" w:space="0" w:color="auto"/>
        <w:left w:val="none" w:sz="0" w:space="0" w:color="auto"/>
        <w:bottom w:val="none" w:sz="0" w:space="0" w:color="auto"/>
        <w:right w:val="none" w:sz="0" w:space="0" w:color="auto"/>
      </w:divBdr>
    </w:div>
    <w:div w:id="2140100388">
      <w:marLeft w:val="0"/>
      <w:marRight w:val="0"/>
      <w:marTop w:val="0"/>
      <w:marBottom w:val="0"/>
      <w:divBdr>
        <w:top w:val="none" w:sz="0" w:space="0" w:color="auto"/>
        <w:left w:val="none" w:sz="0" w:space="0" w:color="auto"/>
        <w:bottom w:val="none" w:sz="0" w:space="0" w:color="auto"/>
        <w:right w:val="none" w:sz="0" w:space="0" w:color="auto"/>
      </w:divBdr>
    </w:div>
    <w:div w:id="2140418474">
      <w:marLeft w:val="0"/>
      <w:marRight w:val="0"/>
      <w:marTop w:val="0"/>
      <w:marBottom w:val="0"/>
      <w:divBdr>
        <w:top w:val="none" w:sz="0" w:space="0" w:color="auto"/>
        <w:left w:val="none" w:sz="0" w:space="0" w:color="auto"/>
        <w:bottom w:val="none" w:sz="0" w:space="0" w:color="auto"/>
        <w:right w:val="none" w:sz="0" w:space="0" w:color="auto"/>
      </w:divBdr>
      <w:divsChild>
        <w:div w:id="491258326">
          <w:marLeft w:val="0"/>
          <w:marRight w:val="0"/>
          <w:marTop w:val="0"/>
          <w:marBottom w:val="0"/>
          <w:divBdr>
            <w:top w:val="none" w:sz="0" w:space="0" w:color="auto"/>
            <w:left w:val="none" w:sz="0" w:space="0" w:color="auto"/>
            <w:bottom w:val="none" w:sz="0" w:space="0" w:color="auto"/>
            <w:right w:val="none" w:sz="0" w:space="0" w:color="auto"/>
          </w:divBdr>
          <w:divsChild>
            <w:div w:id="10249411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42258379">
      <w:marLeft w:val="0"/>
      <w:marRight w:val="0"/>
      <w:marTop w:val="100"/>
      <w:marBottom w:val="100"/>
      <w:divBdr>
        <w:top w:val="none" w:sz="0" w:space="0" w:color="auto"/>
        <w:left w:val="none" w:sz="0" w:space="0" w:color="auto"/>
        <w:bottom w:val="none" w:sz="0" w:space="0" w:color="auto"/>
        <w:right w:val="none" w:sz="0" w:space="0" w:color="auto"/>
      </w:divBdr>
      <w:divsChild>
        <w:div w:id="110712562">
          <w:marLeft w:val="0"/>
          <w:marRight w:val="0"/>
          <w:marTop w:val="0"/>
          <w:marBottom w:val="0"/>
          <w:divBdr>
            <w:top w:val="none" w:sz="0" w:space="0" w:color="auto"/>
            <w:left w:val="none" w:sz="0" w:space="0" w:color="auto"/>
            <w:bottom w:val="none" w:sz="0" w:space="0" w:color="auto"/>
            <w:right w:val="none" w:sz="0" w:space="0" w:color="auto"/>
          </w:divBdr>
        </w:div>
        <w:div w:id="441606731">
          <w:marLeft w:val="0"/>
          <w:marRight w:val="0"/>
          <w:marTop w:val="0"/>
          <w:marBottom w:val="0"/>
          <w:divBdr>
            <w:top w:val="none" w:sz="0" w:space="0" w:color="auto"/>
            <w:left w:val="none" w:sz="0" w:space="0" w:color="auto"/>
            <w:bottom w:val="none" w:sz="0" w:space="0" w:color="auto"/>
            <w:right w:val="none" w:sz="0" w:space="0" w:color="auto"/>
          </w:divBdr>
        </w:div>
        <w:div w:id="2060009559">
          <w:marLeft w:val="0"/>
          <w:marRight w:val="0"/>
          <w:marTop w:val="0"/>
          <w:marBottom w:val="0"/>
          <w:divBdr>
            <w:top w:val="none" w:sz="0" w:space="0" w:color="auto"/>
            <w:left w:val="none" w:sz="0" w:space="0" w:color="auto"/>
            <w:bottom w:val="none" w:sz="0" w:space="0" w:color="auto"/>
            <w:right w:val="none" w:sz="0" w:space="0" w:color="auto"/>
          </w:divBdr>
        </w:div>
        <w:div w:id="1719819596">
          <w:marLeft w:val="0"/>
          <w:marRight w:val="0"/>
          <w:marTop w:val="0"/>
          <w:marBottom w:val="0"/>
          <w:divBdr>
            <w:top w:val="none" w:sz="0" w:space="0" w:color="auto"/>
            <w:left w:val="none" w:sz="0" w:space="0" w:color="auto"/>
            <w:bottom w:val="none" w:sz="0" w:space="0" w:color="auto"/>
            <w:right w:val="none" w:sz="0" w:space="0" w:color="auto"/>
          </w:divBdr>
        </w:div>
      </w:divsChild>
    </w:div>
    <w:div w:id="2142460658">
      <w:marLeft w:val="0"/>
      <w:marRight w:val="0"/>
      <w:marTop w:val="180"/>
      <w:marBottom w:val="180"/>
      <w:divBdr>
        <w:top w:val="none" w:sz="0" w:space="0" w:color="auto"/>
        <w:left w:val="none" w:sz="0" w:space="0" w:color="auto"/>
        <w:bottom w:val="none" w:sz="0" w:space="0" w:color="auto"/>
        <w:right w:val="none" w:sz="0" w:space="0" w:color="auto"/>
      </w:divBdr>
    </w:div>
    <w:div w:id="2142652540">
      <w:marLeft w:val="0"/>
      <w:marRight w:val="0"/>
      <w:marTop w:val="60"/>
      <w:marBottom w:val="60"/>
      <w:divBdr>
        <w:top w:val="none" w:sz="0" w:space="0" w:color="auto"/>
        <w:left w:val="none" w:sz="0" w:space="0" w:color="auto"/>
        <w:bottom w:val="none" w:sz="0" w:space="0" w:color="auto"/>
        <w:right w:val="none" w:sz="0" w:space="0" w:color="auto"/>
      </w:divBdr>
    </w:div>
    <w:div w:id="2144611585">
      <w:marLeft w:val="0"/>
      <w:marRight w:val="0"/>
      <w:marTop w:val="18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927628/000119312513084249/d447949dex10215.htm" TargetMode="External"/><Relationship Id="rId21" Type="http://schemas.openxmlformats.org/officeDocument/2006/relationships/hyperlink" Target="https://www.sec.gov/Archives/edgar/data/927628/000092762819000180/exhibit101-fifthamendedand.htm" TargetMode="External"/><Relationship Id="rId42" Type="http://schemas.openxmlformats.org/officeDocument/2006/relationships/hyperlink" Target="https://www.sec.gov/Archives/edgar/data/927628/000092762819000093/cof-12312018x10kxex10221.htm" TargetMode="External"/><Relationship Id="rId47" Type="http://schemas.openxmlformats.org/officeDocument/2006/relationships/hyperlink" Target="cof-12312020x10kxex10226.htm" TargetMode="External"/><Relationship Id="rId63" Type="http://schemas.openxmlformats.org/officeDocument/2006/relationships/hyperlink" Target="https://www.sec.gov/Archives/edgar/data/927628/000119312512086138/d258810dex105.htm" TargetMode="External"/><Relationship Id="rId68" Type="http://schemas.openxmlformats.org/officeDocument/2006/relationships/hyperlink" Target="https://www.sec.gov/Archives/edgar/data/927628/000119312514073467/d637300dex1073.htm" TargetMode="External"/><Relationship Id="rId16" Type="http://schemas.openxmlformats.org/officeDocument/2006/relationships/hyperlink" Target="https://www.sec.gov/Archives/edgar/data/927628/000119312512362016/d395908dex41.htm" TargetMode="External"/><Relationship Id="rId11" Type="http://schemas.openxmlformats.org/officeDocument/2006/relationships/hyperlink" Target="https://www.sec.gov/Archives/edgar/data/927628/000119312519243010/d766839dex31.htm" TargetMode="External"/><Relationship Id="rId24" Type="http://schemas.openxmlformats.org/officeDocument/2006/relationships/hyperlink" Target="https://www.sec.gov/Archives/edgar/data/927628/000119312512086138/d258810dex10211.htm" TargetMode="External"/><Relationship Id="rId32" Type="http://schemas.openxmlformats.org/officeDocument/2006/relationships/hyperlink" Target="https://www.sec.gov/Archives/edgar/data/927628/000092762815000026/cof-12312014x10xkxex10216.htm" TargetMode="External"/><Relationship Id="rId37" Type="http://schemas.openxmlformats.org/officeDocument/2006/relationships/hyperlink" Target="https://www.sec.gov/Archives/edgar/data/927628/000092762817000115/cof-12312016x10kxex10219.htm" TargetMode="External"/><Relationship Id="rId40" Type="http://schemas.openxmlformats.org/officeDocument/2006/relationships/hyperlink" Target="https://www.sec.gov/Archives/edgar/data/927628/000092762818000107/cof-12312017x10kxex10222.htm" TargetMode="External"/><Relationship Id="rId45" Type="http://schemas.openxmlformats.org/officeDocument/2006/relationships/hyperlink" Target="https://www.sec.gov/Archives/edgar/data/927628/000092762820000102/cof-12312019x10kxex10224.htm" TargetMode="External"/><Relationship Id="rId53" Type="http://schemas.openxmlformats.org/officeDocument/2006/relationships/hyperlink" Target="cof-12312020x10kxex10227.htm" TargetMode="External"/><Relationship Id="rId58" Type="http://schemas.openxmlformats.org/officeDocument/2006/relationships/hyperlink" Target="https://www.sec.gov/Archives/edgar/data/927628/000119312512086138/d258810dex1035.htm" TargetMode="External"/><Relationship Id="rId66" Type="http://schemas.openxmlformats.org/officeDocument/2006/relationships/hyperlink" Target="https://www.sec.gov/Archives/edgar/data/927628/000119312512086138/d258810dex1082.htm" TargetMode="External"/><Relationship Id="rId74" Type="http://schemas.openxmlformats.org/officeDocument/2006/relationships/hyperlink" Target="cof-12312020x10kxex311.htm" TargetMode="External"/><Relationship Id="rId79" Type="http://schemas.openxmlformats.org/officeDocument/2006/relationships/theme" Target="theme/theme1.xml"/><Relationship Id="rId5" Type="http://schemas.openxmlformats.org/officeDocument/2006/relationships/hyperlink" Target="https://www.sec.gov/Archives/edgar/data/927628/000092762820000189/exhibit32restatedcerti.htm" TargetMode="External"/><Relationship Id="rId61" Type="http://schemas.openxmlformats.org/officeDocument/2006/relationships/hyperlink" Target="https://www.sec.gov/Archives/edgar/data/927628/000119312512086138/d258810dex104.htm" TargetMode="External"/><Relationship Id="rId19" Type="http://schemas.openxmlformats.org/officeDocument/2006/relationships/hyperlink" Target="https://www.sec.gov/Archives/edgar/data/927628/000119312514104514/d683099ddef14a.htm" TargetMode="External"/><Relationship Id="rId14" Type="http://schemas.openxmlformats.org/officeDocument/2006/relationships/hyperlink" Target="https://www.sec.gov/Archives/edgar/data/927628/000119312504035097/dex41.htm" TargetMode="External"/><Relationship Id="rId22" Type="http://schemas.openxmlformats.org/officeDocument/2006/relationships/hyperlink" Target="https://www.sec.gov/Archives/edgar/data/927628/000114036111012916/ex10_18.htm" TargetMode="External"/><Relationship Id="rId27" Type="http://schemas.openxmlformats.org/officeDocument/2006/relationships/hyperlink" Target="https://www.sec.gov/Archives/edgar/data/927628/000119312514073467/d637300dex10215.htm" TargetMode="External"/><Relationship Id="rId30" Type="http://schemas.openxmlformats.org/officeDocument/2006/relationships/hyperlink" Target="https://www.sec.gov/Archives/edgar/data/927628/000092762815000026/cof-12312014x10xkxex10214.htm" TargetMode="External"/><Relationship Id="rId35" Type="http://schemas.openxmlformats.org/officeDocument/2006/relationships/hyperlink" Target="https://www.sec.gov/Archives/edgar/data/927628/000092762816000140/cof-12312015x10xkxex10219.htm" TargetMode="External"/><Relationship Id="rId43" Type="http://schemas.openxmlformats.org/officeDocument/2006/relationships/hyperlink" Target="https://www.sec.gov/Archives/edgar/data/927628/000092762819000093/cof-12312018x10kxex10222.htm" TargetMode="External"/><Relationship Id="rId48" Type="http://schemas.openxmlformats.org/officeDocument/2006/relationships/hyperlink" Target="cof-12312020x10kxex10227.htm" TargetMode="External"/><Relationship Id="rId56" Type="http://schemas.openxmlformats.org/officeDocument/2006/relationships/hyperlink" Target="https://www.sec.gov/Archives/edgar/data/927628/000119312504182855/dex103.htm" TargetMode="External"/><Relationship Id="rId64" Type="http://schemas.openxmlformats.org/officeDocument/2006/relationships/hyperlink" Target="https://www.sec.gov/Archives/edgar/data/927628/000119312512086138/d258810dex106.htm" TargetMode="External"/><Relationship Id="rId69" Type="http://schemas.openxmlformats.org/officeDocument/2006/relationships/hyperlink" Target="https://www.sec.gov/Archives/edgar/data/927628/000119312513084249/d447949dex109.htm" TargetMode="External"/><Relationship Id="rId77" Type="http://schemas.openxmlformats.org/officeDocument/2006/relationships/hyperlink" Target="cof-12312020x10kxex322.htm" TargetMode="External"/><Relationship Id="rId8" Type="http://schemas.openxmlformats.org/officeDocument/2006/relationships/hyperlink" Target="https://www.sec.gov/Archives/edgar/data/927628/000119312515188204/d925675dex31.htm" TargetMode="External"/><Relationship Id="rId51" Type="http://schemas.openxmlformats.org/officeDocument/2006/relationships/hyperlink" Target="cof-12312020x10kxex10227.htm" TargetMode="External"/><Relationship Id="rId72" Type="http://schemas.openxmlformats.org/officeDocument/2006/relationships/hyperlink" Target="cof-12312020x10kxex21.htm" TargetMode="External"/><Relationship Id="rId3" Type="http://schemas.openxmlformats.org/officeDocument/2006/relationships/webSettings" Target="webSettings.xml"/><Relationship Id="rId12" Type="http://schemas.openxmlformats.org/officeDocument/2006/relationships/hyperlink" Target="https://www.sec.gov/Archives/edgar/data/927628/000119312520021345/d863354dex31.htm" TargetMode="External"/><Relationship Id="rId17" Type="http://schemas.openxmlformats.org/officeDocument/2006/relationships/hyperlink" Target="cof-12312020x10kxex43.htm" TargetMode="External"/><Relationship Id="rId25" Type="http://schemas.openxmlformats.org/officeDocument/2006/relationships/hyperlink" Target="https://www.sec.gov/Archives/edgar/data/927628/000119312513084249/d447949dex10214.htm" TargetMode="External"/><Relationship Id="rId33" Type="http://schemas.openxmlformats.org/officeDocument/2006/relationships/hyperlink" Target="https://www.sec.gov/Archives/edgar/data/927628/000092762816000140/cof-12312015x10xkxex10217.htm" TargetMode="External"/><Relationship Id="rId38" Type="http://schemas.openxmlformats.org/officeDocument/2006/relationships/hyperlink" Target="https://www.sec.gov/Archives/edgar/data/927628/000092762817000115/cof-12312016x10kxex10220.htm" TargetMode="External"/><Relationship Id="rId46" Type="http://schemas.openxmlformats.org/officeDocument/2006/relationships/hyperlink" Target="cof-12312020x10kxex10225.htm" TargetMode="External"/><Relationship Id="rId59" Type="http://schemas.openxmlformats.org/officeDocument/2006/relationships/hyperlink" Target="https://www.sec.gov/Archives/edgar/data/927628/000092762818000281/cof-06302018x10qxex101.htm" TargetMode="External"/><Relationship Id="rId67" Type="http://schemas.openxmlformats.org/officeDocument/2006/relationships/hyperlink" Target="https://www.sec.gov/Archives/edgar/data/927628/000119312513084249/d447949dex1083.htm" TargetMode="External"/><Relationship Id="rId20" Type="http://schemas.openxmlformats.org/officeDocument/2006/relationships/hyperlink" Target="https://www.sec.gov/Archives/edgar/data/927628/000092762818000107/cof-12312017x10kxex1014.htm" TargetMode="External"/><Relationship Id="rId41" Type="http://schemas.openxmlformats.org/officeDocument/2006/relationships/hyperlink" Target="https://www.sec.gov/Archives/edgar/data/927628/000092762818000107/cof-12312017x10kxex10223.htm" TargetMode="External"/><Relationship Id="rId54" Type="http://schemas.openxmlformats.org/officeDocument/2006/relationships/hyperlink" Target="cof-12312020x10kxex10227.htm" TargetMode="External"/><Relationship Id="rId62" Type="http://schemas.openxmlformats.org/officeDocument/2006/relationships/hyperlink" Target="https://www.sec.gov/Archives/edgar/data/927628/000092762815000106/cof-09302015x10qxex101.htm" TargetMode="External"/><Relationship Id="rId70" Type="http://schemas.openxmlformats.org/officeDocument/2006/relationships/hyperlink" Target="https://www.sec.gov/Archives/edgar/data/927628/000092762817000179/cof-3312017x10qxex1011.htm" TargetMode="External"/><Relationship Id="rId75" Type="http://schemas.openxmlformats.org/officeDocument/2006/relationships/hyperlink" Target="cof-12312020x10kxex312.htm" TargetMode="External"/><Relationship Id="rId1" Type="http://schemas.openxmlformats.org/officeDocument/2006/relationships/styles" Target="styles.xml"/><Relationship Id="rId6" Type="http://schemas.openxmlformats.org/officeDocument/2006/relationships/hyperlink" Target="https://www.sec.gov/Archives/edgar/data/927628/000092762820000189/exhibit32restatedcerti.htm" TargetMode="External"/><Relationship Id="rId15" Type="http://schemas.openxmlformats.org/officeDocument/2006/relationships/hyperlink" Target="https://www.sec.gov/Archives/edgar/data/927628/000119312509247098/dex41.htm" TargetMode="External"/><Relationship Id="rId23" Type="http://schemas.openxmlformats.org/officeDocument/2006/relationships/hyperlink" Target="https://www.sec.gov/Archives/edgar/data/927628/000119312512086138/d258810dex10210.htm" TargetMode="External"/><Relationship Id="rId28" Type="http://schemas.openxmlformats.org/officeDocument/2006/relationships/hyperlink" Target="https://www.sec.gov/Archives/edgar/data/927628/000119312514073467/d637300dex10216.htm" TargetMode="External"/><Relationship Id="rId36" Type="http://schemas.openxmlformats.org/officeDocument/2006/relationships/hyperlink" Target="https://www.sec.gov/Archives/edgar/data/927628/000092762816000200/cof-06302016x10qxex102.htm" TargetMode="External"/><Relationship Id="rId49" Type="http://schemas.openxmlformats.org/officeDocument/2006/relationships/hyperlink" Target="cof-12312020x10kxex10227.htm" TargetMode="External"/><Relationship Id="rId57" Type="http://schemas.openxmlformats.org/officeDocument/2006/relationships/hyperlink" Target="https://www.sec.gov/Archives/edgar/data/927628/000119312512086138/d258810dex1034.htm" TargetMode="External"/><Relationship Id="rId10" Type="http://schemas.openxmlformats.org/officeDocument/2006/relationships/hyperlink" Target="https://www.sec.gov/Archives/edgar/data/927628/000119312516779693/d300074dex31.htm" TargetMode="External"/><Relationship Id="rId31" Type="http://schemas.openxmlformats.org/officeDocument/2006/relationships/hyperlink" Target="https://www.sec.gov/Archives/edgar/data/927628/000092762815000026/cof-12312014x10xkxex10215.htm" TargetMode="External"/><Relationship Id="rId44" Type="http://schemas.openxmlformats.org/officeDocument/2006/relationships/hyperlink" Target="https://www.sec.gov/Archives/edgar/data/927628/000092762820000102/cof-12312019x10kxex10223.htm" TargetMode="External"/><Relationship Id="rId52" Type="http://schemas.openxmlformats.org/officeDocument/2006/relationships/hyperlink" Target="cof-12312020x10kxex10227.htm" TargetMode="External"/><Relationship Id="rId60" Type="http://schemas.openxmlformats.org/officeDocument/2006/relationships/hyperlink" Target="https://www.sec.gov/Archives/edgar/data/927628/000092762819000274/cof-06302019x10qxex102.htm" TargetMode="External"/><Relationship Id="rId65" Type="http://schemas.openxmlformats.org/officeDocument/2006/relationships/hyperlink" Target="https://www.sec.gov/Archives/edgar/data/927628/000119312513084249/d447949dex1062.htm" TargetMode="External"/><Relationship Id="rId73" Type="http://schemas.openxmlformats.org/officeDocument/2006/relationships/hyperlink" Target="cof-12312020x10kxex23.htm" TargetMode="External"/><Relationship Id="rId78" Type="http://schemas.openxmlformats.org/officeDocument/2006/relationships/fontTable" Target="fontTable.xml"/><Relationship Id="rId4" Type="http://schemas.openxmlformats.org/officeDocument/2006/relationships/image" Target="file:///E:\projects\LLMs\new_data_collection\data_new\htm\CAPITAL%20ONE%20FINANCIAL%20CORP\cof-20201231_g1.jpg" TargetMode="External"/><Relationship Id="rId9" Type="http://schemas.openxmlformats.org/officeDocument/2006/relationships/hyperlink" Target="https://www.sec.gov/Archives/edgar/data/927628/000119312516664587/d202765dex31.htm" TargetMode="External"/><Relationship Id="rId13" Type="http://schemas.openxmlformats.org/officeDocument/2006/relationships/hyperlink" Target="https://www.sec.gov/Archives/edgar/data/927628/000119312520248074/d72664dex31.htm" TargetMode="External"/><Relationship Id="rId18" Type="http://schemas.openxmlformats.org/officeDocument/2006/relationships/hyperlink" Target="https://www.sec.gov/Archives/edgar/data/927628/000120677409000485/capitalone_def14a.htm" TargetMode="External"/><Relationship Id="rId39" Type="http://schemas.openxmlformats.org/officeDocument/2006/relationships/hyperlink" Target="https://www.sec.gov/Archives/edgar/data/927628/000092762817000115/cof-12312016x10kxex10221.htm" TargetMode="External"/><Relationship Id="rId34" Type="http://schemas.openxmlformats.org/officeDocument/2006/relationships/hyperlink" Target="https://www.sec.gov/Archives/edgar/data/927628/000092762816000140/cof-12312015x10xkxex10218.htm" TargetMode="External"/><Relationship Id="rId50" Type="http://schemas.openxmlformats.org/officeDocument/2006/relationships/hyperlink" Target="cof-12312020x10kxex10227.htm" TargetMode="External"/><Relationship Id="rId55" Type="http://schemas.openxmlformats.org/officeDocument/2006/relationships/hyperlink" Target="https://www.sec.gov/Archives/edgar/data/927628/000095013303000793/w83110exv10w4.txt" TargetMode="External"/><Relationship Id="rId76" Type="http://schemas.openxmlformats.org/officeDocument/2006/relationships/hyperlink" Target="cof-12312020x10kxex321.htm" TargetMode="External"/><Relationship Id="rId7" Type="http://schemas.openxmlformats.org/officeDocument/2006/relationships/hyperlink" Target="https://www.sec.gov/Archives/edgar/data/927628/000092762820000189/exhibit33amendedandres.htm" TargetMode="External"/><Relationship Id="rId71" Type="http://schemas.openxmlformats.org/officeDocument/2006/relationships/hyperlink" Target="https://www.sec.gov/Archives/edgar/data/927628/000092762817000179/cof-3312017x10qxex1013.htm" TargetMode="External"/><Relationship Id="rId2" Type="http://schemas.openxmlformats.org/officeDocument/2006/relationships/settings" Target="settings.xml"/><Relationship Id="rId29" Type="http://schemas.openxmlformats.org/officeDocument/2006/relationships/hyperlink" Target="https://www.sec.gov/Archives/edgar/data/927628/000119312514073467/d637300dex1021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147371</Words>
  <Characters>840021</Characters>
  <Application>Microsoft Office Word</Application>
  <DocSecurity>0</DocSecurity>
  <Lines>7000</Lines>
  <Paragraphs>1970</Paragraphs>
  <ScaleCrop>false</ScaleCrop>
  <Company/>
  <LinksUpToDate>false</LinksUpToDate>
  <CharactersWithSpaces>985422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cof-20201231</dc:title>
  <dc:subject/>
  <dc:creator>Chongjian.Yue</dc:creator>
  <cp:keywords/>
  <dc:description/>
  <cp:lastModifiedBy>Yue Chongjian</cp:lastModifiedBy>
  <cp:revision>1</cp:revision>
  <dcterms:created xsi:type="dcterms:W3CDTF">2024-01-04T15:34:00Z</dcterms:created>
  <dcterms:modified xsi:type="dcterms:W3CDTF">2024-01-04T15:34:00Z</dcterms:modified>
</cp:coreProperties>
</file>