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92DBE">
      <w:pPr>
        <w:divId w:val="815951451"/>
        <w:rPr>
          <w:rFonts w:eastAsia="Times New Roman"/>
          <w:vanish/>
        </w:rPr>
      </w:pPr>
      <w:r>
        <w:rPr>
          <w:rFonts w:eastAsia="Times New Roman"/>
          <w:vanish/>
        </w:rPr>
        <w:t>false2021Q1000092762812/313.80.02500009276282021-01-012021-03-310000927628us-gaap:CommonStockMember2021-01-012021-03-310000927628us-gaap:SeriesGPreferredStockMember2021-01-012021-03-310000927628</w:t>
      </w:r>
      <w:r>
        <w:rPr>
          <w:rFonts w:eastAsia="Times New Roman"/>
          <w:vanish/>
        </w:rPr>
        <w:t>us-gaap:SeriesHPreferredStockMember2021-01-012021-03-310000927628cof:SeriesIPreferredStockMember2021-01-012021-03-310000927628cof:SeriesJPreferredStockMember2021-01-012021-03-310000927628cof:SeriesKPreferredStockMember2021-01-012021-03-310000927628cof:Seri</w:t>
      </w:r>
      <w:r>
        <w:rPr>
          <w:rFonts w:eastAsia="Times New Roman"/>
          <w:vanish/>
        </w:rPr>
        <w:t>esLPreferredStockMember2021-01-012021-03-310000927628cof:SeniorNotesDue2024Member2021-01-012021-03-310000927628cof:SeniorNotesDue2029Member2021-01-012021-03-31xbrli:shares00009276282021-04-30iso4217:USD00009276282020-01-012020-03-31iso4217:USDxbrli:shares0</w:t>
      </w:r>
      <w:r>
        <w:rPr>
          <w:rFonts w:eastAsia="Times New Roman"/>
          <w:vanish/>
        </w:rPr>
        <w:t>0009276282021-03-3100009276282020-12-310000927628srt:ParentCompanyMember2021-03-310000927628srt:ParentCompanyMember2020-12-310000927628us-gaap:VariableInterestEntityPrimaryBeneficiaryMember2021-03-310000927628us-gaap:VariableInterestEntityPrimaryBeneficiar</w:t>
      </w:r>
      <w:r>
        <w:rPr>
          <w:rFonts w:eastAsia="Times New Roman"/>
          <w:vanish/>
        </w:rPr>
        <w:t>yMember2020-12-310000927628us-gaap:PreferredStockMember2020-12-310000927628us-gaap:CommonStockMember2020-12-310000927628us-gaap:AdditionalPaidInCapitalMember2020-12-310000927628us-gaap:RetainedEarningsMember2020-12-310000927628us-gaap:AccumulatedOtherCompr</w:t>
      </w:r>
      <w:r>
        <w:rPr>
          <w:rFonts w:eastAsia="Times New Roman"/>
          <w:vanish/>
        </w:rPr>
        <w:t>ehensiveIncomeMember2020-12-310000927628us-gaap:TreasuryStockMember2020-12-310000927628us-gaap:RetainedEarningsMember2021-01-012021-03-310000927628us-gaap:AccumulatedOtherComprehensiveIncomeMember2021-01-012021-03-310000927628us-gaap:CommonStockMember2021-</w:t>
      </w:r>
      <w:r>
        <w:rPr>
          <w:rFonts w:eastAsia="Times New Roman"/>
          <w:vanish/>
        </w:rPr>
        <w:t>01-012021-03-310000927628us-gaap:AdditionalPaidInCapitalMember2021-01-012021-03-310000927628us-gaap:TreasuryStockMember2021-01-012021-03-310000927628us-gaap:PreferredStockMember2021-03-310000927628us-gaap:CommonStockMember2021-03-310000927628us-gaap:Additi</w:t>
      </w:r>
      <w:r>
        <w:rPr>
          <w:rFonts w:eastAsia="Times New Roman"/>
          <w:vanish/>
        </w:rPr>
        <w:t>onalPaidInCapitalMember2021-03-310000927628us-gaap:RetainedEarningsMember2021-03-310000927628us-gaap:AccumulatedOtherComprehensiveIncomeMember2021-03-310000927628us-gaap:TreasuryStockMember2021-03-310000927628us-gaap:PreferredStockMember2019-12-31000092762</w:t>
      </w:r>
      <w:r>
        <w:rPr>
          <w:rFonts w:eastAsia="Times New Roman"/>
          <w:vanish/>
        </w:rPr>
        <w:t>8us-gaap:CommonStockMember2019-12-310000927628us-gaap:AdditionalPaidInCapitalMember2019-12-310000927628us-gaap:RetainedEarningsMember2019-12-310000927628us-gaap:AccumulatedOtherComprehensiveIncomeMember2019-12-310000927628us-gaap:TreasuryStockMember2019-12</w:t>
      </w:r>
      <w:r>
        <w:rPr>
          <w:rFonts w:eastAsia="Times New Roman"/>
          <w:vanish/>
        </w:rPr>
        <w:t>-3100009276282019-12-310000927628us-gaap:RetainedEarningsMembersrt:CumulativeEffectPeriodOfAdoptionAdjustmentMember2019-12-310000927628us-gaap:AccumulatedOtherComprehensiveIncomeMembersrt:CumulativeEffectPeriodOfAdoptionAdjustmentMember2019-12-310000927628</w:t>
      </w:r>
      <w:r>
        <w:rPr>
          <w:rFonts w:eastAsia="Times New Roman"/>
          <w:vanish/>
        </w:rPr>
        <w:t>srt:CumulativeEffectPeriodOfAdoptionAdjustmentMember2019-12-310000927628us-gaap:RetainedEarningsMember2020-01-012020-03-310000927628us-gaap:AccumulatedOtherComprehensiveIncomeMember2020-01-012020-03-310000927628us-gaap:CommonStockMember2020-01-012020-03-31</w:t>
      </w:r>
      <w:r>
        <w:rPr>
          <w:rFonts w:eastAsia="Times New Roman"/>
          <w:vanish/>
        </w:rPr>
        <w:t>0000927628us-gaap:AdditionalPaidInCapitalMember2020-01-012020-03-310000927628us-gaap:TreasuryStockMember2020-01-012020-03-310000927628us-gaap:PreferredStockMember2020-01-012020-03-310000927628us-gaap:PreferredStockMember2020-03-310000927628us-gaap:CommonSt</w:t>
      </w:r>
      <w:r>
        <w:rPr>
          <w:rFonts w:eastAsia="Times New Roman"/>
          <w:vanish/>
        </w:rPr>
        <w:t>ockMember2020-03-310000927628us-gaap:AdditionalPaidInCapitalMember2020-03-310000927628us-gaap:RetainedEarningsMember2020-03-310000927628us-gaap:AccumulatedOtherComprehensiveIncomeMember2020-03-310000927628us-gaap:TreasuryStockMember2020-03-3100009276282020</w:t>
      </w:r>
      <w:r>
        <w:rPr>
          <w:rFonts w:eastAsia="Times New Roman"/>
          <w:vanish/>
        </w:rPr>
        <w:t>-03-31cof:segmentxbrli:pure0000927628us-gaap:USTreasuryAndGovernmentMembercof:InvestmentSecuritiesPortfolioMember2021-03-312021-03-310000927628us-gaap:USTreasuryAndGovernmentMembercof:InvestmentSecuritiesPortfolioMember2020-12-312020-12-3100009276282020-01</w:t>
      </w:r>
      <w:r>
        <w:rPr>
          <w:rFonts w:eastAsia="Times New Roman"/>
          <w:vanish/>
        </w:rPr>
        <w:t>-012020-12-310000927628us-gaap:USTreasurySecuritiesMember2021-03-310000927628cof:ResidentialMortgageBackedSecuritiesAgencyMember2021-03-310000927628cof:ResidentialMortgageBackedSecuritiesNonagencyMember2021-03-310000927628us-gaap:ResidentialMortgageBackedS</w:t>
      </w:r>
      <w:r>
        <w:rPr>
          <w:rFonts w:eastAsia="Times New Roman"/>
          <w:vanish/>
        </w:rPr>
        <w:t>ecuritiesMember2021-03-310000927628cof:CommercialMortgageBackedSecuritiesAgencyMember2021-03-310000927628us-gaap:OtherDebtSecuritiesMember2021-03-310000927628us-gaap:USTreasurySecuritiesMember2020-12-310000927628cof:ResidentialMortgageBackedSecuritiesAgenc</w:t>
      </w:r>
      <w:r>
        <w:rPr>
          <w:rFonts w:eastAsia="Times New Roman"/>
          <w:vanish/>
        </w:rPr>
        <w:t>yMember2020-12-310000927628cof:ResidentialMortgageBackedSecuritiesNonagencyMember2020-12-310000927628us-gaap:ResidentialMortgageBackedSecuritiesMember2020-12-310000927628cof:CommercialMortgageBackedSecuritiesAgencyMember2020-12-310000927628us-gaap:OtherDeb</w:t>
      </w:r>
      <w:r>
        <w:rPr>
          <w:rFonts w:eastAsia="Times New Roman"/>
          <w:vanish/>
        </w:rPr>
        <w:t>tSecuritiesMember2020-12-310000927628us-gaap:AssetBackedSecuritiesMember2021-03-310000927628us-gaap:AssetBackedSecuritiesMember2020-12-31cof:security0000927628us-gaap:ResidentialMortgageBackedSecuritiesMember2021-01-012021-03-310000927628cof:CommercialMort</w:t>
      </w:r>
      <w:r>
        <w:rPr>
          <w:rFonts w:eastAsia="Times New Roman"/>
          <w:vanish/>
        </w:rPr>
        <w:t>gageBackedSecuritiesAgencyMember2021-01-012021-03-310000927628us-gaap:CollateralPledgedMember2021-03-310000927628us-gaap:CollateralPledgedMember2020-12-310000927628us-gaap:GeographicDistributionDomesticMembercof:CreditCardPortfolioSegmentMember2021-03-3100</w:t>
      </w:r>
      <w:r>
        <w:rPr>
          <w:rFonts w:eastAsia="Times New Roman"/>
          <w:vanish/>
        </w:rPr>
        <w:t>00927628us-gaap:GeographicDistributionDomesticMemberus-gaap:FinancingReceivables30To59DaysPastDueMembercof:CreditCardPortfolioSegmentMember2021-03-310000927628us-gaap:GeographicDistributionDomesticMembercof:CreditCardPortfolioSegmentMemberus-gaap:Financing</w:t>
      </w:r>
      <w:r>
        <w:rPr>
          <w:rFonts w:eastAsia="Times New Roman"/>
          <w:vanish/>
        </w:rPr>
        <w:t>Receivables60To89DaysPastDueMember2021-03-310000927628us-gaap:GeographicDistributionDomesticMembercof:CreditCardPortfolioSegmentMemberus-gaap:FinancingReceivablesEqualToGreaterThan90DaysPastDueMember2021-03-310000927628cof:CreditCardPortfolioSegmentMemberu</w:t>
      </w:r>
      <w:r>
        <w:rPr>
          <w:rFonts w:eastAsia="Times New Roman"/>
          <w:vanish/>
        </w:rPr>
        <w:t>s-gaap:GeographicDistributionForeignMember2021-03-310000927628us-gaap:FinancingReceivables30To59DaysPastDueMembercof:CreditCardPortfolioSegmentMemberus-gaap:GeographicDistributionForeignMember2021-03-310000927628cof:CreditCardPortfolioSegmentMemberus-gaap:</w:t>
      </w:r>
      <w:r>
        <w:rPr>
          <w:rFonts w:eastAsia="Times New Roman"/>
          <w:vanish/>
        </w:rPr>
        <w:t>GeographicDistributionForeignMemberus-gaap:FinancingReceivables60To89DaysPastDueMember2021-03-310000927628cof:CreditCardPortfolioSegmentMemberus-gaap:GeographicDistributionForeignMemberus-gaap:FinancingReceivablesEqualToGreaterThan90DaysPastDueMember2021-0</w:t>
      </w:r>
      <w:r>
        <w:rPr>
          <w:rFonts w:eastAsia="Times New Roman"/>
          <w:vanish/>
        </w:rPr>
        <w:t>3-310000927628cof:CreditCardPortfolioSegmentMember2021-03-310000927628us-gaap:FinancingReceivables30To59DaysPastDueMembercof:CreditCardPortfolioSegmentMember2021-03-310000927628cof:CreditCardPortfolioSegmentMemberus-gaap:FinancingReceivables60To89DaysPastD</w:t>
      </w:r>
      <w:r>
        <w:rPr>
          <w:rFonts w:eastAsia="Times New Roman"/>
          <w:vanish/>
        </w:rPr>
        <w:t>ueMember2021-03-310000927628cof:CreditCardPortfolioSegmentMemberus-gaap:FinancingReceivablesEqualToGreaterThan90DaysPastDueMember2021-03-310000927628us-gaap:AutomobileLoanMemberus-gaap:ConsumerPortfolioSegmentMember2021-03-310000927628us-gaap:AutomobileLoa</w:t>
      </w:r>
      <w:r>
        <w:rPr>
          <w:rFonts w:eastAsia="Times New Roman"/>
          <w:vanish/>
        </w:rPr>
        <w:t>nMemberus-gaap:FinancingReceivables30To59DaysPastDueMemberus-gaap:ConsumerPortfolioSegmentMember2021-03-310000927628us-gaap:AutomobileLoanMemberus-gaap:FinancingReceivables60To89DaysPastDueMemberus-gaap:ConsumerPortfolioSegmentMember2021-03-310000927628us-</w:t>
      </w:r>
      <w:r>
        <w:rPr>
          <w:rFonts w:eastAsia="Times New Roman"/>
          <w:vanish/>
        </w:rPr>
        <w:t>gaap:AutomobileLoanMemberus-gaap:FinancingReceivablesEqualToGreaterThan90DaysPastDueMemberus-gaap:ConsumerPortfolioSegmentMember2021-03-310000927628cof:RetailBankingMemberus-gaap:ConsumerPortfolioSegmentMember2021-03-310000927628us-gaap:FinancingReceivable</w:t>
      </w:r>
      <w:r>
        <w:rPr>
          <w:rFonts w:eastAsia="Times New Roman"/>
          <w:vanish/>
        </w:rPr>
        <w:t>s30To59DaysPastDueMembercof:RetailBankingMemberus-gaap:ConsumerPortfolioSegmentMember2021-03-310000927628cof:RetailBankingMemberus-gaap:FinancingReceivables60To89DaysPastDueMemberus-gaap:ConsumerPortfolioSegmentMember2021-03-310000927628cof:RetailBankingMe</w:t>
      </w:r>
      <w:r>
        <w:rPr>
          <w:rFonts w:eastAsia="Times New Roman"/>
          <w:vanish/>
        </w:rPr>
        <w:t>mberus-gaap:FinancingReceivablesEqualToGreaterThan90DaysPastDueMemberus-gaap:ConsumerPortfolioSegmentMember2021-03-310000927628us-gaap:ConsumerPortfolioSegmentMember2021-03-310000927628us-gaap:FinancingReceivables30To59DaysPastDueMemberus-gaap:ConsumerPort</w:t>
      </w:r>
      <w:r>
        <w:rPr>
          <w:rFonts w:eastAsia="Times New Roman"/>
          <w:vanish/>
        </w:rPr>
        <w:t>folioSegmentMember2021-03-310000927628us-gaap:FinancingReceivables60To89DaysPastDueMemberus-gaap:ConsumerPortfolioSegmentMember2021-03-310000927628us-gaap:FinancingReceivablesEqualToGreaterThan90DaysPastDueMemberus-gaap:ConsumerPortfolioSegmentMember2021-0</w:t>
      </w:r>
      <w:r>
        <w:rPr>
          <w:rFonts w:eastAsia="Times New Roman"/>
          <w:vanish/>
        </w:rPr>
        <w:t>3-310000927628us-gaap:CommercialPortfolioSegmentMembercof:CommercialAndMultifamilyRealEstateMember2021-03-310000927628us-gaap:CommercialPortfolioSegmentMembercof:CommercialAndMultifamilyRealEstateMemberus-gaap:FinancingReceivables30To59DaysPastDueMember202</w:t>
      </w:r>
      <w:r>
        <w:rPr>
          <w:rFonts w:eastAsia="Times New Roman"/>
          <w:vanish/>
        </w:rPr>
        <w:t>1-03-310000927628us-gaap:CommercialPortfolioSegmentMembercof:CommercialAndMultifamilyRealEstateMemberus-gaap:FinancingReceivables60To89DaysPastDueMember2021-03-310000927628us-gaap:CommercialPortfolioSegmentMembercof:CommercialAndMultifamilyRealEstateMember</w:t>
      </w:r>
      <w:r>
        <w:rPr>
          <w:rFonts w:eastAsia="Times New Roman"/>
          <w:vanish/>
        </w:rPr>
        <w:t>us-gaap:FinancingReceivablesEqualToGreaterThan90DaysPastDueMember2021-03-310000927628cof:CommercialAndIndustrialMemberus-gaap:CommercialPortfolioSegmentMember2021-03-310000927628cof:CommercialAndIndustrialMemberus-gaap:CommercialPortfolioSegmentMemberus-ga</w:t>
      </w:r>
      <w:r>
        <w:rPr>
          <w:rFonts w:eastAsia="Times New Roman"/>
          <w:vanish/>
        </w:rPr>
        <w:t>ap:FinancingReceivables30To59DaysPastDueMember2021-03-310000927628cof:CommercialAndIndustrialMemberus-gaap:CommercialPortfolioSegmentMemberus-gaap:FinancingReceivables60To89DaysPastDueMember2021-03-310000927628cof:CommercialAndIndustrialMemberus-gaap:Comme</w:t>
      </w:r>
      <w:r>
        <w:rPr>
          <w:rFonts w:eastAsia="Times New Roman"/>
          <w:vanish/>
        </w:rPr>
        <w:t>rcialPortfolioSegmentMemberus-gaap:FinancingReceivablesEqualToGreaterThan90DaysPastDueMember2021-03-310000927628us-gaap:CommercialPortfolioSegmentMember2021-03-310000927628us-gaap:CommercialPortfolioSegmentMemberus-gaap:FinancingReceivables30To59DaysPastDu</w:t>
      </w:r>
      <w:r>
        <w:rPr>
          <w:rFonts w:eastAsia="Times New Roman"/>
          <w:vanish/>
        </w:rPr>
        <w:t>eMember2021-03-310000927628us-gaap:CommercialPortfolioSegmentMemberus-gaap:FinancingReceivables60To89DaysPastDueMember2021-03-310000927628us-gaap:CommercialPortfolioSegmentMemberus-gaap:FinancingReceivablesEqualToGreaterThan90DaysPastDueMember2021-03-31000</w:t>
      </w:r>
      <w:r>
        <w:rPr>
          <w:rFonts w:eastAsia="Times New Roman"/>
          <w:vanish/>
        </w:rPr>
        <w:t>0927628us-gaap:FinancingReceivables30To59DaysPastDueMember2021-03-310000927628us-gaap:FinancingReceivables60To89DaysPastDueMember2021-03-310000927628us-gaap:FinancingReceivablesEqualToGreaterThan90DaysPastDueMember2021-03-310000927628us-gaap:GeographicDist</w:t>
      </w:r>
      <w:r>
        <w:rPr>
          <w:rFonts w:eastAsia="Times New Roman"/>
          <w:vanish/>
        </w:rPr>
        <w:t>ributionDomesticMembercof:CreditCardPortfolioSegmentMember2020-12-310000927628us-gaap:GeographicDistributionDomesticMemberus-gaap:FinancingReceivables30To59DaysPastDueMembercof:CreditCardPortfolioSegmentMember2020-12-310000927628us-gaap:GeographicDistribut</w:t>
      </w:r>
      <w:r>
        <w:rPr>
          <w:rFonts w:eastAsia="Times New Roman"/>
          <w:vanish/>
        </w:rPr>
        <w:t>ionDomesticMembercof:CreditCardPortfolioSegmentMemberus-gaap:FinancingReceivables60To89DaysPastDueMember2020-12-310000927628us-gaap:GeographicDistributionDomesticMembercof:CreditCardPortfolioSegmentMemberus-gaap:FinancingReceivablesEqualToGreaterThan90Days</w:t>
      </w:r>
      <w:r>
        <w:rPr>
          <w:rFonts w:eastAsia="Times New Roman"/>
          <w:vanish/>
        </w:rPr>
        <w:t>PastDueMember2020-12-310000927628cof:CreditCardPortfolioSegmentMemberus-gaap:GeographicDistributionForeignMember2020-12-310000927628us-gaap:FinancingReceivables30To59DaysPastDueMembercof:CreditCardPortfolioSegmentMemberus-gaap:GeographicDistributionForeign</w:t>
      </w:r>
      <w:r>
        <w:rPr>
          <w:rFonts w:eastAsia="Times New Roman"/>
          <w:vanish/>
        </w:rPr>
        <w:t>Member2020-12-310000927628cof:CreditCardPortfolioSegmentMemberus-gaap:GeographicDistributionForeignMemberus-gaap:FinancingReceivables60To89DaysPastDueMember2020-12-310000927628cof:CreditCardPortfolioSegmentMemberus-gaap:GeographicDistributionForeignMemberu</w:t>
      </w:r>
      <w:r>
        <w:rPr>
          <w:rFonts w:eastAsia="Times New Roman"/>
          <w:vanish/>
        </w:rPr>
        <w:t>s-gaap:FinancingReceivablesEqualToGreaterThan90DaysPastDueMember2020-12-310000927628cof:CreditCardPortfolioSegmentMember2020-12-310000927628us-gaap:FinancingReceivables30To59DaysPastDueMembercof:CreditCardPortfolioSegmentMember2020-12-310000927628cof:Credi</w:t>
      </w:r>
      <w:r>
        <w:rPr>
          <w:rFonts w:eastAsia="Times New Roman"/>
          <w:vanish/>
        </w:rPr>
        <w:t>tCardPortfolioSegmentMemberus-gaap:FinancingReceivables60To89DaysPastDueMember2020-12-310000927628cof:CreditCardPortfolioSegmentMemberus-gaap:FinancingReceivablesEqualToGreaterThan90DaysPastDueMember2020-12-310000927628us-gaap:AutomobileLoanMemberus-gaap:C</w:t>
      </w:r>
      <w:r>
        <w:rPr>
          <w:rFonts w:eastAsia="Times New Roman"/>
          <w:vanish/>
        </w:rPr>
        <w:t>onsumerPortfolioSegmentMember2020-12-310000927628us-gaap:AutomobileLoanMemberus-gaap:FinancingReceivables30To59DaysPastDueMemberus-gaap:ConsumerPortfolioSegmentMember2020-12-310000927628us-gaap:AutomobileLoanMemberus-gaap:FinancingReceivables60To89DaysPast</w:t>
      </w:r>
      <w:r>
        <w:rPr>
          <w:rFonts w:eastAsia="Times New Roman"/>
          <w:vanish/>
        </w:rPr>
        <w:t>DueMemberus-gaap:ConsumerPortfolioSegmentMember2020-12-310000927628us-gaap:AutomobileLoanMemberus-gaap:FinancingReceivablesEqualToGreaterThan90DaysPastDueMemberus-gaap:ConsumerPortfolioSegmentMember2020-12-310000927628cof:RetailBankingMemberus-gaap:Consume</w:t>
      </w:r>
      <w:r>
        <w:rPr>
          <w:rFonts w:eastAsia="Times New Roman"/>
          <w:vanish/>
        </w:rPr>
        <w:t>rPortfolioSegmentMember2020-12-310000927628us-gaap:FinancingReceivables30To59DaysPastDueMembercof:RetailBankingMemberus-gaap:ConsumerPortfolioSegmentMember2020-12-310000927628cof:RetailBankingMemberus-gaap:FinancingReceivables60To89DaysPastDueMemberus-gaap</w:t>
      </w:r>
      <w:r>
        <w:rPr>
          <w:rFonts w:eastAsia="Times New Roman"/>
          <w:vanish/>
        </w:rPr>
        <w:t>:ConsumerPortfolioSegmentMember2020-12-310000927628cof:RetailBankingMemberus-gaap:FinancingReceivablesEqualToGreaterThan90DaysPastDueMemberus-gaap:ConsumerPortfolioSegmentMember2020-12-310000927628us-gaap:ConsumerPortfolioSegmentMember2020-12-310000927628u</w:t>
      </w:r>
      <w:r>
        <w:rPr>
          <w:rFonts w:eastAsia="Times New Roman"/>
          <w:vanish/>
        </w:rPr>
        <w:t>s-gaap:FinancingReceivables30To59DaysPastDueMemberus-gaap:ConsumerPortfolioSegmentMember2020-12-310000927628us-gaap:FinancingReceivables60To89DaysPastDueMemberus-gaap:ConsumerPortfolioSegmentMember2020-12-310000927628us-gaap:FinancingReceivablesEqualToGrea</w:t>
      </w:r>
      <w:r>
        <w:rPr>
          <w:rFonts w:eastAsia="Times New Roman"/>
          <w:vanish/>
        </w:rPr>
        <w:t>terThan90DaysPastDueMemberus-gaap:ConsumerPortfolioSegmentMember2020-12-310000927628us-gaap:CommercialPortfolioSegmentMembercof:CommercialAndMultifamilyRealEstateMember2020-12-310000927628us-gaap:CommercialPortfolioSegmentMembercof:CommercialAndMultifamily</w:t>
      </w:r>
      <w:r>
        <w:rPr>
          <w:rFonts w:eastAsia="Times New Roman"/>
          <w:vanish/>
        </w:rPr>
        <w:t>RealEstateMemberus-gaap:FinancingReceivables30To59DaysPastDueMember2020-12-310000927628us-gaap:CommercialPortfolioSegmentMembercof:CommercialAndMultifamilyRealEstateMemberus-gaap:FinancingReceivables60To89DaysPastDueMember2020-12-310000927628us-gaap:Commer</w:t>
      </w:r>
      <w:r>
        <w:rPr>
          <w:rFonts w:eastAsia="Times New Roman"/>
          <w:vanish/>
        </w:rPr>
        <w:t>cialPortfolioSegmentMembercof:CommercialAndMultifamilyRealEstateMemberus-gaap:FinancingReceivablesEqualToGreaterThan90DaysPastDueMember2020-12-310000927628cof:CommercialAndIndustrialMemberus-gaap:CommercialPortfolioSegmentMember2020-12-310000927628cof:Comm</w:t>
      </w:r>
      <w:r>
        <w:rPr>
          <w:rFonts w:eastAsia="Times New Roman"/>
          <w:vanish/>
        </w:rPr>
        <w:t>ercialAndIndustrialMemberus-gaap:CommercialPortfolioSegmentMemberus-gaap:FinancingReceivables30To59DaysPastDueMember2020-12-310000927628cof:CommercialAndIndustrialMemberus-gaap:CommercialPortfolioSegmentMemberus-gaap:FinancingReceivables60To89DaysPastDueMe</w:t>
      </w:r>
      <w:r>
        <w:rPr>
          <w:rFonts w:eastAsia="Times New Roman"/>
          <w:vanish/>
        </w:rPr>
        <w:t>mber2020-12-310000927628cof:CommercialAndIndustrialMemberus-gaap:CommercialPortfolioSegmentMemberus-gaap:FinancingReceivablesEqualToGreaterThan90DaysPastDueMember2020-12-310000927628us-gaap:CommercialPortfolioSegmentMember2020-12-310000927628us-gaap:Commer</w:t>
      </w:r>
      <w:r>
        <w:rPr>
          <w:rFonts w:eastAsia="Times New Roman"/>
          <w:vanish/>
        </w:rPr>
        <w:t>cialPortfolioSegmentMemberus-gaap:FinancingReceivables30To59DaysPastDueMember2020-12-310000927628us-gaap:CommercialPortfolioSegmentMemberus-gaap:FinancingReceivables60To89DaysPastDueMember2020-12-310000927628us-gaap:CommercialPortfolioSegmentMemberus-gaap:</w:t>
      </w:r>
      <w:r>
        <w:rPr>
          <w:rFonts w:eastAsia="Times New Roman"/>
          <w:vanish/>
        </w:rPr>
        <w:t>FinancingReceivablesEqualToGreaterThan90DaysPastDueMember2020-12-310000927628us-gaap:FinancingReceivables30To59DaysPastDueMember2020-12-310000927628us-gaap:FinancingReceivables60To89DaysPastDueMember2020-12-310000927628us-gaap:FinancingReceivablesEqualToGr</w:t>
      </w:r>
      <w:r>
        <w:rPr>
          <w:rFonts w:eastAsia="Times New Roman"/>
          <w:vanish/>
        </w:rPr>
        <w:t>eaterThan90DaysPastDueMember2020-12-310000927628cof:CreditCardPortfolioSegmentMember2021-01-012021-03-310000927628cof:FinancialAssetCurrentAndLessThan30DaysPastDueMemberus-gaap:GeographicDistributionDomesticMembercof:CreditCardPortfolioSegmentMember2021-03</w:t>
      </w:r>
      <w:r>
        <w:rPr>
          <w:rFonts w:eastAsia="Times New Roman"/>
          <w:vanish/>
        </w:rPr>
        <w:t>-310000927628cof:FinancialAssetCurrentAndLessThan30DaysPastDueMemberus-gaap:GeographicDistributionDomesticMembercof:CreditCardPortfolioSegmentMember2020-12-310000927628cof:FinancialAssetCurrentAndLessThan30DaysPastDueMembercof:CreditCardPortfolioSegmentMem</w:t>
      </w:r>
      <w:r>
        <w:rPr>
          <w:rFonts w:eastAsia="Times New Roman"/>
          <w:vanish/>
        </w:rPr>
        <w:t>berus-gaap:GeographicDistributionForeignMember2021-03-310000927628cof:FinancialAssetCurrentAndLessThan30DaysPastDueMembercof:CreditCardPortfolioSegmentMemberus-gaap:GeographicDistributionForeignMember2020-12-310000927628us-gaap:ConsumerPortfolioSegmentMemb</w:t>
      </w:r>
      <w:r>
        <w:rPr>
          <w:rFonts w:eastAsia="Times New Roman"/>
          <w:vanish/>
        </w:rPr>
        <w:t>er2021-01-012021-03-310000927628us-gaap:AutomobileLoanMembercof:FICOScoreGreaterThan660Memberus-gaap:ConsumerPortfolioSegmentMember2021-03-310000927628us-gaap:AutomobileLoanMembercof:FICOScore621To660Memberus-gaap:ConsumerPortfolioSegmentMember2021-03-3100</w:t>
      </w:r>
      <w:r>
        <w:rPr>
          <w:rFonts w:eastAsia="Times New Roman"/>
          <w:vanish/>
        </w:rPr>
        <w:t>00927628us-gaap:AutomobileLoanMemberus-gaap:ConsumerPortfolioSegmentMembercof:FICOScoreLessThan620Member2021-03-310000927628cof:FinancialAssetCurrentAndLessThan30DaysPastDueMembercof:RetailBankingMemberus-gaap:ConsumerPortfolioSegmentMember2021-03-31000092</w:t>
      </w:r>
      <w:r>
        <w:rPr>
          <w:rFonts w:eastAsia="Times New Roman"/>
          <w:vanish/>
        </w:rPr>
        <w:t>7628us-gaap:AutomobileLoanMembercof:FICOScoreGreaterThan660Memberus-gaap:ConsumerPortfolioSegmentMember2020-12-310000927628us-gaap:AutomobileLoanMembercof:FICOScore621To660Memberus-gaap:ConsumerPortfolioSegmentMember2020-12-310000927628us-gaap:AutomobileLo</w:t>
      </w:r>
      <w:r>
        <w:rPr>
          <w:rFonts w:eastAsia="Times New Roman"/>
          <w:vanish/>
        </w:rPr>
        <w:t>anMemberus-gaap:ConsumerPortfolioSegmentMembercof:FICOScoreLessThan620Member2020-12-310000927628cof:FinancialAssetCurrentAndLessThan30DaysPastDueMembercof:RetailBankingMemberus-gaap:ConsumerPortfolioSegmentMember2020-12-310000927628us-gaap:CommercialPortfo</w:t>
      </w:r>
      <w:r>
        <w:rPr>
          <w:rFonts w:eastAsia="Times New Roman"/>
          <w:vanish/>
        </w:rPr>
        <w:t>lioSegmentMember2021-01-012021-03-310000927628us-gaap:CommercialPortfolioSegmentMemberus-gaap:PassMembercof:CommercialAndMultifamilyRealEstateMember2021-03-310000927628us-gaap:CommercialPortfolioSegmentMemberus-gaap:PerformingFinancingReceivableMembercof:C</w:t>
      </w:r>
      <w:r>
        <w:rPr>
          <w:rFonts w:eastAsia="Times New Roman"/>
          <w:vanish/>
        </w:rPr>
        <w:t>ommercialAndMultifamilyRealEstateMemberus-gaap:CriticizedMember2021-03-310000927628us-gaap:CommercialPortfolioSegmentMembercof:CommercialAndMultifamilyRealEstateMemberus-gaap:NonperformingFinancingReceivableMemberus-gaap:CriticizedMember2021-03-31000092762</w:t>
      </w:r>
      <w:r>
        <w:rPr>
          <w:rFonts w:eastAsia="Times New Roman"/>
          <w:vanish/>
        </w:rPr>
        <w:t>8cof:CommercialAndIndustrialMemberus-gaap:CommercialPortfolioSegmentMemberus-gaap:PassMember2021-03-310000927628cof:CommercialAndIndustrialMemberus-gaap:CommercialPortfolioSegmentMemberus-gaap:PerformingFinancingReceivableMemberus-gaap:CriticizedMember2021</w:t>
      </w:r>
      <w:r>
        <w:rPr>
          <w:rFonts w:eastAsia="Times New Roman"/>
          <w:vanish/>
        </w:rPr>
        <w:t>-03-310000927628cof:CommercialAndIndustrialMemberus-gaap:CommercialPortfolioSegmentMemberus-gaap:NonperformingFinancingReceivableMemberus-gaap:CriticizedMember2021-03-310000927628us-gaap:CommercialPortfolioSegmentMemberus-gaap:PassMembercof:CommercialAndMu</w:t>
      </w:r>
      <w:r>
        <w:rPr>
          <w:rFonts w:eastAsia="Times New Roman"/>
          <w:vanish/>
        </w:rPr>
        <w:t>ltifamilyRealEstateMember2020-12-310000927628us-gaap:CommercialPortfolioSegmentMemberus-gaap:PerformingFinancingReceivableMembercof:CommercialAndMultifamilyRealEstateMemberus-gaap:CriticizedMember2020-12-310000927628us-gaap:CommercialPortfolioSegmentMember</w:t>
      </w:r>
      <w:r>
        <w:rPr>
          <w:rFonts w:eastAsia="Times New Roman"/>
          <w:vanish/>
        </w:rPr>
        <w:t>cof:CommercialAndMultifamilyRealEstateMemberus-gaap:NonperformingFinancingReceivableMemberus-gaap:CriticizedMember2020-12-310000927628cof:CommercialAndIndustrialMemberus-gaap:CommercialPortfolioSegmentMemberus-gaap:PassMember2020-12-310000927628cof:Commerc</w:t>
      </w:r>
      <w:r>
        <w:rPr>
          <w:rFonts w:eastAsia="Times New Roman"/>
          <w:vanish/>
        </w:rPr>
        <w:t>ialAndIndustrialMemberus-gaap:CommercialPortfolioSegmentMemberus-gaap:PerformingFinancingReceivableMemberus-gaap:CriticizedMember2020-12-310000927628cof:CommercialAndIndustrialMemberus-gaap:CommercialPortfolioSegmentMemberus-gaap:NonperformingFinancingRece</w:t>
      </w:r>
      <w:r>
        <w:rPr>
          <w:rFonts w:eastAsia="Times New Roman"/>
          <w:vanish/>
        </w:rPr>
        <w:t>ivableMemberus-gaap:CriticizedMember2020-12-310000927628us-gaap:PerformingFinancingReceivableMembercof:CreditCardandConsumerPortfoliosMember2020-12-310000927628us-gaap:PerformingFinancingReceivableMembercof:CreditCardandConsumerPortfoliosMember2021-03-3100</w:t>
      </w:r>
      <w:r>
        <w:rPr>
          <w:rFonts w:eastAsia="Times New Roman"/>
          <w:vanish/>
        </w:rPr>
        <w:t>00927628us-gaap:PerformingFinancingReceivableMemberus-gaap:CommercialPortfolioSegmentMember2021-03-310000927628us-gaap:PerformingFinancingReceivableMemberus-gaap:CommercialPortfolioSegmentMember2020-12-310000927628us-gaap:GeographicDistributionDomesticMemb</w:t>
      </w:r>
      <w:r>
        <w:rPr>
          <w:rFonts w:eastAsia="Times New Roman"/>
          <w:vanish/>
        </w:rPr>
        <w:t>ercof:CreditCardPortfolioSegmentMember2021-01-012021-03-310000927628us-gaap:GeographicDistributionDomesticMembercof:CreditCardPortfolioSegmentMemberus-gaap:ContractualInterestRateReductionMember2021-01-012021-03-310000927628us-gaap:GeographicDistributionDo</w:t>
      </w:r>
      <w:r>
        <w:rPr>
          <w:rFonts w:eastAsia="Times New Roman"/>
          <w:vanish/>
        </w:rPr>
        <w:t>mesticMembercof:CreditCardPortfolioSegmentMemberus-gaap:ExtendedMaturityMember2021-01-012021-03-310000927628cof:CreditCardPortfolioSegmentMemberus-gaap:GeographicDistributionForeignMember2021-01-012021-03-310000927628cof:CreditCardPortfolioSegmentMemberus-</w:t>
      </w:r>
      <w:r>
        <w:rPr>
          <w:rFonts w:eastAsia="Times New Roman"/>
          <w:vanish/>
        </w:rPr>
        <w:t>gaap:GeographicDistributionForeignMemberus-gaap:ContractualInterestRateReductionMember2021-01-012021-03-310000927628cof:CreditCardPortfolioSegmentMemberus-gaap:ExtendedMaturityMemberus-gaap:GeographicDistributionForeignMember2021-01-012021-03-310000927628c</w:t>
      </w:r>
      <w:r>
        <w:rPr>
          <w:rFonts w:eastAsia="Times New Roman"/>
          <w:vanish/>
        </w:rPr>
        <w:t>of:CreditCardPortfolioSegmentMemberus-gaap:ContractualInterestRateReductionMember2021-01-012021-03-310000927628cof:CreditCardPortfolioSegmentMemberus-gaap:ExtendedMaturityMember2021-01-012021-03-310000927628us-gaap:AutomobileLoanMemberus-gaap:ConsumerPortf</w:t>
      </w:r>
      <w:r>
        <w:rPr>
          <w:rFonts w:eastAsia="Times New Roman"/>
          <w:vanish/>
        </w:rPr>
        <w:t>olioSegmentMember2021-01-012021-03-310000927628us-gaap:AutomobileLoanMemberus-gaap:ConsumerPortfolioSegmentMemberus-gaap:ContractualInterestRateReductionMember2021-01-012021-03-310000927628us-gaap:AutomobileLoanMemberus-gaap:ExtendedMaturityMemberus-gaap:C</w:t>
      </w:r>
      <w:r>
        <w:rPr>
          <w:rFonts w:eastAsia="Times New Roman"/>
          <w:vanish/>
        </w:rPr>
        <w:t>onsumerPortfolioSegmentMember2021-01-012021-03-310000927628us-gaap:ConsumerPortfolioSegmentMemberus-gaap:ContractualInterestRateReductionMember2021-01-012021-03-310000927628us-gaap:ExtendedMaturityMemberus-gaap:ConsumerPortfolioSegmentMember2021-01-012021-</w:t>
      </w:r>
      <w:r>
        <w:rPr>
          <w:rFonts w:eastAsia="Times New Roman"/>
          <w:vanish/>
        </w:rPr>
        <w:t>03-310000927628us-gaap:CommercialPortfolioSegmentMembercof:CommercialAndMultifamilyRealEstateMember2021-01-012021-03-310000927628us-gaap:CommercialPortfolioSegmentMembercof:CommercialAndMultifamilyRealEstateMemberus-gaap:ContractualInterestRateReductionMem</w:t>
      </w:r>
      <w:r>
        <w:rPr>
          <w:rFonts w:eastAsia="Times New Roman"/>
          <w:vanish/>
        </w:rPr>
        <w:t>ber2021-01-012021-03-310000927628us-gaap:CommercialPortfolioSegmentMembercof:CommercialAndMultifamilyRealEstateMemberus-gaap:ExtendedMaturityMember2021-01-012021-03-310000927628cof:CommercialAndIndustrialMemberus-gaap:CommercialPortfolioSegmentMember2021-0</w:t>
      </w:r>
      <w:r>
        <w:rPr>
          <w:rFonts w:eastAsia="Times New Roman"/>
          <w:vanish/>
        </w:rPr>
        <w:t>1-012021-03-310000927628cof:CommercialAndIndustrialMemberus-gaap:CommercialPortfolioSegmentMemberus-gaap:ContractualInterestRateReductionMember2021-01-012021-03-310000927628cof:CommercialAndIndustrialMemberus-gaap:CommercialPortfolioSegmentMemberus-gaap:Ex</w:t>
      </w:r>
      <w:r>
        <w:rPr>
          <w:rFonts w:eastAsia="Times New Roman"/>
          <w:vanish/>
        </w:rPr>
        <w:t>tendedMaturityMember2021-01-012021-03-310000927628us-gaap:CommercialPortfolioSegmentMemberus-gaap:ContractualInterestRateReductionMember2021-01-012021-03-310000927628us-gaap:CommercialPortfolioSegmentMemberus-gaap:ExtendedMaturityMember2021-01-012021-03-31</w:t>
      </w:r>
      <w:r>
        <w:rPr>
          <w:rFonts w:eastAsia="Times New Roman"/>
          <w:vanish/>
        </w:rPr>
        <w:t>0000927628us-gaap:ContractualInterestRateReductionMember2021-01-012021-03-310000927628us-gaap:ExtendedMaturityMember2021-01-012021-03-310000927628us-gaap:GeographicDistributionDomesticMembercof:CreditCardPortfolioSegmentMember2020-01-012020-03-310000927628</w:t>
      </w:r>
      <w:r>
        <w:rPr>
          <w:rFonts w:eastAsia="Times New Roman"/>
          <w:vanish/>
        </w:rPr>
        <w:t>us-gaap:GeographicDistributionDomesticMembercof:CreditCardPortfolioSegmentMemberus-gaap:ContractualInterestRateReductionMember2020-01-012020-03-310000927628us-gaap:GeographicDistributionDomesticMembercof:CreditCardPortfolioSegmentMemberus-gaap:ExtendedMatu</w:t>
      </w:r>
      <w:r>
        <w:rPr>
          <w:rFonts w:eastAsia="Times New Roman"/>
          <w:vanish/>
        </w:rPr>
        <w:t>rityMember2020-01-012020-03-310000927628cof:CreditCardPortfolioSegmentMemberus-gaap:GeographicDistributionForeignMember2020-01-012020-03-310000927628cof:CreditCardPortfolioSegmentMemberus-gaap:GeographicDistributionForeignMemberus-gaap:ContractualInterestR</w:t>
      </w:r>
      <w:r>
        <w:rPr>
          <w:rFonts w:eastAsia="Times New Roman"/>
          <w:vanish/>
        </w:rPr>
        <w:t>ateReductionMember2020-01-012020-03-310000927628cof:CreditCardPortfolioSegmentMemberus-gaap:ExtendedMaturityMemberus-gaap:GeographicDistributionForeignMember2020-01-012020-03-310000927628cof:CreditCardPortfolioSegmentMember2020-01-012020-03-310000927628cof</w:t>
      </w:r>
      <w:r>
        <w:rPr>
          <w:rFonts w:eastAsia="Times New Roman"/>
          <w:vanish/>
        </w:rPr>
        <w:t>:CreditCardPortfolioSegmentMemberus-gaap:ContractualInterestRateReductionMember2020-01-012020-03-310000927628cof:CreditCardPortfolioSegmentMemberus-gaap:ExtendedMaturityMember2020-01-012020-03-310000927628us-gaap:AutomobileLoanMemberus-gaap:ConsumerPortfol</w:t>
      </w:r>
      <w:r>
        <w:rPr>
          <w:rFonts w:eastAsia="Times New Roman"/>
          <w:vanish/>
        </w:rPr>
        <w:t>ioSegmentMember2020-01-012020-03-310000927628us-gaap:AutomobileLoanMemberus-gaap:ConsumerPortfolioSegmentMemberus-gaap:ContractualInterestRateReductionMember2020-01-012020-03-310000927628us-gaap:AutomobileLoanMemberus-gaap:ExtendedMaturityMemberus-gaap:Con</w:t>
      </w:r>
      <w:r>
        <w:rPr>
          <w:rFonts w:eastAsia="Times New Roman"/>
          <w:vanish/>
        </w:rPr>
        <w:t>sumerPortfolioSegmentMember2020-01-012020-03-310000927628cof:RetailBankingMemberus-gaap:ConsumerPortfolioSegmentMember2020-01-012020-03-310000927628cof:RetailBankingMemberus-gaap:ConsumerPortfolioSegmentMemberus-gaap:ContractualInterestRateReductionMember2</w:t>
      </w:r>
      <w:r>
        <w:rPr>
          <w:rFonts w:eastAsia="Times New Roman"/>
          <w:vanish/>
        </w:rPr>
        <w:t>020-01-012020-03-310000927628us-gaap:ExtendedMaturityMembercof:RetailBankingMemberus-gaap:ConsumerPortfolioSegmentMember2020-01-012020-03-310000927628us-gaap:ConsumerPortfolioSegmentMember2020-01-012020-03-310000927628us-gaap:ConsumerPortfolioSegmentMember</w:t>
      </w:r>
      <w:r>
        <w:rPr>
          <w:rFonts w:eastAsia="Times New Roman"/>
          <w:vanish/>
        </w:rPr>
        <w:t>us-gaap:ContractualInterestRateReductionMember2020-01-012020-03-310000927628us-gaap:ExtendedMaturityMemberus-gaap:ConsumerPortfolioSegmentMember2020-01-012020-03-310000927628us-gaap:CommercialPortfolioSegmentMembercof:CommercialAndMultifamilyRealEstateMemb</w:t>
      </w:r>
      <w:r>
        <w:rPr>
          <w:rFonts w:eastAsia="Times New Roman"/>
          <w:vanish/>
        </w:rPr>
        <w:t>er2020-01-012020-03-310000927628us-gaap:CommercialPortfolioSegmentMembercof:CommercialAndMultifamilyRealEstateMemberus-gaap:ContractualInterestRateReductionMember2020-01-012020-03-310000927628us-gaap:CommercialPortfolioSegmentMembercof:CommercialAndMultifa</w:t>
      </w:r>
      <w:r>
        <w:rPr>
          <w:rFonts w:eastAsia="Times New Roman"/>
          <w:vanish/>
        </w:rPr>
        <w:t>milyRealEstateMemberus-gaap:ExtendedMaturityMember2020-01-012020-03-310000927628cof:CommercialAndIndustrialMemberus-gaap:CommercialPortfolioSegmentMember2020-01-012020-03-310000927628cof:CommercialAndIndustrialMemberus-gaap:CommercialPortfolioSegmentMember</w:t>
      </w:r>
      <w:r>
        <w:rPr>
          <w:rFonts w:eastAsia="Times New Roman"/>
          <w:vanish/>
        </w:rPr>
        <w:t>us-gaap:ContractualInterestRateReductionMember2020-01-012020-03-310000927628cof:CommercialAndIndustrialMemberus-gaap:CommercialPortfolioSegmentMemberus-gaap:ExtendedMaturityMember2020-01-012020-03-310000927628us-gaap:CommercialPortfolioSegmentMember2020-01</w:t>
      </w:r>
      <w:r>
        <w:rPr>
          <w:rFonts w:eastAsia="Times New Roman"/>
          <w:vanish/>
        </w:rPr>
        <w:t>-012020-03-310000927628us-gaap:CommercialPortfolioSegmentMemberus-gaap:ContractualInterestRateReductionMember2020-01-012020-03-310000927628us-gaap:CommercialPortfolioSegmentMemberus-gaap:ExtendedMaturityMember2020-01-012020-03-310000927628us-gaap:Contractu</w:t>
      </w:r>
      <w:r>
        <w:rPr>
          <w:rFonts w:eastAsia="Times New Roman"/>
          <w:vanish/>
        </w:rPr>
        <w:t>alInterestRateReductionMember2020-01-012020-03-310000927628us-gaap:ExtendedMaturityMember2020-01-012020-03-31cof:contract0000927628cof:RetailBankingMemberus-gaap:ConsumerPortfolioSegmentMember2021-01-012021-03-310000927628cof:FederalHomeLoanbanksMember2021</w:t>
      </w:r>
      <w:r>
        <w:rPr>
          <w:rFonts w:eastAsia="Times New Roman"/>
          <w:vanish/>
        </w:rPr>
        <w:t>-03-310000927628cof:FederalHomeLoanbanksMember2020-12-310000927628cof:FederalReserveDiscountWindowMember2021-03-310000927628cof:FederalReserveDiscountWindowMember2020-12-310000927628us-gaap:AllowanceForLoanAndLeaseLossesMember2021-01-012021-03-310000927628</w:t>
      </w:r>
      <w:r>
        <w:rPr>
          <w:rFonts w:eastAsia="Times New Roman"/>
          <w:vanish/>
        </w:rPr>
        <w:t>us-gaap:AllowanceForLoanAndLeaseLossesMember2021-03-310000927628cof:CreditCardPortfolioSegmentMemberus-gaap:AllowanceForLoanAndLeaseLossesMember2020-12-310000927628us-gaap:AllowanceForLoanAndLeaseLossesMemberus-gaap:ConsumerPortfolioSegmentMember2020-12-31</w:t>
      </w:r>
      <w:r>
        <w:rPr>
          <w:rFonts w:eastAsia="Times New Roman"/>
          <w:vanish/>
        </w:rPr>
        <w:t>0000927628us-gaap:CommercialPortfolioSegmentMemberus-gaap:AllowanceForLoanAndLeaseLossesMember2020-12-310000927628us-gaap:AllowanceForLoanAndLeaseLossesMember2020-12-310000927628cof:CreditCardPortfolioSegmentMemberus-gaap:AllowanceForLoanAndLeaseLossesMemb</w:t>
      </w:r>
      <w:r>
        <w:rPr>
          <w:rFonts w:eastAsia="Times New Roman"/>
          <w:vanish/>
        </w:rPr>
        <w:t>er2021-01-012021-03-310000927628us-gaap:AllowanceForLoanAndLeaseLossesMemberus-gaap:ConsumerPortfolioSegmentMember2021-01-012021-03-310000927628us-gaap:CommercialPortfolioSegmentMemberus-gaap:AllowanceForLoanAndLeaseLossesMember2021-01-012021-03-3100009276</w:t>
      </w:r>
      <w:r>
        <w:rPr>
          <w:rFonts w:eastAsia="Times New Roman"/>
          <w:vanish/>
        </w:rPr>
        <w:t>28cof:CreditCardPortfolioSegmentMemberus-gaap:AllowanceForLoanAndLeaseLossesMember2021-03-310000927628us-gaap:AllowanceForLoanAndLeaseLossesMemberus-gaap:ConsumerPortfolioSegmentMember2021-03-310000927628us-gaap:CommercialPortfolioSegmentMemberus-gaap:Allo</w:t>
      </w:r>
      <w:r>
        <w:rPr>
          <w:rFonts w:eastAsia="Times New Roman"/>
          <w:vanish/>
        </w:rPr>
        <w:t>wanceForLoanAndLeaseLossesMember2021-03-310000927628cof:CreditCardPortfolioSegmentMemberus-gaap:UnfundedLoanCommitmentMember2020-12-310000927628us-gaap:UnfundedLoanCommitmentMemberus-gaap:ConsumerPortfolioSegmentMember2020-12-310000927628us-gaap:Commercial</w:t>
      </w:r>
      <w:r>
        <w:rPr>
          <w:rFonts w:eastAsia="Times New Roman"/>
          <w:vanish/>
        </w:rPr>
        <w:t>PortfolioSegmentMemberus-gaap:UnfundedLoanCommitmentMember2020-12-310000927628us-gaap:UnfundedLoanCommitmentMember2020-12-310000927628cof:CreditCardPortfolioSegmentMemberus-gaap:UnfundedLoanCommitmentMember2021-01-012021-03-310000927628us-gaap:UnfundedLoan</w:t>
      </w:r>
      <w:r>
        <w:rPr>
          <w:rFonts w:eastAsia="Times New Roman"/>
          <w:vanish/>
        </w:rPr>
        <w:t>CommitmentMemberus-gaap:ConsumerPortfolioSegmentMember2021-01-012021-03-310000927628us-gaap:CommercialPortfolioSegmentMemberus-gaap:UnfundedLoanCommitmentMember2021-01-012021-03-310000927628us-gaap:UnfundedLoanCommitmentMember2021-01-012021-03-310000927628</w:t>
      </w:r>
      <w:r>
        <w:rPr>
          <w:rFonts w:eastAsia="Times New Roman"/>
          <w:vanish/>
        </w:rPr>
        <w:t>cof:CreditCardPortfolioSegmentMemberus-gaap:UnfundedLoanCommitmentMember2021-03-310000927628us-gaap:UnfundedLoanCommitmentMemberus-gaap:ConsumerPortfolioSegmentMember2021-03-310000927628us-gaap:CommercialPortfolioSegmentMemberus-gaap:UnfundedLoanCommitment</w:t>
      </w:r>
      <w:r>
        <w:rPr>
          <w:rFonts w:eastAsia="Times New Roman"/>
          <w:vanish/>
        </w:rPr>
        <w:t>Member2021-03-310000927628us-gaap:UnfundedLoanCommitmentMember2021-03-310000927628cof:CreditCardPortfolioSegmentMembercof:CombinedAllowanceAndUnfundedReserveMember2021-03-310000927628cof:CombinedAllowanceAndUnfundedReserveMemberus-gaap:ConsumerPortfolioSeg</w:t>
      </w:r>
      <w:r>
        <w:rPr>
          <w:rFonts w:eastAsia="Times New Roman"/>
          <w:vanish/>
        </w:rPr>
        <w:t>mentMember2021-03-310000927628us-gaap:CommercialPortfolioSegmentMembercof:CombinedAllowanceAndUnfundedReserveMember2021-03-310000927628cof:CombinedAllowanceAndUnfundedReserveMember2021-03-310000927628cof:CreditCardPortfolioSegmentMemberus-gaap:AllowanceFor</w:t>
      </w:r>
      <w:r>
        <w:rPr>
          <w:rFonts w:eastAsia="Times New Roman"/>
          <w:vanish/>
        </w:rPr>
        <w:t>LoanAndLeaseLossesMember2019-12-310000927628us-gaap:AllowanceForLoanAndLeaseLossesMemberus-gaap:ConsumerPortfolioSegmentMember2019-12-310000927628us-gaap:CommercialPortfolioSegmentMemberus-gaap:AllowanceForLoanAndLeaseLossesMember2019-12-310000927628us-gaa</w:t>
      </w:r>
      <w:r>
        <w:rPr>
          <w:rFonts w:eastAsia="Times New Roman"/>
          <w:vanish/>
        </w:rPr>
        <w:t>p:AllowanceForLoanAndLeaseLossesMember2019-12-310000927628cof:CreditCardPortfolioSegmentMemberus-gaap:AllowanceForLoanAndLeaseLossesMembersrt:CumulativeEffectPeriodOfAdoptionAdjustmentMember2019-12-310000927628us-gaap:AllowanceForLoanAndLeaseLossesMembersr</w:t>
      </w:r>
      <w:r>
        <w:rPr>
          <w:rFonts w:eastAsia="Times New Roman"/>
          <w:vanish/>
        </w:rPr>
        <w:t>t:CumulativeEffectPeriodOfAdoptionAdjustmentMemberus-gaap:ConsumerPortfolioSegmentMember2019-12-310000927628us-gaap:CommercialPortfolioSegmentMemberus-gaap:AllowanceForLoanAndLeaseLossesMembersrt:CumulativeEffectPeriodOfAdoptionAdjustmentMember2019-12-3100</w:t>
      </w:r>
      <w:r>
        <w:rPr>
          <w:rFonts w:eastAsia="Times New Roman"/>
          <w:vanish/>
        </w:rPr>
        <w:t>00927628us-gaap:AllowanceForLoanAndLeaseLossesMembersrt:CumulativeEffectPeriodOfAdoptionAdjustmentMember2019-12-310000927628us-gaap:ReclassificationOtherMembercof:CreditCardPortfolioSegmentMemberus-gaap:AllowanceForLoanAndLeaseLossesMember2019-12-310000927</w:t>
      </w:r>
      <w:r>
        <w:rPr>
          <w:rFonts w:eastAsia="Times New Roman"/>
          <w:vanish/>
        </w:rPr>
        <w:t>628us-gaap:ReclassificationOtherMemberus-gaap:AllowanceForLoanAndLeaseLossesMemberus-gaap:ConsumerPortfolioSegmentMember2019-12-310000927628us-gaap:CommercialPortfolioSegmentMemberus-gaap:ReclassificationOtherMemberus-gaap:AllowanceForLoanAndLeaseLossesMem</w:t>
      </w:r>
      <w:r>
        <w:rPr>
          <w:rFonts w:eastAsia="Times New Roman"/>
          <w:vanish/>
        </w:rPr>
        <w:t>ber2019-12-310000927628us-gaap:ReclassificationOtherMemberus-gaap:AllowanceForLoanAndLeaseLossesMember2019-12-310000927628cof:CreditCardPortfolioSegmentMembersrt:CumulativeEffectPeriodOfAdoptionAdjustedBalanceMemberus-gaap:AllowanceForLoanAndLeaseLossesMem</w:t>
      </w:r>
      <w:r>
        <w:rPr>
          <w:rFonts w:eastAsia="Times New Roman"/>
          <w:vanish/>
        </w:rPr>
        <w:t>ber2019-12-310000927628srt:CumulativeEffectPeriodOfAdoptionAdjustedBalanceMemberus-gaap:AllowanceForLoanAndLeaseLossesMemberus-gaap:ConsumerPortfolioSegmentMember2019-12-310000927628us-gaap:CommercialPortfolioSegmentMembersrt:CumulativeEffectPeriodOfAdopti</w:t>
      </w:r>
      <w:r>
        <w:rPr>
          <w:rFonts w:eastAsia="Times New Roman"/>
          <w:vanish/>
        </w:rPr>
        <w:t>onAdjustedBalanceMemberus-gaap:AllowanceForLoanAndLeaseLossesMember2019-12-310000927628srt:CumulativeEffectPeriodOfAdoptionAdjustedBalanceMemberus-gaap:AllowanceForLoanAndLeaseLossesMember2019-12-310000927628cof:CreditCardPortfolioSegmentMemberus-gaap:Allo</w:t>
      </w:r>
      <w:r>
        <w:rPr>
          <w:rFonts w:eastAsia="Times New Roman"/>
          <w:vanish/>
        </w:rPr>
        <w:t>wanceForLoanAndLeaseLossesMember2020-01-012020-03-310000927628us-gaap:AllowanceForLoanAndLeaseLossesMemberus-gaap:ConsumerPortfolioSegmentMember2020-01-012020-03-310000927628us-gaap:CommercialPortfolioSegmentMemberus-gaap:AllowanceForLoanAndLeaseLossesMemb</w:t>
      </w:r>
      <w:r>
        <w:rPr>
          <w:rFonts w:eastAsia="Times New Roman"/>
          <w:vanish/>
        </w:rPr>
        <w:t>er2020-01-012020-03-310000927628us-gaap:AllowanceForLoanAndLeaseLossesMember2020-01-012020-03-310000927628cof:CreditCardPortfolioSegmentMemberus-gaap:AllowanceForLoanAndLeaseLossesMember2020-03-310000927628us-gaap:AllowanceForLoanAndLeaseLossesMemberus-gaa</w:t>
      </w:r>
      <w:r>
        <w:rPr>
          <w:rFonts w:eastAsia="Times New Roman"/>
          <w:vanish/>
        </w:rPr>
        <w:t>p:ConsumerPortfolioSegmentMember2020-03-310000927628us-gaap:CommercialPortfolioSegmentMemberus-gaap:AllowanceForLoanAndLeaseLossesMember2020-03-310000927628us-gaap:AllowanceForLoanAndLeaseLossesMember2020-03-310000927628cof:CreditCardPortfolioSegmentMember</w:t>
      </w:r>
      <w:r>
        <w:rPr>
          <w:rFonts w:eastAsia="Times New Roman"/>
          <w:vanish/>
        </w:rPr>
        <w:t>us-gaap:UnfundedLoanCommitmentMember2019-12-310000927628us-gaap:UnfundedLoanCommitmentMemberus-gaap:ConsumerPortfolioSegmentMember2019-12-310000927628us-gaap:CommercialPortfolioSegmentMemberus-gaap:UnfundedLoanCommitmentMember2019-12-310000927628us-gaap:Un</w:t>
      </w:r>
      <w:r>
        <w:rPr>
          <w:rFonts w:eastAsia="Times New Roman"/>
          <w:vanish/>
        </w:rPr>
        <w:t>fundedLoanCommitmentMember2019-12-310000927628cof:CreditCardPortfolioSegmentMemberus-gaap:UnfundedLoanCommitmentMembersrt:CumulativeEffectPeriodOfAdoptionAdjustmentMember2019-12-310000927628us-gaap:UnfundedLoanCommitmentMembersrt:CumulativeEffectPeriodOfAd</w:t>
      </w:r>
      <w:r>
        <w:rPr>
          <w:rFonts w:eastAsia="Times New Roman"/>
          <w:vanish/>
        </w:rPr>
        <w:t>optionAdjustmentMemberus-gaap:ConsumerPortfolioSegmentMember2019-12-310000927628us-gaap:CommercialPortfolioSegmentMemberus-gaap:UnfundedLoanCommitmentMembersrt:CumulativeEffectPeriodOfAdoptionAdjustmentMember2019-12-310000927628us-gaap:UnfundedLoanCommitme</w:t>
      </w:r>
      <w:r>
        <w:rPr>
          <w:rFonts w:eastAsia="Times New Roman"/>
          <w:vanish/>
        </w:rPr>
        <w:t>ntMembersrt:CumulativeEffectPeriodOfAdoptionAdjustmentMember2019-12-310000927628cof:CreditCardPortfolioSegmentMembersrt:CumulativeEffectPeriodOfAdoptionAdjustedBalanceMemberus-gaap:UnfundedLoanCommitmentMember2019-12-310000927628srt:CumulativeEffectPeriodO</w:t>
      </w:r>
      <w:r>
        <w:rPr>
          <w:rFonts w:eastAsia="Times New Roman"/>
          <w:vanish/>
        </w:rPr>
        <w:t>fAdoptionAdjustedBalanceMemberus-gaap:UnfundedLoanCommitmentMemberus-gaap:ConsumerPortfolioSegmentMember2019-12-310000927628us-gaap:CommercialPortfolioSegmentMembersrt:CumulativeEffectPeriodOfAdoptionAdjustedBalanceMemberus-gaap:UnfundedLoanCommitmentMembe</w:t>
      </w:r>
      <w:r>
        <w:rPr>
          <w:rFonts w:eastAsia="Times New Roman"/>
          <w:vanish/>
        </w:rPr>
        <w:t>r2019-12-310000927628srt:CumulativeEffectPeriodOfAdoptionAdjustedBalanceMemberus-gaap:UnfundedLoanCommitmentMember2019-12-310000927628cof:CreditCardPortfolioSegmentMemberus-gaap:UnfundedLoanCommitmentMember2020-01-012020-03-310000927628us-gaap:UnfundedLoan</w:t>
      </w:r>
      <w:r>
        <w:rPr>
          <w:rFonts w:eastAsia="Times New Roman"/>
          <w:vanish/>
        </w:rPr>
        <w:t>CommitmentMemberus-gaap:ConsumerPortfolioSegmentMember2020-01-012020-03-310000927628us-gaap:CommercialPortfolioSegmentMemberus-gaap:UnfundedLoanCommitmentMember2020-01-012020-03-310000927628us-gaap:UnfundedLoanCommitmentMember2020-01-012020-03-310000927628</w:t>
      </w:r>
      <w:r>
        <w:rPr>
          <w:rFonts w:eastAsia="Times New Roman"/>
          <w:vanish/>
        </w:rPr>
        <w:t>cof:CreditCardPortfolioSegmentMemberus-gaap:UnfundedLoanCommitmentMember2020-03-310000927628us-gaap:UnfundedLoanCommitmentMemberus-gaap:ConsumerPortfolioSegmentMember2020-03-310000927628us-gaap:CommercialPortfolioSegmentMemberus-gaap:UnfundedLoanCommitment</w:t>
      </w:r>
      <w:r>
        <w:rPr>
          <w:rFonts w:eastAsia="Times New Roman"/>
          <w:vanish/>
        </w:rPr>
        <w:t>Member2020-03-310000927628us-gaap:UnfundedLoanCommitmentMember2020-03-310000927628cof:CreditCardPortfolioSegmentMembercof:CombinedAllowanceAndUnfundedReserveMember2020-03-310000927628cof:CombinedAllowanceAndUnfundedReserveMemberus-gaap:ConsumerPortfolioSeg</w:t>
      </w:r>
      <w:r>
        <w:rPr>
          <w:rFonts w:eastAsia="Times New Roman"/>
          <w:vanish/>
        </w:rPr>
        <w:t>mentMember2020-03-310000927628us-gaap:CommercialPortfolioSegmentMembercof:CombinedAllowanceAndUnfundedReserveMember2020-03-310000927628cof:CombinedAllowanceAndUnfundedReserveMember2020-03-310000927628cof:LossSharingAgreementMember2020-12-310000927628cof:Lo</w:t>
      </w:r>
      <w:r>
        <w:rPr>
          <w:rFonts w:eastAsia="Times New Roman"/>
          <w:vanish/>
        </w:rPr>
        <w:t>ssSharingAgreementMember2019-12-310000927628cof:LossSharingAgreementMember2021-01-012021-03-310000927628cof:LossSharingAgreementMember2020-01-012020-03-310000927628cof:LossSharingAgreementMember2021-03-310000927628cof:LossSharingAgreementMember2020-03-3100</w:t>
      </w:r>
      <w:r>
        <w:rPr>
          <w:rFonts w:eastAsia="Times New Roman"/>
          <w:vanish/>
        </w:rPr>
        <w:t>00927628us-gaap:VariableInterestEntityPrimaryBeneficiaryMemberus-gaap:CreditCardReceivablesMember2021-03-310000927628us-gaap:CreditCardReceivablesMemberus-gaap:VariableInterestEntityNotPrimaryBeneficiaryMember2021-03-310000927628us-gaap:CreditCardReceivabl</w:t>
      </w:r>
      <w:r>
        <w:rPr>
          <w:rFonts w:eastAsia="Times New Roman"/>
          <w:vanish/>
        </w:rPr>
        <w:t>esMember2021-03-310000927628us-gaap:VariableInterestEntityPrimaryBeneficiaryMemberus-gaap:CollateralizedAutoLoansMember2021-03-310000927628us-gaap:VariableInterestEntityNotPrimaryBeneficiaryMemberus-gaap:CollateralizedAutoLoansMember2021-03-310000927628us-</w:t>
      </w:r>
      <w:r>
        <w:rPr>
          <w:rFonts w:eastAsia="Times New Roman"/>
          <w:vanish/>
        </w:rPr>
        <w:t>gaap:CollateralizedAutoLoansMember2021-03-310000927628us-gaap:VariableInterestEntityPrimaryBeneficiaryMembercof:SecuritizationRelatedVariableInterestEntitiesMember2021-03-310000927628us-gaap:VariableInterestEntityNotPrimaryBeneficiaryMembercof:Securitizati</w:t>
      </w:r>
      <w:r>
        <w:rPr>
          <w:rFonts w:eastAsia="Times New Roman"/>
          <w:vanish/>
        </w:rPr>
        <w:t>onRelatedVariableInterestEntitiesMember2021-03-310000927628cof:SecuritizationRelatedVariableInterestEntitiesMember2021-03-310000927628us-gaap:VariableInterestEntityPrimaryBeneficiaryMembercof:AffordableHousingEntitiesMember2021-03-310000927628us-gaap:Varia</w:t>
      </w:r>
      <w:r>
        <w:rPr>
          <w:rFonts w:eastAsia="Times New Roman"/>
          <w:vanish/>
        </w:rPr>
        <w:t>bleInterestEntityNotPrimaryBeneficiaryMembercof:AffordableHousingEntitiesMember2021-03-310000927628cof:AffordableHousingEntitiesMember2021-03-310000927628us-gaap:VariableInterestEntityPrimaryBeneficiaryMembercof:InvestmentCompaniesProvidingCapitaltoLowInco</w:t>
      </w:r>
      <w:r>
        <w:rPr>
          <w:rFonts w:eastAsia="Times New Roman"/>
          <w:vanish/>
        </w:rPr>
        <w:t>meandRuralCommunitiesMember2021-03-310000927628us-gaap:VariableInterestEntityNotPrimaryBeneficiaryMembercof:InvestmentCompaniesProvidingCapitaltoLowIncomeandRuralCommunitiesMember2021-03-310000927628cof:InvestmentCompaniesProvidingCapitaltoLowIncomeandRura</w:t>
      </w:r>
      <w:r>
        <w:rPr>
          <w:rFonts w:eastAsia="Times New Roman"/>
          <w:vanish/>
        </w:rPr>
        <w:t>lCommunitiesMember2021-03-310000927628us-gaap:VariableInterestEntityPrimaryBeneficiaryMemberus-gaap:OtherInvestmentsMember2021-03-310000927628us-gaap:VariableInterestEntityNotPrimaryBeneficiaryMemberus-gaap:OtherInvestmentsMember2021-03-310000927628us-gaap</w:t>
      </w:r>
      <w:r>
        <w:rPr>
          <w:rFonts w:eastAsia="Times New Roman"/>
          <w:vanish/>
        </w:rPr>
        <w:t>:OtherInvestmentsMember2021-03-310000927628cof:NonsecuritizationRelatedVariableInterestEntitiesMemberus-gaap:VariableInterestEntityPrimaryBeneficiaryMember2021-03-310000927628cof:NonsecuritizationRelatedVariableInterestEntitiesMemberus-gaap:VariableInteres</w:t>
      </w:r>
      <w:r>
        <w:rPr>
          <w:rFonts w:eastAsia="Times New Roman"/>
          <w:vanish/>
        </w:rPr>
        <w:t>tEntityNotPrimaryBeneficiaryMember2021-03-310000927628cof:NonsecuritizationRelatedVariableInterestEntitiesMember2021-03-310000927628us-gaap:VariableInterestEntityNotPrimaryBeneficiaryMember2021-03-310000927628us-gaap:VariableInterestEntityPrimaryBeneficiar</w:t>
      </w:r>
      <w:r>
        <w:rPr>
          <w:rFonts w:eastAsia="Times New Roman"/>
          <w:vanish/>
        </w:rPr>
        <w:t>yMemberus-gaap:CreditCardReceivablesMember2020-12-310000927628us-gaap:CreditCardReceivablesMemberus-gaap:VariableInterestEntityNotPrimaryBeneficiaryMember2020-12-310000927628us-gaap:CreditCardReceivablesMember2020-12-310000927628us-gaap:VariableInterestEnt</w:t>
      </w:r>
      <w:r>
        <w:rPr>
          <w:rFonts w:eastAsia="Times New Roman"/>
          <w:vanish/>
        </w:rPr>
        <w:t>ityPrimaryBeneficiaryMemberus-gaap:CollateralizedAutoLoansMember2020-12-310000927628us-gaap:VariableInterestEntityNotPrimaryBeneficiaryMemberus-gaap:CollateralizedAutoLoansMember2020-12-310000927628us-gaap:CollateralizedAutoLoansMember2020-12-310000927628u</w:t>
      </w:r>
      <w:r>
        <w:rPr>
          <w:rFonts w:eastAsia="Times New Roman"/>
          <w:vanish/>
        </w:rPr>
        <w:t>s-gaap:VariableInterestEntityPrimaryBeneficiaryMembercof:SecuritizationRelatedVariableInterestEntitiesMember2020-12-310000927628us-gaap:VariableInterestEntityNotPrimaryBeneficiaryMembercof:SecuritizationRelatedVariableInterestEntitiesMember2020-12-31000092</w:t>
      </w:r>
      <w:r>
        <w:rPr>
          <w:rFonts w:eastAsia="Times New Roman"/>
          <w:vanish/>
        </w:rPr>
        <w:t>7628cof:SecuritizationRelatedVariableInterestEntitiesMember2020-12-310000927628us-gaap:VariableInterestEntityPrimaryBeneficiaryMembercof:AffordableHousingEntitiesMember2020-12-310000927628us-gaap:VariableInterestEntityNotPrimaryBeneficiaryMembercof:Afforda</w:t>
      </w:r>
      <w:r>
        <w:rPr>
          <w:rFonts w:eastAsia="Times New Roman"/>
          <w:vanish/>
        </w:rPr>
        <w:t>bleHousingEntitiesMember2020-12-310000927628cof:AffordableHousingEntitiesMember2020-12-310000927628us-gaap:VariableInterestEntityPrimaryBeneficiaryMembercof:InvestmentCompaniesProvidingCapitaltoLowIncomeandRuralCommunitiesMember2020-12-310000927628us-gaap:</w:t>
      </w:r>
      <w:r>
        <w:rPr>
          <w:rFonts w:eastAsia="Times New Roman"/>
          <w:vanish/>
        </w:rPr>
        <w:t>VariableInterestEntityNotPrimaryBeneficiaryMembercof:InvestmentCompaniesProvidingCapitaltoLowIncomeandRuralCommunitiesMember2020-12-310000927628cof:InvestmentCompaniesProvidingCapitaltoLowIncomeandRuralCommunitiesMember2020-12-310000927628us-gaap:VariableI</w:t>
      </w:r>
      <w:r>
        <w:rPr>
          <w:rFonts w:eastAsia="Times New Roman"/>
          <w:vanish/>
        </w:rPr>
        <w:t>nterestEntityPrimaryBeneficiaryMemberus-gaap:OtherInvestmentsMember2020-12-310000927628us-gaap:VariableInterestEntityNotPrimaryBeneficiaryMemberus-gaap:OtherInvestmentsMember2020-12-310000927628us-gaap:OtherInvestmentsMember2020-12-310000927628cof:Nonsecur</w:t>
      </w:r>
      <w:r>
        <w:rPr>
          <w:rFonts w:eastAsia="Times New Roman"/>
          <w:vanish/>
        </w:rPr>
        <w:t>itizationRelatedVariableInterestEntitiesMemberus-gaap:VariableInterestEntityPrimaryBeneficiaryMember2020-12-310000927628cof:NonsecuritizationRelatedVariableInterestEntitiesMemberus-gaap:VariableInterestEntityNotPrimaryBeneficiaryMember2020-12-310000927628c</w:t>
      </w:r>
      <w:r>
        <w:rPr>
          <w:rFonts w:eastAsia="Times New Roman"/>
          <w:vanish/>
        </w:rPr>
        <w:t>of:NonsecuritizationRelatedVariableInterestEntitiesMember2020-12-310000927628us-gaap:VariableInterestEntityNotPrimaryBeneficiaryMember2020-12-310000927628us-gaap:CustomerRelationshipsMember2021-03-310000927628us-gaap:OtherIntangibleAssetsMember2021-03-3100</w:t>
      </w:r>
      <w:r>
        <w:rPr>
          <w:rFonts w:eastAsia="Times New Roman"/>
          <w:vanish/>
        </w:rPr>
        <w:t>00927628us-gaap:CustomerRelationshipsMember2020-12-310000927628us-gaap:OtherIntangibleAssetsMember2020-12-310000927628cof:CreditCardSegmentMember2020-12-310000927628cof:ConsumerBankingSegmentMember2020-12-310000927628cof:CommercialBankingSegmentMember2020-</w:t>
      </w:r>
      <w:r>
        <w:rPr>
          <w:rFonts w:eastAsia="Times New Roman"/>
          <w:vanish/>
        </w:rPr>
        <w:t>12-310000927628cof:CreditCardSegmentMember2021-01-012021-03-310000927628cof:ConsumerBankingSegmentMember2021-01-012021-03-310000927628cof:CommercialBankingSegmentMember2021-01-012021-03-310000927628cof:CreditCardSegmentMember2021-03-310000927628cof:Consume</w:t>
      </w:r>
      <w:r>
        <w:rPr>
          <w:rFonts w:eastAsia="Times New Roman"/>
          <w:vanish/>
        </w:rPr>
        <w:t>rBankingSegmentMember2021-03-310000927628cof:CommercialBankingSegmentMember2021-03-310000927628us-gaap:FederalFundsPurchasedAndSecuritiesSoldUnderAgreementsToRepurchaseMember2021-03-310000927628us-gaap:FederalFundsPurchasedAndSecuritiesSoldUnderAgreementsT</w:t>
      </w:r>
      <w:r>
        <w:rPr>
          <w:rFonts w:eastAsia="Times New Roman"/>
          <w:vanish/>
        </w:rPr>
        <w:t>oRepurchaseMember2020-12-310000927628us-gaap:SecuredDebtMembersrt:MinimumMember2021-03-310000927628us-gaap:SecuredDebtMembersrt:MaximumMember2021-03-310000927628us-gaap:SecuredDebtMember2021-03-310000927628us-gaap:SecuredDebtMember2020-12-310000927628cof:F</w:t>
      </w:r>
      <w:r>
        <w:rPr>
          <w:rFonts w:eastAsia="Times New Roman"/>
          <w:vanish/>
        </w:rPr>
        <w:t>ixedUnsecuredSeniorDebtMemberus-gaap:SeniorNotesMembersrt:MinimumMember2021-03-310000927628cof:FixedUnsecuredSeniorDebtMemberus-gaap:SeniorNotesMembersrt:MaximumMember2021-03-310000927628cof:FixedUnsecuredSeniorDebtMemberus-gaap:SeniorNotesMember2021-03-31</w:t>
      </w:r>
      <w:r>
        <w:rPr>
          <w:rFonts w:eastAsia="Times New Roman"/>
          <w:vanish/>
        </w:rPr>
        <w:t>0000927628cof:FixedUnsecuredSeniorDebtMemberus-gaap:SeniorNotesMember2020-12-310000927628cof:FloatingUnsecuredSeniorDebtMemberus-gaap:SeniorNotesMembersrt:MinimumMember2021-03-310000927628cof:FloatingUnsecuredSeniorDebtMemberus-gaap:SeniorNotesMembersrt:Ma</w:t>
      </w:r>
      <w:r>
        <w:rPr>
          <w:rFonts w:eastAsia="Times New Roman"/>
          <w:vanish/>
        </w:rPr>
        <w:t>ximumMember2021-03-310000927628cof:FloatingUnsecuredSeniorDebtMemberus-gaap:SeniorNotesMember2021-03-310000927628cof:FloatingUnsecuredSeniorDebtMemberus-gaap:SeniorNotesMember2020-12-310000927628us-gaap:SeniorNotesMembercof:UnsecuredSeniorDebtMember2021-03</w:t>
      </w:r>
      <w:r>
        <w:rPr>
          <w:rFonts w:eastAsia="Times New Roman"/>
          <w:vanish/>
        </w:rPr>
        <w:t>-310000927628us-gaap:SeniorNotesMembercof:UnsecuredSeniorDebtMember2020-12-310000927628cof:FixedUnsecuredSubordinatedDebtMemberus-gaap:SubordinatedDebtMembersrt:MinimumMember2021-03-310000927628cof:FixedUnsecuredSubordinatedDebtMemberus-gaap:SubordinatedDe</w:t>
      </w:r>
      <w:r>
        <w:rPr>
          <w:rFonts w:eastAsia="Times New Roman"/>
          <w:vanish/>
        </w:rPr>
        <w:t>btMembersrt:MaximumMember2021-03-310000927628cof:FixedUnsecuredSubordinatedDebtMemberus-gaap:SubordinatedDebtMember2021-03-310000927628cof:FixedUnsecuredSubordinatedDebtMemberus-gaap:SubordinatedDebtMember2020-12-310000927628cof:SeniorAndSubordinatedNotesM</w:t>
      </w:r>
      <w:r>
        <w:rPr>
          <w:rFonts w:eastAsia="Times New Roman"/>
          <w:vanish/>
        </w:rPr>
        <w:t>ember2021-03-310000927628cof:SeniorAndSubordinatedNotesMember2020-12-310000927628us-gaap:CapitalLeaseObligationsMembersrt:MinimumMember2021-03-310000927628us-gaap:CapitalLeaseObligationsMembersrt:MaximumMember2021-03-310000927628us-gaap:CapitalLeaseObligat</w:t>
      </w:r>
      <w:r>
        <w:rPr>
          <w:rFonts w:eastAsia="Times New Roman"/>
          <w:vanish/>
        </w:rPr>
        <w:t>ionsMember2021-03-310000927628us-gaap:CapitalLeaseObligationsMember2020-12-310000927628cof:FHLBAdvanceCapitalLeaseObligationandGPMHMember2021-03-310000927628cof:FHLBAdvanceCapitalLeaseObligationandGPMHMember2020-12-310000927628currency:EUR2021-03-310000927</w:t>
      </w:r>
      <w:r>
        <w:rPr>
          <w:rFonts w:eastAsia="Times New Roman"/>
          <w:vanish/>
        </w:rPr>
        <w:t>628currency:EUR2020-12-310000927628us-gaap:DesignatedAsHedgingInstrumentMemberus-gaap:InterestRateContractMemberus-gaap:FairValueHedgingMember2021-03-310000927628us-gaap:DesignatedAsHedgingInstrumentMemberus-gaap:InterestRateContractMemberus-gaap:FairValue</w:t>
      </w:r>
      <w:r>
        <w:rPr>
          <w:rFonts w:eastAsia="Times New Roman"/>
          <w:vanish/>
        </w:rPr>
        <w:t>HedgingMember2020-12-310000927628us-gaap:DesignatedAsHedgingInstrumentMemberus-gaap:CashFlowHedgingMemberus-gaap:InterestRateContractMember2021-03-310000927628us-gaap:DesignatedAsHedgingInstrumentMemberus-gaap:CashFlowHedgingMemberus-gaap:InterestRateContr</w:t>
      </w:r>
      <w:r>
        <w:rPr>
          <w:rFonts w:eastAsia="Times New Roman"/>
          <w:vanish/>
        </w:rPr>
        <w:t>actMember2020-12-310000927628us-gaap:DesignatedAsHedgingInstrumentMemberus-gaap:InterestRateContractMember2021-03-310000927628us-gaap:DesignatedAsHedgingInstrumentMemberus-gaap:InterestRateContractMember2020-12-310000927628us-gaap:DesignatedAsHedgingInstru</w:t>
      </w:r>
      <w:r>
        <w:rPr>
          <w:rFonts w:eastAsia="Times New Roman"/>
          <w:vanish/>
        </w:rPr>
        <w:t>mentMemberus-gaap:ForeignExchangeContractMemberus-gaap:FairValueHedgingMember2021-03-310000927628us-gaap:DesignatedAsHedgingInstrumentMemberus-gaap:ForeignExchangeContractMemberus-gaap:FairValueHedgingMember2020-12-310000927628us-gaap:DesignatedAsHedgingIn</w:t>
      </w:r>
      <w:r>
        <w:rPr>
          <w:rFonts w:eastAsia="Times New Roman"/>
          <w:vanish/>
        </w:rPr>
        <w:t>strumentMemberus-gaap:ForeignExchangeContractMemberus-gaap:CashFlowHedgingMember2021-03-310000927628us-gaap:DesignatedAsHedgingInstrumentMemberus-gaap:ForeignExchangeContractMemberus-gaap:CashFlowHedgingMember2020-12-310000927628us-gaap:DesignatedAsHedging</w:t>
      </w:r>
      <w:r>
        <w:rPr>
          <w:rFonts w:eastAsia="Times New Roman"/>
          <w:vanish/>
        </w:rPr>
        <w:t>InstrumentMemberus-gaap:ForeignExchangeContractMemberus-gaap:NetInvestmentHedgingMember2021-03-310000927628us-gaap:DesignatedAsHedgingInstrumentMemberus-gaap:ForeignExchangeContractMemberus-gaap:NetInvestmentHedgingMember2020-12-310000927628us-gaap:Designa</w:t>
      </w:r>
      <w:r>
        <w:rPr>
          <w:rFonts w:eastAsia="Times New Roman"/>
          <w:vanish/>
        </w:rPr>
        <w:t>tedAsHedgingInstrumentMemberus-gaap:ForeignExchangeContractMember2021-03-310000927628us-gaap:DesignatedAsHedgingInstrumentMemberus-gaap:ForeignExchangeContractMember2020-12-310000927628us-gaap:DesignatedAsHedgingInstrumentMember2021-03-310000927628us-gaap:</w:t>
      </w:r>
      <w:r>
        <w:rPr>
          <w:rFonts w:eastAsia="Times New Roman"/>
          <w:vanish/>
        </w:rPr>
        <w:t>DesignatedAsHedgingInstrumentMember2020-12-310000927628cof:CustomerAccommodationMemberus-gaap:InterestRateContractMemberus-gaap:NondesignatedMember2021-03-310000927628cof:CustomerAccommodationMemberus-gaap:InterestRateContractMemberus-gaap:NondesignatedMem</w:t>
      </w:r>
      <w:r>
        <w:rPr>
          <w:rFonts w:eastAsia="Times New Roman"/>
          <w:vanish/>
        </w:rPr>
        <w:t>ber2020-12-310000927628cof:CustomerAccommodationMemberus-gaap:NondesignatedMemberus-gaap:CommodityContractMember2021-03-310000927628cof:CustomerAccommodationMemberus-gaap:NondesignatedMemberus-gaap:CommodityContractMember2020-12-310000927628cof:CustomerAcc</w:t>
      </w:r>
      <w:r>
        <w:rPr>
          <w:rFonts w:eastAsia="Times New Roman"/>
          <w:vanish/>
        </w:rPr>
        <w:t>ommodationMemberus-gaap:ForeignExchangeContractMemberus-gaap:NondesignatedMember2021-03-310000927628cof:CustomerAccommodationMemberus-gaap:ForeignExchangeContractMemberus-gaap:NondesignatedMember2020-12-310000927628cof:CustomerAccommodationMemberus-gaap:No</w:t>
      </w:r>
      <w:r>
        <w:rPr>
          <w:rFonts w:eastAsia="Times New Roman"/>
          <w:vanish/>
        </w:rPr>
        <w:t>ndesignatedMember2021-03-310000927628cof:CustomerAccommodationMemberus-gaap:NondesignatedMember2020-12-310000927628us-gaap:InterestRateContractMemberus-gaap:NondesignatedMembercof:OtherInterestRateExposuresMember2021-03-310000927628us-gaap:InterestRateCont</w:t>
      </w:r>
      <w:r>
        <w:rPr>
          <w:rFonts w:eastAsia="Times New Roman"/>
          <w:vanish/>
        </w:rPr>
        <w:t>ractMemberus-gaap:NondesignatedMembercof:OtherInterestRateExposuresMember2020-12-310000927628us-gaap:NondesignatedMemberus-gaap:OtherContractMember2021-03-310000927628us-gaap:NondesignatedMemberus-gaap:OtherContractMember2020-12-310000927628us-gaap:Nondesi</w:t>
      </w:r>
      <w:r>
        <w:rPr>
          <w:rFonts w:eastAsia="Times New Roman"/>
          <w:vanish/>
        </w:rPr>
        <w:t>gnatedMember2021-03-310000927628us-gaap:NondesignatedMember2020-12-310000927628us-gaap:AvailableforsaleSecuritiesMember2021-03-310000927628us-gaap:AvailableforsaleSecuritiesMember2020-12-310000927628us-gaap:InterestBearingDepositsMember2021-03-310000927628</w:t>
      </w:r>
      <w:r>
        <w:rPr>
          <w:rFonts w:eastAsia="Times New Roman"/>
          <w:vanish/>
        </w:rPr>
        <w:t>us-gaap:InterestBearingDepositsMember2020-12-310000927628cof:SecuritizedDebtObligationsMember2021-03-310000927628cof:SecuritizedDebtObligationsMember2020-12-310000927628cof:SeniorAndSubordinatedNotesMember2021-03-310000927628cof:SeniorAndSubordinatedNotesM</w:t>
      </w:r>
      <w:r>
        <w:rPr>
          <w:rFonts w:eastAsia="Times New Roman"/>
          <w:vanish/>
        </w:rPr>
        <w:t>ember2020-12-310000927628cof:InterestincomeInvestmentsecuritiesMemberus-gaap:InterestRateContractMemberus-gaap:FairValueHedgingMember2021-01-012021-03-310000927628us-gaap:InterestRateContractMembercof:InterestincomeLoansMemberus-gaap:FairValueHedgingMember</w:t>
      </w:r>
      <w:r>
        <w:rPr>
          <w:rFonts w:eastAsia="Times New Roman"/>
          <w:vanish/>
        </w:rPr>
        <w:t>2021-01-012021-03-310000927628us-gaap:InterestRateContractMembercof:InterestincomeOtherMemberus-gaap:FairValueHedgingMember2021-01-012021-03-310000927628cof:InterestexpenseDepositsMemberus-gaap:InterestRateContractMemberus-gaap:FairValueHedgingMember2021-0</w:t>
      </w:r>
      <w:r>
        <w:rPr>
          <w:rFonts w:eastAsia="Times New Roman"/>
          <w:vanish/>
        </w:rPr>
        <w:t>1-012021-03-310000927628cof:InterestexpenseSecuritizedDebtObligationMemberus-gaap:InterestRateContractMemberus-gaap:FairValueHedgingMember2021-01-012021-03-310000927628us-gaap:InterestRateContractMembercof:InterestexpenseSeniorandSubordinatedDebtMemberus-g</w:t>
      </w:r>
      <w:r>
        <w:rPr>
          <w:rFonts w:eastAsia="Times New Roman"/>
          <w:vanish/>
        </w:rPr>
        <w:t>aap:FairValueHedgingMember2021-01-012021-03-310000927628cof:NonInterestIncomeOtherMemberus-gaap:InterestRateContractMemberus-gaap:FairValueHedgingMember2021-01-012021-03-310000927628cof:InterestincomeInvestmentsecuritiesMemberus-gaap:FairValueHedgingMember</w:t>
      </w:r>
      <w:r>
        <w:rPr>
          <w:rFonts w:eastAsia="Times New Roman"/>
          <w:vanish/>
        </w:rPr>
        <w:t>2021-01-012021-03-310000927628cof:InterestincomeLoansMemberus-gaap:FairValueHedgingMember2021-01-012021-03-310000927628cof:InterestincomeOtherMemberus-gaap:FairValueHedgingMember2021-01-012021-03-310000927628cof:InterestexpenseDepositsMemberus-gaap:FairVal</w:t>
      </w:r>
      <w:r>
        <w:rPr>
          <w:rFonts w:eastAsia="Times New Roman"/>
          <w:vanish/>
        </w:rPr>
        <w:t>ueHedgingMember2021-01-012021-03-310000927628cof:InterestexpenseSecuritizedDebtObligationMemberus-gaap:FairValueHedgingMember2021-01-012021-03-310000927628cof:InterestexpenseSeniorandSubordinatedDebtMemberus-gaap:FairValueHedgingMember2021-01-012021-03-310</w:t>
      </w:r>
      <w:r>
        <w:rPr>
          <w:rFonts w:eastAsia="Times New Roman"/>
          <w:vanish/>
        </w:rPr>
        <w:t>000927628cof:NonInterestIncomeOtherMemberus-gaap:FairValueHedgingMember2021-01-012021-03-310000927628cof:InterestincomeInvestmentsecuritiesMemberus-gaap:CashFlowHedgingMemberus-gaap:InterestRateContractMember2021-01-012021-03-310000927628us-gaap:CashFlowHe</w:t>
      </w:r>
      <w:r>
        <w:rPr>
          <w:rFonts w:eastAsia="Times New Roman"/>
          <w:vanish/>
        </w:rPr>
        <w:t>dgingMemberus-gaap:InterestRateContractMembercof:InterestincomeLoansMember2021-01-012021-03-310000927628us-gaap:CashFlowHedgingMemberus-gaap:InterestRateContractMembercof:InterestincomeOtherMember2021-01-012021-03-310000927628us-gaap:CashFlowHedgingMemberc</w:t>
      </w:r>
      <w:r>
        <w:rPr>
          <w:rFonts w:eastAsia="Times New Roman"/>
          <w:vanish/>
        </w:rPr>
        <w:t>of:InterestexpenseDepositsMemberus-gaap:InterestRateContractMember2021-01-012021-03-310000927628cof:InterestexpenseSecuritizedDebtObligationMemberus-gaap:CashFlowHedgingMemberus-gaap:InterestRateContractMember2021-01-012021-03-310000927628us-gaap:CashFlowH</w:t>
      </w:r>
      <w:r>
        <w:rPr>
          <w:rFonts w:eastAsia="Times New Roman"/>
          <w:vanish/>
        </w:rPr>
        <w:t>edgingMemberus-gaap:InterestRateContractMembercof:InterestexpenseSeniorandSubordinatedDebtMember2021-01-012021-03-310000927628cof:NonInterestIncomeOtherMemberus-gaap:CashFlowHedgingMemberus-gaap:InterestRateContractMember2021-01-012021-03-310000927628us-ga</w:t>
      </w:r>
      <w:r>
        <w:rPr>
          <w:rFonts w:eastAsia="Times New Roman"/>
          <w:vanish/>
        </w:rPr>
        <w:t>ap:ForeignExchangeContractMembercof:InterestincomeInvestmentsecuritiesMemberus-gaap:CashFlowHedgingMember2021-01-012021-03-310000927628us-gaap:ForeignExchangeContractMemberus-gaap:CashFlowHedgingMembercof:InterestincomeLoansMember2021-01-012021-03-31000092</w:t>
      </w:r>
      <w:r>
        <w:rPr>
          <w:rFonts w:eastAsia="Times New Roman"/>
          <w:vanish/>
        </w:rPr>
        <w:t>7628us-gaap:ForeignExchangeContractMemberus-gaap:CashFlowHedgingMembercof:InterestincomeOtherMember2021-01-012021-03-310000927628us-gaap:ForeignExchangeContractMemberus-gaap:CashFlowHedgingMembercof:InterestexpenseDepositsMember2021-01-012021-03-3100009276</w:t>
      </w:r>
      <w:r>
        <w:rPr>
          <w:rFonts w:eastAsia="Times New Roman"/>
          <w:vanish/>
        </w:rPr>
        <w:t>28us-gaap:ForeignExchangeContractMembercof:InterestexpenseSecuritizedDebtObligationMemberus-gaap:CashFlowHedgingMember2021-01-012021-03-310000927628us-gaap:ForeignExchangeContractMemberus-gaap:CashFlowHedgingMembercof:InterestexpenseSeniorandSubordinatedDe</w:t>
      </w:r>
      <w:r>
        <w:rPr>
          <w:rFonts w:eastAsia="Times New Roman"/>
          <w:vanish/>
        </w:rPr>
        <w:t>btMember2021-01-012021-03-310000927628cof:NonInterestIncomeOtherMemberus-gaap:ForeignExchangeContractMemberus-gaap:CashFlowHedgingMember2021-01-012021-03-310000927628cof:InterestincomeInvestmentsecuritiesMemberus-gaap:CashFlowHedgingMember2021-01-012021-03</w:t>
      </w:r>
      <w:r>
        <w:rPr>
          <w:rFonts w:eastAsia="Times New Roman"/>
          <w:vanish/>
        </w:rPr>
        <w:t>-310000927628us-gaap:CashFlowHedgingMembercof:InterestincomeLoansMember2021-01-012021-03-310000927628us-gaap:CashFlowHedgingMembercof:InterestincomeOtherMember2021-01-012021-03-310000927628us-gaap:CashFlowHedgingMembercof:InterestexpenseDepositsMember2021-</w:t>
      </w:r>
      <w:r>
        <w:rPr>
          <w:rFonts w:eastAsia="Times New Roman"/>
          <w:vanish/>
        </w:rPr>
        <w:t>01-012021-03-310000927628cof:InterestexpenseSecuritizedDebtObligationMemberus-gaap:CashFlowHedgingMember2021-01-012021-03-310000927628us-gaap:CashFlowHedgingMembercof:InterestexpenseSeniorandSubordinatedDebtMember2021-01-012021-03-310000927628cof:NonIntere</w:t>
      </w:r>
      <w:r>
        <w:rPr>
          <w:rFonts w:eastAsia="Times New Roman"/>
          <w:vanish/>
        </w:rPr>
        <w:t>stIncomeOtherMemberus-gaap:CashFlowHedgingMember2021-01-012021-03-310000927628cof:InterestincomeInvestmentsecuritiesMemberus-gaap:InterestRateContractMemberus-gaap:FairValueHedgingMember2020-01-012020-03-310000927628us-gaap:InterestRateContractMembercof:In</w:t>
      </w:r>
      <w:r>
        <w:rPr>
          <w:rFonts w:eastAsia="Times New Roman"/>
          <w:vanish/>
        </w:rPr>
        <w:t>terestincomeLoansMemberus-gaap:FairValueHedgingMember2020-01-012020-03-310000927628us-gaap:InterestRateContractMembercof:InterestincomeOtherMemberus-gaap:FairValueHedgingMember2020-01-012020-03-310000927628cof:InterestexpenseDepositsMemberus-gaap:InterestR</w:t>
      </w:r>
      <w:r>
        <w:rPr>
          <w:rFonts w:eastAsia="Times New Roman"/>
          <w:vanish/>
        </w:rPr>
        <w:t>ateContractMemberus-gaap:FairValueHedgingMember2020-01-012020-03-310000927628cof:InterestexpenseSecuritizedDebtObligationMemberus-gaap:InterestRateContractMemberus-gaap:FairValueHedgingMember2020-01-012020-03-310000927628us-gaap:InterestRateContractMemberc</w:t>
      </w:r>
      <w:r>
        <w:rPr>
          <w:rFonts w:eastAsia="Times New Roman"/>
          <w:vanish/>
        </w:rPr>
        <w:t>of:InterestexpenseSeniorandSubordinatedDebtMemberus-gaap:FairValueHedgingMember2020-01-012020-03-310000927628cof:NonInterestIncomeOtherMemberus-gaap:InterestRateContractMemberus-gaap:FairValueHedgingMember2020-01-012020-03-310000927628cof:InterestincomeInv</w:t>
      </w:r>
      <w:r>
        <w:rPr>
          <w:rFonts w:eastAsia="Times New Roman"/>
          <w:vanish/>
        </w:rPr>
        <w:t>estmentsecuritiesMemberus-gaap:FairValueHedgingMember2020-01-012020-03-310000927628cof:InterestincomeLoansMemberus-gaap:FairValueHedgingMember2020-01-012020-03-310000927628cof:InterestincomeOtherMemberus-gaap:FairValueHedgingMember2020-01-012020-03-3100009</w:t>
      </w:r>
      <w:r>
        <w:rPr>
          <w:rFonts w:eastAsia="Times New Roman"/>
          <w:vanish/>
        </w:rPr>
        <w:t>27628cof:InterestexpenseDepositsMemberus-gaap:FairValueHedgingMember2020-01-012020-03-310000927628cof:InterestexpenseSecuritizedDebtObligationMemberus-gaap:FairValueHedgingMember2020-01-012020-03-310000927628cof:InterestexpenseSeniorandSubordinatedDebtMemb</w:t>
      </w:r>
      <w:r>
        <w:rPr>
          <w:rFonts w:eastAsia="Times New Roman"/>
          <w:vanish/>
        </w:rPr>
        <w:t>erus-gaap:FairValueHedgingMember2020-01-012020-03-310000927628cof:NonInterestIncomeOtherMemberus-gaap:FairValueHedgingMember2020-01-012020-03-310000927628cof:InterestincomeInvestmentsecuritiesMemberus-gaap:CashFlowHedgingMemberus-gaap:InterestRateContractM</w:t>
      </w:r>
      <w:r>
        <w:rPr>
          <w:rFonts w:eastAsia="Times New Roman"/>
          <w:vanish/>
        </w:rPr>
        <w:t>ember2020-01-012020-03-310000927628us-gaap:CashFlowHedgingMemberus-gaap:InterestRateContractMembercof:InterestincomeLoansMember2020-01-012020-03-310000927628us-gaap:CashFlowHedgingMemberus-gaap:InterestRateContractMembercof:InterestincomeOtherMember2020-01</w:t>
      </w:r>
      <w:r>
        <w:rPr>
          <w:rFonts w:eastAsia="Times New Roman"/>
          <w:vanish/>
        </w:rPr>
        <w:t>-012020-03-310000927628us-gaap:CashFlowHedgingMembercof:InterestexpenseDepositsMemberus-gaap:InterestRateContractMember2020-01-012020-03-310000927628cof:InterestexpenseSecuritizedDebtObligationMemberus-gaap:CashFlowHedgingMemberus-gaap:InterestRateContract</w:t>
      </w:r>
      <w:r>
        <w:rPr>
          <w:rFonts w:eastAsia="Times New Roman"/>
          <w:vanish/>
        </w:rPr>
        <w:t>Member2020-01-012020-03-310000927628us-gaap:CashFlowHedgingMemberus-gaap:InterestRateContractMembercof:InterestexpenseSeniorandSubordinatedDebtMember2020-01-012020-03-310000927628cof:NonInterestIncomeOtherMemberus-gaap:CashFlowHedgingMemberus-gaap:Interest</w:t>
      </w:r>
      <w:r>
        <w:rPr>
          <w:rFonts w:eastAsia="Times New Roman"/>
          <w:vanish/>
        </w:rPr>
        <w:t>RateContractMember2020-01-012020-03-310000927628us-gaap:ForeignExchangeContractMembercof:InterestincomeInvestmentsecuritiesMemberus-gaap:CashFlowHedgingMember2020-01-012020-03-310000927628us-gaap:ForeignExchangeContractMemberus-gaap:CashFlowHedgingMemberco</w:t>
      </w:r>
      <w:r>
        <w:rPr>
          <w:rFonts w:eastAsia="Times New Roman"/>
          <w:vanish/>
        </w:rPr>
        <w:t>f:InterestincomeLoansMember2020-01-012020-03-310000927628us-gaap:ForeignExchangeContractMemberus-gaap:CashFlowHedgingMembercof:InterestincomeOtherMember2020-01-012020-03-310000927628us-gaap:ForeignExchangeContractMemberus-gaap:CashFlowHedgingMembercof:Inte</w:t>
      </w:r>
      <w:r>
        <w:rPr>
          <w:rFonts w:eastAsia="Times New Roman"/>
          <w:vanish/>
        </w:rPr>
        <w:t>restexpenseDepositsMember2020-01-012020-03-310000927628us-gaap:ForeignExchangeContractMembercof:InterestexpenseSecuritizedDebtObligationMemberus-gaap:CashFlowHedgingMember2020-01-012020-03-310000927628us-gaap:ForeignExchangeContractMemberus-gaap:CashFlowHe</w:t>
      </w:r>
      <w:r>
        <w:rPr>
          <w:rFonts w:eastAsia="Times New Roman"/>
          <w:vanish/>
        </w:rPr>
        <w:t>dgingMembercof:InterestexpenseSeniorandSubordinatedDebtMember2020-01-012020-03-310000927628cof:NonInterestIncomeOtherMemberus-gaap:ForeignExchangeContractMemberus-gaap:CashFlowHedgingMember2020-01-012020-03-310000927628cof:InterestincomeInvestmentsecuritie</w:t>
      </w:r>
      <w:r>
        <w:rPr>
          <w:rFonts w:eastAsia="Times New Roman"/>
          <w:vanish/>
        </w:rPr>
        <w:t>sMemberus-gaap:CashFlowHedgingMember2020-01-012020-03-310000927628us-gaap:CashFlowHedgingMembercof:InterestincomeLoansMember2020-01-012020-03-310000927628us-gaap:CashFlowHedgingMembercof:InterestincomeOtherMember2020-01-012020-03-310000927628us-gaap:CashFl</w:t>
      </w:r>
      <w:r>
        <w:rPr>
          <w:rFonts w:eastAsia="Times New Roman"/>
          <w:vanish/>
        </w:rPr>
        <w:t>owHedgingMembercof:InterestexpenseDepositsMember2020-01-012020-03-310000927628cof:InterestexpenseSecuritizedDebtObligationMemberus-gaap:CashFlowHedgingMember2020-01-012020-03-310000927628us-gaap:CashFlowHedgingMembercof:InterestexpenseSeniorandSubordinated</w:t>
      </w:r>
      <w:r>
        <w:rPr>
          <w:rFonts w:eastAsia="Times New Roman"/>
          <w:vanish/>
        </w:rPr>
        <w:t>DebtMember2020-01-012020-03-310000927628cof:NonInterestIncomeOtherMemberus-gaap:CashFlowHedgingMember2020-01-012020-03-310000927628cof:NonInterestIncomeOtherMember2021-01-012021-03-310000927628cof:NonInterestIncomeOtherMember2020-01-012020-03-310000927628c</w:t>
      </w:r>
      <w:r>
        <w:rPr>
          <w:rFonts w:eastAsia="Times New Roman"/>
          <w:vanish/>
        </w:rPr>
        <w:t>of:OtherNonInterestIncomeMembercof:CustomerAccommodationMemberus-gaap:InterestRateContractMember2021-01-012021-03-310000927628cof:OtherNonInterestIncomeMembercof:CustomerAccommodationMemberus-gaap:InterestRateContractMember2020-01-012020-03-310000927628cof</w:t>
      </w:r>
      <w:r>
        <w:rPr>
          <w:rFonts w:eastAsia="Times New Roman"/>
          <w:vanish/>
        </w:rPr>
        <w:t>:OtherNonInterestIncomeMembercof:CustomerAccommodationMemberus-gaap:CommodityContractMember2021-01-012021-03-310000927628cof:OtherNonInterestIncomeMembercof:CustomerAccommodationMemberus-gaap:CommodityContractMember2020-01-012020-03-310000927628cof:OtherNo</w:t>
      </w:r>
      <w:r>
        <w:rPr>
          <w:rFonts w:eastAsia="Times New Roman"/>
          <w:vanish/>
        </w:rPr>
        <w:t>nInterestIncomeMembercof:CustomerAccommodationMemberus-gaap:ForeignExchangeContractMember2021-01-012021-03-310000927628cof:OtherNonInterestIncomeMembercof:CustomerAccommodationMemberus-gaap:ForeignExchangeContractMember2020-01-012020-03-310000927628cof:Oth</w:t>
      </w:r>
      <w:r>
        <w:rPr>
          <w:rFonts w:eastAsia="Times New Roman"/>
          <w:vanish/>
        </w:rPr>
        <w:t>erNonInterestIncomeMemberus-gaap:InterestRateContractMember2021-01-012021-03-310000927628cof:OtherNonInterestIncomeMemberus-gaap:InterestRateContractMember2020-01-012020-03-310000927628cof:OtherNonInterestIncomeMemberus-gaap:InterestRateContractMembercof:O</w:t>
      </w:r>
      <w:r>
        <w:rPr>
          <w:rFonts w:eastAsia="Times New Roman"/>
          <w:vanish/>
        </w:rPr>
        <w:t>therInterestRateExposuresMember2021-01-012021-03-310000927628cof:OtherNonInterestIncomeMemberus-gaap:InterestRateContractMembercof:OtherInterestRateExposuresMember2020-01-012020-03-310000927628cof:OtherNonInterestIncomeMemberus-gaap:OtherContractMember2021</w:t>
      </w:r>
      <w:r>
        <w:rPr>
          <w:rFonts w:eastAsia="Times New Roman"/>
          <w:vanish/>
        </w:rPr>
        <w:t>-01-012021-03-310000927628cof:OtherNonInterestIncomeMemberus-gaap:OtherContractMember2020-01-012020-03-310000927628cof:OtherNonInterestIncomeMember2021-01-012021-03-310000927628cof:OtherNonInterestIncomeMember2020-01-012020-03-310000927628us-gaap:SeriesEPr</w:t>
      </w:r>
      <w:r>
        <w:rPr>
          <w:rFonts w:eastAsia="Times New Roman"/>
          <w:vanish/>
        </w:rPr>
        <w:t>eferredStockMember2021-01-012021-03-310000927628us-gaap:SeriesEPreferredStockMember2021-03-310000927628us-gaap:SeriesEPreferredStockMember2020-12-310000927628us-gaap:SeriesGPreferredStockMember2021-03-310000927628us-gaap:SeriesGPreferredStockMember2020-12-</w:t>
      </w:r>
      <w:r>
        <w:rPr>
          <w:rFonts w:eastAsia="Times New Roman"/>
          <w:vanish/>
        </w:rPr>
        <w:t>310000927628us-gaap:SeriesHPreferredStockMember2021-03-310000927628us-gaap:SeriesHPreferredStockMember2020-12-310000927628cof:SeriesIPreferredStockMember2021-03-310000927628cof:SeriesIPreferredStockMember2020-12-310000927628cof:SeriesJPreferredStockMember2</w:t>
      </w:r>
      <w:r>
        <w:rPr>
          <w:rFonts w:eastAsia="Times New Roman"/>
          <w:vanish/>
        </w:rPr>
        <w:t>021-03-310000927628cof:SeriesJPreferredStockMember2020-12-310000927628cof:SeriesKPreferredStockMember2021-03-310000927628cof:SeriesKPreferredStockMember2020-12-310000927628us-gaap:AccumulatedNetUnrealizedInvestmentGainLossMemberus-gaap:AvailableforsaleSecu</w:t>
      </w:r>
      <w:r>
        <w:rPr>
          <w:rFonts w:eastAsia="Times New Roman"/>
          <w:vanish/>
        </w:rPr>
        <w:t>ritiesMember2020-12-310000927628us-gaap:AccumulatedNetGainLossFromDesignatedOrQualifyingCashFlowHedgesMember2020-12-310000927628us-gaap:AccumulatedTranslationAdjustmentMember2020-12-310000927628cof:AccumulatedOtherComprehensiveIncomeLossOtherComponentMembe</w:t>
      </w:r>
      <w:r>
        <w:rPr>
          <w:rFonts w:eastAsia="Times New Roman"/>
          <w:vanish/>
        </w:rPr>
        <w:t>r2020-12-310000927628us-gaap:AccumulatedNetUnrealizedInvestmentGainLossMemberus-gaap:AvailableforsaleSecuritiesMember2021-01-012021-03-310000927628us-gaap:AccumulatedNetGainLossFromDesignatedOrQualifyingCashFlowHedgesMember2021-01-012021-03-310000927628us-</w:t>
      </w:r>
      <w:r>
        <w:rPr>
          <w:rFonts w:eastAsia="Times New Roman"/>
          <w:vanish/>
        </w:rPr>
        <w:t>gaap:AccumulatedTranslationAdjustmentMember2021-01-012021-03-310000927628cof:AccumulatedOtherComprehensiveIncomeLossOtherComponentMember2021-01-012021-03-310000927628us-gaap:AccumulatedNetUnrealizedInvestmentGainLossMemberus-gaap:AvailableforsaleSecurities</w:t>
      </w:r>
      <w:r>
        <w:rPr>
          <w:rFonts w:eastAsia="Times New Roman"/>
          <w:vanish/>
        </w:rPr>
        <w:t>Member2021-03-310000927628us-gaap:AccumulatedNetGainLossFromDesignatedOrQualifyingCashFlowHedgesMember2021-03-310000927628us-gaap:AccumulatedTranslationAdjustmentMember2021-03-310000927628cof:AccumulatedOtherComprehensiveIncomeLossOtherComponentMember2021-</w:t>
      </w:r>
      <w:r>
        <w:rPr>
          <w:rFonts w:eastAsia="Times New Roman"/>
          <w:vanish/>
        </w:rPr>
        <w:t>03-310000927628us-gaap:AccumulatedNetUnrealizedInvestmentGainLossMemberus-gaap:AvailableforsaleSecuritiesMember2019-12-310000927628us-gaap:AccumulatedNetGainLossFromDesignatedOrQualifyingCashFlowHedgesMember2019-12-310000927628us-gaap:AccumulatedTranslatio</w:t>
      </w:r>
      <w:r>
        <w:rPr>
          <w:rFonts w:eastAsia="Times New Roman"/>
          <w:vanish/>
        </w:rPr>
        <w:t>nAdjustmentMember2019-12-310000927628cof:AccumulatedOtherComprehensiveIncomeLossOtherComponentMember2019-12-310000927628us-gaap:AccumulatedNetUnrealizedInvestmentGainLossMembersrt:CumulativeEffectPeriodOfAdoptionAdjustmentMemberus-gaap:AvailableforsaleSecu</w:t>
      </w:r>
      <w:r>
        <w:rPr>
          <w:rFonts w:eastAsia="Times New Roman"/>
          <w:vanish/>
        </w:rPr>
        <w:t>ritiesMember2019-12-310000927628us-gaap:AccumulatedNetGainLossFromDesignatedOrQualifyingCashFlowHedgesMembersrt:CumulativeEffectPeriodOfAdoptionAdjustmentMember2019-12-310000927628us-gaap:AccumulatedTranslationAdjustmentMembersrt:CumulativeEffectPeriodOfAd</w:t>
      </w:r>
      <w:r>
        <w:rPr>
          <w:rFonts w:eastAsia="Times New Roman"/>
          <w:vanish/>
        </w:rPr>
        <w:t>optionAdjustmentMember2019-12-310000927628cof:AccumulatedOtherComprehensiveIncomeLossOtherComponentMembersrt:CumulativeEffectPeriodOfAdoptionAdjustmentMember2019-12-310000927628us-gaap:AccumulatedNetUnrealizedInvestmentGainLossMemberus-gaap:Availableforsal</w:t>
      </w:r>
      <w:r>
        <w:rPr>
          <w:rFonts w:eastAsia="Times New Roman"/>
          <w:vanish/>
        </w:rPr>
        <w:t>eSecuritiesMember2020-01-012020-03-310000927628us-gaap:AccumulatedNetGainLossFromDesignatedOrQualifyingCashFlowHedgesMember2020-01-012020-03-310000927628us-gaap:AccumulatedTranslationAdjustmentMember2020-01-012020-03-310000927628cof:AccumulatedOtherCompreh</w:t>
      </w:r>
      <w:r>
        <w:rPr>
          <w:rFonts w:eastAsia="Times New Roman"/>
          <w:vanish/>
        </w:rPr>
        <w:t>ensiveIncomeLossOtherComponentMember2020-01-012020-03-310000927628us-gaap:AccumulatedNetUnrealizedInvestmentGainLossMemberus-gaap:AvailableforsaleSecuritiesMember2020-03-310000927628us-gaap:AccumulatedNetGainLossFromDesignatedOrQualifyingCashFlowHedgesMemb</w:t>
      </w:r>
      <w:r>
        <w:rPr>
          <w:rFonts w:eastAsia="Times New Roman"/>
          <w:vanish/>
        </w:rPr>
        <w:t>er2020-03-310000927628us-gaap:AccumulatedTranslationAdjustmentMember2020-03-310000927628cof:AccumulatedOtherComprehensiveIncomeLossOtherComponentMember2020-03-310000927628us-gaap:NetInvestmentHedgingMember2021-01-012021-03-310000927628us-gaap:NetInvestment</w:t>
      </w:r>
      <w:r>
        <w:rPr>
          <w:rFonts w:eastAsia="Times New Roman"/>
          <w:vanish/>
        </w:rPr>
        <w:t>HedgingMember2020-01-012020-03-310000927628us-gaap:AccumulatedNetUnrealizedInvestmentGainLossMemberus-gaap:ReclassificationOutOfAccumulatedOtherComprehensiveIncomeMemberus-gaap:AvailableforsaleSecuritiesMember2021-01-012021-03-310000927628us-gaap:Accumulat</w:t>
      </w:r>
      <w:r>
        <w:rPr>
          <w:rFonts w:eastAsia="Times New Roman"/>
          <w:vanish/>
        </w:rPr>
        <w:t>edNetUnrealizedInvestmentGainLossMemberus-gaap:ReclassificationOutOfAccumulatedOtherComprehensiveIncomeMemberus-gaap:AvailableforsaleSecuritiesMember2020-01-012020-03-310000927628us-gaap:InterestRateContractMemberus-gaap:AccumulatedNetGainLossFromDesignate</w:t>
      </w:r>
      <w:r>
        <w:rPr>
          <w:rFonts w:eastAsia="Times New Roman"/>
          <w:vanish/>
        </w:rPr>
        <w:t>dOrQualifyingCashFlowHedgesMemberus-gaap:ReclassificationOutOfAccumulatedOtherComprehensiveIncomeMember2021-01-012021-03-310000927628us-gaap:InterestRateContractMemberus-gaap:AccumulatedNetGainLossFromDesignatedOrQualifyingCashFlowHedgesMemberus-gaap:Recla</w:t>
      </w:r>
      <w:r>
        <w:rPr>
          <w:rFonts w:eastAsia="Times New Roman"/>
          <w:vanish/>
        </w:rPr>
        <w:t>ssificationOutOfAccumulatedOtherComprehensiveIncomeMember2020-01-012020-03-310000927628us-gaap:ForeignExchangeContractMemberus-gaap:AccumulatedNetGainLossFromDesignatedOrQualifyingCashFlowHedgesMemberus-gaap:ReclassificationOutOfAccumulatedOtherComprehensi</w:t>
      </w:r>
      <w:r>
        <w:rPr>
          <w:rFonts w:eastAsia="Times New Roman"/>
          <w:vanish/>
        </w:rPr>
        <w:t>veIncomeMember2021-01-012021-03-310000927628us-gaap:ForeignExchangeContractMemberus-gaap:AccumulatedNetGainLossFromDesignatedOrQualifyingCashFlowHedgesMemberus-gaap:ReclassificationOutOfAccumulatedOtherComprehensiveIncomeMember2020-01-012020-03-31000092762</w:t>
      </w:r>
      <w:r>
        <w:rPr>
          <w:rFonts w:eastAsia="Times New Roman"/>
          <w:vanish/>
        </w:rPr>
        <w:t>8cof:AccumulatedOtherComprehensiveIncomeLossOtherComponentMemberus-gaap:ReclassificationOutOfAccumulatedOtherComprehensiveIncomeMember2021-01-012021-03-310000927628cof:AccumulatedOtherComprehensiveIncomeLossOtherComponentMemberus-gaap:ReclassificationOutOf</w:t>
      </w:r>
      <w:r>
        <w:rPr>
          <w:rFonts w:eastAsia="Times New Roman"/>
          <w:vanish/>
        </w:rPr>
        <w:t>AccumulatedOtherComprehensiveIncomeMember2020-01-012020-03-310000927628us-gaap:ReclassificationOutOfAccumulatedOtherComprehensiveIncomeMember2021-01-012021-03-310000927628us-gaap:ReclassificationOutOfAccumulatedOtherComprehensiveIncomeMember2020-01-012020-</w:t>
      </w:r>
      <w:r>
        <w:rPr>
          <w:rFonts w:eastAsia="Times New Roman"/>
          <w:vanish/>
        </w:rPr>
        <w:t>03-310000927628us-gaap:EmployeeStockOptionMember2021-01-012021-03-310000927628us-gaap:EmployeeStockOptionMember2020-01-012020-03-310000927628us-gaap:StockCompensationPlanMember2020-01-012020-03-310000927628us-gaap:USTreasurySecuritiesMemberus-gaap:FairValu</w:t>
      </w:r>
      <w:r>
        <w:rPr>
          <w:rFonts w:eastAsia="Times New Roman"/>
          <w:vanish/>
        </w:rPr>
        <w:t>eInputsLevel1Memberus-gaap:FairValueMeasurementsRecurringMember2021-03-310000927628us-gaap:USTreasurySecuritiesMemberus-gaap:FairValueInputsLevel2Memberus-gaap:FairValueMeasurementsRecurringMember2021-03-310000927628us-gaap:FairValueInputsLevel3Memberus-ga</w:t>
      </w:r>
      <w:r>
        <w:rPr>
          <w:rFonts w:eastAsia="Times New Roman"/>
          <w:vanish/>
        </w:rPr>
        <w:t>ap:USTreasurySecuritiesMemberus-gaap:FairValueMeasurementsRecurringMember2021-03-310000927628us-gaap:USTreasurySecuritiesMemberus-gaap:FairValueMeasurementsRecurringMember2021-03-310000927628us-gaap:FairValueInputsLevel1Memberus-gaap:ResidentialMortgageBac</w:t>
      </w:r>
      <w:r>
        <w:rPr>
          <w:rFonts w:eastAsia="Times New Roman"/>
          <w:vanish/>
        </w:rPr>
        <w:t>kedSecuritiesMemberus-gaap:FairValueMeasurementsRecurringMember2021-03-310000927628us-gaap:FairValueInputsLevel2Memberus-gaap:ResidentialMortgageBackedSecuritiesMemberus-gaap:FairValueMeasurementsRecurringMember2021-03-310000927628us-gaap:FairValueInputsLe</w:t>
      </w:r>
      <w:r>
        <w:rPr>
          <w:rFonts w:eastAsia="Times New Roman"/>
          <w:vanish/>
        </w:rPr>
        <w:t>vel3Memberus-gaap:ResidentialMortgageBackedSecuritiesMemberus-gaap:FairValueMeasurementsRecurringMember2021-03-310000927628us-gaap:ResidentialMortgageBackedSecuritiesMemberus-gaap:FairValueMeasurementsRecurringMember2021-03-310000927628us-gaap:CommercialMo</w:t>
      </w:r>
      <w:r>
        <w:rPr>
          <w:rFonts w:eastAsia="Times New Roman"/>
          <w:vanish/>
        </w:rPr>
        <w:t>rtgageBackedSecuritiesMemberus-gaap:FairValueInputsLevel1Memberus-gaap:FairValueMeasurementsRecurringMember2021-03-310000927628us-gaap:CommercialMortgageBackedSecuritiesMemberus-gaap:FairValueInputsLevel2Memberus-gaap:FairValueMeasurementsRecurringMember20</w:t>
      </w:r>
      <w:r>
        <w:rPr>
          <w:rFonts w:eastAsia="Times New Roman"/>
          <w:vanish/>
        </w:rPr>
        <w:t>21-03-310000927628us-gaap:FairValueInputsLevel3Memberus-gaap:CommercialMortgageBackedSecuritiesMemberus-gaap:FairValueMeasurementsRecurringMember2021-03-310000927628us-gaap:CommercialMortgageBackedSecuritiesMemberus-gaap:FairValueMeasurementsRecurringMembe</w:t>
      </w:r>
      <w:r>
        <w:rPr>
          <w:rFonts w:eastAsia="Times New Roman"/>
          <w:vanish/>
        </w:rPr>
        <w:t>r2021-03-310000927628us-gaap:FairValueInputsLevel1Memberus-gaap:OtherDebtSecuritiesMemberus-gaap:FairValueMeasurementsRecurringMember2021-03-310000927628us-gaap:FairValueInputsLevel2Memberus-gaap:OtherDebtSecuritiesMemberus-gaap:FairValueMeasurementsRecurr</w:t>
      </w:r>
      <w:r>
        <w:rPr>
          <w:rFonts w:eastAsia="Times New Roman"/>
          <w:vanish/>
        </w:rPr>
        <w:t>ingMember2021-03-310000927628us-gaap:FairValueInputsLevel3Memberus-gaap:OtherDebtSecuritiesMemberus-gaap:FairValueMeasurementsRecurringMember2021-03-310000927628us-gaap:OtherDebtSecuritiesMemberus-gaap:FairValueMeasurementsRecurringMember2021-03-3100009276</w:t>
      </w:r>
      <w:r>
        <w:rPr>
          <w:rFonts w:eastAsia="Times New Roman"/>
          <w:vanish/>
        </w:rPr>
        <w:t>28us-gaap:FairValueInputsLevel1Memberus-gaap:FairValueMeasurementsRecurringMember2021-03-310000927628us-gaap:FairValueInputsLevel2Memberus-gaap:FairValueMeasurementsRecurringMember2021-03-310000927628us-gaap:FairValueInputsLevel3Memberus-gaap:FairValueMeas</w:t>
      </w:r>
      <w:r>
        <w:rPr>
          <w:rFonts w:eastAsia="Times New Roman"/>
          <w:vanish/>
        </w:rPr>
        <w:t>urementsRecurringMember2021-03-310000927628us-gaap:FairValueMeasurementsRecurringMember2021-03-310000927628us-gaap:USTreasurySecuritiesMemberus-gaap:FairValueInputsLevel1Memberus-gaap:FairValueMeasurementsRecurringMember2020-12-310000927628us-gaap:USTreasu</w:t>
      </w:r>
      <w:r>
        <w:rPr>
          <w:rFonts w:eastAsia="Times New Roman"/>
          <w:vanish/>
        </w:rPr>
        <w:t>rySecuritiesMemberus-gaap:FairValueInputsLevel2Memberus-gaap:FairValueMeasurementsRecurringMember2020-12-310000927628us-gaap:FairValueInputsLevel3Memberus-gaap:USTreasurySecuritiesMemberus-gaap:FairValueMeasurementsRecurringMember2020-12-310000927628us-gaa</w:t>
      </w:r>
      <w:r>
        <w:rPr>
          <w:rFonts w:eastAsia="Times New Roman"/>
          <w:vanish/>
        </w:rPr>
        <w:t>p:USTreasurySecuritiesMemberus-gaap:FairValueMeasurementsRecurringMember2020-12-310000927628us-gaap:FairValueInputsLevel1Memberus-gaap:ResidentialMortgageBackedSecuritiesMemberus-gaap:FairValueMeasurementsRecurringMember2020-12-310000927628us-gaap:FairValu</w:t>
      </w:r>
      <w:r>
        <w:rPr>
          <w:rFonts w:eastAsia="Times New Roman"/>
          <w:vanish/>
        </w:rPr>
        <w:t>eInputsLevel2Memberus-gaap:ResidentialMortgageBackedSecuritiesMemberus-gaap:FairValueMeasurementsRecurringMember2020-12-310000927628us-gaap:FairValueInputsLevel3Memberus-gaap:ResidentialMortgageBackedSecuritiesMemberus-gaap:FairValueMeasurementsRecurringMe</w:t>
      </w:r>
      <w:r>
        <w:rPr>
          <w:rFonts w:eastAsia="Times New Roman"/>
          <w:vanish/>
        </w:rPr>
        <w:t>mber2020-12-310000927628us-gaap:ResidentialMortgageBackedSecuritiesMemberus-gaap:FairValueMeasurementsRecurringMember2020-12-310000927628us-gaap:CommercialMortgageBackedSecuritiesMemberus-gaap:FairValueInputsLevel1Memberus-gaap:FairValueMeasurementsRecurri</w:t>
      </w:r>
      <w:r>
        <w:rPr>
          <w:rFonts w:eastAsia="Times New Roman"/>
          <w:vanish/>
        </w:rPr>
        <w:t>ngMember2020-12-310000927628us-gaap:CommercialMortgageBackedSecuritiesMemberus-gaap:FairValueInputsLevel2Memberus-gaap:FairValueMeasurementsRecurringMember2020-12-310000927628us-gaap:FairValueInputsLevel3Memberus-gaap:CommercialMortgageBackedSecuritiesMemb</w:t>
      </w:r>
      <w:r>
        <w:rPr>
          <w:rFonts w:eastAsia="Times New Roman"/>
          <w:vanish/>
        </w:rPr>
        <w:t>erus-gaap:FairValueMeasurementsRecurringMember2020-12-310000927628us-gaap:CommercialMortgageBackedSecuritiesMemberus-gaap:FairValueMeasurementsRecurringMember2020-12-310000927628us-gaap:FairValueInputsLevel1Memberus-gaap:OtherDebtSecuritiesMemberus-gaap:Fa</w:t>
      </w:r>
      <w:r>
        <w:rPr>
          <w:rFonts w:eastAsia="Times New Roman"/>
          <w:vanish/>
        </w:rPr>
        <w:t>irValueMeasurementsRecurringMember2020-12-310000927628us-gaap:FairValueInputsLevel2Memberus-gaap:OtherDebtSecuritiesMemberus-gaap:FairValueMeasurementsRecurringMember2020-12-310000927628us-gaap:FairValueInputsLevel3Memberus-gaap:OtherDebtSecuritiesMemberus</w:t>
      </w:r>
      <w:r>
        <w:rPr>
          <w:rFonts w:eastAsia="Times New Roman"/>
          <w:vanish/>
        </w:rPr>
        <w:t>-gaap:FairValueMeasurementsRecurringMember2020-12-310000927628us-gaap:OtherDebtSecuritiesMemberus-gaap:FairValueMeasurementsRecurringMember2020-12-310000927628us-gaap:FairValueInputsLevel1Memberus-gaap:FairValueMeasurementsRecurringMember2020-12-3100009276</w:t>
      </w:r>
      <w:r>
        <w:rPr>
          <w:rFonts w:eastAsia="Times New Roman"/>
          <w:vanish/>
        </w:rPr>
        <w:t>28us-gaap:FairValueInputsLevel2Memberus-gaap:FairValueMeasurementsRecurringMember2020-12-310000927628us-gaap:FairValueInputsLevel3Memberus-gaap:FairValueMeasurementsRecurringMember2020-12-310000927628us-gaap:FairValueMeasurementsRecurringMember2020-12-3100</w:t>
      </w:r>
      <w:r>
        <w:rPr>
          <w:rFonts w:eastAsia="Times New Roman"/>
          <w:vanish/>
        </w:rPr>
        <w:t>00927628cof:FairValueInputsLevel1AndLevel2Memberus-gaap:FairValueMeasurementsRecurringMember2021-03-310000927628cof:FairValueInputsLevel1AndLevel2Memberus-gaap:FairValueMeasurementsRecurringMember2020-12-310000927628cof:FairValueInputsLevel1AndLevel2Member</w:t>
      </w:r>
      <w:r>
        <w:rPr>
          <w:rFonts w:eastAsia="Times New Roman"/>
          <w:vanish/>
        </w:rPr>
        <w:t>us-gaap:FairValueMeasurementsRecurringMember2021-01-012021-03-310000927628cof:FairValueInputsLevel1AndLevel2Memberus-gaap:FairValueMeasurementsRecurringMember2020-01-012020-12-310000927628us-gaap:FairValueInputsLevel3Memberus-gaap:ResidentialMortgageBacked</w:t>
      </w:r>
      <w:r>
        <w:rPr>
          <w:rFonts w:eastAsia="Times New Roman"/>
          <w:vanish/>
        </w:rPr>
        <w:t>SecuritiesMemberus-gaap:FairValueMeasurementsRecurringMember2021-01-012021-03-310000927628us-gaap:FairValueInputsLevel3Memberus-gaap:CommercialMortgageBackedSecuritiesMemberus-gaap:FairValueMeasurementsRecurringMember2021-01-012021-03-310000927628us-gaap:F</w:t>
      </w:r>
      <w:r>
        <w:rPr>
          <w:rFonts w:eastAsia="Times New Roman"/>
          <w:vanish/>
        </w:rPr>
        <w:t>airValueInputsLevel3Memberus-gaap:FairValueMeasurementsRecurringMemberus-gaap:AvailableforsaleSecuritiesMember2020-12-310000927628us-gaap:FairValueInputsLevel3Memberus-gaap:FairValueMeasurementsRecurringMemberus-gaap:AvailableforsaleSecuritiesMember2021-01</w:t>
      </w:r>
      <w:r>
        <w:rPr>
          <w:rFonts w:eastAsia="Times New Roman"/>
          <w:vanish/>
        </w:rPr>
        <w:t>-012021-03-310000927628us-gaap:FairValueInputsLevel3Memberus-gaap:FairValueMeasurementsRecurringMemberus-gaap:AvailableforsaleSecuritiesMember2021-03-310000927628us-gaap:FairValueInputsLevel3Memberus-gaap:RetainedInterestMemberus-gaap:FairValueMeasurements</w:t>
      </w:r>
      <w:r>
        <w:rPr>
          <w:rFonts w:eastAsia="Times New Roman"/>
          <w:vanish/>
        </w:rPr>
        <w:t>RecurringMember2020-12-310000927628us-gaap:FairValueInputsLevel3Memberus-gaap:RetainedInterestMemberus-gaap:FairValueMeasurementsRecurringMember2021-01-012021-03-310000927628us-gaap:FairValueInputsLevel3Memberus-gaap:RetainedInterestMemberus-gaap:FairValue</w:t>
      </w:r>
      <w:r>
        <w:rPr>
          <w:rFonts w:eastAsia="Times New Roman"/>
          <w:vanish/>
        </w:rPr>
        <w:t>MeasurementsRecurringMember2021-03-310000927628us-gaap:FairValueInputsLevel3Memberus-gaap:FairValueMeasurementsRecurringMember2021-01-012021-03-310000927628us-gaap:FairValueInputsLevel3Membercof:NetDerivativeAssetsLiabilitiesMemberus-gaap:FairValueMeasurem</w:t>
      </w:r>
      <w:r>
        <w:rPr>
          <w:rFonts w:eastAsia="Times New Roman"/>
          <w:vanish/>
        </w:rPr>
        <w:t>entsRecurringMember2021-01-012021-03-310000927628us-gaap:FairValueInputsLevel3Memberus-gaap:ResidentialMortgageBackedSecuritiesMemberus-gaap:FairValueMeasurementsRecurringMember2019-12-310000927628us-gaap:FairValueInputsLevel3Memberus-gaap:ResidentialMortg</w:t>
      </w:r>
      <w:r>
        <w:rPr>
          <w:rFonts w:eastAsia="Times New Roman"/>
          <w:vanish/>
        </w:rPr>
        <w:t>ageBackedSecuritiesMemberus-gaap:FairValueMeasurementsRecurringMember2020-01-012020-03-310000927628us-gaap:FairValueInputsLevel3Memberus-gaap:ResidentialMortgageBackedSecuritiesMemberus-gaap:FairValueMeasurementsRecurringMember2020-03-310000927628us-gaap:F</w:t>
      </w:r>
      <w:r>
        <w:rPr>
          <w:rFonts w:eastAsia="Times New Roman"/>
          <w:vanish/>
        </w:rPr>
        <w:t>airValueInputsLevel3Memberus-gaap:CommercialMortgageBackedSecuritiesMemberus-gaap:FairValueMeasurementsRecurringMember2019-12-310000927628us-gaap:FairValueInputsLevel3Memberus-gaap:CommercialMortgageBackedSecuritiesMemberus-gaap:FairValueMeasurementsRecurr</w:t>
      </w:r>
      <w:r>
        <w:rPr>
          <w:rFonts w:eastAsia="Times New Roman"/>
          <w:vanish/>
        </w:rPr>
        <w:t>ingMember2020-01-012020-03-310000927628us-gaap:FairValueInputsLevel3Memberus-gaap:CommercialMortgageBackedSecuritiesMemberus-gaap:FairValueMeasurementsRecurringMember2020-03-310000927628us-gaap:FairValueInputsLevel3Memberus-gaap:FairValueMeasurementsRecurr</w:t>
      </w:r>
      <w:r>
        <w:rPr>
          <w:rFonts w:eastAsia="Times New Roman"/>
          <w:vanish/>
        </w:rPr>
        <w:t>ingMemberus-gaap:AvailableforsaleSecuritiesMember2019-12-310000927628us-gaap:FairValueInputsLevel3Memberus-gaap:FairValueMeasurementsRecurringMemberus-gaap:AvailableforsaleSecuritiesMember2020-01-012020-03-310000927628us-gaap:FairValueInputsLevel3Memberus-</w:t>
      </w:r>
      <w:r>
        <w:rPr>
          <w:rFonts w:eastAsia="Times New Roman"/>
          <w:vanish/>
        </w:rPr>
        <w:t>gaap:FairValueMeasurementsRecurringMemberus-gaap:AvailableforsaleSecuritiesMember2020-03-310000927628us-gaap:FairValueInputsLevel3Memberus-gaap:RetainedInterestMemberus-gaap:FairValueMeasurementsRecurringMember2019-12-310000927628us-gaap:FairValueInputsLev</w:t>
      </w:r>
      <w:r>
        <w:rPr>
          <w:rFonts w:eastAsia="Times New Roman"/>
          <w:vanish/>
        </w:rPr>
        <w:t>el3Memberus-gaap:RetainedInterestMemberus-gaap:FairValueMeasurementsRecurringMember2020-01-012020-03-310000927628us-gaap:FairValueInputsLevel3Memberus-gaap:RetainedInterestMemberus-gaap:FairValueMeasurementsRecurringMember2020-03-310000927628us-gaap:FairVa</w:t>
      </w:r>
      <w:r>
        <w:rPr>
          <w:rFonts w:eastAsia="Times New Roman"/>
          <w:vanish/>
        </w:rPr>
        <w:t>lueInputsLevel3Memberus-gaap:FairValueMeasurementsRecurringMember2019-12-310000927628us-gaap:FairValueInputsLevel3Memberus-gaap:FairValueMeasurementsRecurringMember2020-01-012020-03-310000927628us-gaap:FairValueInputsLevel3Memberus-gaap:FairValueMeasuremen</w:t>
      </w:r>
      <w:r>
        <w:rPr>
          <w:rFonts w:eastAsia="Times New Roman"/>
          <w:vanish/>
        </w:rPr>
        <w:t>tsRecurringMember2020-03-310000927628us-gaap:FairValueInputsLevel3Membercof:NetDerivativeAssetsLiabilitiesMemberus-gaap:FairValueMeasurementsRecurringMember2020-01-012020-03-310000927628us-gaap:FairValueInputsLevel3Membercof:MeasurementInputYieldMemberus-g</w:t>
      </w:r>
      <w:r>
        <w:rPr>
          <w:rFonts w:eastAsia="Times New Roman"/>
          <w:vanish/>
        </w:rPr>
        <w:t>aap:ValuationTechniqueDiscountedCashFlowMemberus-gaap:ResidentialMortgageBackedSecuritiesMembersrt:MinimumMemberus-gaap:FairValueMeasurementsRecurringMember2021-03-310000927628us-gaap:FairValueInputsLevel3Membercof:MeasurementInputYieldMemberus-gaap:Valuat</w:t>
      </w:r>
      <w:r>
        <w:rPr>
          <w:rFonts w:eastAsia="Times New Roman"/>
          <w:vanish/>
        </w:rPr>
        <w:t>ionTechniqueDiscountedCashFlowMembersrt:MaximumMemberus-gaap:ResidentialMortgageBackedSecuritiesMemberus-gaap:FairValueMeasurementsRecurringMember2021-03-310000927628us-gaap:FairValueInputsLevel3Memberus-gaap:MeasurementInputConstantPrepaymentRateMemberus-</w:t>
      </w:r>
      <w:r>
        <w:rPr>
          <w:rFonts w:eastAsia="Times New Roman"/>
          <w:vanish/>
        </w:rPr>
        <w:t>gaap:ValuationTechniqueDiscountedCashFlowMemberus-gaap:ResidentialMortgageBackedSecuritiesMembersrt:MinimumMemberus-gaap:FairValueMeasurementsRecurringMember2021-03-310000927628us-gaap:FairValueInputsLevel3Memberus-gaap:MeasurementInputConstantPrepaymentRa</w:t>
      </w:r>
      <w:r>
        <w:rPr>
          <w:rFonts w:eastAsia="Times New Roman"/>
          <w:vanish/>
        </w:rPr>
        <w:t>teMemberus-gaap:ValuationTechniqueDiscountedCashFlowMembersrt:MaximumMemberus-gaap:ResidentialMortgageBackedSecuritiesMemberus-gaap:FairValueMeasurementsRecurringMember2021-03-310000927628us-gaap:FairValueInputsLevel3Memberus-gaap:ValuationTechniqueDiscoun</w:t>
      </w:r>
      <w:r>
        <w:rPr>
          <w:rFonts w:eastAsia="Times New Roman"/>
          <w:vanish/>
        </w:rPr>
        <w:t>tedCashFlowMemberus-gaap:MeasurementInputDefaultRateMemberus-gaap:ResidentialMortgageBackedSecuritiesMembersrt:MinimumMemberus-gaap:FairValueMeasurementsRecurringMember2021-03-310000927628us-gaap:FairValueInputsLevel3Memberus-gaap:ValuationTechniqueDiscoun</w:t>
      </w:r>
      <w:r>
        <w:rPr>
          <w:rFonts w:eastAsia="Times New Roman"/>
          <w:vanish/>
        </w:rPr>
        <w:t>tedCashFlowMembersrt:MaximumMemberus-gaap:MeasurementInputDefaultRateMemberus-gaap:ResidentialMortgageBackedSecuritiesMemberus-gaap:FairValueMeasurementsRecurringMember2021-03-310000927628us-gaap:FairValueInputsLevel3Memberus-gaap:MeasurementInputLossSever</w:t>
      </w:r>
      <w:r>
        <w:rPr>
          <w:rFonts w:eastAsia="Times New Roman"/>
          <w:vanish/>
        </w:rPr>
        <w:t>ityMemberus-gaap:ValuationTechniqueDiscountedCashFlowMemberus-gaap:ResidentialMortgageBackedSecuritiesMembersrt:MinimumMemberus-gaap:FairValueMeasurementsRecurringMember2021-03-310000927628us-gaap:FairValueInputsLevel3Memberus-gaap:MeasurementInputLossSeve</w:t>
      </w:r>
      <w:r>
        <w:rPr>
          <w:rFonts w:eastAsia="Times New Roman"/>
          <w:vanish/>
        </w:rPr>
        <w:t>rityMemberus-gaap:ValuationTechniqueDiscountedCashFlowMembersrt:MaximumMemberus-gaap:ResidentialMortgageBackedSecuritiesMemberus-gaap:FairValueMeasurementsRecurringMember2021-03-310000927628us-gaap:FairValueInputsLevel3Membercof:MeasurementInputYieldMember</w:t>
      </w:r>
      <w:r>
        <w:rPr>
          <w:rFonts w:eastAsia="Times New Roman"/>
          <w:vanish/>
        </w:rPr>
        <w:t>us-gaap:ValuationTechniqueDiscountedCashFlowMembersrt:WeightedAverageMemberus-gaap:ResidentialMortgageBackedSecuritiesMemberus-gaap:FairValueMeasurementsRecurringMember2021-03-310000927628us-gaap:FairValueInputsLevel3Memberus-gaap:MeasurementInputConstantP</w:t>
      </w:r>
      <w:r>
        <w:rPr>
          <w:rFonts w:eastAsia="Times New Roman"/>
          <w:vanish/>
        </w:rPr>
        <w:t>repaymentRateMemberus-gaap:ValuationTechniqueDiscountedCashFlowMembersrt:WeightedAverageMemberus-gaap:ResidentialMortgageBackedSecuritiesMemberus-gaap:FairValueMeasurementsRecurringMember2021-03-310000927628us-gaap:FairValueInputsLevel3Memberus-gaap:Valuat</w:t>
      </w:r>
      <w:r>
        <w:rPr>
          <w:rFonts w:eastAsia="Times New Roman"/>
          <w:vanish/>
        </w:rPr>
        <w:t>ionTechniqueDiscountedCashFlowMemberus-gaap:MeasurementInputDefaultRateMembersrt:WeightedAverageMemberus-gaap:ResidentialMortgageBackedSecuritiesMemberus-gaap:FairValueMeasurementsRecurringMember2021-03-310000927628us-gaap:FairValueInputsLevel3Memberus-gaa</w:t>
      </w:r>
      <w:r>
        <w:rPr>
          <w:rFonts w:eastAsia="Times New Roman"/>
          <w:vanish/>
        </w:rPr>
        <w:t>p:MeasurementInputLossSeverityMemberus-gaap:ValuationTechniqueDiscountedCashFlowMembersrt:WeightedAverageMemberus-gaap:ResidentialMortgageBackedSecuritiesMemberus-gaap:FairValueMeasurementsRecurringMember2021-03-310000927628us-gaap:FairValueInputsLevel3Mem</w:t>
      </w:r>
      <w:r>
        <w:rPr>
          <w:rFonts w:eastAsia="Times New Roman"/>
          <w:vanish/>
        </w:rPr>
        <w:t>berus-gaap:CommercialMortgageBackedSecuritiesMembercof:MeasurementInputYieldMemberus-gaap:ValuationTechniqueDiscountedCashFlowMembersrt:MinimumMemberus-gaap:FairValueMeasurementsRecurringMember2021-03-310000927628us-gaap:FairValueInputsLevel3Memberus-gaap:</w:t>
      </w:r>
      <w:r>
        <w:rPr>
          <w:rFonts w:eastAsia="Times New Roman"/>
          <w:vanish/>
        </w:rPr>
        <w:t>CommercialMortgageBackedSecuritiesMembercof:MeasurementInputYieldMemberus-gaap:ValuationTechniqueDiscountedCashFlowMembersrt:MaximumMemberus-gaap:FairValueMeasurementsRecurringMember2021-03-310000927628us-gaap:FairValueInputsLevel3Memberus-gaap:CommercialM</w:t>
      </w:r>
      <w:r>
        <w:rPr>
          <w:rFonts w:eastAsia="Times New Roman"/>
          <w:vanish/>
        </w:rPr>
        <w:t>ortgageBackedSecuritiesMembercof:MeasurementInputYieldMemberus-gaap:ValuationTechniqueDiscountedCashFlowMembersrt:WeightedAverageMemberus-gaap:FairValueMeasurementsRecurringMember2021-03-310000927628us-gaap:FairValueInputsLevel3Memberus-gaap:ValuationTechn</w:t>
      </w:r>
      <w:r>
        <w:rPr>
          <w:rFonts w:eastAsia="Times New Roman"/>
          <w:vanish/>
        </w:rPr>
        <w:t>iqueDiscountedCashFlowMembercof:MeasurementInputLifeofReceivablesMembersrt:MinimumMemberus-gaap:FairValueMeasurementsRecurringMember2021-01-012021-03-310000927628us-gaap:FairValueInputsLevel3Memberus-gaap:ValuationTechniqueDiscountedCashFlowMembersrt:Maxim</w:t>
      </w:r>
      <w:r>
        <w:rPr>
          <w:rFonts w:eastAsia="Times New Roman"/>
          <w:vanish/>
        </w:rPr>
        <w:t>umMembercof:MeasurementInputLifeofReceivablesMemberus-gaap:FairValueMeasurementsRecurringMember2021-01-012021-03-310000927628us-gaap:FairValueInputsLevel3Memberus-gaap:MeasurementInputConstantPrepaymentRateMemberus-gaap:ValuationTechniqueDiscountedCashFlow</w:t>
      </w:r>
      <w:r>
        <w:rPr>
          <w:rFonts w:eastAsia="Times New Roman"/>
          <w:vanish/>
        </w:rPr>
        <w:t>Membersrt:MinimumMemberus-gaap:FairValueMeasurementsRecurringMember2021-03-310000927628us-gaap:FairValueInputsLevel3Memberus-gaap:MeasurementInputConstantPrepaymentRateMemberus-gaap:ValuationTechniqueDiscountedCashFlowMembersrt:MaximumMemberus-gaap:FairVal</w:t>
      </w:r>
      <w:r>
        <w:rPr>
          <w:rFonts w:eastAsia="Times New Roman"/>
          <w:vanish/>
        </w:rPr>
        <w:t>ueMeasurementsRecurringMember2021-03-310000927628us-gaap:FairValueInputsLevel3Memberus-gaap:MeasurementInputDiscountRateMemberus-gaap:ValuationTechniqueDiscountedCashFlowMembersrt:MinimumMemberus-gaap:FairValueMeasurementsRecurringMember2021-03-31000092762</w:t>
      </w:r>
      <w:r>
        <w:rPr>
          <w:rFonts w:eastAsia="Times New Roman"/>
          <w:vanish/>
        </w:rPr>
        <w:t>8us-gaap:FairValueInputsLevel3Memberus-gaap:MeasurementInputDiscountRateMemberus-gaap:ValuationTechniqueDiscountedCashFlowMembersrt:MaximumMemberus-gaap:FairValueMeasurementsRecurringMember2021-03-310000927628us-gaap:FairValueInputsLevel3Memberus-gaap:Valu</w:t>
      </w:r>
      <w:r>
        <w:rPr>
          <w:rFonts w:eastAsia="Times New Roman"/>
          <w:vanish/>
        </w:rPr>
        <w:t>ationTechniqueDiscountedCashFlowMemberus-gaap:MeasurementInputDefaultRateMembersrt:MinimumMemberus-gaap:FairValueMeasurementsRecurringMember2021-03-310000927628us-gaap:FairValueInputsLevel3Memberus-gaap:ValuationTechniqueDiscountedCashFlowMembersrt:Maximum</w:t>
      </w:r>
      <w:r>
        <w:rPr>
          <w:rFonts w:eastAsia="Times New Roman"/>
          <w:vanish/>
        </w:rPr>
        <w:t>Memberus-gaap:MeasurementInputDefaultRateMemberus-gaap:FairValueMeasurementsRecurringMember2021-03-310000927628us-gaap:FairValueInputsLevel3Memberus-gaap:MeasurementInputLossSeverityMemberus-gaap:ValuationTechniqueDiscountedCashFlowMembersrt:MinimumMemberu</w:t>
      </w:r>
      <w:r>
        <w:rPr>
          <w:rFonts w:eastAsia="Times New Roman"/>
          <w:vanish/>
        </w:rPr>
        <w:t>s-gaap:FairValueMeasurementsRecurringMember2021-03-310000927628us-gaap:FairValueInputsLevel3Memberus-gaap:MeasurementInputLossSeverityMemberus-gaap:ValuationTechniqueDiscountedCashFlowMembersrt:MaximumMemberus-gaap:FairValueMeasurementsRecurringMember2021-</w:t>
      </w:r>
      <w:r>
        <w:rPr>
          <w:rFonts w:eastAsia="Times New Roman"/>
          <w:vanish/>
        </w:rPr>
        <w:t>03-310000927628us-gaap:FairValueInputsLevel3Memberus-gaap:ValuationTechniqueDiscountedCashFlowMembercof:MeasurementInputSwapRatesMembersrt:MinimumMemberus-gaap:FairValueMeasurementsRecurringMember2021-03-310000927628us-gaap:FairValueInputsLevel3Memberus-ga</w:t>
      </w:r>
      <w:r>
        <w:rPr>
          <w:rFonts w:eastAsia="Times New Roman"/>
          <w:vanish/>
        </w:rPr>
        <w:t>ap:ValuationTechniqueDiscountedCashFlowMembersrt:MaximumMembercof:MeasurementInputSwapRatesMemberus-gaap:FairValueMeasurementsRecurringMember2021-03-310000927628us-gaap:FairValueInputsLevel3Memberus-gaap:ValuationTechniqueDiscountedCashFlowMembercof:Measur</w:t>
      </w:r>
      <w:r>
        <w:rPr>
          <w:rFonts w:eastAsia="Times New Roman"/>
          <w:vanish/>
        </w:rPr>
        <w:t>ementInputSwapRatesMembersrt:WeightedAverageMemberus-gaap:FairValueMeasurementsRecurringMember2021-03-310000927628us-gaap:FairValueInputsLevel3Membercof:MeasurementInputYieldMemberus-gaap:ValuationTechniqueDiscountedCashFlowMemberus-gaap:ResidentialMortgag</w:t>
      </w:r>
      <w:r>
        <w:rPr>
          <w:rFonts w:eastAsia="Times New Roman"/>
          <w:vanish/>
        </w:rPr>
        <w:t>eBackedSecuritiesMembersrt:MinimumMemberus-gaap:FairValueMeasurementsRecurringMember2020-12-310000927628us-gaap:FairValueInputsLevel3Membercof:MeasurementInputYieldMemberus-gaap:ValuationTechniqueDiscountedCashFlowMembersrt:MaximumMemberus-gaap:Residential</w:t>
      </w:r>
      <w:r>
        <w:rPr>
          <w:rFonts w:eastAsia="Times New Roman"/>
          <w:vanish/>
        </w:rPr>
        <w:t>MortgageBackedSecuritiesMemberus-gaap:FairValueMeasurementsRecurringMember2020-12-310000927628us-gaap:FairValueInputsLevel3Memberus-gaap:MeasurementInputConstantPrepaymentRateMemberus-gaap:ValuationTechniqueDiscountedCashFlowMemberus-gaap:ResidentialMortga</w:t>
      </w:r>
      <w:r>
        <w:rPr>
          <w:rFonts w:eastAsia="Times New Roman"/>
          <w:vanish/>
        </w:rPr>
        <w:t>geBackedSecuritiesMembersrt:MinimumMemberus-gaap:FairValueMeasurementsRecurringMember2020-12-310000927628us-gaap:FairValueInputsLevel3Memberus-gaap:MeasurementInputConstantPrepaymentRateMemberus-gaap:ValuationTechniqueDiscountedCashFlowMembersrt:MaximumMem</w:t>
      </w:r>
      <w:r>
        <w:rPr>
          <w:rFonts w:eastAsia="Times New Roman"/>
          <w:vanish/>
        </w:rPr>
        <w:t>berus-gaap:ResidentialMortgageBackedSecuritiesMemberus-gaap:FairValueMeasurementsRecurringMember2020-12-310000927628us-gaap:FairValueInputsLevel3Memberus-gaap:ValuationTechniqueDiscountedCashFlowMemberus-gaap:MeasurementInputDefaultRateMemberus-gaap:Reside</w:t>
      </w:r>
      <w:r>
        <w:rPr>
          <w:rFonts w:eastAsia="Times New Roman"/>
          <w:vanish/>
        </w:rPr>
        <w:t>ntialMortgageBackedSecuritiesMembersrt:MinimumMemberus-gaap:FairValueMeasurementsRecurringMember2020-12-310000927628us-gaap:FairValueInputsLevel3Memberus-gaap:ValuationTechniqueDiscountedCashFlowMembersrt:MaximumMemberus-gaap:MeasurementInputDefaultRateMem</w:t>
      </w:r>
      <w:r>
        <w:rPr>
          <w:rFonts w:eastAsia="Times New Roman"/>
          <w:vanish/>
        </w:rPr>
        <w:t>berus-gaap:ResidentialMortgageBackedSecuritiesMemberus-gaap:FairValueMeasurementsRecurringMember2020-12-310000927628us-gaap:FairValueInputsLevel3Memberus-gaap:MeasurementInputLossSeverityMemberus-gaap:ValuationTechniqueDiscountedCashFlowMemberus-gaap:Resid</w:t>
      </w:r>
      <w:r>
        <w:rPr>
          <w:rFonts w:eastAsia="Times New Roman"/>
          <w:vanish/>
        </w:rPr>
        <w:t>entialMortgageBackedSecuritiesMembersrt:MinimumMemberus-gaap:FairValueMeasurementsRecurringMember2020-12-310000927628us-gaap:FairValueInputsLevel3Memberus-gaap:MeasurementInputLossSeverityMemberus-gaap:ValuationTechniqueDiscountedCashFlowMembersrt:MaximumM</w:t>
      </w:r>
      <w:r>
        <w:rPr>
          <w:rFonts w:eastAsia="Times New Roman"/>
          <w:vanish/>
        </w:rPr>
        <w:t>emberus-gaap:ResidentialMortgageBackedSecuritiesMemberus-gaap:FairValueMeasurementsRecurringMember2020-12-310000927628us-gaap:FairValueInputsLevel3Membercof:MeasurementInputYieldMemberus-gaap:ValuationTechniqueDiscountedCashFlowMembersrt:WeightedAverageMem</w:t>
      </w:r>
      <w:r>
        <w:rPr>
          <w:rFonts w:eastAsia="Times New Roman"/>
          <w:vanish/>
        </w:rPr>
        <w:t>berus-gaap:ResidentialMortgageBackedSecuritiesMemberus-gaap:FairValueMeasurementsRecurringMember2020-12-310000927628us-gaap:FairValueInputsLevel3Memberus-gaap:MeasurementInputConstantPrepaymentRateMemberus-gaap:ValuationTechniqueDiscountedCashFlowMembersrt</w:t>
      </w:r>
      <w:r>
        <w:rPr>
          <w:rFonts w:eastAsia="Times New Roman"/>
          <w:vanish/>
        </w:rPr>
        <w:t>:WeightedAverageMemberus-gaap:ResidentialMortgageBackedSecuritiesMemberus-gaap:FairValueMeasurementsRecurringMember2020-12-310000927628us-gaap:FairValueInputsLevel3Memberus-gaap:ValuationTechniqueDiscountedCashFlowMemberus-gaap:MeasurementInputDefaultRateM</w:t>
      </w:r>
      <w:r>
        <w:rPr>
          <w:rFonts w:eastAsia="Times New Roman"/>
          <w:vanish/>
        </w:rPr>
        <w:t>embersrt:WeightedAverageMemberus-gaap:ResidentialMortgageBackedSecuritiesMemberus-gaap:FairValueMeasurementsRecurringMember2020-12-310000927628us-gaap:FairValueInputsLevel3Memberus-gaap:MeasurementInputLossSeverityMemberus-gaap:ValuationTechniqueDiscounted</w:t>
      </w:r>
      <w:r>
        <w:rPr>
          <w:rFonts w:eastAsia="Times New Roman"/>
          <w:vanish/>
        </w:rPr>
        <w:t>CashFlowMembersrt:WeightedAverageMemberus-gaap:ResidentialMortgageBackedSecuritiesMemberus-gaap:FairValueMeasurementsRecurringMember2020-12-310000927628us-gaap:FairValueInputsLevel3Memberus-gaap:CommercialMortgageBackedSecuritiesMembercof:MeasurementInputY</w:t>
      </w:r>
      <w:r>
        <w:rPr>
          <w:rFonts w:eastAsia="Times New Roman"/>
          <w:vanish/>
        </w:rPr>
        <w:t>ieldMemberus-gaap:ValuationTechniqueDiscountedCashFlowMembersrt:MinimumMemberus-gaap:FairValueMeasurementsRecurringMember2020-12-310000927628us-gaap:FairValueInputsLevel3Memberus-gaap:CommercialMortgageBackedSecuritiesMembercof:MeasurementInputYieldMemberu</w:t>
      </w:r>
      <w:r>
        <w:rPr>
          <w:rFonts w:eastAsia="Times New Roman"/>
          <w:vanish/>
        </w:rPr>
        <w:t>s-gaap:ValuationTechniqueDiscountedCashFlowMembersrt:MaximumMemberus-gaap:FairValueMeasurementsRecurringMember2020-12-310000927628us-gaap:FairValueInputsLevel3Memberus-gaap:CommercialMortgageBackedSecuritiesMembercof:MeasurementInputYieldMemberus-gaap:Valu</w:t>
      </w:r>
      <w:r>
        <w:rPr>
          <w:rFonts w:eastAsia="Times New Roman"/>
          <w:vanish/>
        </w:rPr>
        <w:t>ationTechniqueDiscountedCashFlowMembersrt:WeightedAverageMemberus-gaap:FairValueMeasurementsRecurringMember2020-12-310000927628us-gaap:FairValueInputsLevel3Memberus-gaap:ValuationTechniqueDiscountedCashFlowMembercof:MeasurementInputLifeofReceivablesMembers</w:t>
      </w:r>
      <w:r>
        <w:rPr>
          <w:rFonts w:eastAsia="Times New Roman"/>
          <w:vanish/>
        </w:rPr>
        <w:t>rt:MinimumMemberus-gaap:FairValueMeasurementsRecurringMember2020-01-012020-12-310000927628us-gaap:FairValueInputsLevel3Memberus-gaap:ValuationTechniqueDiscountedCashFlowMembersrt:MaximumMembercof:MeasurementInputLifeofReceivablesMemberus-gaap:FairValueMeas</w:t>
      </w:r>
      <w:r>
        <w:rPr>
          <w:rFonts w:eastAsia="Times New Roman"/>
          <w:vanish/>
        </w:rPr>
        <w:t>urementsRecurringMember2020-01-012020-12-310000927628us-gaap:FairValueInputsLevel3Memberus-gaap:MeasurementInputConstantPrepaymentRateMemberus-gaap:ValuationTechniqueDiscountedCashFlowMembersrt:MinimumMemberus-gaap:FairValueMeasurementsRecurringMember2020-</w:t>
      </w:r>
      <w:r>
        <w:rPr>
          <w:rFonts w:eastAsia="Times New Roman"/>
          <w:vanish/>
        </w:rPr>
        <w:t>12-310000927628us-gaap:FairValueInputsLevel3Memberus-gaap:MeasurementInputConstantPrepaymentRateMemberus-gaap:ValuationTechniqueDiscountedCashFlowMembersrt:MaximumMemberus-gaap:FairValueMeasurementsRecurringMember2020-12-310000927628us-gaap:FairValueInputs</w:t>
      </w:r>
      <w:r>
        <w:rPr>
          <w:rFonts w:eastAsia="Times New Roman"/>
          <w:vanish/>
        </w:rPr>
        <w:t>Level3Memberus-gaap:MeasurementInputDiscountRateMemberus-gaap:ValuationTechniqueDiscountedCashFlowMembersrt:MinimumMemberus-gaap:FairValueMeasurementsRecurringMember2020-12-310000927628us-gaap:FairValueInputsLevel3Memberus-gaap:MeasurementInputDiscountRate</w:t>
      </w:r>
      <w:r>
        <w:rPr>
          <w:rFonts w:eastAsia="Times New Roman"/>
          <w:vanish/>
        </w:rPr>
        <w:t>Memberus-gaap:ValuationTechniqueDiscountedCashFlowMembersrt:MaximumMemberus-gaap:FairValueMeasurementsRecurringMember2020-12-310000927628us-gaap:FairValueInputsLevel3Memberus-gaap:ValuationTechniqueDiscountedCashFlowMemberus-gaap:MeasurementInputDefaultRat</w:t>
      </w:r>
      <w:r>
        <w:rPr>
          <w:rFonts w:eastAsia="Times New Roman"/>
          <w:vanish/>
        </w:rPr>
        <w:t>eMembersrt:MinimumMemberus-gaap:FairValueMeasurementsRecurringMember2020-12-310000927628us-gaap:FairValueInputsLevel3Memberus-gaap:ValuationTechniqueDiscountedCashFlowMembersrt:MaximumMemberus-gaap:MeasurementInputDefaultRateMemberus-gaap:FairValueMeasurem</w:t>
      </w:r>
      <w:r>
        <w:rPr>
          <w:rFonts w:eastAsia="Times New Roman"/>
          <w:vanish/>
        </w:rPr>
        <w:t>entsRecurringMember2020-12-310000927628us-gaap:FairValueInputsLevel3Memberus-gaap:MeasurementInputLossSeverityMemberus-gaap:ValuationTechniqueDiscountedCashFlowMembersrt:MinimumMemberus-gaap:FairValueMeasurementsRecurringMember2020-12-310000927628us-gaap:F</w:t>
      </w:r>
      <w:r>
        <w:rPr>
          <w:rFonts w:eastAsia="Times New Roman"/>
          <w:vanish/>
        </w:rPr>
        <w:t>airValueInputsLevel3Memberus-gaap:MeasurementInputLossSeverityMemberus-gaap:ValuationTechniqueDiscountedCashFlowMembersrt:MaximumMemberus-gaap:FairValueMeasurementsRecurringMember2020-12-310000927628us-gaap:FairValueInputsLevel3Memberus-gaap:ValuationTechn</w:t>
      </w:r>
      <w:r>
        <w:rPr>
          <w:rFonts w:eastAsia="Times New Roman"/>
          <w:vanish/>
        </w:rPr>
        <w:t>iqueDiscountedCashFlowMembercof:MeasurementInputSwapRatesMembersrt:MinimumMemberus-gaap:FairValueMeasurementsRecurringMember2020-12-310000927628us-gaap:FairValueInputsLevel3Memberus-gaap:ValuationTechniqueDiscountedCashFlowMembersrt:MaximumMembercof:Measur</w:t>
      </w:r>
      <w:r>
        <w:rPr>
          <w:rFonts w:eastAsia="Times New Roman"/>
          <w:vanish/>
        </w:rPr>
        <w:t>ementInputSwapRatesMemberus-gaap:FairValueMeasurementsRecurringMember2020-12-310000927628us-gaap:FairValueInputsLevel3Memberus-gaap:ValuationTechniqueDiscountedCashFlowMembercof:MeasurementInputSwapRatesMembersrt:WeightedAverageMemberus-gaap:FairValueMeasu</w:t>
      </w:r>
      <w:r>
        <w:rPr>
          <w:rFonts w:eastAsia="Times New Roman"/>
          <w:vanish/>
        </w:rPr>
        <w:t>rementsRecurringMember2020-12-310000927628us-gaap:FairValueInputsLevel2Memberus-gaap:FairValueMeasurementsNonrecurringMember2021-03-310000927628us-gaap:FairValueInputsLevel3Memberus-gaap:FairValueMeasurementsNonrecurringMember2021-03-310000927628us-gaap:Fa</w:t>
      </w:r>
      <w:r>
        <w:rPr>
          <w:rFonts w:eastAsia="Times New Roman"/>
          <w:vanish/>
        </w:rPr>
        <w:t>irValueMeasurementsNonrecurringMember2021-03-310000927628us-gaap:FairValueInputsLevel2Memberus-gaap:FairValueMeasurementsNonrecurringMember2020-12-310000927628us-gaap:FairValueInputsLevel3Memberus-gaap:FairValueMeasurementsNonrecurringMember2020-12-3100009</w:t>
      </w:r>
      <w:r>
        <w:rPr>
          <w:rFonts w:eastAsia="Times New Roman"/>
          <w:vanish/>
        </w:rPr>
        <w:t>27628us-gaap:FairValueMeasurementsNonrecurringMember2020-12-310000927628us-gaap:FairValueInputsLevel3Membercof:NonRecoverableRateMembercof:AppraisalValueMembersrt:MinimumMember2021-03-310000927628us-gaap:FairValueInputsLevel3Membercof:NonRecoverableRateMem</w:t>
      </w:r>
      <w:r>
        <w:rPr>
          <w:rFonts w:eastAsia="Times New Roman"/>
          <w:vanish/>
        </w:rPr>
        <w:t>bercof:AppraisalValueMembersrt:MaximumMember2021-03-310000927628us-gaap:FairValueInputsLevel3Membercof:NonRecoverableRateMembercof:AppraisalValueMembersrt:WeightedAverageMember2021-03-310000927628us-gaap:FairValueInputsLevel3Membercof:NonRecoverableRateMem</w:t>
      </w:r>
      <w:r>
        <w:rPr>
          <w:rFonts w:eastAsia="Times New Roman"/>
          <w:vanish/>
        </w:rPr>
        <w:t>bercof:AppraisalValueMembersrt:MinimumMember2020-12-310000927628us-gaap:FairValueInputsLevel3Membercof:NonRecoverableRateMembercof:AppraisalValueMembersrt:MaximumMember2020-12-310000927628us-gaap:FairValueInputsLevel3Membercof:NonRecoverableRateMembercof:A</w:t>
      </w:r>
      <w:r>
        <w:rPr>
          <w:rFonts w:eastAsia="Times New Roman"/>
          <w:vanish/>
        </w:rPr>
        <w:t>ppraisalValueMembersrt:WeightedAverageMember2020-12-310000927628us-gaap:FairValueMeasurementsNonrecurringMember2021-01-012021-03-310000927628us-gaap:FairValueMeasurementsNonrecurringMember2020-01-012020-03-310000927628us-gaap:CarryingReportedAmountFairValu</w:t>
      </w:r>
      <w:r>
        <w:rPr>
          <w:rFonts w:eastAsia="Times New Roman"/>
          <w:vanish/>
        </w:rPr>
        <w:t>eDisclosureMember2021-03-310000927628us-gaap:EstimateOfFairValueFairValueDisclosureMember2021-03-310000927628us-gaap:FairValueInputsLevel1Member2021-03-310000927628us-gaap:FairValueInputsLevel2Member2021-03-310000927628us-gaap:FairValueInputsLevel3Member20</w:t>
      </w:r>
      <w:r>
        <w:rPr>
          <w:rFonts w:eastAsia="Times New Roman"/>
          <w:vanish/>
        </w:rPr>
        <w:t>21-03-310000927628us-gaap:CarryingReportedAmountFairValueDisclosureMember2020-12-310000927628us-gaap:EstimateOfFairValueFairValueDisclosureMember2020-12-310000927628us-gaap:FairValueInputsLevel1Member2020-12-310000927628us-gaap:FairValueInputsLevel2Member2</w:t>
      </w:r>
      <w:r>
        <w:rPr>
          <w:rFonts w:eastAsia="Times New Roman"/>
          <w:vanish/>
        </w:rPr>
        <w:t>020-12-310000927628us-gaap:FairValueInputsLevel3Member2020-12-310000927628cof:CreditCardSegmentMemberus-gaap:OperatingSegmentsMember2021-01-012021-03-310000927628cof:ConsumerBankingSegmentMemberus-gaap:OperatingSegmentsMember2021-01-012021-03-310000927628c</w:t>
      </w:r>
      <w:r>
        <w:rPr>
          <w:rFonts w:eastAsia="Times New Roman"/>
          <w:vanish/>
        </w:rPr>
        <w:t>of:CommercialBankingSegmentMemberus-gaap:OperatingSegmentsMember2021-01-012021-03-310000927628us-gaap:CorporateNonSegmentMember2021-01-012021-03-310000927628cof:CreditCardSegmentMemberus-gaap:OperatingSegmentsMember2021-03-310000927628cof:ConsumerBankingSe</w:t>
      </w:r>
      <w:r>
        <w:rPr>
          <w:rFonts w:eastAsia="Times New Roman"/>
          <w:vanish/>
        </w:rPr>
        <w:t>gmentMemberus-gaap:OperatingSegmentsMember2021-03-310000927628cof:CommercialBankingSegmentMemberus-gaap:OperatingSegmentsMember2021-03-310000927628us-gaap:CorporateNonSegmentMember2021-03-310000927628cof:CreditCardSegmentMemberus-gaap:OperatingSegmentsMemb</w:t>
      </w:r>
      <w:r>
        <w:rPr>
          <w:rFonts w:eastAsia="Times New Roman"/>
          <w:vanish/>
        </w:rPr>
        <w:t>er2020-01-012020-03-310000927628cof:ConsumerBankingSegmentMemberus-gaap:OperatingSegmentsMember2020-01-012020-03-310000927628cof:CommercialBankingSegmentMemberus-gaap:OperatingSegmentsMember2020-01-012020-03-310000927628us-gaap:CorporateNonSegmentMember202</w:t>
      </w:r>
      <w:r>
        <w:rPr>
          <w:rFonts w:eastAsia="Times New Roman"/>
          <w:vanish/>
        </w:rPr>
        <w:t>0-01-012020-03-310000927628cof:CreditCardSegmentMemberus-gaap:OperatingSegmentsMember2020-03-310000927628cof:ConsumerBankingSegmentMemberus-gaap:OperatingSegmentsMember2020-03-310000927628cof:CommercialBankingSegmentMemberus-gaap:OperatingSegmentsMember202</w:t>
      </w:r>
      <w:r>
        <w:rPr>
          <w:rFonts w:eastAsia="Times New Roman"/>
          <w:vanish/>
        </w:rPr>
        <w:t>0-03-310000927628us-gaap:CorporateNonSegmentMember2020-03-310000927628cof:CreditCardSegmentMembercof:InterchangeFeesContractsMemberus-gaap:OperatingSegmentsMember2021-01-012021-03-310000927628cof:InterchangeFeesContractsMembercof:ConsumerBankingSegmentMemb</w:t>
      </w:r>
      <w:r>
        <w:rPr>
          <w:rFonts w:eastAsia="Times New Roman"/>
          <w:vanish/>
        </w:rPr>
        <w:t>erus-gaap:OperatingSegmentsMember2021-01-012021-03-310000927628cof:CommercialBankingSegmentMembercof:InterchangeFeesContractsMemberus-gaap:OperatingSegmentsMember2021-01-012021-03-310000927628cof:InterchangeFeesContractsMemberus-gaap:CorporateNonSegmentMem</w:t>
      </w:r>
      <w:r>
        <w:rPr>
          <w:rFonts w:eastAsia="Times New Roman"/>
          <w:vanish/>
        </w:rPr>
        <w:t>ber2021-01-012021-03-310000927628cof:InterchangeFeesContractsMember2021-01-012021-03-310000927628cof:CreditCardSegmentMembercof:ServiceChargesAndOtherCustomerFeesContractsMemberus-gaap:OperatingSegmentsMember2021-01-012021-03-310000927628cof:ConsumerBankin</w:t>
      </w:r>
      <w:r>
        <w:rPr>
          <w:rFonts w:eastAsia="Times New Roman"/>
          <w:vanish/>
        </w:rPr>
        <w:t>gSegmentMembercof:ServiceChargesAndOtherCustomerFeesContractsMemberus-gaap:OperatingSegmentsMember2021-01-012021-03-310000927628cof:CommercialBankingSegmentMembercof:ServiceChargesAndOtherCustomerFeesContractsMemberus-gaap:OperatingSegmentsMember2021-01-01</w:t>
      </w:r>
      <w:r>
        <w:rPr>
          <w:rFonts w:eastAsia="Times New Roman"/>
          <w:vanish/>
        </w:rPr>
        <w:t>2021-03-310000927628cof:ServiceChargesAndOtherCustomerFeesContractsMemberus-gaap:CorporateNonSegmentMember2021-01-012021-03-310000927628cof:ServiceChargesAndOtherCustomerFeesContractsMember2021-01-012021-03-310000927628cof:CreditCardSegmentMembercof:OtherC</w:t>
      </w:r>
      <w:r>
        <w:rPr>
          <w:rFonts w:eastAsia="Times New Roman"/>
          <w:vanish/>
        </w:rPr>
        <w:t>ontractRevenueMemberus-gaap:OperatingSegmentsMember2021-01-012021-03-310000927628cof:ConsumerBankingSegmentMembercof:OtherContractRevenueMemberus-gaap:OperatingSegmentsMember2021-01-012021-03-310000927628cof:CommercialBankingSegmentMembercof:OtherContractR</w:t>
      </w:r>
      <w:r>
        <w:rPr>
          <w:rFonts w:eastAsia="Times New Roman"/>
          <w:vanish/>
        </w:rPr>
        <w:t>evenueMemberus-gaap:OperatingSegmentsMember2021-01-012021-03-310000927628us-gaap:CorporateNonSegmentMembercof:OtherContractRevenueMember2021-01-012021-03-310000927628cof:OtherContractRevenueMember2021-01-012021-03-310000927628cof:CreditCardSegmentMembercof</w:t>
      </w:r>
      <w:r>
        <w:rPr>
          <w:rFonts w:eastAsia="Times New Roman"/>
          <w:vanish/>
        </w:rPr>
        <w:t>:InterchangeFeesContractsMemberus-gaap:OperatingSegmentsMember2020-01-012020-03-310000927628cof:InterchangeFeesContractsMembercof:ConsumerBankingSegmentMemberus-gaap:OperatingSegmentsMember2020-01-012020-03-310000927628cof:CommercialBankingSegmentMembercof</w:t>
      </w:r>
      <w:r>
        <w:rPr>
          <w:rFonts w:eastAsia="Times New Roman"/>
          <w:vanish/>
        </w:rPr>
        <w:t>:InterchangeFeesContractsMemberus-gaap:OperatingSegmentsMember2020-01-012020-03-310000927628cof:InterchangeFeesContractsMemberus-gaap:CorporateNonSegmentMember2020-01-012020-03-310000927628cof:InterchangeFeesContractsMember2020-01-012020-03-310000927628cof</w:t>
      </w:r>
      <w:r>
        <w:rPr>
          <w:rFonts w:eastAsia="Times New Roman"/>
          <w:vanish/>
        </w:rPr>
        <w:t>:CreditCardSegmentMembercof:ServiceChargesAndOtherCustomerFeesContractsMemberus-gaap:OperatingSegmentsMember2020-01-012020-03-310000927628cof:ConsumerBankingSegmentMembercof:ServiceChargesAndOtherCustomerFeesContractsMemberus-gaap:OperatingSegmentsMember20</w:t>
      </w:r>
      <w:r>
        <w:rPr>
          <w:rFonts w:eastAsia="Times New Roman"/>
          <w:vanish/>
        </w:rPr>
        <w:t>20-01-012020-03-310000927628cof:CommercialBankingSegmentMembercof:ServiceChargesAndOtherCustomerFeesContractsMemberus-gaap:OperatingSegmentsMember2020-01-012020-03-310000927628cof:ServiceChargesAndOtherCustomerFeesContractsMemberus-gaap:CorporateNonSegment</w:t>
      </w:r>
      <w:r>
        <w:rPr>
          <w:rFonts w:eastAsia="Times New Roman"/>
          <w:vanish/>
        </w:rPr>
        <w:t>Member2020-01-012020-03-310000927628cof:ServiceChargesAndOtherCustomerFeesContractsMember2020-01-012020-03-310000927628cof:CreditCardSegmentMembercof:OtherContractRevenueMemberus-gaap:OperatingSegmentsMember2020-01-012020-03-310000927628cof:ConsumerBanking</w:t>
      </w:r>
      <w:r>
        <w:rPr>
          <w:rFonts w:eastAsia="Times New Roman"/>
          <w:vanish/>
        </w:rPr>
        <w:t>SegmentMembercof:OtherContractRevenueMemberus-gaap:OperatingSegmentsMember2020-01-012020-03-310000927628cof:CommercialBankingSegmentMembercof:OtherContractRevenueMemberus-gaap:OperatingSegmentsMember2020-01-012020-03-310000927628us-gaap:CorporateNonSegment</w:t>
      </w:r>
      <w:r>
        <w:rPr>
          <w:rFonts w:eastAsia="Times New Roman"/>
          <w:vanish/>
        </w:rPr>
        <w:t>Membercof:OtherContractRevenueMember2020-01-012020-03-310000927628cof:OtherContractRevenueMember2020-01-012020-03-310000927628cof:OtherPortfolioSegmentsExcludingCreditCardMember2021-03-310000927628cof:OtherPortfolioSegmentsExcludingCreditCardMember2020-12-</w:t>
      </w:r>
      <w:r>
        <w:rPr>
          <w:rFonts w:eastAsia="Times New Roman"/>
          <w:vanish/>
        </w:rPr>
        <w:t>310000927628us-gaap:LetterOfCreditMember2021-03-310000927628us-gaap:LetterOfCreditMember2020-12-310000927628cof:LossSharingAgreementMember2021-03-310000927628cof:LossSharingAgreementMember2020-12-310000927628us-gaap:PendingLitigationMembercof:InterchangeLi</w:t>
      </w:r>
      <w:r>
        <w:rPr>
          <w:rFonts w:eastAsia="Times New Roman"/>
          <w:vanish/>
        </w:rPr>
        <w:t>tigationMember2021-01-012021-03-31cof:claim0000927628cof:CybersecurityIncidentMember2021-03-310000927628cof:CybersecurityIncidentMembercountry:US2021-03-310000927628cof:CybersecurityIncidentMembercountry:CA2021-03-31</w:t>
      </w:r>
    </w:p>
    <w:p w:rsidR="00000000" w:rsidRDefault="00E92DBE">
      <w:pPr>
        <w:jc w:val="both"/>
        <w:divId w:val="1376929575"/>
        <w:rPr>
          <w:rFonts w:eastAsia="Times New Roman"/>
        </w:rPr>
      </w:pP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trPr>
          <w:divId w:val="673267462"/>
          <w:jc w:val="center"/>
        </w:trPr>
        <w:tc>
          <w:tcPr>
            <w:tcW w:w="50" w:type="pct"/>
            <w:vAlign w:val="center"/>
            <w:hideMark/>
          </w:tcPr>
          <w:p w:rsidR="00000000" w:rsidRDefault="00E92DBE">
            <w:pPr>
              <w:jc w:val="both"/>
              <w:rPr>
                <w:rFonts w:eastAsia="Times New Roman"/>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673267462"/>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r>
    </w:tbl>
    <w:p w:rsidR="00000000" w:rsidRDefault="00E92DBE">
      <w:pPr>
        <w:jc w:val="center"/>
        <w:divId w:val="1482842192"/>
        <w:rPr>
          <w:rFonts w:eastAsia="Times New Roman"/>
        </w:rPr>
      </w:pPr>
      <w:r>
        <w:rPr>
          <w:rFonts w:eastAsia="Times New Roman"/>
          <w:b/>
          <w:bCs/>
          <w:color w:val="000000"/>
          <w:sz w:val="22"/>
          <w:szCs w:val="22"/>
        </w:rPr>
        <w:t>UNITED STATES</w:t>
      </w:r>
    </w:p>
    <w:p w:rsidR="00000000" w:rsidRDefault="00E92DBE">
      <w:pPr>
        <w:jc w:val="center"/>
        <w:rPr>
          <w:rFonts w:eastAsia="Times New Roman"/>
        </w:rPr>
      </w:pPr>
      <w:r>
        <w:rPr>
          <w:rFonts w:eastAsia="Times New Roman"/>
          <w:b/>
          <w:bCs/>
          <w:color w:val="000000"/>
          <w:sz w:val="22"/>
          <w:szCs w:val="22"/>
        </w:rPr>
        <w:t>SECURITIES AND EXCHANGE COMMISSION</w:t>
      </w:r>
    </w:p>
    <w:p w:rsidR="00000000" w:rsidRDefault="00E92DBE">
      <w:pPr>
        <w:jc w:val="center"/>
        <w:rPr>
          <w:rFonts w:eastAsia="Times New Roman"/>
        </w:rPr>
      </w:pPr>
      <w:r>
        <w:rPr>
          <w:rFonts w:eastAsia="Times New Roman"/>
          <w:b/>
          <w:bCs/>
          <w:color w:val="000000"/>
          <w:sz w:val="18"/>
          <w:szCs w:val="18"/>
        </w:rPr>
        <w:t>Washington, D.C. 20549</w:t>
      </w:r>
    </w:p>
    <w:p w:rsidR="00000000" w:rsidRDefault="00E92DBE">
      <w:pPr>
        <w:jc w:val="center"/>
        <w:rPr>
          <w:rFonts w:eastAsia="Times New Roman"/>
        </w:rPr>
      </w:pPr>
      <w:r>
        <w:rPr>
          <w:rFonts w:eastAsia="Times New Roman"/>
          <w:color w:val="000000"/>
          <w:sz w:val="12"/>
          <w:szCs w:val="12"/>
        </w:rPr>
        <w:t>____________________________________</w:t>
      </w:r>
    </w:p>
    <w:p w:rsidR="00000000" w:rsidRDefault="00E92DBE">
      <w:pPr>
        <w:jc w:val="center"/>
        <w:divId w:val="1997223843"/>
        <w:rPr>
          <w:rFonts w:eastAsia="Times New Roman"/>
        </w:rPr>
      </w:pPr>
      <w:r>
        <w:rPr>
          <w:rFonts w:eastAsia="Times New Roman"/>
          <w:b/>
          <w:bCs/>
          <w:color w:val="000000"/>
          <w:sz w:val="28"/>
          <w:szCs w:val="28"/>
        </w:rPr>
        <w:t xml:space="preserve">FORM 10-Q </w:t>
      </w:r>
    </w:p>
    <w:p w:rsidR="00000000" w:rsidRDefault="00E92DBE">
      <w:pPr>
        <w:jc w:val="center"/>
        <w:divId w:val="282931791"/>
        <w:rPr>
          <w:rFonts w:eastAsia="Times New Roman"/>
        </w:rPr>
      </w:pPr>
      <w:r>
        <w:rPr>
          <w:rFonts w:eastAsia="Times New Roman"/>
          <w:color w:val="000000"/>
          <w:sz w:val="12"/>
          <w:szCs w:val="12"/>
        </w:rPr>
        <w:t>____________________________________</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trPr>
          <w:divId w:val="1281960623"/>
          <w:jc w:val="center"/>
        </w:trPr>
        <w:tc>
          <w:tcPr>
            <w:tcW w:w="50" w:type="pct"/>
            <w:vAlign w:val="center"/>
            <w:hideMark/>
          </w:tcPr>
          <w:p w:rsidR="00000000" w:rsidRDefault="00E92DBE">
            <w:pPr>
              <w:jc w:val="center"/>
              <w:rPr>
                <w:rFonts w:eastAsia="Times New Roman"/>
              </w:rPr>
            </w:pPr>
          </w:p>
        </w:tc>
        <w:tc>
          <w:tcPr>
            <w:tcW w:w="1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9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281960623"/>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7"/>
                <w:szCs w:val="17"/>
              </w:rPr>
              <w:t xml:space="preserve">QUARTERLY </w:t>
            </w:r>
            <w:r>
              <w:rPr>
                <w:rFonts w:eastAsia="Times New Roman"/>
                <w:b/>
                <w:bCs/>
                <w:color w:val="000000"/>
                <w:sz w:val="17"/>
                <w:szCs w:val="17"/>
              </w:rPr>
              <w:t>REPORT PURSUANT TO SECTION 13 OR 15(d) OF THE SECURITIES EXCHANGE ACT OF 1934</w:t>
            </w:r>
          </w:p>
        </w:tc>
      </w:tr>
    </w:tbl>
    <w:p w:rsidR="00000000" w:rsidRDefault="00E92DBE">
      <w:pPr>
        <w:jc w:val="center"/>
        <w:divId w:val="528878988"/>
        <w:rPr>
          <w:rFonts w:eastAsia="Times New Roman"/>
        </w:rPr>
      </w:pPr>
      <w:r>
        <w:rPr>
          <w:rFonts w:eastAsia="Times New Roman"/>
          <w:b/>
          <w:bCs/>
          <w:color w:val="000000"/>
          <w:sz w:val="18"/>
          <w:szCs w:val="18"/>
        </w:rPr>
        <w:t xml:space="preserve">For the quarterly period ended March 31, 2021 </w:t>
      </w:r>
    </w:p>
    <w:p w:rsidR="00000000" w:rsidRDefault="00E92DBE">
      <w:pPr>
        <w:jc w:val="center"/>
        <w:divId w:val="978993150"/>
        <w:rPr>
          <w:rFonts w:eastAsia="Times New Roman"/>
        </w:rPr>
      </w:pPr>
      <w:r>
        <w:rPr>
          <w:rFonts w:eastAsia="Times New Roman"/>
          <w:b/>
          <w:bCs/>
          <w:color w:val="000000"/>
          <w:sz w:val="15"/>
          <w:szCs w:val="15"/>
        </w:rPr>
        <w:t>OR</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trPr>
          <w:divId w:val="1686059115"/>
          <w:jc w:val="center"/>
        </w:trPr>
        <w:tc>
          <w:tcPr>
            <w:tcW w:w="50" w:type="pct"/>
            <w:vAlign w:val="center"/>
            <w:hideMark/>
          </w:tcPr>
          <w:p w:rsidR="00000000" w:rsidRDefault="00E92DBE">
            <w:pPr>
              <w:jc w:val="center"/>
              <w:rPr>
                <w:rFonts w:eastAsia="Times New Roman"/>
              </w:rPr>
            </w:pPr>
          </w:p>
        </w:tc>
        <w:tc>
          <w:tcPr>
            <w:tcW w:w="1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9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686059115"/>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7"/>
                <w:szCs w:val="17"/>
              </w:rPr>
              <w:t>TRANSITION REPORT PURSUANT TO SECTION 13 OR 15(d) OF THE SECURITIES EXCHANGE ACT OF 1934</w:t>
            </w:r>
          </w:p>
        </w:tc>
      </w:tr>
    </w:tbl>
    <w:p w:rsidR="00000000" w:rsidRDefault="00E92DBE">
      <w:pPr>
        <w:jc w:val="center"/>
        <w:rPr>
          <w:rFonts w:eastAsia="Times New Roman"/>
        </w:rPr>
      </w:pPr>
      <w:r>
        <w:rPr>
          <w:rFonts w:eastAsia="Times New Roman"/>
          <w:b/>
          <w:bCs/>
          <w:color w:val="000000"/>
          <w:sz w:val="18"/>
          <w:szCs w:val="18"/>
        </w:rPr>
        <w:t xml:space="preserve">For the transition period from </w:t>
      </w:r>
      <w:r>
        <w:rPr>
          <w:rFonts w:eastAsia="Times New Roman"/>
          <w:b/>
          <w:bCs/>
          <w:color w:val="000000"/>
          <w:sz w:val="18"/>
          <w:szCs w:val="18"/>
          <w:u w:val="single"/>
        </w:rPr>
        <w:t>            </w:t>
      </w:r>
      <w:r>
        <w:rPr>
          <w:rFonts w:eastAsia="Times New Roman"/>
          <w:b/>
          <w:bCs/>
          <w:color w:val="000000"/>
          <w:sz w:val="18"/>
          <w:szCs w:val="18"/>
        </w:rPr>
        <w:t xml:space="preserve"> to </w:t>
      </w:r>
      <w:r>
        <w:rPr>
          <w:rFonts w:eastAsia="Times New Roman"/>
          <w:b/>
          <w:bCs/>
          <w:color w:val="000000"/>
          <w:sz w:val="18"/>
          <w:szCs w:val="18"/>
          <w:u w:val="single"/>
        </w:rPr>
        <w:t>            </w:t>
      </w:r>
    </w:p>
    <w:p w:rsidR="00000000" w:rsidRDefault="00E92DBE">
      <w:pPr>
        <w:jc w:val="center"/>
        <w:divId w:val="1823236542"/>
        <w:rPr>
          <w:rFonts w:eastAsia="Times New Roman"/>
        </w:rPr>
      </w:pPr>
      <w:r>
        <w:rPr>
          <w:rFonts w:eastAsia="Times New Roman"/>
          <w:b/>
          <w:bCs/>
          <w:color w:val="000000"/>
          <w:sz w:val="18"/>
          <w:szCs w:val="18"/>
        </w:rPr>
        <w:t xml:space="preserve">Commission File No. 001-13300 </w:t>
      </w:r>
    </w:p>
    <w:p w:rsidR="00000000" w:rsidRDefault="00E92DBE">
      <w:pPr>
        <w:jc w:val="center"/>
        <w:rPr>
          <w:rFonts w:eastAsia="Times New Roman"/>
        </w:rPr>
      </w:pPr>
      <w:r>
        <w:rPr>
          <w:rFonts w:eastAsia="Times New Roman"/>
          <w:color w:val="000000"/>
          <w:sz w:val="12"/>
          <w:szCs w:val="12"/>
        </w:rPr>
        <w:t>____________________________________</w:t>
      </w:r>
    </w:p>
    <w:p w:rsidR="00000000" w:rsidRDefault="00E92DBE">
      <w:pPr>
        <w:jc w:val="center"/>
        <w:divId w:val="1250696065"/>
        <w:rPr>
          <w:rFonts w:eastAsia="Times New Roman"/>
        </w:rPr>
      </w:pPr>
      <w:r>
        <w:rPr>
          <w:rFonts w:eastAsia="Times New Roman"/>
          <w:b/>
          <w:bCs/>
          <w:color w:val="000000"/>
          <w:sz w:val="32"/>
          <w:szCs w:val="32"/>
        </w:rPr>
        <w:t>CAPITAL ONE FINANCIAL CORP</w:t>
      </w:r>
      <w:r>
        <w:rPr>
          <w:rFonts w:eastAsia="Times New Roman"/>
          <w:b/>
          <w:bCs/>
          <w:color w:val="000000"/>
          <w:sz w:val="32"/>
          <w:szCs w:val="32"/>
        </w:rPr>
        <w:t>ORATION</w:t>
      </w:r>
    </w:p>
    <w:p w:rsidR="00000000" w:rsidRDefault="00E92DBE">
      <w:pPr>
        <w:jc w:val="center"/>
        <w:divId w:val="830026541"/>
        <w:rPr>
          <w:rFonts w:eastAsia="Times New Roman"/>
        </w:rPr>
      </w:pPr>
      <w:r>
        <w:rPr>
          <w:rFonts w:eastAsia="Times New Roman"/>
          <w:b/>
          <w:bCs/>
          <w:color w:val="000000"/>
          <w:sz w:val="16"/>
          <w:szCs w:val="16"/>
        </w:rPr>
        <w:t>(Exact name of registrant as specified in its charter)</w:t>
      </w:r>
      <w:r>
        <w:rPr>
          <w:rFonts w:eastAsia="Times New Roman"/>
          <w:color w:val="000000"/>
          <w:sz w:val="16"/>
          <w:szCs w:val="16"/>
        </w:rPr>
        <w:t> </w:t>
      </w:r>
    </w:p>
    <w:p w:rsidR="00000000" w:rsidRDefault="00E92DBE">
      <w:pPr>
        <w:jc w:val="center"/>
        <w:rPr>
          <w:rFonts w:eastAsia="Times New Roman"/>
        </w:rPr>
      </w:pPr>
      <w:r>
        <w:rPr>
          <w:rFonts w:eastAsia="Times New Roman"/>
          <w:color w:val="000000"/>
          <w:sz w:val="12"/>
          <w:szCs w:val="12"/>
        </w:rPr>
        <w:t>____________________________________</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361"/>
        <w:gridCol w:w="39"/>
        <w:gridCol w:w="69"/>
        <w:gridCol w:w="2361"/>
        <w:gridCol w:w="37"/>
        <w:gridCol w:w="69"/>
        <w:gridCol w:w="173"/>
        <w:gridCol w:w="36"/>
        <w:gridCol w:w="69"/>
        <w:gridCol w:w="2975"/>
        <w:gridCol w:w="36"/>
      </w:tblGrid>
      <w:tr w:rsidR="00000000">
        <w:trPr>
          <w:divId w:val="2139489584"/>
          <w:jc w:val="center"/>
        </w:trPr>
        <w:tc>
          <w:tcPr>
            <w:tcW w:w="50" w:type="pct"/>
            <w:vAlign w:val="center"/>
            <w:hideMark/>
          </w:tcPr>
          <w:p w:rsidR="00000000" w:rsidRDefault="00E92DBE">
            <w:pPr>
              <w:jc w:val="center"/>
              <w:rPr>
                <w:rFonts w:eastAsia="Times New Roman"/>
              </w:rPr>
            </w:pPr>
          </w:p>
        </w:tc>
        <w:tc>
          <w:tcPr>
            <w:tcW w:w="143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43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80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2139489584"/>
          <w:jc w:val="center"/>
        </w:trPr>
        <w:tc>
          <w:tcPr>
            <w:tcW w:w="0" w:type="auto"/>
            <w:gridSpan w:val="6"/>
            <w:tcMar>
              <w:top w:w="30" w:type="dxa"/>
              <w:left w:w="20" w:type="dxa"/>
              <w:bottom w:w="30" w:type="dxa"/>
              <w:right w:w="20" w:type="dxa"/>
            </w:tcMar>
            <w:hideMark/>
          </w:tcPr>
          <w:p w:rsidR="00000000" w:rsidRDefault="00E92DBE">
            <w:pPr>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b/>
                <w:bCs/>
                <w:color w:val="000000"/>
                <w:sz w:val="16"/>
                <w:szCs w:val="16"/>
              </w:rPr>
              <w:t>54-1719854</w:t>
            </w:r>
          </w:p>
        </w:tc>
      </w:tr>
      <w:tr w:rsidR="00000000">
        <w:trPr>
          <w:divId w:val="2139489584"/>
          <w:jc w:val="center"/>
        </w:trPr>
        <w:tc>
          <w:tcPr>
            <w:tcW w:w="0" w:type="auto"/>
            <w:gridSpan w:val="6"/>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(I.R.S. Employer Identification No.)</w:t>
            </w:r>
          </w:p>
        </w:tc>
      </w:tr>
      <w:tr w:rsidR="00000000">
        <w:trPr>
          <w:divId w:val="2139489584"/>
          <w:jc w:val="center"/>
        </w:trPr>
        <w:tc>
          <w:tcPr>
            <w:tcW w:w="0" w:type="auto"/>
            <w:gridSpan w:val="6"/>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1680 Capital One Drive,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2139489584"/>
          <w:jc w:val="center"/>
        </w:trPr>
        <w:tc>
          <w:tcPr>
            <w:tcW w:w="0" w:type="auto"/>
            <w:gridSpan w:val="3"/>
            <w:tcMar>
              <w:top w:w="30" w:type="dxa"/>
              <w:left w:w="20" w:type="dxa"/>
              <w:bottom w:w="30" w:type="dxa"/>
              <w:right w:w="20" w:type="dxa"/>
            </w:tcMar>
            <w:vAlign w:val="bottom"/>
            <w:hideMark/>
          </w:tcPr>
          <w:p w:rsidR="00000000" w:rsidRDefault="00E92DBE">
            <w:pPr>
              <w:jc w:val="right"/>
              <w:rPr>
                <w:rFonts w:eastAsia="Times New Roman"/>
              </w:rPr>
            </w:pPr>
            <w:r>
              <w:rPr>
                <w:rFonts w:eastAsia="Times New Roman"/>
                <w:b/>
                <w:bCs/>
                <w:color w:val="000000"/>
                <w:sz w:val="16"/>
                <w:szCs w:val="16"/>
              </w:rPr>
              <w:t>McLean,</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Virginia</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22102</w:t>
            </w:r>
          </w:p>
        </w:tc>
      </w:tr>
      <w:tr w:rsidR="00000000">
        <w:trPr>
          <w:divId w:val="2139489584"/>
          <w:jc w:val="center"/>
        </w:trPr>
        <w:tc>
          <w:tcPr>
            <w:tcW w:w="0" w:type="auto"/>
            <w:gridSpan w:val="6"/>
            <w:tcMar>
              <w:top w:w="30" w:type="dxa"/>
              <w:left w:w="20" w:type="dxa"/>
              <w:bottom w:w="30" w:type="dxa"/>
              <w:right w:w="20" w:type="dxa"/>
            </w:tcMar>
            <w:hideMark/>
          </w:tcPr>
          <w:p w:rsidR="00000000" w:rsidRDefault="00E92DBE">
            <w:pPr>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b/>
                <w:bCs/>
                <w:color w:val="000000"/>
                <w:sz w:val="16"/>
                <w:szCs w:val="16"/>
              </w:rPr>
              <w:t>(Zip Code)</w:t>
            </w:r>
          </w:p>
        </w:tc>
      </w:tr>
    </w:tbl>
    <w:p w:rsidR="00000000" w:rsidRDefault="00E92DBE">
      <w:pPr>
        <w:jc w:val="center"/>
        <w:divId w:val="2090538876"/>
        <w:rPr>
          <w:rFonts w:eastAsia="Times New Roman"/>
        </w:rPr>
      </w:pPr>
      <w:r>
        <w:rPr>
          <w:rFonts w:eastAsia="Times New Roman"/>
          <w:b/>
          <w:bCs/>
          <w:color w:val="000000"/>
          <w:sz w:val="16"/>
          <w:szCs w:val="16"/>
        </w:rPr>
        <w:t>Registrant’s telephone number, including area code: (703) 720-1000</w:t>
      </w:r>
    </w:p>
    <w:p w:rsidR="00000000" w:rsidRDefault="00E92DBE">
      <w:pPr>
        <w:jc w:val="center"/>
        <w:rPr>
          <w:rFonts w:eastAsia="Times New Roman"/>
        </w:rPr>
      </w:pPr>
      <w:r>
        <w:rPr>
          <w:rFonts w:eastAsia="Times New Roman"/>
          <w:b/>
          <w:bCs/>
          <w:color w:val="000000"/>
          <w:sz w:val="16"/>
          <w:szCs w:val="16"/>
        </w:rPr>
        <w:t>(Not Applicable)</w:t>
      </w:r>
    </w:p>
    <w:p w:rsidR="00000000" w:rsidRDefault="00E92DBE">
      <w:pPr>
        <w:jc w:val="center"/>
        <w:rPr>
          <w:rFonts w:eastAsia="Times New Roman"/>
        </w:rPr>
      </w:pPr>
      <w:r>
        <w:rPr>
          <w:rFonts w:eastAsia="Times New Roman"/>
          <w:b/>
          <w:bCs/>
          <w:color w:val="000000"/>
          <w:sz w:val="16"/>
          <w:szCs w:val="16"/>
        </w:rPr>
        <w:t>(Former name, former address and former fiscal year, if changed since last report)</w:t>
      </w:r>
    </w:p>
    <w:p w:rsidR="00000000" w:rsidRDefault="00E92DBE">
      <w:pPr>
        <w:jc w:val="center"/>
        <w:rPr>
          <w:rFonts w:eastAsia="Times New Roman"/>
        </w:rPr>
      </w:pPr>
      <w:r>
        <w:rPr>
          <w:rFonts w:eastAsia="Times New Roman"/>
          <w:color w:val="000000"/>
          <w:sz w:val="12"/>
          <w:szCs w:val="12"/>
        </w:rPr>
        <w:t>____________________________________</w:t>
      </w:r>
    </w:p>
    <w:p w:rsidR="00000000" w:rsidRDefault="00E92DBE">
      <w:pPr>
        <w:jc w:val="center"/>
        <w:divId w:val="254628527"/>
        <w:rPr>
          <w:rFonts w:eastAsia="Times New Roman"/>
        </w:rPr>
      </w:pPr>
      <w:r>
        <w:rPr>
          <w:rFonts w:eastAsia="Times New Roman"/>
          <w:b/>
          <w:bCs/>
          <w:color w:val="000000"/>
          <w:sz w:val="16"/>
          <w:szCs w:val="16"/>
        </w:rPr>
        <w:t>Securities registered pursuant to Section 12(b) of the Act:</w:t>
      </w:r>
    </w:p>
    <w:tbl>
      <w:tblPr>
        <w:tblW w:w="4993" w:type="pct"/>
        <w:jc w:val="center"/>
        <w:tblCellMar>
          <w:top w:w="15" w:type="dxa"/>
          <w:left w:w="15" w:type="dxa"/>
          <w:bottom w:w="15" w:type="dxa"/>
          <w:right w:w="15" w:type="dxa"/>
        </w:tblCellMar>
        <w:tblLook w:val="04A0" w:firstRow="1" w:lastRow="0" w:firstColumn="1" w:lastColumn="0" w:noHBand="0" w:noVBand="1"/>
      </w:tblPr>
      <w:tblGrid>
        <w:gridCol w:w="50"/>
        <w:gridCol w:w="5201"/>
        <w:gridCol w:w="38"/>
        <w:gridCol w:w="89"/>
        <w:gridCol w:w="628"/>
        <w:gridCol w:w="36"/>
        <w:gridCol w:w="50"/>
        <w:gridCol w:w="2166"/>
        <w:gridCol w:w="36"/>
      </w:tblGrid>
      <w:tr w:rsidR="00000000">
        <w:trPr>
          <w:jc w:val="center"/>
        </w:trPr>
        <w:tc>
          <w:tcPr>
            <w:tcW w:w="50" w:type="pct"/>
            <w:vAlign w:val="center"/>
            <w:hideMark/>
          </w:tcPr>
          <w:p w:rsidR="00000000" w:rsidRDefault="00E92DBE">
            <w:pPr>
              <w:jc w:val="center"/>
              <w:rPr>
                <w:rFonts w:eastAsia="Times New Roman"/>
              </w:rPr>
            </w:pPr>
          </w:p>
        </w:tc>
        <w:tc>
          <w:tcPr>
            <w:tcW w:w="31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32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Title of Each Class</w:t>
            </w: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Trading Symbol(s)</w:t>
            </w: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Name of Each Exchange on Which Registered</w:t>
            </w:r>
          </w:p>
        </w:tc>
      </w:tr>
      <w:tr w:rsidR="00000000">
        <w:trPr>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Common Stock (par value $.01 per share)</w:t>
            </w:r>
          </w:p>
        </w:tc>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COF</w:t>
            </w:r>
          </w:p>
        </w:tc>
        <w:tc>
          <w:tcPr>
            <w:tcW w:w="0" w:type="auto"/>
            <w:gridSpan w:val="3"/>
            <w:tcMar>
              <w:top w:w="30" w:type="dxa"/>
              <w:left w:w="20" w:type="dxa"/>
              <w:bottom w:w="30" w:type="dxa"/>
              <w:right w:w="20" w:type="dxa"/>
            </w:tcMar>
            <w:hideMark/>
          </w:tcPr>
          <w:p w:rsidR="00000000" w:rsidRDefault="00E92DBE">
            <w:pPr>
              <w:jc w:val="center"/>
              <w:divId w:val="765417616"/>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Depositary Shares, Each Representing a 1/40th Interest in a Share of Fixed Rate Non-Cumulative Perpetual Preferred Stock, Series G</w:t>
            </w:r>
          </w:p>
        </w:tc>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COF PRG</w:t>
            </w:r>
          </w:p>
        </w:tc>
        <w:tc>
          <w:tcPr>
            <w:tcW w:w="0" w:type="auto"/>
            <w:gridSpan w:val="3"/>
            <w:tcMar>
              <w:top w:w="30" w:type="dxa"/>
              <w:left w:w="20" w:type="dxa"/>
              <w:bottom w:w="30" w:type="dxa"/>
              <w:right w:w="20" w:type="dxa"/>
            </w:tcMar>
            <w:hideMark/>
          </w:tcPr>
          <w:p w:rsidR="00000000" w:rsidRDefault="00E92DBE">
            <w:pPr>
              <w:jc w:val="center"/>
              <w:divId w:val="990674454"/>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Depositary Shares, Each Representing a 1/40th Interest in a Share of Fixed Rate Non-Cu</w:t>
            </w:r>
            <w:r>
              <w:rPr>
                <w:rFonts w:eastAsia="Times New Roman"/>
                <w:color w:val="000000"/>
                <w:sz w:val="16"/>
                <w:szCs w:val="16"/>
              </w:rPr>
              <w:t>mulative Perpetual Preferred Stock, Series H</w:t>
            </w:r>
          </w:p>
        </w:tc>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COF PRH</w:t>
            </w:r>
          </w:p>
        </w:tc>
        <w:tc>
          <w:tcPr>
            <w:tcW w:w="0" w:type="auto"/>
            <w:gridSpan w:val="3"/>
            <w:tcMar>
              <w:top w:w="30" w:type="dxa"/>
              <w:left w:w="20" w:type="dxa"/>
              <w:bottom w:w="30" w:type="dxa"/>
              <w:right w:w="20" w:type="dxa"/>
            </w:tcMar>
            <w:hideMark/>
          </w:tcPr>
          <w:p w:rsidR="00000000" w:rsidRDefault="00E92DBE">
            <w:pPr>
              <w:jc w:val="center"/>
              <w:divId w:val="779761079"/>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Depositary Shares, Each Representing a 1/40th Interest in a Share of Fixed Rate Non-Cumulative Perpetual Preferred Stock, Series I</w:t>
            </w:r>
          </w:p>
        </w:tc>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COF PRI</w:t>
            </w:r>
          </w:p>
        </w:tc>
        <w:tc>
          <w:tcPr>
            <w:tcW w:w="0" w:type="auto"/>
            <w:gridSpan w:val="3"/>
            <w:tcMar>
              <w:top w:w="30" w:type="dxa"/>
              <w:left w:w="20" w:type="dxa"/>
              <w:bottom w:w="30" w:type="dxa"/>
              <w:right w:w="20" w:type="dxa"/>
            </w:tcMar>
            <w:hideMark/>
          </w:tcPr>
          <w:p w:rsidR="00000000" w:rsidRDefault="00E92DBE">
            <w:pPr>
              <w:jc w:val="center"/>
              <w:divId w:val="1311865391"/>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Depositary Shares, Each Representing a 1/40th Interest in a Share of Fixed Rate Non-Cumulative Perpetual Preferred Stock, Series J</w:t>
            </w:r>
          </w:p>
        </w:tc>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COF PRJ</w:t>
            </w:r>
          </w:p>
        </w:tc>
        <w:tc>
          <w:tcPr>
            <w:tcW w:w="0" w:type="auto"/>
            <w:gridSpan w:val="3"/>
            <w:tcMar>
              <w:top w:w="30" w:type="dxa"/>
              <w:left w:w="20" w:type="dxa"/>
              <w:bottom w:w="30" w:type="dxa"/>
              <w:right w:w="20" w:type="dxa"/>
            </w:tcMar>
            <w:hideMark/>
          </w:tcPr>
          <w:p w:rsidR="00000000" w:rsidRDefault="00E92DBE">
            <w:pPr>
              <w:jc w:val="center"/>
              <w:divId w:val="383414222"/>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Depositary Shares, Each Representing a 1/40th Interest in a</w:t>
            </w:r>
            <w:r>
              <w:rPr>
                <w:rFonts w:eastAsia="Times New Roman"/>
                <w:color w:val="000000"/>
                <w:sz w:val="16"/>
                <w:szCs w:val="16"/>
              </w:rPr>
              <w:t xml:space="preserve"> Share of Fixed Rate Non-Cumulative Perpetual Preferred Stock, Series K</w:t>
            </w:r>
          </w:p>
        </w:tc>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COF PRK</w:t>
            </w:r>
          </w:p>
        </w:tc>
        <w:tc>
          <w:tcPr>
            <w:tcW w:w="0" w:type="auto"/>
            <w:gridSpan w:val="3"/>
            <w:tcMar>
              <w:top w:w="30" w:type="dxa"/>
              <w:left w:w="20" w:type="dxa"/>
              <w:bottom w:w="30" w:type="dxa"/>
              <w:right w:w="20" w:type="dxa"/>
            </w:tcMar>
            <w:hideMark/>
          </w:tcPr>
          <w:p w:rsidR="00000000" w:rsidRDefault="00E92DBE">
            <w:pPr>
              <w:jc w:val="center"/>
              <w:divId w:val="1353991606"/>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Depositary Shares, Each Representing a 1/40th Interest in a Share of Fixed Rate Non-Cumulative Perpetual Preferred Stock, Series L</w:t>
            </w:r>
          </w:p>
        </w:tc>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COF PRL</w:t>
            </w:r>
          </w:p>
        </w:tc>
        <w:tc>
          <w:tcPr>
            <w:tcW w:w="0" w:type="auto"/>
            <w:gridSpan w:val="3"/>
            <w:tcMar>
              <w:top w:w="30" w:type="dxa"/>
              <w:left w:w="20" w:type="dxa"/>
              <w:bottom w:w="30" w:type="dxa"/>
              <w:right w:w="20" w:type="dxa"/>
            </w:tcMar>
            <w:hideMark/>
          </w:tcPr>
          <w:p w:rsidR="00000000" w:rsidRDefault="00E92DBE">
            <w:pPr>
              <w:jc w:val="center"/>
              <w:divId w:val="53814528"/>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0.800% Senior Notes Due 2024</w:t>
            </w:r>
          </w:p>
        </w:tc>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COF24</w:t>
            </w:r>
          </w:p>
        </w:tc>
        <w:tc>
          <w:tcPr>
            <w:tcW w:w="0" w:type="auto"/>
            <w:gridSpan w:val="3"/>
            <w:tcMar>
              <w:top w:w="30" w:type="dxa"/>
              <w:left w:w="20" w:type="dxa"/>
              <w:bottom w:w="30" w:type="dxa"/>
              <w:right w:w="20" w:type="dxa"/>
            </w:tcMar>
            <w:hideMark/>
          </w:tcPr>
          <w:p w:rsidR="00000000" w:rsidRDefault="00E92DBE">
            <w:pPr>
              <w:jc w:val="center"/>
              <w:divId w:val="118501997"/>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 xml:space="preserve">1.650% Senior Notes </w:t>
            </w:r>
            <w:r>
              <w:rPr>
                <w:rFonts w:eastAsia="Times New Roman"/>
                <w:color w:val="000000"/>
                <w:sz w:val="16"/>
                <w:szCs w:val="16"/>
              </w:rPr>
              <w:t>Due 2029</w:t>
            </w:r>
          </w:p>
        </w:tc>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6"/>
                <w:szCs w:val="16"/>
              </w:rPr>
              <w:t>COF29</w:t>
            </w:r>
          </w:p>
        </w:tc>
        <w:tc>
          <w:tcPr>
            <w:tcW w:w="0" w:type="auto"/>
            <w:gridSpan w:val="3"/>
            <w:tcMar>
              <w:top w:w="30" w:type="dxa"/>
              <w:left w:w="20" w:type="dxa"/>
              <w:bottom w:w="30" w:type="dxa"/>
              <w:right w:w="20" w:type="dxa"/>
            </w:tcMar>
            <w:hideMark/>
          </w:tcPr>
          <w:p w:rsidR="00000000" w:rsidRDefault="00E92DBE">
            <w:pPr>
              <w:jc w:val="center"/>
              <w:divId w:val="407726390"/>
              <w:rPr>
                <w:rFonts w:eastAsia="Times New Roman"/>
              </w:rPr>
            </w:pPr>
            <w:r>
              <w:rPr>
                <w:rFonts w:eastAsia="Times New Roman"/>
                <w:color w:val="000000"/>
                <w:sz w:val="16"/>
                <w:szCs w:val="16"/>
              </w:rPr>
              <w:t>New York Stock Exchange</w:t>
            </w:r>
          </w:p>
        </w:tc>
      </w:tr>
    </w:tbl>
    <w:p w:rsidR="00000000" w:rsidRDefault="00E92DBE">
      <w:pPr>
        <w:jc w:val="both"/>
        <w:divId w:val="2104716133"/>
        <w:rPr>
          <w:rFonts w:eastAsia="Times New Roman"/>
        </w:rPr>
      </w:pPr>
    </w:p>
    <w:p w:rsidR="00000000" w:rsidRDefault="00E92DBE">
      <w:pPr>
        <w:jc w:val="both"/>
        <w:divId w:val="663045804"/>
        <w:rPr>
          <w:rFonts w:eastAsia="Times New Roman"/>
        </w:rPr>
      </w:pPr>
      <w:r>
        <w:rPr>
          <w:rFonts w:eastAsia="Times New Roman"/>
          <w:color w:val="000000"/>
          <w:sz w:val="16"/>
          <w:szCs w:val="16"/>
        </w:rPr>
        <w:t>Indicate by check mark whether the registrant (1) has filed all reports required to be filed by Section </w:t>
      </w:r>
      <w:r>
        <w:rPr>
          <w:rFonts w:eastAsia="Times New Roman"/>
          <w:color w:val="000000"/>
          <w:sz w:val="16"/>
          <w:szCs w:val="16"/>
        </w:rPr>
        <w:t>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rsidR="00000000" w:rsidRDefault="00E92DBE">
      <w:pPr>
        <w:jc w:val="both"/>
        <w:divId w:val="1507133181"/>
        <w:rPr>
          <w:rFonts w:eastAsia="Times New Roman"/>
        </w:rPr>
      </w:pPr>
      <w:r>
        <w:rPr>
          <w:rFonts w:eastAsia="Times New Roman"/>
          <w:color w:val="000000"/>
          <w:sz w:val="16"/>
          <w:szCs w:val="16"/>
        </w:rPr>
        <w:t>Ind</w:t>
      </w:r>
      <w:r>
        <w:rPr>
          <w:rFonts w:eastAsia="Times New Roman"/>
          <w:color w:val="000000"/>
          <w:sz w:val="16"/>
          <w:szCs w:val="16"/>
        </w:rPr>
        <w:t>icate by check mark whether the registrant has submitted electronically every Interactive Data File required to be submitted pursuant to Rule 405 of Regulation S-T (§232.405 of this chapter) during the preceding 12 months (or for such shorter period that t</w:t>
      </w:r>
      <w:r>
        <w:rPr>
          <w:rFonts w:eastAsia="Times New Roman"/>
          <w:color w:val="000000"/>
          <w:sz w:val="16"/>
          <w:szCs w:val="16"/>
        </w:rPr>
        <w:t>he registrant was required to submit such files).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rsidR="00000000" w:rsidRDefault="00E92DBE">
      <w:pPr>
        <w:jc w:val="both"/>
        <w:divId w:val="568268920"/>
        <w:rPr>
          <w:rFonts w:eastAsia="Times New Roman"/>
        </w:rPr>
      </w:pPr>
      <w:r>
        <w:rPr>
          <w:rFonts w:eastAsia="Times New Roman"/>
          <w:color w:val="000000"/>
          <w:sz w:val="15"/>
          <w:szCs w:val="15"/>
        </w:rPr>
        <w:lastRenderedPageBreak/>
        <w:t>Indicate by check mark whether the registrant is a large accelerated filer, an accelerated filer, a non-accelerated filer, a smaller reporting company, or an emerging growth company. See the defi</w:t>
      </w:r>
      <w:r>
        <w:rPr>
          <w:rFonts w:eastAsia="Times New Roman"/>
          <w:color w:val="000000"/>
          <w:sz w:val="15"/>
          <w:szCs w:val="15"/>
        </w:rPr>
        <w:t>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5"/>
        <w:gridCol w:w="1703"/>
        <w:gridCol w:w="36"/>
        <w:gridCol w:w="36"/>
        <w:gridCol w:w="156"/>
        <w:gridCol w:w="36"/>
        <w:gridCol w:w="45"/>
        <w:gridCol w:w="3756"/>
        <w:gridCol w:w="36"/>
        <w:gridCol w:w="37"/>
        <w:gridCol w:w="136"/>
        <w:gridCol w:w="36"/>
        <w:gridCol w:w="87"/>
        <w:gridCol w:w="1696"/>
        <w:gridCol w:w="36"/>
        <w:gridCol w:w="36"/>
        <w:gridCol w:w="136"/>
        <w:gridCol w:w="36"/>
        <w:gridCol w:w="56"/>
        <w:gridCol w:w="129"/>
        <w:gridCol w:w="36"/>
      </w:tblGrid>
      <w:tr w:rsidR="00000000">
        <w:tc>
          <w:tcPr>
            <w:tcW w:w="50" w:type="pct"/>
            <w:vAlign w:val="center"/>
            <w:hideMark/>
          </w:tcPr>
          <w:p w:rsidR="00000000" w:rsidRDefault="00E92DBE">
            <w:pPr>
              <w:jc w:val="both"/>
              <w:rPr>
                <w:rFonts w:eastAsia="Times New Roman"/>
              </w:rPr>
            </w:pPr>
          </w:p>
        </w:tc>
        <w:tc>
          <w:tcPr>
            <w:tcW w:w="104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28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0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8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0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0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92DBE">
            <w:pPr>
              <w:divId w:val="839543027"/>
              <w:rPr>
                <w:rFonts w:eastAsia="Times New Roman"/>
              </w:rPr>
            </w:pPr>
            <w:r>
              <w:rPr>
                <w:rFonts w:ascii="Segoe UI Symbol" w:eastAsia="Times New Roman" w:hAnsi="Segoe UI Symbol" w:cs="Segoe UI Symbol"/>
                <w:color w:val="000000"/>
                <w:sz w:val="16"/>
                <w:szCs w:val="16"/>
              </w:rPr>
              <w:t>☐</w:t>
            </w: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92DBE">
            <w:pPr>
              <w:divId w:val="1664049108"/>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Smaller reporting company</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2011446651"/>
              <w:rPr>
                <w:rFonts w:eastAsia="Times New Roman"/>
              </w:rPr>
            </w:pPr>
            <w:r>
              <w:rPr>
                <w:rFonts w:ascii="Segoe UI Symbol" w:eastAsia="Times New Roman" w:hAnsi="Segoe UI Symbol" w:cs="Segoe UI Symbol"/>
                <w:color w:val="000000"/>
                <w:sz w:val="16"/>
                <w:szCs w:val="16"/>
              </w:rPr>
              <w:t>☐</w:t>
            </w:r>
          </w:p>
        </w:tc>
      </w:tr>
      <w:tr w:rsidR="00000000">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Emerging growth company</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999384645"/>
              <w:rPr>
                <w:rFonts w:eastAsia="Times New Roman"/>
              </w:rPr>
            </w:pPr>
            <w:r>
              <w:rPr>
                <w:rFonts w:ascii="Segoe UI Symbol" w:eastAsia="Times New Roman" w:hAnsi="Segoe UI Symbol" w:cs="Segoe UI Symbol"/>
                <w:color w:val="000000"/>
                <w:sz w:val="16"/>
                <w:szCs w:val="16"/>
              </w:rPr>
              <w:t>☐</w:t>
            </w:r>
          </w:p>
        </w:tc>
      </w:tr>
    </w:tbl>
    <w:p w:rsidR="00000000" w:rsidRDefault="00E92DBE">
      <w:pPr>
        <w:jc w:val="both"/>
        <w:divId w:val="310135266"/>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rsidR="00000000" w:rsidRDefault="00E92DBE">
      <w:pPr>
        <w:jc w:val="both"/>
        <w:divId w:val="168762456"/>
        <w:rPr>
          <w:rFonts w:eastAsia="Times New Roman"/>
        </w:rPr>
      </w:pPr>
      <w:r>
        <w:rPr>
          <w:rFonts w:eastAsia="Times New Roman"/>
          <w:color w:val="000000"/>
          <w:sz w:val="16"/>
          <w:szCs w:val="16"/>
        </w:rPr>
        <w:t>Ind</w:t>
      </w:r>
      <w:r>
        <w:rPr>
          <w:rFonts w:eastAsia="Times New Roman"/>
          <w:color w:val="000000"/>
          <w:sz w:val="16"/>
          <w:szCs w:val="16"/>
        </w:rPr>
        <w:t xml:space="preserve">icate by check mark whether the registrant is a shell company (as defined in Rule 12b-2 of the Exchange Act).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rsidR="00000000" w:rsidRDefault="00E92DBE">
      <w:pPr>
        <w:jc w:val="both"/>
        <w:divId w:val="1656645152"/>
        <w:rPr>
          <w:rFonts w:eastAsia="Times New Roman"/>
        </w:rPr>
      </w:pPr>
      <w:r>
        <w:rPr>
          <w:rFonts w:eastAsia="Times New Roman"/>
          <w:color w:val="000000"/>
          <w:sz w:val="16"/>
          <w:szCs w:val="16"/>
        </w:rPr>
        <w:t>As of April 30, 2021, there were 451,489,343 shares of the registrant’s Common Stock outstanding.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36"/>
        <w:gridCol w:w="178"/>
        <w:gridCol w:w="36"/>
        <w:gridCol w:w="55"/>
        <w:gridCol w:w="7965"/>
        <w:gridCol w:w="36"/>
      </w:tblGrid>
      <w:tr w:rsidR="00000000">
        <w:trPr>
          <w:jc w:val="center"/>
        </w:trPr>
        <w:tc>
          <w:tcPr>
            <w:tcW w:w="5" w:type="pct"/>
            <w:vAlign w:val="center"/>
            <w:hideMark/>
          </w:tcPr>
          <w:p w:rsidR="00000000" w:rsidRDefault="00E92DBE">
            <w:pPr>
              <w:jc w:val="both"/>
              <w:rPr>
                <w:rFonts w:eastAsia="Times New Roman"/>
              </w:rPr>
            </w:pPr>
          </w:p>
        </w:tc>
        <w:tc>
          <w:tcPr>
            <w:tcW w:w="12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8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bl>
    <w:p w:rsidR="00000000" w:rsidRDefault="00E92DBE">
      <w:pPr>
        <w:jc w:val="center"/>
        <w:rPr>
          <w:rFonts w:eastAsia="Times New Roman"/>
          <w:vanish/>
        </w:rPr>
      </w:pP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trPr>
          <w:jc w:val="center"/>
        </w:trPr>
        <w:tc>
          <w:tcPr>
            <w:tcW w:w="50" w:type="pct"/>
            <w:vAlign w:val="center"/>
            <w:hideMark/>
          </w:tcPr>
          <w:p w:rsidR="00000000" w:rsidRDefault="00E92DBE">
            <w:pPr>
              <w:jc w:val="center"/>
              <w:rPr>
                <w:rFonts w:eastAsia="Times New Roman"/>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r>
    </w:tbl>
    <w:p w:rsidR="00000000" w:rsidRDefault="00E92DBE">
      <w:pPr>
        <w:jc w:val="both"/>
        <w:divId w:val="50424828"/>
        <w:rPr>
          <w:rFonts w:eastAsia="Times New Roman"/>
        </w:rPr>
      </w:pPr>
    </w:p>
    <w:p w:rsidR="00000000" w:rsidRDefault="00E92DBE">
      <w:pPr>
        <w:rPr>
          <w:rFonts w:eastAsia="Times New Roman"/>
        </w:rPr>
      </w:pPr>
      <w:r>
        <w:rPr>
          <w:rFonts w:eastAsia="Times New Roman"/>
        </w:rPr>
        <w:pict>
          <v:rect id="_x0000_i1025" style="width:0;height:1.5pt" o:hralign="center" o:hrstd="t" o:hr="t" fillcolor="#a0a0a0" stroked="f"/>
        </w:pict>
      </w:r>
    </w:p>
    <w:p w:rsidR="00000000" w:rsidRDefault="00E92DBE">
      <w:pPr>
        <w:jc w:val="both"/>
        <w:divId w:val="1106001718"/>
        <w:rPr>
          <w:rFonts w:eastAsia="Times New Roman"/>
        </w:rPr>
      </w:pPr>
    </w:p>
    <w:p w:rsidR="00000000" w:rsidRDefault="00E92DBE">
      <w:pPr>
        <w:jc w:val="center"/>
        <w:divId w:val="75708478"/>
        <w:rPr>
          <w:rFonts w:eastAsia="Times New Roman"/>
        </w:rPr>
      </w:pPr>
      <w:r>
        <w:rPr>
          <w:rFonts w:eastAsia="Times New Roman"/>
          <w:b/>
          <w:bCs/>
          <w:color w:val="000000"/>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5"/>
        <w:gridCol w:w="568"/>
        <w:gridCol w:w="37"/>
        <w:gridCol w:w="69"/>
        <w:gridCol w:w="6842"/>
        <w:gridCol w:w="36"/>
        <w:gridCol w:w="69"/>
        <w:gridCol w:w="574"/>
        <w:gridCol w:w="36"/>
      </w:tblGrid>
      <w:tr w:rsidR="00000000">
        <w:trPr>
          <w:divId w:val="684331392"/>
        </w:trPr>
        <w:tc>
          <w:tcPr>
            <w:tcW w:w="50" w:type="pct"/>
            <w:vAlign w:val="center"/>
            <w:hideMark/>
          </w:tcPr>
          <w:p w:rsidR="00000000" w:rsidRDefault="00E92DBE">
            <w:pPr>
              <w:jc w:val="center"/>
              <w:rPr>
                <w:rFonts w:eastAsia="Times New Roman"/>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20"/>
                <w:szCs w:val="20"/>
              </w:rPr>
              <w:t>Page</w:t>
            </w:r>
          </w:p>
        </w:tc>
      </w:tr>
      <w:tr w:rsidR="00000000">
        <w:trPr>
          <w:divId w:val="684331392"/>
        </w:trPr>
        <w:tc>
          <w:tcPr>
            <w:tcW w:w="0" w:type="auto"/>
            <w:gridSpan w:val="6"/>
            <w:tcMar>
              <w:top w:w="30" w:type="dxa"/>
              <w:left w:w="20" w:type="dxa"/>
              <w:bottom w:w="30" w:type="dxa"/>
              <w:right w:w="20" w:type="dxa"/>
            </w:tcMar>
            <w:vAlign w:val="bottom"/>
            <w:hideMark/>
          </w:tcPr>
          <w:p w:rsidR="00000000" w:rsidRDefault="00E92DBE">
            <w:pPr>
              <w:divId w:val="947128141"/>
              <w:rPr>
                <w:rFonts w:eastAsia="Times New Roman"/>
              </w:rPr>
            </w:pPr>
            <w:hyperlink w:anchor="ic1109d5aa548447c8224139b1ab22bde_76" w:history="1">
              <w:r>
                <w:rPr>
                  <w:rStyle w:val="a3"/>
                  <w:rFonts w:eastAsia="Times New Roman"/>
                  <w:b/>
                  <w:bCs/>
                  <w:color w:val="000000"/>
                  <w:sz w:val="20"/>
                  <w:szCs w:val="20"/>
                  <w:u w:val="none"/>
                </w:rPr>
                <w:t>PART I—FINANCIAL INFORMATION</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76" w:history="1">
              <w:r>
                <w:rPr>
                  <w:rStyle w:val="a3"/>
                  <w:rFonts w:eastAsia="Times New Roman"/>
                  <w:b/>
                  <w:bCs/>
                  <w:color w:val="000000"/>
                  <w:sz w:val="20"/>
                  <w:szCs w:val="20"/>
                  <w:u w:val="none"/>
                </w:rPr>
                <w:t>4</w:t>
              </w:r>
            </w:hyperlink>
          </w:p>
        </w:tc>
      </w:tr>
      <w:tr w:rsidR="00000000">
        <w:trPr>
          <w:divId w:val="684331392"/>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tcMar>
              <w:top w:w="30" w:type="dxa"/>
              <w:left w:w="20" w:type="dxa"/>
              <w:bottom w:w="30" w:type="dxa"/>
              <w:right w:w="20" w:type="dxa"/>
            </w:tcMar>
            <w:vAlign w:val="center"/>
            <w:hideMark/>
          </w:tcPr>
          <w:p w:rsidR="00000000" w:rsidRDefault="00E92DBE">
            <w:pPr>
              <w:divId w:val="814219388"/>
              <w:rPr>
                <w:rFonts w:eastAsia="Times New Roman"/>
              </w:rPr>
            </w:pPr>
            <w:hyperlink w:anchor="ic1109d5aa548447c8224139b1ab22bde_337"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E92DBE">
            <w:pPr>
              <w:divId w:val="779497521"/>
              <w:rPr>
                <w:rFonts w:eastAsia="Times New Roman"/>
              </w:rPr>
            </w:pPr>
            <w:hyperlink w:anchor="ic1109d5aa548447c8224139b1ab22bde_337" w:history="1">
              <w:r>
                <w:rPr>
                  <w:rStyle w:val="a3"/>
                  <w:rFonts w:eastAsia="Times New Roman"/>
                  <w:color w:val="000000"/>
                  <w:sz w:val="20"/>
                  <w:szCs w:val="20"/>
                  <w:u w:val="none"/>
                </w:rPr>
                <w:t>Financial Statements and Notes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37" w:history="1">
              <w:r>
                <w:rPr>
                  <w:rStyle w:val="a3"/>
                  <w:rFonts w:eastAsia="Times New Roman"/>
                  <w:color w:val="000000"/>
                  <w:sz w:val="20"/>
                  <w:szCs w:val="20"/>
                  <w:u w:val="none"/>
                </w:rPr>
                <w:t>64</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663582775"/>
              <w:rPr>
                <w:rFonts w:eastAsia="Times New Roman"/>
              </w:rPr>
            </w:pPr>
            <w:hyperlink w:anchor="ic1109d5aa548447c8224139b1ab22bde_352"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52" w:history="1">
              <w:r>
                <w:rPr>
                  <w:rStyle w:val="a3"/>
                  <w:rFonts w:eastAsia="Times New Roman"/>
                  <w:color w:val="000000"/>
                  <w:sz w:val="20"/>
                  <w:szCs w:val="20"/>
                  <w:u w:val="none"/>
                </w:rPr>
                <w:t>65</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515071398"/>
              <w:rPr>
                <w:rFonts w:eastAsia="Times New Roman"/>
              </w:rPr>
            </w:pPr>
            <w:hyperlink w:anchor="ic1109d5aa548447c8224139b1ab22bde_355" w:history="1">
              <w:r>
                <w:rPr>
                  <w:rStyle w:val="a3"/>
                  <w:rFonts w:eastAsia="Times New Roman"/>
                  <w:color w:val="000000"/>
                  <w:sz w:val="20"/>
                  <w:szCs w:val="20"/>
                  <w:u w:val="none"/>
                </w:rPr>
                <w:t>Consolidated Statements of Comprehensive Income</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55" w:history="1">
              <w:r>
                <w:rPr>
                  <w:rStyle w:val="a3"/>
                  <w:rFonts w:eastAsia="Times New Roman"/>
                  <w:color w:val="000000"/>
                  <w:sz w:val="20"/>
                  <w:szCs w:val="20"/>
                  <w:u w:val="none"/>
                </w:rPr>
                <w:t>66</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664826009"/>
              <w:rPr>
                <w:rFonts w:eastAsia="Times New Roman"/>
              </w:rPr>
            </w:pPr>
            <w:hyperlink w:anchor="ic1109d5aa548447c8224139b1ab22bde_358"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58" w:history="1">
              <w:r>
                <w:rPr>
                  <w:rStyle w:val="a3"/>
                  <w:rFonts w:eastAsia="Times New Roman"/>
                  <w:color w:val="000000"/>
                  <w:sz w:val="20"/>
                  <w:szCs w:val="20"/>
                  <w:u w:val="none"/>
                </w:rPr>
                <w:t>67</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182351409"/>
              <w:rPr>
                <w:rFonts w:eastAsia="Times New Roman"/>
              </w:rPr>
            </w:pPr>
            <w:hyperlink w:anchor="ic1109d5aa548447c8224139b1ab22bde_361" w:history="1">
              <w:r>
                <w:rPr>
                  <w:rStyle w:val="a3"/>
                  <w:rFonts w:eastAsia="Times New Roman"/>
                  <w:color w:val="000000"/>
                  <w:sz w:val="20"/>
                  <w:szCs w:val="20"/>
                  <w:u w:val="none"/>
                </w:rPr>
                <w:t>Consolidated Statements of Changes in Stockholders’ Equity</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61" w:history="1">
              <w:r>
                <w:rPr>
                  <w:rStyle w:val="a3"/>
                  <w:rFonts w:eastAsia="Times New Roman"/>
                  <w:color w:val="000000"/>
                  <w:sz w:val="20"/>
                  <w:szCs w:val="20"/>
                  <w:u w:val="none"/>
                </w:rPr>
                <w:t>68</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907152880"/>
              <w:rPr>
                <w:rFonts w:eastAsia="Times New Roman"/>
              </w:rPr>
            </w:pPr>
            <w:hyperlink w:anchor="ic1109d5aa548447c8224139b1ab22bde_364"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64" w:history="1">
              <w:r>
                <w:rPr>
                  <w:rStyle w:val="a3"/>
                  <w:rFonts w:eastAsia="Times New Roman"/>
                  <w:color w:val="000000"/>
                  <w:sz w:val="20"/>
                  <w:szCs w:val="20"/>
                  <w:u w:val="none"/>
                </w:rPr>
                <w:t>69</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244490425"/>
              <w:rPr>
                <w:rFonts w:eastAsia="Times New Roman"/>
              </w:rPr>
            </w:pPr>
            <w:hyperlink w:anchor="ic1109d5aa548447c8224139b1ab22bde_370" w:history="1">
              <w:r>
                <w:rPr>
                  <w:rStyle w:val="a3"/>
                  <w:rFonts w:eastAsia="Times New Roman"/>
                  <w:color w:val="000000"/>
                  <w:sz w:val="20"/>
                  <w:szCs w:val="20"/>
                  <w:u w:val="none"/>
                </w:rPr>
                <w:t>Notes to Consolidated Fi</w:t>
              </w:r>
              <w:r>
                <w:rPr>
                  <w:rStyle w:val="a3"/>
                  <w:rFonts w:eastAsia="Times New Roman"/>
                  <w:color w:val="000000"/>
                  <w:sz w:val="20"/>
                  <w:szCs w:val="20"/>
                  <w:u w:val="none"/>
                </w:rPr>
                <w:t>nancial Statements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70" w:history="1">
              <w:r>
                <w:rPr>
                  <w:rStyle w:val="a3"/>
                  <w:rFonts w:eastAsia="Times New Roman"/>
                  <w:color w:val="000000"/>
                  <w:sz w:val="20"/>
                  <w:szCs w:val="20"/>
                  <w:u w:val="none"/>
                </w:rPr>
                <w:t>71</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980844107"/>
              <w:rPr>
                <w:rFonts w:eastAsia="Times New Roman"/>
              </w:rPr>
            </w:pPr>
            <w:hyperlink w:anchor="ic1109d5aa548447c8224139b1ab22bde_370"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70" w:history="1">
              <w:r>
                <w:rPr>
                  <w:rStyle w:val="a3"/>
                  <w:rFonts w:eastAsia="Times New Roman"/>
                  <w:color w:val="000000"/>
                  <w:sz w:val="20"/>
                  <w:szCs w:val="20"/>
                  <w:u w:val="none"/>
                </w:rPr>
                <w:t>71</w:t>
              </w:r>
            </w:hyperlink>
          </w:p>
        </w:tc>
      </w:tr>
      <w:tr w:rsidR="00000000">
        <w:trPr>
          <w:divId w:val="684331392"/>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divId w:val="288517161"/>
              <w:rPr>
                <w:rFonts w:eastAsia="Times New Roman"/>
              </w:rPr>
            </w:pPr>
            <w:hyperlink w:anchor="ic1109d5aa548447c8224139b1ab22bde_373" w:history="1">
              <w:r>
                <w:rPr>
                  <w:rStyle w:val="a3"/>
                  <w:rFonts w:eastAsia="Times New Roman"/>
                  <w:color w:val="000000"/>
                  <w:sz w:val="20"/>
                  <w:szCs w:val="20"/>
                  <w:u w:val="none"/>
                </w:rPr>
                <w:t>Note 2—Investment Securities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73" w:history="1">
              <w:r>
                <w:rPr>
                  <w:rStyle w:val="a3"/>
                  <w:rFonts w:eastAsia="Times New Roman"/>
                  <w:color w:val="000000"/>
                  <w:sz w:val="20"/>
                  <w:szCs w:val="20"/>
                  <w:u w:val="none"/>
                </w:rPr>
                <w:t>73</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253706003"/>
              <w:rPr>
                <w:rFonts w:eastAsia="Times New Roman"/>
              </w:rPr>
            </w:pPr>
            <w:hyperlink w:anchor="ic1109d5aa548447c8224139b1ab22bde_376"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76" w:history="1">
              <w:r>
                <w:rPr>
                  <w:rStyle w:val="a3"/>
                  <w:rFonts w:eastAsia="Times New Roman"/>
                  <w:color w:val="000000"/>
                  <w:sz w:val="20"/>
                  <w:szCs w:val="20"/>
                  <w:u w:val="none"/>
                </w:rPr>
                <w:t>76</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570143964"/>
              <w:rPr>
                <w:rFonts w:eastAsia="Times New Roman"/>
              </w:rPr>
            </w:pPr>
            <w:hyperlink w:anchor="ic1109d5aa548447c8224139b1ab22bde_400" w:history="1">
              <w:r>
                <w:rPr>
                  <w:rStyle w:val="a3"/>
                  <w:rFonts w:eastAsia="Times New Roman"/>
                  <w:color w:val="000000"/>
                  <w:sz w:val="20"/>
                  <w:szCs w:val="20"/>
                  <w:u w:val="none"/>
                </w:rPr>
                <w:t>Note 4—Allowance for Credit Losses and Reserve for U</w:t>
              </w:r>
              <w:r>
                <w:rPr>
                  <w:rStyle w:val="a3"/>
                  <w:rFonts w:eastAsia="Times New Roman"/>
                  <w:color w:val="000000"/>
                  <w:sz w:val="20"/>
                  <w:szCs w:val="20"/>
                  <w:u w:val="none"/>
                </w:rPr>
                <w:t>nfunded Lending Commitments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00" w:history="1">
              <w:r>
                <w:rPr>
                  <w:rStyle w:val="a3"/>
                  <w:rFonts w:eastAsia="Times New Roman"/>
                  <w:color w:val="000000"/>
                  <w:sz w:val="20"/>
                  <w:szCs w:val="20"/>
                  <w:u w:val="none"/>
                </w:rPr>
                <w:t>85</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842625735"/>
              <w:rPr>
                <w:rFonts w:eastAsia="Times New Roman"/>
              </w:rPr>
            </w:pPr>
            <w:hyperlink w:anchor="ic1109d5aa548447c8224139b1ab22bde_403"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03" w:history="1">
              <w:r>
                <w:rPr>
                  <w:rStyle w:val="a3"/>
                  <w:rFonts w:eastAsia="Times New Roman"/>
                  <w:color w:val="000000"/>
                  <w:sz w:val="20"/>
                  <w:szCs w:val="20"/>
                  <w:u w:val="none"/>
                </w:rPr>
                <w:t>88</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188904558"/>
              <w:rPr>
                <w:rFonts w:eastAsia="Times New Roman"/>
              </w:rPr>
            </w:pPr>
            <w:hyperlink w:anchor="ic1109d5aa548447c8224139b1ab22bde_406" w:history="1">
              <w:r>
                <w:rPr>
                  <w:rStyle w:val="a3"/>
                  <w:rFonts w:eastAsia="Times New Roman"/>
                  <w:color w:val="000000"/>
                  <w:sz w:val="20"/>
                  <w:szCs w:val="20"/>
                  <w:u w:val="none"/>
                </w:rPr>
                <w:t>Note 6—Goodwill and Intangible Assets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06" w:history="1">
              <w:r>
                <w:rPr>
                  <w:rStyle w:val="a3"/>
                  <w:rFonts w:eastAsia="Times New Roman"/>
                  <w:color w:val="000000"/>
                  <w:sz w:val="20"/>
                  <w:szCs w:val="20"/>
                  <w:u w:val="none"/>
                </w:rPr>
                <w:t>92</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746731254"/>
              <w:rPr>
                <w:rFonts w:eastAsia="Times New Roman"/>
              </w:rPr>
            </w:pPr>
            <w:hyperlink w:anchor="ic1109d5aa548447c8224139b1ab22bde_412" w:history="1">
              <w:r>
                <w:rPr>
                  <w:rStyle w:val="a3"/>
                  <w:rFonts w:eastAsia="Times New Roman"/>
                  <w:color w:val="000000"/>
                  <w:sz w:val="20"/>
                  <w:szCs w:val="20"/>
                  <w:u w:val="none"/>
                </w:rPr>
                <w:t>Note 7—Deposits and Borrowings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12" w:history="1">
              <w:r>
                <w:rPr>
                  <w:rStyle w:val="a3"/>
                  <w:rFonts w:eastAsia="Times New Roman"/>
                  <w:color w:val="000000"/>
                  <w:sz w:val="20"/>
                  <w:szCs w:val="20"/>
                  <w:u w:val="none"/>
                </w:rPr>
                <w:t>93</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497766707"/>
              <w:rPr>
                <w:rFonts w:eastAsia="Times New Roman"/>
              </w:rPr>
            </w:pPr>
            <w:hyperlink w:anchor="ic1109d5aa548447c8224139b1ab22bde_415" w:history="1">
              <w:r>
                <w:rPr>
                  <w:rStyle w:val="a3"/>
                  <w:rFonts w:eastAsia="Times New Roman"/>
                  <w:color w:val="000000"/>
                  <w:sz w:val="20"/>
                  <w:szCs w:val="20"/>
                  <w:u w:val="none"/>
                </w:rPr>
                <w:t>Note 8—</w:t>
              </w:r>
              <w:r>
                <w:rPr>
                  <w:rStyle w:val="a3"/>
                  <w:rFonts w:eastAsia="Times New Roman"/>
                  <w:color w:val="000000"/>
                  <w:sz w:val="20"/>
                  <w:szCs w:val="20"/>
                  <w:u w:val="none"/>
                </w:rPr>
                <w:t>Derivative Instruments and Hedging Activities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15" w:history="1">
              <w:r>
                <w:rPr>
                  <w:rStyle w:val="a3"/>
                  <w:rFonts w:eastAsia="Times New Roman"/>
                  <w:color w:val="000000"/>
                  <w:sz w:val="20"/>
                  <w:szCs w:val="20"/>
                  <w:u w:val="none"/>
                </w:rPr>
                <w:t>94</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120761230"/>
              <w:rPr>
                <w:rFonts w:eastAsia="Times New Roman"/>
              </w:rPr>
            </w:pPr>
            <w:hyperlink w:anchor="ic1109d5aa548447c8224139b1ab22bde_418" w:history="1">
              <w:r>
                <w:rPr>
                  <w:rStyle w:val="a3"/>
                  <w:rFonts w:eastAsia="Times New Roman"/>
                  <w:color w:val="000000"/>
                  <w:sz w:val="20"/>
                  <w:szCs w:val="20"/>
                  <w:u w:val="none"/>
                </w:rPr>
                <w:t>Note 9—Stockholders’ Equity</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18" w:history="1">
              <w:r>
                <w:rPr>
                  <w:rStyle w:val="a3"/>
                  <w:rFonts w:eastAsia="Times New Roman"/>
                  <w:color w:val="000000"/>
                  <w:sz w:val="20"/>
                  <w:szCs w:val="20"/>
                  <w:u w:val="none"/>
                </w:rPr>
                <w:t>102</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912541736"/>
              <w:rPr>
                <w:rFonts w:eastAsia="Times New Roman"/>
              </w:rPr>
            </w:pPr>
            <w:hyperlink w:anchor="ic1109d5aa548447c8224139b1ab22bde_427" w:history="1">
              <w:r>
                <w:rPr>
                  <w:rStyle w:val="a3"/>
                  <w:rFonts w:eastAsia="Times New Roman"/>
                  <w:color w:val="000000"/>
                  <w:sz w:val="20"/>
                  <w:szCs w:val="20"/>
                  <w:u w:val="none"/>
                </w:rPr>
                <w:t>Note 10—Earnings Per Common Share</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27" w:history="1">
              <w:r>
                <w:rPr>
                  <w:rStyle w:val="a3"/>
                  <w:rFonts w:eastAsia="Times New Roman"/>
                  <w:color w:val="000000"/>
                  <w:sz w:val="20"/>
                  <w:szCs w:val="20"/>
                  <w:u w:val="none"/>
                </w:rPr>
                <w:t>105</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621885477"/>
              <w:rPr>
                <w:rFonts w:eastAsia="Times New Roman"/>
              </w:rPr>
            </w:pPr>
            <w:hyperlink w:anchor="ic1109d5aa548447c8224139b1ab22bde_439" w:history="1">
              <w:r>
                <w:rPr>
                  <w:rStyle w:val="a3"/>
                  <w:rFonts w:eastAsia="Times New Roman"/>
                  <w:color w:val="000000"/>
                  <w:sz w:val="20"/>
                  <w:szCs w:val="20"/>
                  <w:u w:val="none"/>
                </w:rPr>
                <w:t>Note 11—Fair Value Measurement</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39" w:history="1">
              <w:r>
                <w:rPr>
                  <w:rStyle w:val="a3"/>
                  <w:rFonts w:eastAsia="Times New Roman"/>
                  <w:color w:val="000000"/>
                  <w:sz w:val="20"/>
                  <w:szCs w:val="20"/>
                  <w:u w:val="none"/>
                </w:rPr>
                <w:t>106</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992588738"/>
              <w:rPr>
                <w:rFonts w:eastAsia="Times New Roman"/>
              </w:rPr>
            </w:pPr>
            <w:hyperlink w:anchor="ic1109d5aa548447c8224139b1ab22bde_442" w:history="1">
              <w:r>
                <w:rPr>
                  <w:rStyle w:val="a3"/>
                  <w:rFonts w:eastAsia="Times New Roman"/>
                  <w:color w:val="000000"/>
                  <w:sz w:val="20"/>
                  <w:szCs w:val="20"/>
                  <w:u w:val="none"/>
                </w:rPr>
                <w:t>Note 12—Business Segments and Revenue from Contracts with Customers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42" w:history="1">
              <w:r>
                <w:rPr>
                  <w:rStyle w:val="a3"/>
                  <w:rFonts w:eastAsia="Times New Roman"/>
                  <w:color w:val="000000"/>
                  <w:sz w:val="20"/>
                  <w:szCs w:val="20"/>
                  <w:u w:val="none"/>
                </w:rPr>
                <w:t>112</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502938703"/>
              <w:rPr>
                <w:rFonts w:eastAsia="Times New Roman"/>
              </w:rPr>
            </w:pPr>
            <w:hyperlink w:anchor="ic1109d5aa548447c8224139b1ab22bde_445" w:history="1">
              <w:r>
                <w:rPr>
                  <w:rStyle w:val="a3"/>
                  <w:rFonts w:eastAsia="Times New Roman"/>
                  <w:color w:val="000000"/>
                  <w:sz w:val="20"/>
                  <w:szCs w:val="20"/>
                  <w:u w:val="none"/>
                </w:rPr>
                <w:t>Note 13—Commitments, Contingencies, Guarantees and Others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45" w:history="1">
              <w:r>
                <w:rPr>
                  <w:rStyle w:val="a3"/>
                  <w:rFonts w:eastAsia="Times New Roman"/>
                  <w:color w:val="000000"/>
                  <w:sz w:val="20"/>
                  <w:szCs w:val="20"/>
                  <w:u w:val="none"/>
                </w:rPr>
                <w:t>115</w:t>
              </w:r>
            </w:hyperlink>
          </w:p>
        </w:tc>
      </w:tr>
      <w:tr w:rsidR="00000000">
        <w:trPr>
          <w:divId w:val="684331392"/>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Height w:val="28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684331392"/>
        </w:trPr>
        <w:tc>
          <w:tcPr>
            <w:tcW w:w="0" w:type="auto"/>
            <w:gridSpan w:val="3"/>
            <w:tcMar>
              <w:top w:w="30" w:type="dxa"/>
              <w:left w:w="20" w:type="dxa"/>
              <w:bottom w:w="30" w:type="dxa"/>
              <w:right w:w="20" w:type="dxa"/>
            </w:tcMar>
            <w:vAlign w:val="center"/>
            <w:hideMark/>
          </w:tcPr>
          <w:p w:rsidR="00000000" w:rsidRDefault="00E92DBE">
            <w:pPr>
              <w:divId w:val="801507545"/>
              <w:rPr>
                <w:rFonts w:eastAsia="Times New Roman"/>
              </w:rPr>
            </w:pPr>
            <w:hyperlink w:anchor="ic1109d5aa548447c8224139b1ab22bde_94" w:history="1">
              <w:r>
                <w:rPr>
                  <w:rStyle w:val="a3"/>
                  <w:rFonts w:eastAsia="Times New Roman"/>
                  <w:color w:val="000000"/>
                  <w:sz w:val="20"/>
                  <w:szCs w:val="20"/>
                  <w:u w:val="none"/>
                </w:rPr>
                <w:t xml:space="preserve">Item </w:t>
              </w:r>
            </w:hyperlink>
            <w:hyperlink w:anchor="ic1109d5aa548447c8224139b1ab22bde_94" w:history="1">
              <w:r>
                <w:rPr>
                  <w:rStyle w:val="a3"/>
                  <w:rFonts w:eastAsia="Times New Roman"/>
                  <w:color w:val="000000"/>
                  <w:sz w:val="20"/>
                  <w:szCs w:val="20"/>
                  <w:u w:val="none"/>
                </w:rPr>
                <w:t>2</w:t>
              </w:r>
            </w:hyperlink>
            <w:hyperlink w:anchor="ic1109d5aa548447c8224139b1ab22bde_94" w:history="1">
              <w:r>
                <w:rPr>
                  <w:rStyle w:val="a3"/>
                  <w:rFonts w:eastAsia="Times New Roman"/>
                  <w:color w:val="000000"/>
                  <w:sz w:val="20"/>
                  <w:szCs w:val="20"/>
                  <w:u w:val="none"/>
                </w:rPr>
                <w:t>.</w:t>
              </w:r>
            </w:hyperlink>
          </w:p>
        </w:tc>
        <w:tc>
          <w:tcPr>
            <w:tcW w:w="0" w:type="auto"/>
            <w:gridSpan w:val="3"/>
            <w:tcMar>
              <w:top w:w="30" w:type="dxa"/>
              <w:left w:w="20" w:type="dxa"/>
              <w:bottom w:w="30" w:type="dxa"/>
              <w:right w:w="20" w:type="dxa"/>
            </w:tcMar>
            <w:vAlign w:val="bottom"/>
            <w:hideMark/>
          </w:tcPr>
          <w:p w:rsidR="00000000" w:rsidRDefault="00E92DBE">
            <w:pPr>
              <w:divId w:val="1790934259"/>
              <w:rPr>
                <w:rFonts w:eastAsia="Times New Roman"/>
              </w:rPr>
            </w:pPr>
            <w:hyperlink w:anchor="ic1109d5aa548447c8224139b1ab22bde_94" w:history="1">
              <w:r>
                <w:rPr>
                  <w:rStyle w:val="a3"/>
                  <w:rFonts w:eastAsia="Times New Roman"/>
                  <w:color w:val="000000"/>
                  <w:sz w:val="20"/>
                  <w:szCs w:val="20"/>
                  <w:u w:val="none"/>
                </w:rPr>
                <w:t>Management’s Discussion and Analysis of Financial Condition and Results of Operations (“MD&amp;A”)</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94" w:history="1">
              <w:r>
                <w:rPr>
                  <w:rStyle w:val="a3"/>
                  <w:rFonts w:eastAsia="Times New Roman"/>
                  <w:color w:val="000000"/>
                  <w:sz w:val="20"/>
                  <w:szCs w:val="20"/>
                  <w:u w:val="none"/>
                </w:rPr>
                <w:t>4</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795559948"/>
              <w:rPr>
                <w:rFonts w:eastAsia="Times New Roman"/>
              </w:rPr>
            </w:pPr>
            <w:hyperlink w:anchor="ic1109d5aa548447c8224139b1ab22bde_97" w:history="1">
              <w:r>
                <w:rPr>
                  <w:rStyle w:val="a3"/>
                  <w:rFonts w:eastAsia="Times New Roman"/>
                  <w:color w:val="000000"/>
                  <w:sz w:val="20"/>
                  <w:szCs w:val="20"/>
                  <w:u w:val="none"/>
                </w:rPr>
                <w:t>Introduction</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97" w:history="1">
              <w:r>
                <w:rPr>
                  <w:rStyle w:val="a3"/>
                  <w:rFonts w:eastAsia="Times New Roman"/>
                  <w:color w:val="000000"/>
                  <w:sz w:val="20"/>
                  <w:szCs w:val="20"/>
                  <w:u w:val="none"/>
                </w:rPr>
                <w:t>4</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339629311"/>
              <w:rPr>
                <w:rFonts w:eastAsia="Times New Roman"/>
              </w:rPr>
            </w:pPr>
            <w:hyperlink w:anchor="ic1109d5aa548447c8224139b1ab22bde_88" w:history="1">
              <w:r>
                <w:rPr>
                  <w:rStyle w:val="a3"/>
                  <w:rFonts w:eastAsia="Times New Roman"/>
                  <w:color w:val="000000"/>
                  <w:sz w:val="20"/>
                  <w:szCs w:val="20"/>
                  <w:u w:val="none"/>
                </w:rPr>
                <w:t>Selected Financial Data</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88" w:history="1">
              <w:r>
                <w:rPr>
                  <w:rStyle w:val="a3"/>
                  <w:rFonts w:eastAsia="Times New Roman"/>
                  <w:color w:val="000000"/>
                  <w:sz w:val="20"/>
                  <w:szCs w:val="20"/>
                  <w:u w:val="none"/>
                </w:rPr>
                <w:t>6</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262568571"/>
              <w:rPr>
                <w:rFonts w:eastAsia="Times New Roman"/>
              </w:rPr>
            </w:pPr>
            <w:hyperlink w:anchor="ic1109d5aa548447c8224139b1ab22bde_109" w:history="1">
              <w:r>
                <w:rPr>
                  <w:rStyle w:val="a3"/>
                  <w:rFonts w:eastAsia="Times New Roman"/>
                  <w:color w:val="000000"/>
                  <w:sz w:val="20"/>
                  <w:szCs w:val="20"/>
                  <w:u w:val="none"/>
                </w:rPr>
                <w:t>Executive Summary and Business Outlook</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09" w:history="1">
              <w:r>
                <w:rPr>
                  <w:rStyle w:val="a3"/>
                  <w:rFonts w:eastAsia="Times New Roman"/>
                  <w:color w:val="000000"/>
                  <w:sz w:val="20"/>
                  <w:szCs w:val="20"/>
                  <w:u w:val="none"/>
                </w:rPr>
                <w:t>9</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781535650"/>
              <w:rPr>
                <w:rFonts w:eastAsia="Times New Roman"/>
              </w:rPr>
            </w:pPr>
            <w:hyperlink w:anchor="ic1109d5aa548447c8224139b1ab22bde_118" w:history="1">
              <w:r>
                <w:rPr>
                  <w:rStyle w:val="a3"/>
                  <w:rFonts w:eastAsia="Times New Roman"/>
                  <w:color w:val="000000"/>
                  <w:sz w:val="20"/>
                  <w:szCs w:val="20"/>
                  <w:u w:val="none"/>
                </w:rPr>
                <w:t>Consolidated Results of Operations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18" w:history="1">
              <w:r>
                <w:rPr>
                  <w:rStyle w:val="a3"/>
                  <w:rFonts w:eastAsia="Times New Roman"/>
                  <w:color w:val="000000"/>
                  <w:sz w:val="20"/>
                  <w:szCs w:val="20"/>
                  <w:u w:val="none"/>
                </w:rPr>
                <w:t>11</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554997408"/>
              <w:rPr>
                <w:rFonts w:eastAsia="Times New Roman"/>
              </w:rPr>
            </w:pPr>
            <w:hyperlink w:anchor="ic1109d5aa548447c8224139b1ab22bde_142" w:history="1">
              <w:r>
                <w:rPr>
                  <w:rStyle w:val="a3"/>
                  <w:rFonts w:eastAsia="Times New Roman"/>
                  <w:color w:val="000000"/>
                  <w:sz w:val="20"/>
                  <w:szCs w:val="20"/>
                  <w:u w:val="none"/>
                </w:rPr>
                <w:t>Consolidated Balance Sheets Analysis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42" w:history="1">
              <w:r>
                <w:rPr>
                  <w:rStyle w:val="a3"/>
                  <w:rFonts w:eastAsia="Times New Roman"/>
                  <w:color w:val="000000"/>
                  <w:sz w:val="20"/>
                  <w:szCs w:val="20"/>
                  <w:u w:val="none"/>
                </w:rPr>
                <w:t>16</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302272567"/>
              <w:rPr>
                <w:rFonts w:eastAsia="Times New Roman"/>
              </w:rPr>
            </w:pPr>
            <w:hyperlink w:anchor="ic1109d5aa548447c8224139b1ab22bde_160" w:history="1">
              <w:r>
                <w:rPr>
                  <w:rStyle w:val="a3"/>
                  <w:rFonts w:eastAsia="Times New Roman"/>
                  <w:color w:val="000000"/>
                  <w:sz w:val="20"/>
                  <w:szCs w:val="20"/>
                  <w:u w:val="none"/>
                </w:rPr>
                <w:t>Off-Balance Sheet Arrangemen</w:t>
              </w:r>
              <w:r>
                <w:rPr>
                  <w:rStyle w:val="a3"/>
                  <w:rFonts w:eastAsia="Times New Roman"/>
                  <w:color w:val="000000"/>
                  <w:sz w:val="20"/>
                  <w:szCs w:val="20"/>
                  <w:u w:val="none"/>
                </w:rPr>
                <w:t>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60" w:history="1">
              <w:r>
                <w:rPr>
                  <w:rStyle w:val="a3"/>
                  <w:rFonts w:eastAsia="Times New Roman"/>
                  <w:color w:val="000000"/>
                  <w:sz w:val="20"/>
                  <w:szCs w:val="20"/>
                  <w:u w:val="none"/>
                </w:rPr>
                <w:t>18</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709065265"/>
              <w:rPr>
                <w:rFonts w:eastAsia="Times New Roman"/>
              </w:rPr>
            </w:pPr>
            <w:hyperlink w:anchor="ic1109d5aa548447c8224139b1ab22bde_163" w:history="1">
              <w:r>
                <w:rPr>
                  <w:rStyle w:val="a3"/>
                  <w:rFonts w:eastAsia="Times New Roman"/>
                  <w:color w:val="000000"/>
                  <w:sz w:val="20"/>
                  <w:szCs w:val="20"/>
                  <w:u w:val="none"/>
                </w:rPr>
                <w:t>Business Segment Financial Performance</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63" w:history="1">
              <w:r>
                <w:rPr>
                  <w:rStyle w:val="a3"/>
                  <w:rFonts w:eastAsia="Times New Roman"/>
                  <w:color w:val="000000"/>
                  <w:sz w:val="20"/>
                  <w:szCs w:val="20"/>
                  <w:u w:val="none"/>
                </w:rPr>
                <w:t>18</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798112567"/>
              <w:rPr>
                <w:rFonts w:eastAsia="Times New Roman"/>
              </w:rPr>
            </w:pPr>
            <w:hyperlink w:anchor="ic1109d5aa548447c8224139b1ab22bde_184" w:history="1">
              <w:r>
                <w:rPr>
                  <w:rStyle w:val="a3"/>
                  <w:rFonts w:eastAsia="Times New Roman"/>
                  <w:color w:val="000000"/>
                  <w:sz w:val="20"/>
                  <w:szCs w:val="20"/>
                  <w:u w:val="none"/>
                </w:rPr>
                <w:t>Critical Accounting Policies and Estimates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84" w:history="1">
              <w:r>
                <w:rPr>
                  <w:rStyle w:val="a3"/>
                  <w:rFonts w:eastAsia="Times New Roman"/>
                  <w:color w:val="000000"/>
                  <w:sz w:val="20"/>
                  <w:szCs w:val="20"/>
                  <w:u w:val="none"/>
                </w:rPr>
                <w:t>27</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099790437"/>
              <w:rPr>
                <w:rFonts w:eastAsia="Times New Roman"/>
              </w:rPr>
            </w:pPr>
            <w:hyperlink w:anchor="ic1109d5aa548447c8224139b1ab22bde_190" w:history="1">
              <w:r>
                <w:rPr>
                  <w:rStyle w:val="a3"/>
                  <w:rFonts w:eastAsia="Times New Roman"/>
                  <w:color w:val="000000"/>
                  <w:sz w:val="20"/>
                  <w:szCs w:val="20"/>
                  <w:u w:val="none"/>
                </w:rPr>
                <w:t>Accounting Changes and Developments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90" w:history="1">
              <w:r>
                <w:rPr>
                  <w:rStyle w:val="a3"/>
                  <w:rFonts w:eastAsia="Times New Roman"/>
                  <w:color w:val="000000"/>
                  <w:sz w:val="20"/>
                  <w:szCs w:val="20"/>
                  <w:u w:val="none"/>
                </w:rPr>
                <w:t>28</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447428115"/>
              <w:rPr>
                <w:rFonts w:eastAsia="Times New Roman"/>
              </w:rPr>
            </w:pPr>
            <w:hyperlink w:anchor="ic1109d5aa548447c8224139b1ab22bde_193" w:history="1">
              <w:r>
                <w:rPr>
                  <w:rStyle w:val="a3"/>
                  <w:rFonts w:eastAsia="Times New Roman"/>
                  <w:color w:val="000000"/>
                  <w:sz w:val="20"/>
                  <w:szCs w:val="20"/>
                  <w:u w:val="none"/>
                </w:rPr>
                <w:t>Capital Management</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93" w:history="1">
              <w:r>
                <w:rPr>
                  <w:rStyle w:val="a3"/>
                  <w:rFonts w:eastAsia="Times New Roman"/>
                  <w:color w:val="000000"/>
                  <w:sz w:val="20"/>
                  <w:szCs w:val="20"/>
                  <w:u w:val="none"/>
                </w:rPr>
                <w:t>28</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386635446"/>
              <w:rPr>
                <w:rFonts w:eastAsia="Times New Roman"/>
              </w:rPr>
            </w:pPr>
            <w:hyperlink w:anchor="ic1109d5aa548447c8224139b1ab22bde_211" w:history="1">
              <w:r>
                <w:rPr>
                  <w:rStyle w:val="a3"/>
                  <w:rFonts w:eastAsia="Times New Roman"/>
                  <w:color w:val="000000"/>
                  <w:sz w:val="20"/>
                  <w:szCs w:val="20"/>
                  <w:u w:val="none"/>
                </w:rPr>
                <w:t>Risk Management</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11" w:history="1">
              <w:r>
                <w:rPr>
                  <w:rStyle w:val="a3"/>
                  <w:rFonts w:eastAsia="Times New Roman"/>
                  <w:color w:val="000000"/>
                  <w:sz w:val="20"/>
                  <w:szCs w:val="20"/>
                  <w:u w:val="none"/>
                </w:rPr>
                <w:t>34</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992442110"/>
              <w:rPr>
                <w:rFonts w:eastAsia="Times New Roman"/>
              </w:rPr>
            </w:pPr>
            <w:hyperlink w:anchor="ic1109d5aa548447c8224139b1ab22bde_214" w:history="1">
              <w:r>
                <w:rPr>
                  <w:rStyle w:val="a3"/>
                  <w:rFonts w:eastAsia="Times New Roman"/>
                  <w:color w:val="000000"/>
                  <w:sz w:val="20"/>
                  <w:szCs w:val="20"/>
                  <w:u w:val="none"/>
                </w:rPr>
                <w:t>Credit Risk Profile</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14" w:history="1">
              <w:r>
                <w:rPr>
                  <w:rStyle w:val="a3"/>
                  <w:rFonts w:eastAsia="Times New Roman"/>
                  <w:color w:val="000000"/>
                  <w:sz w:val="20"/>
                  <w:szCs w:val="20"/>
                  <w:u w:val="none"/>
                </w:rPr>
                <w:t>35</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372659385"/>
              <w:rPr>
                <w:rFonts w:eastAsia="Times New Roman"/>
              </w:rPr>
            </w:pPr>
            <w:hyperlink w:anchor="ic1109d5aa548447c8224139b1ab22bde_268" w:history="1">
              <w:r>
                <w:rPr>
                  <w:rStyle w:val="a3"/>
                  <w:rFonts w:eastAsia="Times New Roman"/>
                  <w:color w:val="000000"/>
                  <w:sz w:val="20"/>
                  <w:szCs w:val="20"/>
                  <w:u w:val="none"/>
                </w:rPr>
                <w:t>Liquidity Risk Profile</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68" w:history="1">
              <w:r>
                <w:rPr>
                  <w:rStyle w:val="a3"/>
                  <w:rFonts w:eastAsia="Times New Roman"/>
                  <w:color w:val="000000"/>
                  <w:sz w:val="20"/>
                  <w:szCs w:val="20"/>
                  <w:u w:val="none"/>
                </w:rPr>
                <w:t>48</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678313335"/>
              <w:rPr>
                <w:rFonts w:eastAsia="Times New Roman"/>
              </w:rPr>
            </w:pPr>
            <w:hyperlink w:anchor="ic1109d5aa548447c8224139b1ab22bde_298" w:history="1">
              <w:r>
                <w:rPr>
                  <w:rStyle w:val="a3"/>
                  <w:rFonts w:eastAsia="Times New Roman"/>
                  <w:color w:val="000000"/>
                  <w:sz w:val="20"/>
                  <w:szCs w:val="20"/>
                  <w:u w:val="none"/>
                </w:rPr>
                <w:t>Market Risk Profile</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98" w:history="1">
              <w:r>
                <w:rPr>
                  <w:rStyle w:val="a3"/>
                  <w:rFonts w:eastAsia="Times New Roman"/>
                  <w:color w:val="000000"/>
                  <w:sz w:val="20"/>
                  <w:szCs w:val="20"/>
                  <w:u w:val="none"/>
                </w:rPr>
                <w:t>50</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2081824182"/>
              <w:rPr>
                <w:rFonts w:eastAsia="Times New Roman"/>
              </w:rPr>
            </w:pPr>
            <w:hyperlink w:anchor="ic1109d5aa548447c8224139b1ab22bde_43" w:history="1">
              <w:r>
                <w:rPr>
                  <w:rStyle w:val="a3"/>
                  <w:rFonts w:eastAsia="Times New Roman"/>
                  <w:color w:val="000000"/>
                  <w:sz w:val="20"/>
                  <w:szCs w:val="20"/>
                  <w:u w:val="none"/>
                </w:rPr>
                <w:t>Supervision and Regulation</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3" w:history="1">
              <w:r>
                <w:rPr>
                  <w:rStyle w:val="a3"/>
                  <w:rFonts w:eastAsia="Times New Roman"/>
                  <w:color w:val="000000"/>
                  <w:sz w:val="20"/>
                  <w:szCs w:val="20"/>
                  <w:u w:val="none"/>
                </w:rPr>
                <w:t>54</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1789622371"/>
              <w:rPr>
                <w:rFonts w:eastAsia="Times New Roman"/>
              </w:rPr>
            </w:pPr>
            <w:hyperlink w:anchor="ic1109d5aa548447c8224139b1ab22bde_58" w:history="1">
              <w:r>
                <w:rPr>
                  <w:rStyle w:val="a3"/>
                  <w:rFonts w:eastAsia="Times New Roman"/>
                  <w:color w:val="000000"/>
                  <w:sz w:val="20"/>
                  <w:szCs w:val="20"/>
                  <w:u w:val="none"/>
                </w:rPr>
                <w:t>Forward-Looking Statements</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58" w:history="1">
              <w:r>
                <w:rPr>
                  <w:rStyle w:val="a3"/>
                  <w:rFonts w:eastAsia="Times New Roman"/>
                  <w:color w:val="000000"/>
                  <w:sz w:val="20"/>
                  <w:szCs w:val="20"/>
                  <w:u w:val="none"/>
                </w:rPr>
                <w:t>55</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486746463"/>
              <w:rPr>
                <w:rFonts w:eastAsia="Times New Roman"/>
              </w:rPr>
            </w:pPr>
            <w:hyperlink w:anchor="ic1109d5aa548447c8224139b1ab22bde_307" w:history="1">
              <w:r>
                <w:rPr>
                  <w:rStyle w:val="a3"/>
                  <w:rFonts w:eastAsia="Times New Roman"/>
                  <w:color w:val="000000"/>
                  <w:sz w:val="20"/>
                  <w:szCs w:val="20"/>
                  <w:u w:val="none"/>
                </w:rPr>
                <w:t>Supplemental Table</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07" w:history="1">
              <w:r>
                <w:rPr>
                  <w:rStyle w:val="a3"/>
                  <w:rFonts w:eastAsia="Times New Roman"/>
                  <w:color w:val="000000"/>
                  <w:sz w:val="20"/>
                  <w:szCs w:val="20"/>
                  <w:u w:val="none"/>
                </w:rPr>
                <w:t>57</w:t>
              </w:r>
            </w:hyperlink>
          </w:p>
        </w:tc>
      </w:tr>
      <w:tr w:rsidR="00000000">
        <w:trPr>
          <w:divId w:val="68433139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divId w:val="805584802"/>
              <w:rPr>
                <w:rFonts w:eastAsia="Times New Roman"/>
              </w:rPr>
            </w:pPr>
            <w:hyperlink w:anchor="ic1109d5aa548447c8224139b1ab22bde_331" w:history="1">
              <w:r>
                <w:rPr>
                  <w:rStyle w:val="a3"/>
                  <w:rFonts w:eastAsia="Times New Roman"/>
                  <w:color w:val="000000"/>
                  <w:sz w:val="20"/>
                  <w:szCs w:val="20"/>
                  <w:u w:val="none"/>
                </w:rPr>
                <w:t>Glossary and Acronyms</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31" w:history="1">
              <w:r>
                <w:rPr>
                  <w:rStyle w:val="a3"/>
                  <w:rFonts w:eastAsia="Times New Roman"/>
                  <w:color w:val="000000"/>
                  <w:sz w:val="20"/>
                  <w:szCs w:val="20"/>
                  <w:u w:val="none"/>
                </w:rPr>
                <w:t>58</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26" style="width:0;height:1.5pt" o:hralign="center" o:hrstd="t" o:hr="t" fillcolor="#a0a0a0" stroked="f"/>
        </w:pict>
      </w:r>
    </w:p>
    <w:p w:rsidR="00000000" w:rsidRDefault="00E92DBE">
      <w:pPr>
        <w:jc w:val="both"/>
        <w:divId w:val="168100963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4"/>
        <w:gridCol w:w="569"/>
        <w:gridCol w:w="37"/>
        <w:gridCol w:w="69"/>
        <w:gridCol w:w="6842"/>
        <w:gridCol w:w="36"/>
        <w:gridCol w:w="69"/>
        <w:gridCol w:w="574"/>
        <w:gridCol w:w="36"/>
      </w:tblGrid>
      <w:tr w:rsidR="00000000">
        <w:trPr>
          <w:divId w:val="264505733"/>
        </w:trPr>
        <w:tc>
          <w:tcPr>
            <w:tcW w:w="50" w:type="pct"/>
            <w:vAlign w:val="center"/>
            <w:hideMark/>
          </w:tcPr>
          <w:p w:rsidR="00000000" w:rsidRDefault="00E92DBE">
            <w:pPr>
              <w:jc w:val="both"/>
              <w:rPr>
                <w:rFonts w:eastAsia="Times New Roman"/>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264505733"/>
        </w:trPr>
        <w:tc>
          <w:tcPr>
            <w:tcW w:w="0" w:type="auto"/>
            <w:gridSpan w:val="3"/>
            <w:tcMar>
              <w:top w:w="30" w:type="dxa"/>
              <w:left w:w="20" w:type="dxa"/>
              <w:bottom w:w="30" w:type="dxa"/>
              <w:right w:w="20" w:type="dxa"/>
            </w:tcMar>
            <w:vAlign w:val="center"/>
            <w:hideMark/>
          </w:tcPr>
          <w:p w:rsidR="00000000" w:rsidRDefault="00E92DBE">
            <w:pPr>
              <w:divId w:val="1269696333"/>
              <w:rPr>
                <w:rFonts w:eastAsia="Times New Roman"/>
              </w:rPr>
            </w:pPr>
            <w:hyperlink w:anchor="ic1109d5aa548447c8224139b1ab22bde_334" w:history="1">
              <w:r>
                <w:rPr>
                  <w:rStyle w:val="a3"/>
                  <w:rFonts w:eastAsia="Times New Roman"/>
                  <w:color w:val="000000"/>
                  <w:sz w:val="20"/>
                  <w:szCs w:val="20"/>
                  <w:u w:val="none"/>
                </w:rPr>
                <w:t xml:space="preserve">Item </w:t>
              </w:r>
            </w:hyperlink>
            <w:hyperlink w:anchor="ic1109d5aa548447c8224139b1ab22bde_334" w:history="1">
              <w:r>
                <w:rPr>
                  <w:rStyle w:val="a3"/>
                  <w:rFonts w:eastAsia="Times New Roman"/>
                  <w:color w:val="000000"/>
                  <w:sz w:val="20"/>
                  <w:szCs w:val="20"/>
                  <w:u w:val="none"/>
                </w:rPr>
                <w:t>3</w:t>
              </w:r>
            </w:hyperlink>
            <w:hyperlink w:anchor="ic1109d5aa548447c8224139b1ab22bde_334" w:history="1">
              <w:r>
                <w:rPr>
                  <w:rStyle w:val="a3"/>
                  <w:rFonts w:eastAsia="Times New Roman"/>
                  <w:color w:val="000000"/>
                  <w:sz w:val="20"/>
                  <w:szCs w:val="20"/>
                  <w:u w:val="none"/>
                </w:rPr>
                <w:t>.</w:t>
              </w:r>
            </w:hyperlink>
          </w:p>
        </w:tc>
        <w:tc>
          <w:tcPr>
            <w:tcW w:w="0" w:type="auto"/>
            <w:gridSpan w:val="3"/>
            <w:tcMar>
              <w:top w:w="30" w:type="dxa"/>
              <w:left w:w="20" w:type="dxa"/>
              <w:bottom w:w="30" w:type="dxa"/>
              <w:right w:w="20" w:type="dxa"/>
            </w:tcMar>
            <w:vAlign w:val="bottom"/>
            <w:hideMark/>
          </w:tcPr>
          <w:p w:rsidR="00000000" w:rsidRDefault="00E92DBE">
            <w:pPr>
              <w:divId w:val="767194232"/>
              <w:rPr>
                <w:rFonts w:eastAsia="Times New Roman"/>
              </w:rPr>
            </w:pPr>
            <w:hyperlink w:anchor="ic1109d5aa548447c8224139b1ab22bde_334" w:history="1">
              <w:r>
                <w:rPr>
                  <w:rStyle w:val="a3"/>
                  <w:rFonts w:eastAsia="Times New Roman"/>
                  <w:color w:val="000000"/>
                  <w:sz w:val="20"/>
                  <w:szCs w:val="20"/>
                  <w:u w:val="none"/>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34" w:history="1">
              <w:r>
                <w:rPr>
                  <w:rStyle w:val="a3"/>
                  <w:rFonts w:eastAsia="Times New Roman"/>
                  <w:color w:val="000000"/>
                  <w:sz w:val="20"/>
                  <w:szCs w:val="20"/>
                  <w:u w:val="none"/>
                </w:rPr>
                <w:t>118</w:t>
              </w:r>
            </w:hyperlink>
          </w:p>
        </w:tc>
      </w:tr>
      <w:tr w:rsidR="00000000">
        <w:trPr>
          <w:divId w:val="264505733"/>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tcMar>
              <w:top w:w="30" w:type="dxa"/>
              <w:left w:w="20" w:type="dxa"/>
              <w:bottom w:w="30" w:type="dxa"/>
              <w:right w:w="20" w:type="dxa"/>
            </w:tcMar>
            <w:vAlign w:val="center"/>
            <w:hideMark/>
          </w:tcPr>
          <w:p w:rsidR="00000000" w:rsidRDefault="00E92DBE">
            <w:pPr>
              <w:divId w:val="1479565772"/>
              <w:rPr>
                <w:rFonts w:eastAsia="Times New Roman"/>
              </w:rPr>
            </w:pPr>
            <w:hyperlink w:anchor="ic1109d5aa548447c8224139b1ab22bde_466" w:history="1">
              <w:r>
                <w:rPr>
                  <w:rStyle w:val="a3"/>
                  <w:rFonts w:eastAsia="Times New Roman"/>
                  <w:color w:val="000000"/>
                  <w:sz w:val="20"/>
                  <w:szCs w:val="20"/>
                  <w:u w:val="none"/>
                </w:rPr>
                <w:t>Item </w:t>
              </w:r>
            </w:hyperlink>
            <w:hyperlink w:anchor="ic1109d5aa548447c8224139b1ab22bde_466" w:history="1">
              <w:r>
                <w:rPr>
                  <w:rStyle w:val="a3"/>
                  <w:rFonts w:eastAsia="Times New Roman"/>
                  <w:color w:val="000000"/>
                  <w:sz w:val="20"/>
                  <w:szCs w:val="20"/>
                  <w:u w:val="none"/>
                </w:rPr>
                <w:t>4</w:t>
              </w:r>
            </w:hyperlink>
            <w:hyperlink w:anchor="ic1109d5aa548447c8224139b1ab22bde_466" w:history="1">
              <w:r>
                <w:rPr>
                  <w:rStyle w:val="a3"/>
                  <w:rFonts w:eastAsia="Times New Roman"/>
                  <w:color w:val="000000"/>
                  <w:sz w:val="20"/>
                  <w:szCs w:val="20"/>
                  <w:u w:val="none"/>
                </w:rPr>
                <w:t>.</w:t>
              </w:r>
            </w:hyperlink>
          </w:p>
        </w:tc>
        <w:tc>
          <w:tcPr>
            <w:tcW w:w="0" w:type="auto"/>
            <w:gridSpan w:val="3"/>
            <w:tcMar>
              <w:top w:w="30" w:type="dxa"/>
              <w:left w:w="20" w:type="dxa"/>
              <w:bottom w:w="30" w:type="dxa"/>
              <w:right w:w="20" w:type="dxa"/>
            </w:tcMar>
            <w:vAlign w:val="bottom"/>
            <w:hideMark/>
          </w:tcPr>
          <w:p w:rsidR="00000000" w:rsidRDefault="00E92DBE">
            <w:pPr>
              <w:divId w:val="1840193518"/>
              <w:rPr>
                <w:rFonts w:eastAsia="Times New Roman"/>
              </w:rPr>
            </w:pPr>
            <w:hyperlink w:anchor="ic1109d5aa548447c8224139b1ab22bde_466" w:history="1">
              <w:r>
                <w:rPr>
                  <w:rStyle w:val="a3"/>
                  <w:rFonts w:eastAsia="Times New Roman"/>
                  <w:color w:val="000000"/>
                  <w:sz w:val="20"/>
                  <w:szCs w:val="20"/>
                  <w:u w:val="none"/>
                </w:rPr>
                <w:t>Contro</w:t>
              </w:r>
              <w:r>
                <w:rPr>
                  <w:rStyle w:val="a3"/>
                  <w:rFonts w:eastAsia="Times New Roman"/>
                  <w:color w:val="000000"/>
                  <w:sz w:val="20"/>
                  <w:szCs w:val="20"/>
                  <w:u w:val="none"/>
                </w:rPr>
                <w:t>ls and Procedures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66" w:history="1">
              <w:r>
                <w:rPr>
                  <w:rStyle w:val="a3"/>
                  <w:rFonts w:eastAsia="Times New Roman"/>
                  <w:color w:val="000000"/>
                  <w:sz w:val="20"/>
                  <w:szCs w:val="20"/>
                  <w:u w:val="none"/>
                </w:rPr>
                <w:t>118</w:t>
              </w:r>
            </w:hyperlink>
          </w:p>
        </w:tc>
      </w:tr>
      <w:tr w:rsidR="00000000">
        <w:trPr>
          <w:divId w:val="264505733"/>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Height w:val="28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264505733"/>
        </w:trPr>
        <w:tc>
          <w:tcPr>
            <w:tcW w:w="0" w:type="auto"/>
            <w:gridSpan w:val="6"/>
            <w:tcMar>
              <w:top w:w="30" w:type="dxa"/>
              <w:left w:w="20" w:type="dxa"/>
              <w:bottom w:w="30" w:type="dxa"/>
              <w:right w:w="20" w:type="dxa"/>
            </w:tcMar>
            <w:vAlign w:val="bottom"/>
            <w:hideMark/>
          </w:tcPr>
          <w:p w:rsidR="00000000" w:rsidRDefault="00E92DBE">
            <w:pPr>
              <w:divId w:val="224416951"/>
              <w:rPr>
                <w:rFonts w:eastAsia="Times New Roman"/>
              </w:rPr>
            </w:pPr>
            <w:hyperlink w:anchor="ic1109d5aa548447c8224139b1ab22bde_472" w:history="1">
              <w:r>
                <w:rPr>
                  <w:rStyle w:val="a3"/>
                  <w:rFonts w:eastAsia="Times New Roman"/>
                  <w:b/>
                  <w:bCs/>
                  <w:color w:val="000000"/>
                  <w:sz w:val="20"/>
                  <w:szCs w:val="20"/>
                  <w:u w:val="none"/>
                </w:rPr>
                <w:t>PART II—OTHER INFORMATION</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72" w:history="1">
              <w:r>
                <w:rPr>
                  <w:rStyle w:val="a3"/>
                  <w:rFonts w:eastAsia="Times New Roman"/>
                  <w:b/>
                  <w:bCs/>
                  <w:color w:val="000000"/>
                  <w:sz w:val="20"/>
                  <w:szCs w:val="20"/>
                  <w:u w:val="none"/>
                </w:rPr>
                <w:t>119</w:t>
              </w:r>
            </w:hyperlink>
          </w:p>
        </w:tc>
      </w:tr>
      <w:tr w:rsidR="00000000">
        <w:trPr>
          <w:divId w:val="264505733"/>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tcMar>
              <w:top w:w="30" w:type="dxa"/>
              <w:left w:w="20" w:type="dxa"/>
              <w:bottom w:w="30" w:type="dxa"/>
              <w:right w:w="20" w:type="dxa"/>
            </w:tcMar>
            <w:vAlign w:val="center"/>
            <w:hideMark/>
          </w:tcPr>
          <w:p w:rsidR="00000000" w:rsidRDefault="00E92DBE">
            <w:pPr>
              <w:divId w:val="617181447"/>
              <w:rPr>
                <w:rFonts w:eastAsia="Times New Roman"/>
              </w:rPr>
            </w:pPr>
            <w:hyperlink w:anchor="ic1109d5aa548447c8224139b1ab22bde_70"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E92DBE">
            <w:pPr>
              <w:divId w:val="1191458856"/>
              <w:rPr>
                <w:rFonts w:eastAsia="Times New Roman"/>
              </w:rPr>
            </w:pPr>
            <w:hyperlink w:anchor="ic1109d5aa548447c8224139b1ab22bde_70" w:history="1">
              <w:r>
                <w:rPr>
                  <w:rStyle w:val="a3"/>
                  <w:rFonts w:eastAsia="Times New Roman"/>
                  <w:color w:val="000000"/>
                  <w:sz w:val="20"/>
                  <w:szCs w:val="20"/>
                  <w:u w:val="none"/>
                </w:rPr>
                <w:t>Legal Proceedings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70" w:history="1">
              <w:r>
                <w:rPr>
                  <w:rStyle w:val="a3"/>
                  <w:rFonts w:eastAsia="Times New Roman"/>
                  <w:color w:val="000000"/>
                  <w:sz w:val="20"/>
                  <w:szCs w:val="20"/>
                  <w:u w:val="none"/>
                </w:rPr>
                <w:t>119</w:t>
              </w:r>
            </w:hyperlink>
          </w:p>
        </w:tc>
      </w:tr>
      <w:tr w:rsidR="00000000">
        <w:trPr>
          <w:divId w:val="264505733"/>
        </w:trPr>
        <w:tc>
          <w:tcPr>
            <w:tcW w:w="0" w:type="auto"/>
            <w:gridSpan w:val="3"/>
            <w:tcMar>
              <w:top w:w="30" w:type="dxa"/>
              <w:left w:w="20" w:type="dxa"/>
              <w:bottom w:w="30" w:type="dxa"/>
              <w:right w:w="20" w:type="dxa"/>
            </w:tcMar>
            <w:vAlign w:val="center"/>
            <w:hideMark/>
          </w:tcPr>
          <w:p w:rsidR="00000000" w:rsidRDefault="00E92DBE">
            <w:pPr>
              <w:divId w:val="1918636125"/>
              <w:rPr>
                <w:rFonts w:eastAsia="Times New Roman"/>
              </w:rPr>
            </w:pPr>
            <w:hyperlink w:anchor="ic1109d5aa548447c8224139b1ab22bde_61"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rsidR="00000000" w:rsidRDefault="00E92DBE">
            <w:pPr>
              <w:divId w:val="1556313863"/>
              <w:rPr>
                <w:rFonts w:eastAsia="Times New Roman"/>
              </w:rPr>
            </w:pPr>
            <w:hyperlink w:anchor="ic1109d5aa548447c8224139b1ab22bde_61" w:history="1">
              <w:r>
                <w:rPr>
                  <w:rStyle w:val="a3"/>
                  <w:rFonts w:eastAsia="Times New Roman"/>
                  <w:color w:val="000000"/>
                  <w:sz w:val="20"/>
                  <w:szCs w:val="20"/>
                  <w:u w:val="none"/>
                </w:rPr>
                <w:t>Risk Factors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61" w:history="1">
              <w:r>
                <w:rPr>
                  <w:rStyle w:val="a3"/>
                  <w:rFonts w:eastAsia="Times New Roman"/>
                  <w:color w:val="000000"/>
                  <w:sz w:val="20"/>
                  <w:szCs w:val="20"/>
                  <w:u w:val="none"/>
                </w:rPr>
                <w:t>119</w:t>
              </w:r>
            </w:hyperlink>
          </w:p>
        </w:tc>
      </w:tr>
      <w:tr w:rsidR="00000000">
        <w:trPr>
          <w:divId w:val="264505733"/>
        </w:trPr>
        <w:tc>
          <w:tcPr>
            <w:tcW w:w="0" w:type="auto"/>
            <w:gridSpan w:val="3"/>
            <w:tcMar>
              <w:top w:w="30" w:type="dxa"/>
              <w:left w:w="20" w:type="dxa"/>
              <w:bottom w:w="30" w:type="dxa"/>
              <w:right w:w="20" w:type="dxa"/>
            </w:tcMar>
            <w:vAlign w:val="center"/>
            <w:hideMark/>
          </w:tcPr>
          <w:p w:rsidR="00000000" w:rsidRDefault="00E92DBE">
            <w:pPr>
              <w:divId w:val="2115199817"/>
              <w:rPr>
                <w:rFonts w:eastAsia="Times New Roman"/>
              </w:rPr>
            </w:pPr>
            <w:hyperlink w:anchor="ic1109d5aa548447c8224139b1ab22bde_475"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E92DBE">
            <w:pPr>
              <w:divId w:val="446313768"/>
              <w:rPr>
                <w:rFonts w:eastAsia="Times New Roman"/>
              </w:rPr>
            </w:pPr>
            <w:hyperlink w:anchor="ic1109d5aa548447c8224139b1ab22bde_475" w:history="1">
              <w:r>
                <w:rPr>
                  <w:rStyle w:val="a3"/>
                  <w:rFonts w:eastAsia="Times New Roman"/>
                  <w:color w:val="000000"/>
                  <w:sz w:val="20"/>
                  <w:szCs w:val="20"/>
                  <w:u w:val="none"/>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75" w:history="1">
              <w:r>
                <w:rPr>
                  <w:rStyle w:val="a3"/>
                  <w:rFonts w:eastAsia="Times New Roman"/>
                  <w:color w:val="000000"/>
                  <w:sz w:val="20"/>
                  <w:szCs w:val="20"/>
                  <w:u w:val="none"/>
                </w:rPr>
                <w:t>119</w:t>
              </w:r>
            </w:hyperlink>
          </w:p>
        </w:tc>
      </w:tr>
      <w:tr w:rsidR="00000000">
        <w:trPr>
          <w:divId w:val="264505733"/>
        </w:trPr>
        <w:tc>
          <w:tcPr>
            <w:tcW w:w="0" w:type="auto"/>
            <w:gridSpan w:val="3"/>
            <w:tcMar>
              <w:top w:w="30" w:type="dxa"/>
              <w:left w:w="20" w:type="dxa"/>
              <w:bottom w:w="30" w:type="dxa"/>
              <w:right w:w="20" w:type="dxa"/>
            </w:tcMar>
            <w:vAlign w:val="center"/>
            <w:hideMark/>
          </w:tcPr>
          <w:p w:rsidR="00000000" w:rsidRDefault="00E92DBE">
            <w:pPr>
              <w:divId w:val="1283269324"/>
              <w:rPr>
                <w:rFonts w:eastAsia="Times New Roman"/>
              </w:rPr>
            </w:pPr>
            <w:hyperlink w:anchor="ic1109d5aa548447c8224139b1ab22bde_478"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E92DBE">
            <w:pPr>
              <w:divId w:val="10298530"/>
              <w:rPr>
                <w:rFonts w:eastAsia="Times New Roman"/>
              </w:rPr>
            </w:pPr>
            <w:hyperlink w:anchor="ic1109d5aa548447c8224139b1ab22bde_478" w:history="1">
              <w:r>
                <w:rPr>
                  <w:rStyle w:val="a3"/>
                  <w:rFonts w:eastAsia="Times New Roman"/>
                  <w:color w:val="000000"/>
                  <w:sz w:val="20"/>
                  <w:szCs w:val="20"/>
                  <w:u w:val="none"/>
                </w:rPr>
                <w:t>Defaults Upon Senior Securities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78" w:history="1">
              <w:r>
                <w:rPr>
                  <w:rStyle w:val="a3"/>
                  <w:rFonts w:eastAsia="Times New Roman"/>
                  <w:color w:val="000000"/>
                  <w:sz w:val="20"/>
                  <w:szCs w:val="20"/>
                  <w:u w:val="none"/>
                </w:rPr>
                <w:t>119</w:t>
              </w:r>
            </w:hyperlink>
          </w:p>
        </w:tc>
      </w:tr>
      <w:tr w:rsidR="00000000">
        <w:trPr>
          <w:divId w:val="264505733"/>
        </w:trPr>
        <w:tc>
          <w:tcPr>
            <w:tcW w:w="0" w:type="auto"/>
            <w:gridSpan w:val="3"/>
            <w:tcMar>
              <w:top w:w="30" w:type="dxa"/>
              <w:left w:w="20" w:type="dxa"/>
              <w:bottom w:w="30" w:type="dxa"/>
              <w:right w:w="20" w:type="dxa"/>
            </w:tcMar>
            <w:vAlign w:val="center"/>
            <w:hideMark/>
          </w:tcPr>
          <w:p w:rsidR="00000000" w:rsidRDefault="00E92DBE">
            <w:pPr>
              <w:divId w:val="1988588001"/>
              <w:rPr>
                <w:rFonts w:eastAsia="Times New Roman"/>
              </w:rPr>
            </w:pPr>
            <w:hyperlink w:anchor="ic1109d5aa548447c8224139b1ab22bde_73"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E92DBE">
            <w:pPr>
              <w:divId w:val="1747803897"/>
              <w:rPr>
                <w:rFonts w:eastAsia="Times New Roman"/>
              </w:rPr>
            </w:pPr>
            <w:hyperlink w:anchor="ic1109d5aa548447c8224139b1ab22bde_73" w:history="1">
              <w:r>
                <w:rPr>
                  <w:rStyle w:val="a3"/>
                  <w:rFonts w:eastAsia="Times New Roman"/>
                  <w:color w:val="000000"/>
                  <w:sz w:val="20"/>
                  <w:szCs w:val="20"/>
                  <w:u w:val="none"/>
                </w:rPr>
                <w:t>Mine Safety Disclosures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73" w:history="1">
              <w:r>
                <w:rPr>
                  <w:rStyle w:val="a3"/>
                  <w:rFonts w:eastAsia="Times New Roman"/>
                  <w:color w:val="000000"/>
                  <w:sz w:val="20"/>
                  <w:szCs w:val="20"/>
                  <w:u w:val="none"/>
                </w:rPr>
                <w:t>119</w:t>
              </w:r>
            </w:hyperlink>
          </w:p>
        </w:tc>
      </w:tr>
      <w:tr w:rsidR="00000000">
        <w:trPr>
          <w:divId w:val="264505733"/>
        </w:trPr>
        <w:tc>
          <w:tcPr>
            <w:tcW w:w="0" w:type="auto"/>
            <w:gridSpan w:val="3"/>
            <w:tcMar>
              <w:top w:w="30" w:type="dxa"/>
              <w:left w:w="20" w:type="dxa"/>
              <w:bottom w:w="30" w:type="dxa"/>
              <w:right w:w="20" w:type="dxa"/>
            </w:tcMar>
            <w:vAlign w:val="center"/>
            <w:hideMark/>
          </w:tcPr>
          <w:p w:rsidR="00000000" w:rsidRDefault="00E92DBE">
            <w:pPr>
              <w:divId w:val="217128047"/>
              <w:rPr>
                <w:rFonts w:eastAsia="Times New Roman"/>
              </w:rPr>
            </w:pPr>
            <w:hyperlink w:anchor="ic1109d5aa548447c8224139b1ab22bde_469"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rsidR="00000000" w:rsidRDefault="00E92DBE">
            <w:pPr>
              <w:divId w:val="1654602375"/>
              <w:rPr>
                <w:rFonts w:eastAsia="Times New Roman"/>
              </w:rPr>
            </w:pPr>
            <w:hyperlink w:anchor="ic1109d5aa548447c8224139b1ab22bde_469" w:history="1">
              <w:r>
                <w:rPr>
                  <w:rStyle w:val="a3"/>
                  <w:rFonts w:eastAsia="Times New Roman"/>
                  <w:color w:val="000000"/>
                  <w:sz w:val="20"/>
                  <w:szCs w:val="20"/>
                  <w:u w:val="none"/>
                </w:rPr>
                <w:t>Other Information</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69" w:history="1">
              <w:r>
                <w:rPr>
                  <w:rStyle w:val="a3"/>
                  <w:rFonts w:eastAsia="Times New Roman"/>
                  <w:color w:val="000000"/>
                  <w:sz w:val="20"/>
                  <w:szCs w:val="20"/>
                  <w:u w:val="none"/>
                </w:rPr>
                <w:t>119</w:t>
              </w:r>
            </w:hyperlink>
          </w:p>
        </w:tc>
      </w:tr>
      <w:tr w:rsidR="00000000">
        <w:trPr>
          <w:divId w:val="264505733"/>
        </w:trPr>
        <w:tc>
          <w:tcPr>
            <w:tcW w:w="0" w:type="auto"/>
            <w:gridSpan w:val="3"/>
            <w:tcMar>
              <w:top w:w="30" w:type="dxa"/>
              <w:left w:w="20" w:type="dxa"/>
              <w:bottom w:w="30" w:type="dxa"/>
              <w:right w:w="20" w:type="dxa"/>
            </w:tcMar>
            <w:vAlign w:val="center"/>
            <w:hideMark/>
          </w:tcPr>
          <w:p w:rsidR="00000000" w:rsidRDefault="00E92DBE">
            <w:pPr>
              <w:divId w:val="1905332362"/>
              <w:rPr>
                <w:rFonts w:eastAsia="Times New Roman"/>
              </w:rPr>
            </w:pPr>
            <w:hyperlink w:anchor="ic1109d5aa548447c8224139b1ab22bde_481"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rsidR="00000000" w:rsidRDefault="00E92DBE">
            <w:pPr>
              <w:divId w:val="28727519"/>
              <w:rPr>
                <w:rFonts w:eastAsia="Times New Roman"/>
              </w:rPr>
            </w:pPr>
            <w:hyperlink w:anchor="ic1109d5aa548447c8224139b1ab22bde_481" w:history="1">
              <w:r>
                <w:rPr>
                  <w:rStyle w:val="a3"/>
                  <w:rFonts w:eastAsia="Times New Roman"/>
                  <w:color w:val="000000"/>
                  <w:sz w:val="20"/>
                  <w:szCs w:val="20"/>
                  <w:u w:val="none"/>
                </w:rPr>
                <w:t>Exhibits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481" w:history="1">
              <w:r>
                <w:rPr>
                  <w:rStyle w:val="a3"/>
                  <w:rFonts w:eastAsia="Times New Roman"/>
                  <w:color w:val="000000"/>
                  <w:sz w:val="20"/>
                  <w:szCs w:val="20"/>
                  <w:u w:val="none"/>
                </w:rPr>
                <w:t>119</w:t>
              </w:r>
            </w:hyperlink>
          </w:p>
        </w:tc>
      </w:tr>
      <w:tr w:rsidR="00000000">
        <w:trPr>
          <w:divId w:val="264505733"/>
          <w:trHeight w:val="28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64505733"/>
        </w:trPr>
        <w:tc>
          <w:tcPr>
            <w:tcW w:w="0" w:type="auto"/>
            <w:gridSpan w:val="6"/>
            <w:tcMar>
              <w:top w:w="30" w:type="dxa"/>
              <w:left w:w="20" w:type="dxa"/>
              <w:bottom w:w="30" w:type="dxa"/>
              <w:right w:w="20" w:type="dxa"/>
            </w:tcMar>
            <w:hideMark/>
          </w:tcPr>
          <w:p w:rsidR="00000000" w:rsidRDefault="00E92DBE">
            <w:pPr>
              <w:divId w:val="2061707817"/>
              <w:rPr>
                <w:rFonts w:eastAsia="Times New Roman"/>
              </w:rPr>
            </w:pPr>
            <w:hyperlink w:anchor="ic1109d5aa548447c8224139b1ab22bde_508" w:history="1">
              <w:r>
                <w:rPr>
                  <w:rStyle w:val="a3"/>
                  <w:rFonts w:eastAsia="Times New Roman"/>
                  <w:b/>
                  <w:bCs/>
                  <w:color w:val="000000"/>
                  <w:sz w:val="20"/>
                  <w:szCs w:val="20"/>
                  <w:u w:val="none"/>
                </w:rPr>
                <w:t>EXHIBIT INDEX</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508" w:history="1">
              <w:r>
                <w:rPr>
                  <w:rStyle w:val="a3"/>
                  <w:rFonts w:eastAsia="Times New Roman"/>
                  <w:b/>
                  <w:bCs/>
                  <w:color w:val="000000"/>
                  <w:sz w:val="20"/>
                  <w:szCs w:val="20"/>
                  <w:u w:val="none"/>
                </w:rPr>
                <w:t>120</w:t>
              </w:r>
            </w:hyperlink>
          </w:p>
        </w:tc>
      </w:tr>
      <w:tr w:rsidR="00000000">
        <w:trPr>
          <w:divId w:val="264505733"/>
        </w:trPr>
        <w:tc>
          <w:tcPr>
            <w:tcW w:w="0" w:type="auto"/>
            <w:gridSpan w:val="6"/>
            <w:tcMar>
              <w:top w:w="30" w:type="dxa"/>
              <w:left w:w="20" w:type="dxa"/>
              <w:bottom w:w="30" w:type="dxa"/>
              <w:right w:w="20" w:type="dxa"/>
            </w:tcMar>
            <w:hideMark/>
          </w:tcPr>
          <w:p w:rsidR="00000000" w:rsidRDefault="00E92DBE">
            <w:pPr>
              <w:divId w:val="121732899"/>
              <w:rPr>
                <w:rFonts w:eastAsia="Times New Roman"/>
              </w:rPr>
            </w:pPr>
            <w:hyperlink w:anchor="ic1109d5aa548447c8224139b1ab22bde_511" w:history="1">
              <w:r>
                <w:rPr>
                  <w:rStyle w:val="a3"/>
                  <w:rFonts w:eastAsia="Times New Roman"/>
                  <w:b/>
                  <w:bCs/>
                  <w:color w:val="000000"/>
                  <w:sz w:val="20"/>
                  <w:szCs w:val="20"/>
                  <w:u w:val="none"/>
                </w:rPr>
                <w:t>SIGNATURES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511" w:history="1">
              <w:r>
                <w:rPr>
                  <w:rStyle w:val="a3"/>
                  <w:rFonts w:eastAsia="Times New Roman"/>
                  <w:b/>
                  <w:bCs/>
                  <w:color w:val="000000"/>
                  <w:sz w:val="20"/>
                  <w:szCs w:val="20"/>
                  <w:u w:val="none"/>
                </w:rPr>
                <w:t>121</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2</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27" style="width:0;height:1.5pt" o:hralign="center" o:hrstd="t" o:hr="t" fillcolor="#a0a0a0" stroked="f"/>
        </w:pict>
      </w:r>
    </w:p>
    <w:p w:rsidR="00000000" w:rsidRDefault="00E92DBE">
      <w:pPr>
        <w:jc w:val="both"/>
        <w:divId w:val="1748457736"/>
        <w:rPr>
          <w:rFonts w:eastAsia="Times New Roman"/>
        </w:rPr>
      </w:pPr>
    </w:p>
    <w:p w:rsidR="00000000" w:rsidRDefault="00E92DBE">
      <w:pPr>
        <w:jc w:val="center"/>
        <w:divId w:val="1217425199"/>
        <w:rPr>
          <w:rFonts w:eastAsia="Times New Roman"/>
        </w:rPr>
      </w:pPr>
      <w:r>
        <w:rPr>
          <w:rFonts w:eastAsia="Times New Roman"/>
          <w:b/>
          <w:bCs/>
          <w:color w:val="000000"/>
          <w:sz w:val="20"/>
          <w:szCs w:val="20"/>
        </w:rPr>
        <w:t>INDEX OF MD&amp;A AND SUPPLEMENTAL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08"/>
        <w:gridCol w:w="39"/>
        <w:gridCol w:w="68"/>
        <w:gridCol w:w="6965"/>
        <w:gridCol w:w="39"/>
        <w:gridCol w:w="73"/>
        <w:gridCol w:w="410"/>
        <w:gridCol w:w="36"/>
      </w:tblGrid>
      <w:tr w:rsidR="00000000">
        <w:trPr>
          <w:divId w:val="1564214348"/>
          <w:jc w:val="center"/>
        </w:trPr>
        <w:tc>
          <w:tcPr>
            <w:tcW w:w="50" w:type="pct"/>
            <w:vAlign w:val="center"/>
            <w:hideMark/>
          </w:tcPr>
          <w:p w:rsidR="00000000" w:rsidRDefault="00E92DBE">
            <w:pPr>
              <w:jc w:val="center"/>
              <w:rPr>
                <w:rFonts w:eastAsia="Times New Roman"/>
              </w:rPr>
            </w:pPr>
          </w:p>
        </w:tc>
        <w:tc>
          <w:tcPr>
            <w:tcW w:w="37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20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5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564214348"/>
          <w:jc w:val="center"/>
        </w:trPr>
        <w:tc>
          <w:tcPr>
            <w:tcW w:w="0" w:type="auto"/>
            <w:gridSpan w:val="6"/>
            <w:tcMar>
              <w:top w:w="30" w:type="dxa"/>
              <w:left w:w="20" w:type="dxa"/>
              <w:bottom w:w="30" w:type="dxa"/>
              <w:right w:w="20" w:type="dxa"/>
            </w:tcMar>
            <w:vAlign w:val="bottom"/>
            <w:hideMark/>
          </w:tcPr>
          <w:p w:rsidR="00000000" w:rsidRDefault="00E92DBE">
            <w:pPr>
              <w:divId w:val="65615100"/>
              <w:rPr>
                <w:rFonts w:eastAsia="Times New Roman"/>
              </w:rPr>
            </w:pPr>
            <w:hyperlink w:anchor="ic1109d5aa548447c8224139b1ab22bde_94" w:history="1">
              <w:r>
                <w:rPr>
                  <w:rStyle w:val="a3"/>
                  <w:rFonts w:eastAsia="Times New Roman"/>
                  <w:b/>
                  <w:bCs/>
                  <w:color w:val="000000"/>
                  <w:sz w:val="20"/>
                  <w:szCs w:val="20"/>
                  <w:u w:val="none"/>
                </w:rPr>
                <w:t>MD&amp;A Tables: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20"/>
                <w:szCs w:val="20"/>
              </w:rPr>
              <w:t>Page</w:t>
            </w:r>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E92DBE">
            <w:pPr>
              <w:divId w:val="986860210"/>
              <w:rPr>
                <w:rFonts w:eastAsia="Times New Roman"/>
              </w:rPr>
            </w:pPr>
            <w:hyperlink w:anchor="ic1109d5aa548447c8224139b1ab22bde_91" w:history="1">
              <w:r>
                <w:rPr>
                  <w:rStyle w:val="a3"/>
                  <w:rFonts w:eastAsia="Times New Roman"/>
                  <w:color w:val="000000"/>
                  <w:sz w:val="20"/>
                  <w:szCs w:val="20"/>
                  <w:u w:val="none"/>
                </w:rPr>
                <w:t>Consolidated Financial Highlights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91" w:history="1">
              <w:r>
                <w:rPr>
                  <w:rStyle w:val="a3"/>
                  <w:rFonts w:eastAsia="Times New Roman"/>
                  <w:color w:val="000000"/>
                  <w:sz w:val="20"/>
                  <w:szCs w:val="20"/>
                  <w:u w:val="none"/>
                </w:rPr>
                <w:t>6</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rsidR="00000000" w:rsidRDefault="00E92DBE">
            <w:pPr>
              <w:divId w:val="869680538"/>
              <w:rPr>
                <w:rFonts w:eastAsia="Times New Roman"/>
              </w:rPr>
            </w:pPr>
            <w:hyperlink w:anchor="ic1109d5aa548447c8224139b1ab22bde_124" w:history="1">
              <w:r>
                <w:rPr>
                  <w:rStyle w:val="a3"/>
                  <w:rFonts w:eastAsia="Times New Roman"/>
                  <w:color w:val="000000"/>
                  <w:sz w:val="20"/>
                  <w:szCs w:val="20"/>
                  <w:u w:val="none"/>
                </w:rPr>
                <w:t>Average Balances, Net Interest Income and Net Interest Margin</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24" w:history="1">
              <w:r>
                <w:rPr>
                  <w:rStyle w:val="a3"/>
                  <w:rFonts w:eastAsia="Times New Roman"/>
                  <w:color w:val="000000"/>
                  <w:sz w:val="20"/>
                  <w:szCs w:val="20"/>
                  <w:u w:val="none"/>
                </w:rPr>
                <w:t>12</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rsidR="00000000" w:rsidRDefault="00E92DBE">
            <w:pPr>
              <w:divId w:val="1319960584"/>
              <w:rPr>
                <w:rFonts w:eastAsia="Times New Roman"/>
              </w:rPr>
            </w:pPr>
            <w:hyperlink w:anchor="ic1109d5aa548447c8224139b1ab22bde_127" w:history="1">
              <w:r>
                <w:rPr>
                  <w:rStyle w:val="a3"/>
                  <w:rFonts w:eastAsia="Times New Roman"/>
                  <w:color w:val="000000"/>
                  <w:sz w:val="20"/>
                  <w:szCs w:val="20"/>
                  <w:u w:val="none"/>
                </w:rPr>
                <w:t>Ra</w:t>
              </w:r>
              <w:r>
                <w:rPr>
                  <w:rStyle w:val="a3"/>
                  <w:rFonts w:eastAsia="Times New Roman"/>
                  <w:color w:val="000000"/>
                  <w:sz w:val="20"/>
                  <w:szCs w:val="20"/>
                  <w:u w:val="none"/>
                </w:rPr>
                <w:t>te/Volume Analysis of Net Interest Income</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27" w:history="1">
              <w:r>
                <w:rPr>
                  <w:rStyle w:val="a3"/>
                  <w:rFonts w:eastAsia="Times New Roman"/>
                  <w:color w:val="000000"/>
                  <w:sz w:val="20"/>
                  <w:szCs w:val="20"/>
                  <w:u w:val="none"/>
                </w:rPr>
                <w:t>13</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rsidR="00000000" w:rsidRDefault="00E92DBE">
            <w:pPr>
              <w:divId w:val="768504332"/>
              <w:rPr>
                <w:rFonts w:eastAsia="Times New Roman"/>
              </w:rPr>
            </w:pPr>
            <w:hyperlink w:anchor="ic1109d5aa548447c8224139b1ab22bde_130" w:history="1">
              <w:r>
                <w:rPr>
                  <w:rStyle w:val="a3"/>
                  <w:rFonts w:eastAsia="Times New Roman"/>
                  <w:color w:val="000000"/>
                  <w:sz w:val="20"/>
                  <w:szCs w:val="20"/>
                  <w:u w:val="none"/>
                </w:rPr>
                <w:t>Non-Interest Income</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30" w:history="1">
              <w:r>
                <w:rPr>
                  <w:rStyle w:val="a3"/>
                  <w:rFonts w:eastAsia="Times New Roman"/>
                  <w:color w:val="000000"/>
                  <w:sz w:val="20"/>
                  <w:szCs w:val="20"/>
                  <w:u w:val="none"/>
                </w:rPr>
                <w:t>14</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5</w:t>
            </w:r>
          </w:p>
        </w:tc>
        <w:tc>
          <w:tcPr>
            <w:tcW w:w="0" w:type="auto"/>
            <w:gridSpan w:val="3"/>
            <w:tcMar>
              <w:top w:w="30" w:type="dxa"/>
              <w:left w:w="20" w:type="dxa"/>
              <w:bottom w:w="30" w:type="dxa"/>
              <w:right w:w="20" w:type="dxa"/>
            </w:tcMar>
            <w:vAlign w:val="bottom"/>
            <w:hideMark/>
          </w:tcPr>
          <w:p w:rsidR="00000000" w:rsidRDefault="00E92DBE">
            <w:pPr>
              <w:divId w:val="1368018676"/>
              <w:rPr>
                <w:rFonts w:eastAsia="Times New Roman"/>
              </w:rPr>
            </w:pPr>
            <w:hyperlink w:anchor="ic1109d5aa548447c8224139b1ab22bde_136" w:history="1">
              <w:r>
                <w:rPr>
                  <w:rStyle w:val="a3"/>
                  <w:rFonts w:eastAsia="Times New Roman"/>
                  <w:color w:val="000000"/>
                  <w:sz w:val="20"/>
                  <w:szCs w:val="20"/>
                  <w:u w:val="none"/>
                </w:rPr>
                <w:t>Non-Interest Expense</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36" w:history="1">
              <w:r>
                <w:rPr>
                  <w:rStyle w:val="a3"/>
                  <w:rFonts w:eastAsia="Times New Roman"/>
                  <w:color w:val="000000"/>
                  <w:sz w:val="20"/>
                  <w:szCs w:val="20"/>
                  <w:u w:val="none"/>
                </w:rPr>
                <w:t>15</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6</w:t>
            </w:r>
          </w:p>
        </w:tc>
        <w:tc>
          <w:tcPr>
            <w:tcW w:w="0" w:type="auto"/>
            <w:gridSpan w:val="3"/>
            <w:tcMar>
              <w:top w:w="30" w:type="dxa"/>
              <w:left w:w="20" w:type="dxa"/>
              <w:bottom w:w="30" w:type="dxa"/>
              <w:right w:w="20" w:type="dxa"/>
            </w:tcMar>
            <w:vAlign w:val="bottom"/>
            <w:hideMark/>
          </w:tcPr>
          <w:p w:rsidR="00000000" w:rsidRDefault="00E92DBE">
            <w:pPr>
              <w:divId w:val="1960991885"/>
              <w:rPr>
                <w:rFonts w:eastAsia="Times New Roman"/>
              </w:rPr>
            </w:pPr>
            <w:hyperlink w:anchor="ic1109d5aa548447c8224139b1ab22bde_148" w:history="1">
              <w:r>
                <w:rPr>
                  <w:rStyle w:val="a3"/>
                  <w:rFonts w:eastAsia="Times New Roman"/>
                  <w:color w:val="000000"/>
                  <w:sz w:val="20"/>
                  <w:szCs w:val="20"/>
                  <w:u w:val="none"/>
                </w:rPr>
                <w:t>Investment Securities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48" w:history="1">
              <w:r>
                <w:rPr>
                  <w:rStyle w:val="a3"/>
                  <w:rFonts w:eastAsia="Times New Roman"/>
                  <w:color w:val="000000"/>
                  <w:sz w:val="20"/>
                  <w:szCs w:val="20"/>
                  <w:u w:val="none"/>
                </w:rPr>
                <w:t>16</w:t>
              </w:r>
            </w:hyperlink>
          </w:p>
        </w:tc>
      </w:tr>
      <w:tr w:rsidR="00000000">
        <w:trPr>
          <w:divId w:val="1564214348"/>
          <w:jc w:val="center"/>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rsidR="00000000" w:rsidRDefault="00E92DBE">
            <w:pPr>
              <w:divId w:val="626856569"/>
              <w:rPr>
                <w:rFonts w:eastAsia="Times New Roman"/>
              </w:rPr>
            </w:pPr>
            <w:hyperlink w:anchor="ic1109d5aa548447c8224139b1ab22bde_151" w:history="1">
              <w:r>
                <w:rPr>
                  <w:rStyle w:val="a3"/>
                  <w:rFonts w:eastAsia="Times New Roman"/>
                  <w:color w:val="000000"/>
                  <w:sz w:val="20"/>
                  <w:szCs w:val="20"/>
                  <w:u w:val="none"/>
                </w:rPr>
                <w:t>Loans Held for Investment</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51" w:history="1">
              <w:r>
                <w:rPr>
                  <w:rStyle w:val="a3"/>
                  <w:rFonts w:eastAsia="Times New Roman"/>
                  <w:color w:val="000000"/>
                  <w:sz w:val="20"/>
                  <w:szCs w:val="20"/>
                  <w:u w:val="none"/>
                </w:rPr>
                <w:t>17</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8</w:t>
            </w:r>
          </w:p>
        </w:tc>
        <w:tc>
          <w:tcPr>
            <w:tcW w:w="0" w:type="auto"/>
            <w:gridSpan w:val="3"/>
            <w:tcMar>
              <w:top w:w="30" w:type="dxa"/>
              <w:left w:w="20" w:type="dxa"/>
              <w:bottom w:w="30" w:type="dxa"/>
              <w:right w:w="20" w:type="dxa"/>
            </w:tcMar>
            <w:vAlign w:val="bottom"/>
            <w:hideMark/>
          </w:tcPr>
          <w:p w:rsidR="00000000" w:rsidRDefault="00E92DBE">
            <w:pPr>
              <w:divId w:val="1005281739"/>
              <w:rPr>
                <w:rFonts w:eastAsia="Times New Roman"/>
              </w:rPr>
            </w:pPr>
            <w:hyperlink w:anchor="ic1109d5aa548447c8224139b1ab22bde_154" w:history="1">
              <w:r>
                <w:rPr>
                  <w:rStyle w:val="a3"/>
                  <w:rFonts w:eastAsia="Times New Roman"/>
                  <w:color w:val="000000"/>
                  <w:sz w:val="20"/>
                  <w:szCs w:val="20"/>
                  <w:u w:val="none"/>
                </w:rPr>
                <w:t>Funding Sources Composition</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54" w:history="1">
              <w:r>
                <w:rPr>
                  <w:rStyle w:val="a3"/>
                  <w:rFonts w:eastAsia="Times New Roman"/>
                  <w:color w:val="000000"/>
                  <w:sz w:val="20"/>
                  <w:szCs w:val="20"/>
                  <w:u w:val="none"/>
                </w:rPr>
                <w:t>17</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rsidR="00000000" w:rsidRDefault="00E92DBE">
            <w:pPr>
              <w:divId w:val="1302886786"/>
              <w:rPr>
                <w:rFonts w:eastAsia="Times New Roman"/>
              </w:rPr>
            </w:pPr>
            <w:hyperlink w:anchor="ic1109d5aa548447c8224139b1ab22bde_166" w:history="1">
              <w:r>
                <w:rPr>
                  <w:rStyle w:val="a3"/>
                  <w:rFonts w:eastAsia="Times New Roman"/>
                  <w:color w:val="000000"/>
                  <w:sz w:val="20"/>
                  <w:szCs w:val="20"/>
                  <w:u w:val="none"/>
                </w:rPr>
                <w:t>Business Segment Results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66" w:history="1">
              <w:r>
                <w:rPr>
                  <w:rStyle w:val="a3"/>
                  <w:rFonts w:eastAsia="Times New Roman"/>
                  <w:color w:val="000000"/>
                  <w:sz w:val="20"/>
                  <w:szCs w:val="20"/>
                  <w:u w:val="none"/>
                </w:rPr>
                <w:t>19</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10</w:t>
            </w:r>
          </w:p>
        </w:tc>
        <w:tc>
          <w:tcPr>
            <w:tcW w:w="0" w:type="auto"/>
            <w:gridSpan w:val="3"/>
            <w:tcMar>
              <w:top w:w="30" w:type="dxa"/>
              <w:left w:w="20" w:type="dxa"/>
              <w:bottom w:w="30" w:type="dxa"/>
              <w:right w:w="20" w:type="dxa"/>
            </w:tcMar>
            <w:vAlign w:val="bottom"/>
            <w:hideMark/>
          </w:tcPr>
          <w:p w:rsidR="00000000" w:rsidRDefault="00E92DBE">
            <w:pPr>
              <w:divId w:val="454367798"/>
              <w:rPr>
                <w:rFonts w:eastAsia="Times New Roman"/>
              </w:rPr>
            </w:pPr>
            <w:hyperlink w:anchor="ic1109d5aa548447c8224139b1ab22bde_169" w:history="1">
              <w:r>
                <w:rPr>
                  <w:rStyle w:val="a3"/>
                  <w:rFonts w:eastAsia="Times New Roman"/>
                  <w:color w:val="000000"/>
                  <w:sz w:val="20"/>
                  <w:szCs w:val="20"/>
                  <w:u w:val="none"/>
                </w:rPr>
                <w:t>Credit Card Business Results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69" w:history="1">
              <w:r>
                <w:rPr>
                  <w:rStyle w:val="a3"/>
                  <w:rFonts w:eastAsia="Times New Roman"/>
                  <w:color w:val="000000"/>
                  <w:sz w:val="20"/>
                  <w:szCs w:val="20"/>
                  <w:u w:val="none"/>
                </w:rPr>
                <w:t>20</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E92DBE">
            <w:pPr>
              <w:divId w:val="140465837"/>
              <w:rPr>
                <w:rFonts w:eastAsia="Times New Roman"/>
              </w:rPr>
            </w:pPr>
            <w:hyperlink w:anchor="ic1109d5aa548447c8224139b1ab22bde_172" w:history="1">
              <w:r>
                <w:rPr>
                  <w:rStyle w:val="a3"/>
                  <w:rFonts w:eastAsia="Times New Roman"/>
                  <w:color w:val="000000"/>
                  <w:sz w:val="20"/>
                  <w:szCs w:val="20"/>
                  <w:u w:val="none"/>
                </w:rPr>
                <w:t>Domestic Card Business Results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72" w:history="1">
              <w:r>
                <w:rPr>
                  <w:rStyle w:val="a3"/>
                  <w:rFonts w:eastAsia="Times New Roman"/>
                  <w:color w:val="000000"/>
                  <w:sz w:val="20"/>
                  <w:szCs w:val="20"/>
                  <w:u w:val="none"/>
                </w:rPr>
                <w:t>22</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vAlign w:val="bottom"/>
            <w:hideMark/>
          </w:tcPr>
          <w:p w:rsidR="00000000" w:rsidRDefault="00E92DBE">
            <w:pPr>
              <w:divId w:val="1370913028"/>
              <w:rPr>
                <w:rFonts w:eastAsia="Times New Roman"/>
              </w:rPr>
            </w:pPr>
            <w:hyperlink w:anchor="ic1109d5aa548447c8224139b1ab22bde_175" w:history="1">
              <w:r>
                <w:rPr>
                  <w:rStyle w:val="a3"/>
                  <w:rFonts w:eastAsia="Times New Roman"/>
                  <w:color w:val="000000"/>
                  <w:sz w:val="20"/>
                  <w:szCs w:val="20"/>
                  <w:u w:val="none"/>
                </w:rPr>
                <w:t>Consumer Banking Business Result</w:t>
              </w:r>
              <w:r>
                <w:rPr>
                  <w:rStyle w:val="a3"/>
                  <w:rFonts w:eastAsia="Times New Roman"/>
                  <w:color w:val="000000"/>
                  <w:sz w:val="20"/>
                  <w:szCs w:val="20"/>
                  <w:u w:val="none"/>
                </w:rPr>
                <w: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75" w:history="1">
              <w:r>
                <w:rPr>
                  <w:rStyle w:val="a3"/>
                  <w:rFonts w:eastAsia="Times New Roman"/>
                  <w:color w:val="000000"/>
                  <w:sz w:val="20"/>
                  <w:szCs w:val="20"/>
                  <w:u w:val="none"/>
                </w:rPr>
                <w:t>23</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12</w:t>
            </w:r>
          </w:p>
        </w:tc>
        <w:tc>
          <w:tcPr>
            <w:tcW w:w="0" w:type="auto"/>
            <w:gridSpan w:val="3"/>
            <w:tcMar>
              <w:top w:w="30" w:type="dxa"/>
              <w:left w:w="20" w:type="dxa"/>
              <w:bottom w:w="30" w:type="dxa"/>
              <w:right w:w="20" w:type="dxa"/>
            </w:tcMar>
            <w:vAlign w:val="bottom"/>
            <w:hideMark/>
          </w:tcPr>
          <w:p w:rsidR="00000000" w:rsidRDefault="00E92DBE">
            <w:pPr>
              <w:divId w:val="1114783613"/>
              <w:rPr>
                <w:rFonts w:eastAsia="Times New Roman"/>
              </w:rPr>
            </w:pPr>
            <w:hyperlink w:anchor="ic1109d5aa548447c8224139b1ab22bde_178" w:history="1">
              <w:r>
                <w:rPr>
                  <w:rStyle w:val="a3"/>
                  <w:rFonts w:eastAsia="Times New Roman"/>
                  <w:color w:val="000000"/>
                  <w:sz w:val="20"/>
                  <w:szCs w:val="20"/>
                  <w:u w:val="none"/>
                </w:rPr>
                <w:t>Commercial Banking Business Results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78" w:history="1">
              <w:r>
                <w:rPr>
                  <w:rStyle w:val="a3"/>
                  <w:rFonts w:eastAsia="Times New Roman"/>
                  <w:color w:val="000000"/>
                  <w:sz w:val="20"/>
                  <w:szCs w:val="20"/>
                  <w:u w:val="none"/>
                </w:rPr>
                <w:t>25</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13</w:t>
            </w:r>
          </w:p>
        </w:tc>
        <w:tc>
          <w:tcPr>
            <w:tcW w:w="0" w:type="auto"/>
            <w:gridSpan w:val="3"/>
            <w:tcMar>
              <w:top w:w="30" w:type="dxa"/>
              <w:left w:w="20" w:type="dxa"/>
              <w:bottom w:w="30" w:type="dxa"/>
              <w:right w:w="20" w:type="dxa"/>
            </w:tcMar>
            <w:vAlign w:val="bottom"/>
            <w:hideMark/>
          </w:tcPr>
          <w:p w:rsidR="00000000" w:rsidRDefault="00E92DBE">
            <w:pPr>
              <w:divId w:val="1165123297"/>
              <w:rPr>
                <w:rFonts w:eastAsia="Times New Roman"/>
              </w:rPr>
            </w:pPr>
            <w:hyperlink w:anchor="ic1109d5aa548447c8224139b1ab22bde_181" w:history="1">
              <w:r>
                <w:rPr>
                  <w:rStyle w:val="a3"/>
                  <w:rFonts w:eastAsia="Times New Roman"/>
                  <w:color w:val="000000"/>
                  <w:sz w:val="20"/>
                  <w:szCs w:val="20"/>
                  <w:u w:val="none"/>
                </w:rPr>
                <w:t>Other Category Results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81" w:history="1">
              <w:r>
                <w:rPr>
                  <w:rStyle w:val="a3"/>
                  <w:rFonts w:eastAsia="Times New Roman"/>
                  <w:color w:val="000000"/>
                  <w:sz w:val="20"/>
                  <w:szCs w:val="20"/>
                  <w:u w:val="none"/>
                </w:rPr>
                <w:t>26</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vAlign w:val="bottom"/>
            <w:hideMark/>
          </w:tcPr>
          <w:p w:rsidR="00000000" w:rsidRDefault="00E92DBE">
            <w:pPr>
              <w:divId w:val="239948792"/>
              <w:rPr>
                <w:rFonts w:eastAsia="Times New Roman"/>
              </w:rPr>
            </w:pPr>
            <w:hyperlink w:anchor="ic1109d5aa548447c8224139b1ab22bde_199" w:history="1">
              <w:r>
                <w:rPr>
                  <w:rStyle w:val="a3"/>
                  <w:rFonts w:eastAsia="Times New Roman"/>
                  <w:color w:val="000000"/>
                  <w:sz w:val="20"/>
                  <w:szCs w:val="20"/>
                  <w:u w:val="none"/>
                </w:rPr>
                <w:t>Capital Ratios Under Basel III</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199" w:history="1">
              <w:r>
                <w:rPr>
                  <w:rStyle w:val="a3"/>
                  <w:rFonts w:eastAsia="Times New Roman"/>
                  <w:color w:val="000000"/>
                  <w:sz w:val="20"/>
                  <w:szCs w:val="20"/>
                  <w:u w:val="none"/>
                </w:rPr>
                <w:t>31</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15</w:t>
            </w:r>
          </w:p>
        </w:tc>
        <w:tc>
          <w:tcPr>
            <w:tcW w:w="0" w:type="auto"/>
            <w:gridSpan w:val="3"/>
            <w:tcMar>
              <w:top w:w="30" w:type="dxa"/>
              <w:left w:w="20" w:type="dxa"/>
              <w:bottom w:w="30" w:type="dxa"/>
              <w:right w:w="20" w:type="dxa"/>
            </w:tcMar>
            <w:vAlign w:val="bottom"/>
            <w:hideMark/>
          </w:tcPr>
          <w:p w:rsidR="00000000" w:rsidRDefault="00E92DBE">
            <w:pPr>
              <w:divId w:val="1691640697"/>
              <w:rPr>
                <w:rFonts w:eastAsia="Times New Roman"/>
              </w:rPr>
            </w:pPr>
            <w:hyperlink w:anchor="ic1109d5aa548447c8224139b1ab22bde_202" w:history="1">
              <w:r>
                <w:rPr>
                  <w:rStyle w:val="a3"/>
                  <w:rFonts w:eastAsia="Times New Roman"/>
                  <w:color w:val="000000"/>
                  <w:sz w:val="20"/>
                  <w:szCs w:val="20"/>
                  <w:u w:val="none"/>
                </w:rPr>
                <w:t>Regulatory Risk-Based Capital Components and Regulatory Capital Metrics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02" w:history="1">
              <w:r>
                <w:rPr>
                  <w:rStyle w:val="a3"/>
                  <w:rFonts w:eastAsia="Times New Roman"/>
                  <w:color w:val="000000"/>
                  <w:sz w:val="20"/>
                  <w:szCs w:val="20"/>
                  <w:u w:val="none"/>
                </w:rPr>
                <w:t>32</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16</w:t>
            </w:r>
          </w:p>
        </w:tc>
        <w:tc>
          <w:tcPr>
            <w:tcW w:w="0" w:type="auto"/>
            <w:gridSpan w:val="3"/>
            <w:tcMar>
              <w:top w:w="30" w:type="dxa"/>
              <w:left w:w="20" w:type="dxa"/>
              <w:bottom w:w="30" w:type="dxa"/>
              <w:right w:w="20" w:type="dxa"/>
            </w:tcMar>
            <w:vAlign w:val="bottom"/>
            <w:hideMark/>
          </w:tcPr>
          <w:p w:rsidR="00000000" w:rsidRDefault="00E92DBE">
            <w:pPr>
              <w:divId w:val="1126201177"/>
              <w:rPr>
                <w:rFonts w:eastAsia="Times New Roman"/>
              </w:rPr>
            </w:pPr>
            <w:hyperlink w:anchor="ic1109d5aa548447c8224139b1ab22bde_208" w:history="1">
              <w:r>
                <w:rPr>
                  <w:rStyle w:val="a3"/>
                  <w:rFonts w:eastAsia="Times New Roman"/>
                  <w:color w:val="000000"/>
                  <w:sz w:val="20"/>
                  <w:szCs w:val="20"/>
                  <w:u w:val="none"/>
                </w:rPr>
                <w:t>Preferred Stock Dividends Paid Per Share</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08" w:history="1">
              <w:r>
                <w:rPr>
                  <w:rStyle w:val="a3"/>
                  <w:rFonts w:eastAsia="Times New Roman"/>
                  <w:color w:val="000000"/>
                  <w:sz w:val="20"/>
                  <w:szCs w:val="20"/>
                  <w:u w:val="none"/>
                </w:rPr>
                <w:t>33</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17</w:t>
            </w:r>
          </w:p>
        </w:tc>
        <w:tc>
          <w:tcPr>
            <w:tcW w:w="0" w:type="auto"/>
            <w:gridSpan w:val="3"/>
            <w:tcMar>
              <w:top w:w="30" w:type="dxa"/>
              <w:left w:w="20" w:type="dxa"/>
              <w:bottom w:w="30" w:type="dxa"/>
              <w:right w:w="20" w:type="dxa"/>
            </w:tcMar>
            <w:vAlign w:val="bottom"/>
            <w:hideMark/>
          </w:tcPr>
          <w:p w:rsidR="00000000" w:rsidRDefault="00E92DBE">
            <w:pPr>
              <w:divId w:val="932082024"/>
              <w:rPr>
                <w:rFonts w:eastAsia="Times New Roman"/>
              </w:rPr>
            </w:pPr>
            <w:hyperlink w:anchor="ic1109d5aa548447c8224139b1ab22bde_217" w:history="1">
              <w:r>
                <w:rPr>
                  <w:rStyle w:val="a3"/>
                  <w:rFonts w:eastAsia="Times New Roman"/>
                  <w:color w:val="000000"/>
                  <w:sz w:val="20"/>
                  <w:szCs w:val="20"/>
                  <w:u w:val="none"/>
                </w:rPr>
                <w:t>Portfolio Composition of Loans Held for Investment</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17" w:history="1">
              <w:r>
                <w:rPr>
                  <w:rStyle w:val="a3"/>
                  <w:rFonts w:eastAsia="Times New Roman"/>
                  <w:color w:val="000000"/>
                  <w:sz w:val="20"/>
                  <w:szCs w:val="20"/>
                  <w:u w:val="none"/>
                </w:rPr>
                <w:t>36</w:t>
              </w:r>
            </w:hyperlink>
          </w:p>
        </w:tc>
      </w:tr>
      <w:tr w:rsidR="00000000">
        <w:trPr>
          <w:divId w:val="1564214348"/>
          <w:jc w:val="center"/>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18</w:t>
            </w:r>
          </w:p>
        </w:tc>
        <w:tc>
          <w:tcPr>
            <w:tcW w:w="0" w:type="auto"/>
            <w:gridSpan w:val="3"/>
            <w:tcMar>
              <w:top w:w="30" w:type="dxa"/>
              <w:left w:w="20" w:type="dxa"/>
              <w:bottom w:w="30" w:type="dxa"/>
              <w:right w:w="20" w:type="dxa"/>
            </w:tcMar>
            <w:vAlign w:val="bottom"/>
            <w:hideMark/>
          </w:tcPr>
          <w:p w:rsidR="00000000" w:rsidRDefault="00E92DBE">
            <w:pPr>
              <w:divId w:val="1038893634"/>
              <w:rPr>
                <w:rFonts w:eastAsia="Times New Roman"/>
              </w:rPr>
            </w:pPr>
            <w:hyperlink w:anchor="ic1109d5aa548447c8224139b1ab22bde_223" w:history="1">
              <w:r>
                <w:rPr>
                  <w:rStyle w:val="a3"/>
                  <w:rFonts w:eastAsia="Times New Roman"/>
                  <w:color w:val="000000"/>
                  <w:sz w:val="20"/>
                  <w:szCs w:val="20"/>
                  <w:u w:val="none"/>
                </w:rPr>
                <w:t>Credit Card Portfolio by Geographic Region</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23" w:history="1">
              <w:r>
                <w:rPr>
                  <w:rStyle w:val="a3"/>
                  <w:rFonts w:eastAsia="Times New Roman"/>
                  <w:color w:val="000000"/>
                  <w:sz w:val="20"/>
                  <w:szCs w:val="20"/>
                  <w:u w:val="none"/>
                </w:rPr>
                <w:t>37</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19</w:t>
            </w:r>
          </w:p>
        </w:tc>
        <w:tc>
          <w:tcPr>
            <w:tcW w:w="0" w:type="auto"/>
            <w:gridSpan w:val="3"/>
            <w:tcMar>
              <w:top w:w="30" w:type="dxa"/>
              <w:left w:w="20" w:type="dxa"/>
              <w:bottom w:w="30" w:type="dxa"/>
              <w:right w:w="20" w:type="dxa"/>
            </w:tcMar>
            <w:vAlign w:val="bottom"/>
            <w:hideMark/>
          </w:tcPr>
          <w:p w:rsidR="00000000" w:rsidRDefault="00E92DBE">
            <w:pPr>
              <w:divId w:val="1759905360"/>
              <w:rPr>
                <w:rFonts w:eastAsia="Times New Roman"/>
              </w:rPr>
            </w:pPr>
            <w:hyperlink w:anchor="ic1109d5aa548447c8224139b1ab22bde_226" w:history="1">
              <w:r>
                <w:rPr>
                  <w:rStyle w:val="a3"/>
                  <w:rFonts w:eastAsia="Times New Roman"/>
                  <w:color w:val="000000"/>
                  <w:sz w:val="20"/>
                  <w:szCs w:val="20"/>
                  <w:u w:val="none"/>
                </w:rPr>
                <w:t>Consumer Banking Portfolio by Geographic Region</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26" w:history="1">
              <w:r>
                <w:rPr>
                  <w:rStyle w:val="a3"/>
                  <w:rFonts w:eastAsia="Times New Roman"/>
                  <w:color w:val="000000"/>
                  <w:sz w:val="20"/>
                  <w:szCs w:val="20"/>
                  <w:u w:val="none"/>
                </w:rPr>
                <w:t>38</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20</w:t>
            </w:r>
          </w:p>
        </w:tc>
        <w:tc>
          <w:tcPr>
            <w:tcW w:w="0" w:type="auto"/>
            <w:gridSpan w:val="3"/>
            <w:tcMar>
              <w:top w:w="30" w:type="dxa"/>
              <w:left w:w="20" w:type="dxa"/>
              <w:bottom w:w="30" w:type="dxa"/>
              <w:right w:w="20" w:type="dxa"/>
            </w:tcMar>
            <w:vAlign w:val="bottom"/>
            <w:hideMark/>
          </w:tcPr>
          <w:p w:rsidR="00000000" w:rsidRDefault="00E92DBE">
            <w:pPr>
              <w:divId w:val="1115833492"/>
              <w:rPr>
                <w:rFonts w:eastAsia="Times New Roman"/>
              </w:rPr>
            </w:pPr>
            <w:hyperlink w:anchor="ic1109d5aa548447c8224139b1ab22bde_229" w:history="1">
              <w:r>
                <w:rPr>
                  <w:rStyle w:val="a3"/>
                  <w:rFonts w:eastAsia="Times New Roman"/>
                  <w:color w:val="000000"/>
                  <w:sz w:val="20"/>
                  <w:szCs w:val="20"/>
                  <w:u w:val="none"/>
                </w:rPr>
                <w:t>Commercial and Multifamily Real Estate Portfolio by Region</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29" w:history="1">
              <w:r>
                <w:rPr>
                  <w:rStyle w:val="a3"/>
                  <w:rFonts w:eastAsia="Times New Roman"/>
                  <w:color w:val="000000"/>
                  <w:sz w:val="20"/>
                  <w:szCs w:val="20"/>
                  <w:u w:val="none"/>
                </w:rPr>
                <w:t>39</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vAlign w:val="bottom"/>
            <w:hideMark/>
          </w:tcPr>
          <w:p w:rsidR="00000000" w:rsidRDefault="00E92DBE">
            <w:pPr>
              <w:divId w:val="1919319371"/>
              <w:rPr>
                <w:rFonts w:eastAsia="Times New Roman"/>
              </w:rPr>
            </w:pPr>
            <w:hyperlink w:anchor="ic1109d5aa548447c8224139b1ab22bde_232" w:history="1">
              <w:r>
                <w:rPr>
                  <w:rStyle w:val="a3"/>
                  <w:rFonts w:eastAsia="Times New Roman"/>
                  <w:color w:val="000000"/>
                  <w:sz w:val="20"/>
                  <w:szCs w:val="20"/>
                  <w:u w:val="none"/>
                </w:rPr>
                <w:t>Commercial Loans by Industry</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32" w:history="1">
              <w:r>
                <w:rPr>
                  <w:rStyle w:val="a3"/>
                  <w:rFonts w:eastAsia="Times New Roman"/>
                  <w:color w:val="000000"/>
                  <w:sz w:val="20"/>
                  <w:szCs w:val="20"/>
                  <w:u w:val="none"/>
                </w:rPr>
                <w:t>39</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22</w:t>
            </w:r>
          </w:p>
        </w:tc>
        <w:tc>
          <w:tcPr>
            <w:tcW w:w="0" w:type="auto"/>
            <w:gridSpan w:val="3"/>
            <w:tcMar>
              <w:top w:w="30" w:type="dxa"/>
              <w:left w:w="20" w:type="dxa"/>
              <w:bottom w:w="30" w:type="dxa"/>
              <w:right w:w="20" w:type="dxa"/>
            </w:tcMar>
            <w:vAlign w:val="bottom"/>
            <w:hideMark/>
          </w:tcPr>
          <w:p w:rsidR="00000000" w:rsidRDefault="00E92DBE">
            <w:pPr>
              <w:divId w:val="1638801486"/>
              <w:rPr>
                <w:rFonts w:eastAsia="Times New Roman"/>
              </w:rPr>
            </w:pPr>
            <w:hyperlink w:anchor="ic1109d5aa548447c8224139b1ab22bde_235" w:history="1">
              <w:r>
                <w:rPr>
                  <w:rStyle w:val="a3"/>
                  <w:rFonts w:eastAsia="Times New Roman"/>
                  <w:color w:val="000000"/>
                  <w:sz w:val="20"/>
                  <w:szCs w:val="20"/>
                  <w:u w:val="none"/>
                </w:rPr>
                <w:t>Credit Score Distribution</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35" w:history="1">
              <w:r>
                <w:rPr>
                  <w:rStyle w:val="a3"/>
                  <w:rFonts w:eastAsia="Times New Roman"/>
                  <w:color w:val="000000"/>
                  <w:sz w:val="20"/>
                  <w:szCs w:val="20"/>
                  <w:u w:val="none"/>
                </w:rPr>
                <w:t>40</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vAlign w:val="bottom"/>
            <w:hideMark/>
          </w:tcPr>
          <w:p w:rsidR="00000000" w:rsidRDefault="00E92DBE">
            <w:pPr>
              <w:divId w:val="1464082288"/>
              <w:rPr>
                <w:rFonts w:eastAsia="Times New Roman"/>
              </w:rPr>
            </w:pPr>
            <w:hyperlink w:anchor="ic1109d5aa548447c8224139b1ab22bde_238" w:history="1">
              <w:r>
                <w:rPr>
                  <w:rStyle w:val="a3"/>
                  <w:rFonts w:eastAsia="Times New Roman"/>
                  <w:color w:val="000000"/>
                  <w:sz w:val="20"/>
                  <w:szCs w:val="20"/>
                  <w:u w:val="none"/>
                </w:rPr>
                <w:t>30+ Day Delinquencies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38" w:history="1">
              <w:r>
                <w:rPr>
                  <w:rStyle w:val="a3"/>
                  <w:rFonts w:eastAsia="Times New Roman"/>
                  <w:color w:val="000000"/>
                  <w:sz w:val="20"/>
                  <w:szCs w:val="20"/>
                  <w:u w:val="none"/>
                </w:rPr>
                <w:t>40</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24</w:t>
            </w:r>
          </w:p>
        </w:tc>
        <w:tc>
          <w:tcPr>
            <w:tcW w:w="0" w:type="auto"/>
            <w:gridSpan w:val="3"/>
            <w:tcMar>
              <w:top w:w="30" w:type="dxa"/>
              <w:left w:w="20" w:type="dxa"/>
              <w:bottom w:w="30" w:type="dxa"/>
              <w:right w:w="20" w:type="dxa"/>
            </w:tcMar>
            <w:vAlign w:val="bottom"/>
            <w:hideMark/>
          </w:tcPr>
          <w:p w:rsidR="00000000" w:rsidRDefault="00E92DBE">
            <w:pPr>
              <w:divId w:val="353576892"/>
              <w:rPr>
                <w:rFonts w:eastAsia="Times New Roman"/>
              </w:rPr>
            </w:pPr>
            <w:hyperlink w:anchor="ic1109d5aa548447c8224139b1ab22bde_241" w:history="1">
              <w:r>
                <w:rPr>
                  <w:rStyle w:val="a3"/>
                  <w:rFonts w:eastAsia="Times New Roman"/>
                  <w:color w:val="000000"/>
                  <w:sz w:val="20"/>
                  <w:szCs w:val="20"/>
                  <w:u w:val="none"/>
                </w:rPr>
                <w:t>Aging and Geography of 30+ Day Delinquent Loans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41" w:history="1">
              <w:r>
                <w:rPr>
                  <w:rStyle w:val="a3"/>
                  <w:rFonts w:eastAsia="Times New Roman"/>
                  <w:color w:val="000000"/>
                  <w:sz w:val="20"/>
                  <w:szCs w:val="20"/>
                  <w:u w:val="none"/>
                </w:rPr>
                <w:t>41</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25</w:t>
            </w:r>
          </w:p>
        </w:tc>
        <w:tc>
          <w:tcPr>
            <w:tcW w:w="0" w:type="auto"/>
            <w:gridSpan w:val="3"/>
            <w:tcMar>
              <w:top w:w="30" w:type="dxa"/>
              <w:left w:w="20" w:type="dxa"/>
              <w:bottom w:w="30" w:type="dxa"/>
              <w:right w:w="20" w:type="dxa"/>
            </w:tcMar>
            <w:vAlign w:val="bottom"/>
            <w:hideMark/>
          </w:tcPr>
          <w:p w:rsidR="00000000" w:rsidRDefault="00E92DBE">
            <w:pPr>
              <w:divId w:val="1496066802"/>
              <w:rPr>
                <w:rFonts w:eastAsia="Times New Roman"/>
              </w:rPr>
            </w:pPr>
            <w:hyperlink w:anchor="ic1109d5aa548447c8224139b1ab22bde_244" w:history="1">
              <w:r>
                <w:rPr>
                  <w:rStyle w:val="a3"/>
                  <w:rFonts w:eastAsia="Times New Roman"/>
                  <w:color w:val="000000"/>
                  <w:sz w:val="20"/>
                  <w:szCs w:val="20"/>
                  <w:u w:val="none"/>
                </w:rPr>
                <w:t>90+ Day Delinqu</w:t>
              </w:r>
              <w:r>
                <w:rPr>
                  <w:rStyle w:val="a3"/>
                  <w:rFonts w:eastAsia="Times New Roman"/>
                  <w:color w:val="000000"/>
                  <w:sz w:val="20"/>
                  <w:szCs w:val="20"/>
                  <w:u w:val="none"/>
                </w:rPr>
                <w:t>ent Loans Accruing Interest</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44" w:history="1">
              <w:r>
                <w:rPr>
                  <w:rStyle w:val="a3"/>
                  <w:rFonts w:eastAsia="Times New Roman"/>
                  <w:color w:val="000000"/>
                  <w:sz w:val="20"/>
                  <w:szCs w:val="20"/>
                  <w:u w:val="none"/>
                </w:rPr>
                <w:t>42</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26</w:t>
            </w:r>
          </w:p>
        </w:tc>
        <w:tc>
          <w:tcPr>
            <w:tcW w:w="0" w:type="auto"/>
            <w:gridSpan w:val="3"/>
            <w:tcMar>
              <w:top w:w="30" w:type="dxa"/>
              <w:left w:w="20" w:type="dxa"/>
              <w:bottom w:w="30" w:type="dxa"/>
              <w:right w:w="20" w:type="dxa"/>
            </w:tcMar>
            <w:vAlign w:val="bottom"/>
            <w:hideMark/>
          </w:tcPr>
          <w:p w:rsidR="00000000" w:rsidRDefault="00E92DBE">
            <w:pPr>
              <w:divId w:val="203642264"/>
              <w:rPr>
                <w:rFonts w:eastAsia="Times New Roman"/>
              </w:rPr>
            </w:pPr>
            <w:hyperlink w:anchor="ic1109d5aa548447c8224139b1ab22bde_247" w:history="1">
              <w:r>
                <w:rPr>
                  <w:rStyle w:val="a3"/>
                  <w:rFonts w:eastAsia="Times New Roman"/>
                  <w:color w:val="000000"/>
                  <w:sz w:val="20"/>
                  <w:szCs w:val="20"/>
                  <w:u w:val="none"/>
                </w:rPr>
                <w:t>Nonperforming Loans and Other Nonperforming Assets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47" w:history="1">
              <w:r>
                <w:rPr>
                  <w:rStyle w:val="a3"/>
                  <w:rFonts w:eastAsia="Times New Roman"/>
                  <w:color w:val="000000"/>
                  <w:sz w:val="20"/>
                  <w:szCs w:val="20"/>
                  <w:u w:val="none"/>
                </w:rPr>
                <w:t>42</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27</w:t>
            </w:r>
          </w:p>
        </w:tc>
        <w:tc>
          <w:tcPr>
            <w:tcW w:w="0" w:type="auto"/>
            <w:gridSpan w:val="3"/>
            <w:tcMar>
              <w:top w:w="30" w:type="dxa"/>
              <w:left w:w="20" w:type="dxa"/>
              <w:bottom w:w="30" w:type="dxa"/>
              <w:right w:w="20" w:type="dxa"/>
            </w:tcMar>
            <w:vAlign w:val="bottom"/>
            <w:hideMark/>
          </w:tcPr>
          <w:p w:rsidR="00000000" w:rsidRDefault="00E92DBE">
            <w:pPr>
              <w:divId w:val="1329940517"/>
              <w:rPr>
                <w:rFonts w:eastAsia="Times New Roman"/>
              </w:rPr>
            </w:pPr>
            <w:hyperlink w:anchor="ic1109d5aa548447c8224139b1ab22bde_250" w:history="1">
              <w:r>
                <w:rPr>
                  <w:rStyle w:val="a3"/>
                  <w:rFonts w:eastAsia="Times New Roman"/>
                  <w:color w:val="000000"/>
                  <w:sz w:val="20"/>
                  <w:szCs w:val="20"/>
                  <w:u w:val="none"/>
                </w:rPr>
                <w:t>Net Charge-Offs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50" w:history="1">
              <w:r>
                <w:rPr>
                  <w:rStyle w:val="a3"/>
                  <w:rFonts w:eastAsia="Times New Roman"/>
                  <w:color w:val="000000"/>
                  <w:sz w:val="20"/>
                  <w:szCs w:val="20"/>
                  <w:u w:val="none"/>
                </w:rPr>
                <w:t>43</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28</w:t>
            </w:r>
          </w:p>
        </w:tc>
        <w:tc>
          <w:tcPr>
            <w:tcW w:w="0" w:type="auto"/>
            <w:gridSpan w:val="3"/>
            <w:tcMar>
              <w:top w:w="30" w:type="dxa"/>
              <w:left w:w="20" w:type="dxa"/>
              <w:bottom w:w="30" w:type="dxa"/>
              <w:right w:w="20" w:type="dxa"/>
            </w:tcMar>
            <w:vAlign w:val="bottom"/>
            <w:hideMark/>
          </w:tcPr>
          <w:p w:rsidR="00000000" w:rsidRDefault="00E92DBE">
            <w:pPr>
              <w:divId w:val="1094401505"/>
              <w:rPr>
                <w:rFonts w:eastAsia="Times New Roman"/>
              </w:rPr>
            </w:pPr>
            <w:hyperlink w:anchor="ic1109d5aa548447c8224139b1ab22bde_253" w:history="1">
              <w:r>
                <w:rPr>
                  <w:rStyle w:val="a3"/>
                  <w:rFonts w:eastAsia="Times New Roman"/>
                  <w:color w:val="000000"/>
                  <w:sz w:val="20"/>
                  <w:szCs w:val="20"/>
                  <w:u w:val="none"/>
                </w:rPr>
                <w:t>COVID-19 Customer Assistance Programs Enrollments in Auto and Domestic Credit Card</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53" w:history="1">
              <w:r>
                <w:rPr>
                  <w:rStyle w:val="a3"/>
                  <w:rFonts w:eastAsia="Times New Roman"/>
                  <w:color w:val="000000"/>
                  <w:sz w:val="20"/>
                  <w:szCs w:val="20"/>
                  <w:u w:val="none"/>
                </w:rPr>
                <w:t>44</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29</w:t>
            </w:r>
          </w:p>
        </w:tc>
        <w:tc>
          <w:tcPr>
            <w:tcW w:w="0" w:type="auto"/>
            <w:gridSpan w:val="3"/>
            <w:tcMar>
              <w:top w:w="30" w:type="dxa"/>
              <w:left w:w="20" w:type="dxa"/>
              <w:bottom w:w="30" w:type="dxa"/>
              <w:right w:w="20" w:type="dxa"/>
            </w:tcMar>
            <w:vAlign w:val="bottom"/>
            <w:hideMark/>
          </w:tcPr>
          <w:p w:rsidR="00000000" w:rsidRDefault="00E92DBE">
            <w:pPr>
              <w:divId w:val="2015381207"/>
              <w:rPr>
                <w:rFonts w:eastAsia="Times New Roman"/>
              </w:rPr>
            </w:pPr>
            <w:hyperlink w:anchor="ic1109d5aa548447c8224139b1ab22bde_256" w:history="1">
              <w:r>
                <w:rPr>
                  <w:rStyle w:val="a3"/>
                  <w:rFonts w:eastAsia="Times New Roman"/>
                  <w:color w:val="000000"/>
                  <w:sz w:val="20"/>
                  <w:szCs w:val="20"/>
                  <w:u w:val="none"/>
                </w:rPr>
                <w:t>Troubled Debt Restructurings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56" w:history="1">
              <w:r>
                <w:rPr>
                  <w:rStyle w:val="a3"/>
                  <w:rFonts w:eastAsia="Times New Roman"/>
                  <w:color w:val="000000"/>
                  <w:sz w:val="20"/>
                  <w:szCs w:val="20"/>
                  <w:u w:val="none"/>
                </w:rPr>
                <w:t>45</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30</w:t>
            </w:r>
          </w:p>
        </w:tc>
        <w:tc>
          <w:tcPr>
            <w:tcW w:w="0" w:type="auto"/>
            <w:gridSpan w:val="3"/>
            <w:tcMar>
              <w:top w:w="30" w:type="dxa"/>
              <w:left w:w="20" w:type="dxa"/>
              <w:bottom w:w="30" w:type="dxa"/>
              <w:right w:w="20" w:type="dxa"/>
            </w:tcMar>
            <w:vAlign w:val="bottom"/>
            <w:hideMark/>
          </w:tcPr>
          <w:p w:rsidR="00000000" w:rsidRDefault="00E92DBE">
            <w:pPr>
              <w:divId w:val="916011970"/>
              <w:rPr>
                <w:rFonts w:eastAsia="Times New Roman"/>
              </w:rPr>
            </w:pPr>
            <w:hyperlink w:anchor="ic1109d5aa548447c8224139b1ab22bde_262" w:history="1">
              <w:r>
                <w:rPr>
                  <w:rStyle w:val="a3"/>
                  <w:rFonts w:eastAsia="Times New Roman"/>
                  <w:color w:val="000000"/>
                  <w:sz w:val="20"/>
                  <w:szCs w:val="20"/>
                  <w:u w:val="none"/>
                </w:rPr>
                <w:t>Allowance for Credit Losses and Reserve for Unfunded Lending Commitments Activity</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62" w:history="1">
              <w:r>
                <w:rPr>
                  <w:rStyle w:val="a3"/>
                  <w:rFonts w:eastAsia="Times New Roman"/>
                  <w:color w:val="000000"/>
                  <w:sz w:val="20"/>
                  <w:szCs w:val="20"/>
                  <w:u w:val="none"/>
                </w:rPr>
                <w:t>46</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vAlign w:val="bottom"/>
            <w:hideMark/>
          </w:tcPr>
          <w:p w:rsidR="00000000" w:rsidRDefault="00E92DBE">
            <w:pPr>
              <w:divId w:val="496462732"/>
              <w:rPr>
                <w:rFonts w:eastAsia="Times New Roman"/>
              </w:rPr>
            </w:pPr>
            <w:hyperlink w:anchor="ic1109d5aa548447c8224139b1ab22bde_265" w:history="1">
              <w:r>
                <w:rPr>
                  <w:rStyle w:val="a3"/>
                  <w:rFonts w:eastAsia="Times New Roman"/>
                  <w:color w:val="000000"/>
                  <w:sz w:val="20"/>
                  <w:szCs w:val="20"/>
                  <w:u w:val="none"/>
                </w:rPr>
                <w:t>Allowance Coverage Ratios</w:t>
              </w:r>
            </w:hyperlink>
            <w:r>
              <w:rPr>
                <w:rFonts w:eastAsia="Times New Roman"/>
                <w:color w:val="000000"/>
                <w:sz w:val="20"/>
                <w:szCs w:val="20"/>
              </w:rPr>
              <w:t xml:space="preserve"> for Specified Loan Category</w:t>
            </w: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65" w:history="1">
              <w:r>
                <w:rPr>
                  <w:rStyle w:val="a3"/>
                  <w:rFonts w:eastAsia="Times New Roman"/>
                  <w:color w:val="000000"/>
                  <w:sz w:val="20"/>
                  <w:szCs w:val="20"/>
                  <w:u w:val="none"/>
                </w:rPr>
                <w:t>47</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vAlign w:val="bottom"/>
            <w:hideMark/>
          </w:tcPr>
          <w:p w:rsidR="00000000" w:rsidRDefault="00E92DBE">
            <w:pPr>
              <w:divId w:val="2060276397"/>
              <w:rPr>
                <w:rFonts w:eastAsia="Times New Roman"/>
              </w:rPr>
            </w:pPr>
            <w:hyperlink w:anchor="ic1109d5aa548447c8224139b1ab22bde_271" w:history="1">
              <w:r>
                <w:rPr>
                  <w:rStyle w:val="a3"/>
                  <w:rFonts w:eastAsia="Times New Roman"/>
                  <w:color w:val="000000"/>
                  <w:sz w:val="20"/>
                  <w:szCs w:val="20"/>
                  <w:u w:val="none"/>
                </w:rPr>
                <w:t>Liquidity Reserves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71" w:history="1">
              <w:r>
                <w:rPr>
                  <w:rStyle w:val="a3"/>
                  <w:rFonts w:eastAsia="Times New Roman"/>
                  <w:color w:val="000000"/>
                  <w:sz w:val="20"/>
                  <w:szCs w:val="20"/>
                  <w:u w:val="none"/>
                </w:rPr>
                <w:t>48</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vAlign w:val="bottom"/>
            <w:hideMark/>
          </w:tcPr>
          <w:p w:rsidR="00000000" w:rsidRDefault="00E92DBE">
            <w:pPr>
              <w:divId w:val="1554658445"/>
              <w:rPr>
                <w:rFonts w:eastAsia="Times New Roman"/>
              </w:rPr>
            </w:pPr>
            <w:hyperlink w:anchor="ic1109d5aa548447c8224139b1ab22bde_280" w:history="1">
              <w:r>
                <w:rPr>
                  <w:rStyle w:val="a3"/>
                  <w:rFonts w:eastAsia="Times New Roman"/>
                  <w:color w:val="000000"/>
                  <w:sz w:val="20"/>
                  <w:szCs w:val="20"/>
                  <w:u w:val="none"/>
                </w:rPr>
                <w:t>Deposits Composition and Average Deposits Interest Rates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80" w:history="1">
              <w:r>
                <w:rPr>
                  <w:rStyle w:val="a3"/>
                  <w:rFonts w:eastAsia="Times New Roman"/>
                  <w:color w:val="000000"/>
                  <w:sz w:val="20"/>
                  <w:szCs w:val="20"/>
                  <w:u w:val="none"/>
                </w:rPr>
                <w:t>49</w:t>
              </w:r>
            </w:hyperlink>
          </w:p>
        </w:tc>
      </w:tr>
      <w:tr w:rsidR="00000000">
        <w:trPr>
          <w:divId w:val="1564214348"/>
          <w:jc w:val="center"/>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vAlign w:val="bottom"/>
            <w:hideMark/>
          </w:tcPr>
          <w:p w:rsidR="00000000" w:rsidRDefault="00E92DBE">
            <w:pPr>
              <w:divId w:val="504050360"/>
              <w:rPr>
                <w:rFonts w:eastAsia="Times New Roman"/>
              </w:rPr>
            </w:pPr>
            <w:hyperlink w:anchor="ic1109d5aa548447c8224139b1ab22bde_289" w:history="1">
              <w:r>
                <w:rPr>
                  <w:rStyle w:val="a3"/>
                  <w:rFonts w:eastAsia="Times New Roman"/>
                  <w:color w:val="000000"/>
                  <w:sz w:val="20"/>
                  <w:szCs w:val="20"/>
                  <w:u w:val="none"/>
                </w:rPr>
                <w:t>Long-Term Funding</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89" w:history="1">
              <w:r>
                <w:rPr>
                  <w:rStyle w:val="a3"/>
                  <w:rFonts w:eastAsia="Times New Roman"/>
                  <w:color w:val="000000"/>
                  <w:sz w:val="20"/>
                  <w:szCs w:val="20"/>
                  <w:u w:val="none"/>
                </w:rPr>
                <w:t>50</w:t>
              </w:r>
            </w:hyperlink>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vAlign w:val="bottom"/>
            <w:hideMark/>
          </w:tcPr>
          <w:p w:rsidR="00000000" w:rsidRDefault="00E92DBE">
            <w:pPr>
              <w:divId w:val="1398017794"/>
              <w:rPr>
                <w:rFonts w:eastAsia="Times New Roman"/>
              </w:rPr>
            </w:pPr>
            <w:hyperlink w:anchor="ic1109d5aa548447c8224139b1ab22bde_292" w:history="1">
              <w:r>
                <w:rPr>
                  <w:rStyle w:val="a3"/>
                  <w:rFonts w:eastAsia="Times New Roman"/>
                  <w:color w:val="000000"/>
                  <w:sz w:val="20"/>
                  <w:szCs w:val="20"/>
                  <w:u w:val="none"/>
                </w:rPr>
                <w:t>Senior Unsecured Long-Term Debt Credit Ratings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292" w:history="1">
              <w:r>
                <w:rPr>
                  <w:rStyle w:val="a3"/>
                  <w:rFonts w:eastAsia="Times New Roman"/>
                  <w:color w:val="000000"/>
                  <w:sz w:val="20"/>
                  <w:szCs w:val="20"/>
                  <w:u w:val="none"/>
                </w:rPr>
                <w:t>50</w:t>
              </w:r>
            </w:hyperlink>
          </w:p>
        </w:tc>
      </w:tr>
      <w:tr w:rsidR="00000000">
        <w:trPr>
          <w:divId w:val="1564214348"/>
          <w:jc w:val="center"/>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36</w:t>
            </w:r>
          </w:p>
        </w:tc>
        <w:tc>
          <w:tcPr>
            <w:tcW w:w="0" w:type="auto"/>
            <w:gridSpan w:val="3"/>
            <w:tcMar>
              <w:top w:w="30" w:type="dxa"/>
              <w:left w:w="20" w:type="dxa"/>
              <w:bottom w:w="30" w:type="dxa"/>
              <w:right w:w="20" w:type="dxa"/>
            </w:tcMar>
            <w:vAlign w:val="bottom"/>
            <w:hideMark/>
          </w:tcPr>
          <w:p w:rsidR="00000000" w:rsidRDefault="00E92DBE">
            <w:pPr>
              <w:divId w:val="1427729630"/>
              <w:rPr>
                <w:rFonts w:eastAsia="Times New Roman"/>
              </w:rPr>
            </w:pPr>
            <w:hyperlink w:anchor="ic1109d5aa548447c8224139b1ab22bde_301" w:history="1">
              <w:r>
                <w:rPr>
                  <w:rStyle w:val="a3"/>
                  <w:rFonts w:eastAsia="Times New Roman"/>
                  <w:color w:val="000000"/>
                  <w:sz w:val="20"/>
                  <w:szCs w:val="20"/>
                  <w:u w:val="none"/>
                </w:rPr>
                <w:t>Interest Rate Sensitivity Analysis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01" w:history="1">
              <w:r>
                <w:rPr>
                  <w:rStyle w:val="a3"/>
                  <w:rFonts w:eastAsia="Times New Roman"/>
                  <w:color w:val="000000"/>
                  <w:sz w:val="20"/>
                  <w:szCs w:val="20"/>
                  <w:u w:val="none"/>
                </w:rPr>
                <w:t>51</w:t>
              </w:r>
            </w:hyperlink>
          </w:p>
        </w:tc>
      </w:tr>
      <w:tr w:rsidR="00000000">
        <w:trPr>
          <w:divId w:val="1564214348"/>
          <w:trHeight w:val="240"/>
          <w:jc w:val="center"/>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564214348"/>
          <w:jc w:val="center"/>
        </w:trPr>
        <w:tc>
          <w:tcPr>
            <w:tcW w:w="0" w:type="auto"/>
            <w:gridSpan w:val="6"/>
            <w:tcMar>
              <w:top w:w="30" w:type="dxa"/>
              <w:left w:w="20" w:type="dxa"/>
              <w:bottom w:w="30" w:type="dxa"/>
              <w:right w:w="20" w:type="dxa"/>
            </w:tcMar>
            <w:vAlign w:val="bottom"/>
            <w:hideMark/>
          </w:tcPr>
          <w:p w:rsidR="00000000" w:rsidRDefault="00E92DBE">
            <w:pPr>
              <w:divId w:val="929587287"/>
              <w:rPr>
                <w:rFonts w:eastAsia="Times New Roman"/>
              </w:rPr>
            </w:pPr>
            <w:hyperlink w:anchor="ic1109d5aa548447c8224139b1ab22bde_307" w:history="1">
              <w:r>
                <w:rPr>
                  <w:rStyle w:val="a3"/>
                  <w:rFonts w:eastAsia="Times New Roman"/>
                  <w:b/>
                  <w:bCs/>
                  <w:color w:val="000000"/>
                  <w:sz w:val="20"/>
                  <w:szCs w:val="20"/>
                  <w:u w:val="none"/>
                </w:rPr>
                <w:t xml:space="preserve">Supplemental </w:t>
              </w:r>
            </w:hyperlink>
            <w:hyperlink w:anchor="ic1109d5aa548447c8224139b1ab22bde_307" w:history="1">
              <w:r>
                <w:rPr>
                  <w:rStyle w:val="a3"/>
                  <w:rFonts w:eastAsia="Times New Roman"/>
                  <w:b/>
                  <w:bCs/>
                  <w:color w:val="000000"/>
                  <w:sz w:val="20"/>
                  <w:szCs w:val="20"/>
                  <w:u w:val="none"/>
                </w:rPr>
                <w:t>Table</w:t>
              </w:r>
            </w:hyperlink>
            <w:r>
              <w:rPr>
                <w:rFonts w:eastAsia="Times New Roman"/>
                <w:b/>
                <w:bCs/>
                <w:color w:val="000000"/>
                <w:sz w:val="20"/>
                <w:szCs w:val="20"/>
              </w:rPr>
              <w:t>:</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r>
      <w:tr w:rsidR="00000000">
        <w:trPr>
          <w:divId w:val="1564214348"/>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64214348"/>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64214348"/>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64214348"/>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64214348"/>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64214348"/>
          <w:jc w:val="center"/>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20"/>
                <w:szCs w:val="20"/>
              </w:rPr>
              <w:t>A</w:t>
            </w:r>
          </w:p>
        </w:tc>
        <w:tc>
          <w:tcPr>
            <w:tcW w:w="0" w:type="auto"/>
            <w:gridSpan w:val="3"/>
            <w:tcMar>
              <w:top w:w="30" w:type="dxa"/>
              <w:left w:w="20" w:type="dxa"/>
              <w:bottom w:w="30" w:type="dxa"/>
              <w:right w:w="20" w:type="dxa"/>
            </w:tcMar>
            <w:vAlign w:val="bottom"/>
            <w:hideMark/>
          </w:tcPr>
          <w:p w:rsidR="00000000" w:rsidRDefault="00E92DBE">
            <w:pPr>
              <w:divId w:val="249312622"/>
              <w:rPr>
                <w:rFonts w:eastAsia="Times New Roman"/>
              </w:rPr>
            </w:pPr>
            <w:hyperlink w:anchor="ic1109d5aa548447c8224139b1ab22bde_325" w:history="1">
              <w:r>
                <w:rPr>
                  <w:rStyle w:val="a3"/>
                  <w:rFonts w:eastAsia="Times New Roman"/>
                  <w:color w:val="000000"/>
                  <w:sz w:val="20"/>
                  <w:szCs w:val="20"/>
                  <w:u w:val="none"/>
                </w:rPr>
                <w:t>Reconciliation of Non-GAAP Measures</w:t>
              </w:r>
            </w:hyperlink>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hyperlink w:anchor="ic1109d5aa548447c8224139b1ab22bde_325" w:history="1">
              <w:r>
                <w:rPr>
                  <w:rStyle w:val="a3"/>
                  <w:rFonts w:eastAsia="Times New Roman"/>
                  <w:color w:val="000000"/>
                  <w:sz w:val="20"/>
                  <w:szCs w:val="20"/>
                  <w:u w:val="none"/>
                </w:rPr>
                <w:t>57</w:t>
              </w:r>
            </w:hyperlink>
          </w:p>
        </w:tc>
      </w:tr>
      <w:tr w:rsidR="00000000">
        <w:trPr>
          <w:divId w:val="1564214348"/>
          <w:jc w:val="center"/>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E92DBE">
            <w:pPr>
              <w:jc w:val="cente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3</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28" style="width:0;height:1.5pt" o:hralign="center" o:hrstd="t" o:hr="t" fillcolor="#a0a0a0" stroked="f"/>
        </w:pict>
      </w:r>
    </w:p>
    <w:p w:rsidR="00000000" w:rsidRDefault="00E92DBE">
      <w:pPr>
        <w:ind w:hanging="360"/>
        <w:jc w:val="both"/>
        <w:divId w:val="178384492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2098214171"/>
        <w:rPr>
          <w:rFonts w:eastAsia="Times New Roman"/>
        </w:rPr>
      </w:pPr>
      <w:r>
        <w:rPr>
          <w:rFonts w:eastAsia="Times New Roman"/>
          <w:b/>
          <w:bCs/>
          <w:color w:val="000000"/>
          <w:sz w:val="20"/>
          <w:szCs w:val="20"/>
        </w:rPr>
        <w:t>PART I—FINANCIAL INFORMATION</w:t>
      </w:r>
      <w:r>
        <w:rPr>
          <w:rFonts w:eastAsia="Times New Roman"/>
          <w:color w:val="000000"/>
          <w:sz w:val="20"/>
          <w:szCs w:val="20"/>
        </w:rPr>
        <w:t xml:space="preserve"> </w:t>
      </w:r>
    </w:p>
    <w:p w:rsidR="00000000" w:rsidRDefault="00E92DBE">
      <w:pPr>
        <w:divId w:val="1624648643"/>
        <w:rPr>
          <w:rFonts w:eastAsia="Times New Roman"/>
        </w:rPr>
      </w:pPr>
      <w:r>
        <w:rPr>
          <w:rFonts w:eastAsia="Times New Roman"/>
          <w:b/>
          <w:bCs/>
          <w:color w:val="000000"/>
          <w:sz w:val="20"/>
          <w:szCs w:val="20"/>
        </w:rPr>
        <w:t>Item 2. Management’</w:t>
      </w:r>
      <w:r>
        <w:rPr>
          <w:rFonts w:eastAsia="Times New Roman"/>
          <w:b/>
          <w:bCs/>
          <w:color w:val="000000"/>
          <w:sz w:val="20"/>
          <w:szCs w:val="20"/>
        </w:rPr>
        <w:t xml:space="preserve">s Discussion and Analysis of Financial Condition and Results of Operations (“MD&amp;A”)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339508625"/>
          <w:jc w:val="center"/>
        </w:trPr>
        <w:tc>
          <w:tcPr>
            <w:tcW w:w="50" w:type="pct"/>
            <w:vAlign w:val="center"/>
            <w:hideMark/>
          </w:tcPr>
          <w:p w:rsidR="00000000" w:rsidRDefault="00E92DBE">
            <w:pPr>
              <w:rPr>
                <w:rFonts w:eastAsia="Times New Roman"/>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339508625"/>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r>
    </w:tbl>
    <w:p w:rsidR="00000000" w:rsidRDefault="00E92DBE">
      <w:pPr>
        <w:jc w:val="both"/>
        <w:divId w:val="1418557355"/>
        <w:rPr>
          <w:rFonts w:eastAsia="Times New Roman"/>
        </w:rPr>
      </w:pPr>
      <w:r>
        <w:rPr>
          <w:rFonts w:eastAsia="Times New Roman"/>
          <w:i/>
          <w:iCs/>
          <w:color w:val="000000"/>
          <w:sz w:val="20"/>
          <w:szCs w:val="20"/>
        </w:rPr>
        <w:t>This discussion contains forward-looking statements that are based upon management’s current expectations and are subject to significant uncertainties and changes in circumstances. Please review “MD&amp;A—Forward-Looking Statements” for more information on the</w:t>
      </w:r>
      <w:r>
        <w:rPr>
          <w:rFonts w:eastAsia="Times New Roman"/>
          <w:i/>
          <w:iCs/>
          <w:color w:val="000000"/>
          <w:sz w:val="20"/>
          <w:szCs w:val="20"/>
        </w:rPr>
        <w:t xml:space="preserve"> forward-looking statements in this Quarterly Report on Form 10-Q (“this Report”). All statements that address operating performance, events or developments that we expect or anticipate will occur in the future, including those relating to operating result</w:t>
      </w:r>
      <w:r>
        <w:rPr>
          <w:rFonts w:eastAsia="Times New Roman"/>
          <w:i/>
          <w:iCs/>
          <w:color w:val="000000"/>
          <w:sz w:val="20"/>
          <w:szCs w:val="20"/>
        </w:rPr>
        <w:t>s and “Note 13—Commitments, Contingencies, Guarantees and Others” as well as the potential impacts of the COVID-19 pandemic described in “MD&amp;A—Introduction—Coronavirus Disease 2019 (COVID-19) Pandemic” are forward-looking statements. Our actual results may</w:t>
      </w:r>
      <w:r>
        <w:rPr>
          <w:rFonts w:eastAsia="Times New Roman"/>
          <w:i/>
          <w:iCs/>
          <w:color w:val="000000"/>
          <w:sz w:val="20"/>
          <w:szCs w:val="20"/>
        </w:rPr>
        <w:t xml:space="preserve"> differ materially from those included in these forward-looking statements due to a variety of factors including, but not limited to, those described in “Part I—Item 1A. Risk Factors” in our 2020 Annual Report on Form 10-K (“2020 Form 10-K”) and “Part II—I</w:t>
      </w:r>
      <w:r>
        <w:rPr>
          <w:rFonts w:eastAsia="Times New Roman"/>
          <w:i/>
          <w:iCs/>
          <w:color w:val="000000"/>
          <w:sz w:val="20"/>
          <w:szCs w:val="20"/>
        </w:rPr>
        <w:t>tem 1A. Risk Factors” in this Report. Unless otherwise specified, references to notes to our consolidated financial statements refer to the notes to our consolidated financial statements as of March 31, 2021 included in this Report.</w:t>
      </w:r>
    </w:p>
    <w:tbl>
      <w:tblPr>
        <w:tblW w:w="5000" w:type="pct"/>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1301614996"/>
        </w:trPr>
        <w:tc>
          <w:tcPr>
            <w:tcW w:w="50" w:type="pct"/>
            <w:vAlign w:val="center"/>
            <w:hideMark/>
          </w:tcPr>
          <w:p w:rsidR="00000000" w:rsidRDefault="00E92DBE">
            <w:pPr>
              <w:jc w:val="both"/>
              <w:rPr>
                <w:rFonts w:eastAsia="Times New Roman"/>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301614996"/>
          <w:trHeight w:val="60"/>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r>
    </w:tbl>
    <w:p w:rsidR="00000000" w:rsidRDefault="00E92DBE">
      <w:pPr>
        <w:jc w:val="both"/>
        <w:divId w:val="1777095790"/>
        <w:rPr>
          <w:rFonts w:eastAsia="Times New Roman"/>
        </w:rPr>
      </w:pPr>
      <w:r>
        <w:rPr>
          <w:rFonts w:eastAsia="Times New Roman"/>
          <w:color w:val="000000"/>
          <w:sz w:val="20"/>
          <w:szCs w:val="20"/>
        </w:rPr>
        <w:t>Management monitors a variety of key indicators to evaluate our business results and financial condition. The following MD&amp;</w:t>
      </w:r>
      <w:r>
        <w:rPr>
          <w:rFonts w:eastAsia="Times New Roman"/>
          <w:color w:val="000000"/>
          <w:sz w:val="20"/>
          <w:szCs w:val="20"/>
        </w:rPr>
        <w:t>A is provided as a supplement to, and should be read in conjunction with, our consolidated financial statements and related notes in this Report and the more detailed information contained in our 2020 Form 10-K.</w:t>
      </w:r>
    </w:p>
    <w:tbl>
      <w:tblPr>
        <w:tblW w:w="4970" w:type="pct"/>
        <w:tblCellMar>
          <w:top w:w="15" w:type="dxa"/>
          <w:left w:w="15" w:type="dxa"/>
          <w:bottom w:w="15" w:type="dxa"/>
          <w:right w:w="15" w:type="dxa"/>
        </w:tblCellMar>
        <w:tblLook w:val="04A0" w:firstRow="1" w:lastRow="0" w:firstColumn="1" w:lastColumn="0" w:noHBand="0" w:noVBand="1"/>
      </w:tblPr>
      <w:tblGrid>
        <w:gridCol w:w="60"/>
        <w:gridCol w:w="3978"/>
        <w:gridCol w:w="36"/>
        <w:gridCol w:w="36"/>
        <w:gridCol w:w="94"/>
        <w:gridCol w:w="36"/>
        <w:gridCol w:w="61"/>
        <w:gridCol w:w="3919"/>
        <w:gridCol w:w="36"/>
      </w:tblGrid>
      <w:tr w:rsidR="00000000">
        <w:tc>
          <w:tcPr>
            <w:tcW w:w="50" w:type="pct"/>
            <w:vAlign w:val="center"/>
            <w:hideMark/>
          </w:tcPr>
          <w:p w:rsidR="00000000" w:rsidRDefault="00E92DBE">
            <w:pPr>
              <w:jc w:val="both"/>
              <w:rPr>
                <w:rFonts w:eastAsia="Times New Roman"/>
              </w:rPr>
            </w:pPr>
          </w:p>
        </w:tc>
        <w:tc>
          <w:tcPr>
            <w:tcW w:w="24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7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38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jc w:val="both"/>
        <w:rPr>
          <w:rFonts w:eastAsia="Times New Roman"/>
          <w:vanish/>
        </w:rPr>
      </w:pPr>
    </w:p>
    <w:tbl>
      <w:tblPr>
        <w:tblW w:w="4970" w:type="pct"/>
        <w:tblCellMar>
          <w:top w:w="15" w:type="dxa"/>
          <w:left w:w="15" w:type="dxa"/>
          <w:bottom w:w="15" w:type="dxa"/>
          <w:right w:w="15" w:type="dxa"/>
        </w:tblCellMar>
        <w:tblLook w:val="04A0" w:firstRow="1" w:lastRow="0" w:firstColumn="1" w:lastColumn="0" w:noHBand="0" w:noVBand="1"/>
      </w:tblPr>
      <w:tblGrid>
        <w:gridCol w:w="60"/>
        <w:gridCol w:w="3978"/>
        <w:gridCol w:w="36"/>
        <w:gridCol w:w="36"/>
        <w:gridCol w:w="94"/>
        <w:gridCol w:w="36"/>
        <w:gridCol w:w="61"/>
        <w:gridCol w:w="3919"/>
        <w:gridCol w:w="36"/>
      </w:tblGrid>
      <w:tr w:rsidR="00000000">
        <w:tc>
          <w:tcPr>
            <w:tcW w:w="50" w:type="pct"/>
            <w:vAlign w:val="center"/>
            <w:hideMark/>
          </w:tcPr>
          <w:p w:rsidR="00000000" w:rsidRDefault="00E92DBE">
            <w:pPr>
              <w:jc w:val="both"/>
              <w:rPr>
                <w:rFonts w:eastAsia="Times New Roman"/>
              </w:rPr>
            </w:pPr>
          </w:p>
        </w:tc>
        <w:tc>
          <w:tcPr>
            <w:tcW w:w="24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7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38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1536482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53648277"/>
        </w:trPr>
        <w:tc>
          <w:tcPr>
            <w:tcW w:w="50" w:type="pct"/>
            <w:vAlign w:val="center"/>
            <w:hideMark/>
          </w:tcPr>
          <w:p w:rsidR="00000000" w:rsidRDefault="00E92DBE">
            <w:pPr>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5364827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INTRODUCTION</w:t>
            </w:r>
          </w:p>
        </w:tc>
      </w:tr>
    </w:tbl>
    <w:p w:rsidR="00000000" w:rsidRDefault="00E92DBE">
      <w:pPr>
        <w:jc w:val="both"/>
        <w:divId w:val="373501183"/>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 xml:space="preserve">bsidiaries (the “Company”) offer a broad array of financial products and services to consumers, small businesses and commercial clients through digital channels, branches, Cafés and other distribution channels. </w:t>
      </w:r>
    </w:p>
    <w:p w:rsidR="00000000" w:rsidRDefault="00E92DBE">
      <w:pPr>
        <w:jc w:val="both"/>
        <w:divId w:val="1290940820"/>
        <w:rPr>
          <w:rFonts w:eastAsia="Times New Roman"/>
        </w:rPr>
      </w:pPr>
      <w:r>
        <w:rPr>
          <w:rFonts w:eastAsia="Times New Roman"/>
          <w:color w:val="000000"/>
          <w:sz w:val="20"/>
          <w:szCs w:val="20"/>
        </w:rPr>
        <w:t>As of March 31, 2021, our principal subsidia</w:t>
      </w:r>
      <w:r>
        <w:rPr>
          <w:rFonts w:eastAsia="Times New Roman"/>
          <w:color w:val="000000"/>
          <w:sz w:val="20"/>
          <w:szCs w:val="20"/>
        </w:rPr>
        <w:t>ries included:</w:t>
      </w:r>
    </w:p>
    <w:p w:rsidR="00000000" w:rsidRDefault="00E92DBE">
      <w:pPr>
        <w:ind w:hanging="360"/>
        <w:jc w:val="both"/>
        <w:divId w:val="185755562"/>
        <w:rPr>
          <w:rFonts w:eastAsia="Times New Roman"/>
        </w:rPr>
      </w:pPr>
      <w:r>
        <w:rPr>
          <w:rFonts w:eastAsia="Times New Roman"/>
          <w:color w:val="000000"/>
          <w:sz w:val="20"/>
          <w:szCs w:val="20"/>
        </w:rPr>
        <w:t>•Capital One Bank (USA), National Association (“COBNA”), which offers credit and debit card products, other lending products and deposit products; and</w:t>
      </w:r>
    </w:p>
    <w:p w:rsidR="00000000" w:rsidRDefault="00E92DBE">
      <w:pPr>
        <w:ind w:hanging="360"/>
        <w:jc w:val="both"/>
        <w:divId w:val="2133205128"/>
        <w:rPr>
          <w:rFonts w:eastAsia="Times New Roman"/>
        </w:rPr>
      </w:pPr>
      <w:r>
        <w:rPr>
          <w:rFonts w:eastAsia="Times New Roman"/>
          <w:color w:val="000000"/>
          <w:sz w:val="20"/>
          <w:szCs w:val="20"/>
        </w:rPr>
        <w:t>•Capital One, National Association (“CONA”), which offers a broad spectrum of banking prod</w:t>
      </w:r>
      <w:r>
        <w:rPr>
          <w:rFonts w:eastAsia="Times New Roman"/>
          <w:color w:val="000000"/>
          <w:sz w:val="20"/>
          <w:szCs w:val="20"/>
        </w:rPr>
        <w:t>ucts and financial services to consumers, small businesses and commercial clients.</w:t>
      </w:r>
    </w:p>
    <w:p w:rsidR="00000000" w:rsidRDefault="00E92DBE">
      <w:pPr>
        <w:jc w:val="both"/>
        <w:divId w:val="632562913"/>
        <w:rPr>
          <w:rFonts w:eastAsia="Times New Roman"/>
        </w:rPr>
      </w:pPr>
      <w:r>
        <w:rPr>
          <w:rFonts w:eastAsia="Times New Roman"/>
          <w:color w:val="000000"/>
          <w:sz w:val="20"/>
          <w:szCs w:val="20"/>
        </w:rPr>
        <w:t>The Company is hereafter collectively referred to as “we,” “us” or “our.” COBNA and CONA are collectively referred to as the “Banks.” Certain business terms used in this doc</w:t>
      </w:r>
      <w:r>
        <w:rPr>
          <w:rFonts w:eastAsia="Times New Roman"/>
          <w:color w:val="000000"/>
          <w:sz w:val="20"/>
          <w:szCs w:val="20"/>
        </w:rPr>
        <w:t>ument are defined in the “MD&amp;A—Glossary and Acronyms” and should be read in conjunction with the consolidated financial statements included in this Report.</w:t>
      </w:r>
    </w:p>
    <w:p w:rsidR="00000000" w:rsidRDefault="00E92DBE">
      <w:pPr>
        <w:jc w:val="both"/>
        <w:divId w:val="1414008822"/>
        <w:rPr>
          <w:rFonts w:eastAsia="Times New Roman"/>
        </w:rPr>
      </w:pPr>
      <w:r>
        <w:rPr>
          <w:rFonts w:eastAsia="Times New Roman"/>
          <w:color w:val="000000"/>
          <w:sz w:val="20"/>
          <w:szCs w:val="20"/>
        </w:rPr>
        <w:t>Our consolidated total net revenues are derived primarily from lending to consumer, small business a</w:t>
      </w:r>
      <w:r>
        <w:rPr>
          <w:rFonts w:eastAsia="Times New Roman"/>
          <w:color w:val="000000"/>
          <w:sz w:val="20"/>
          <w:szCs w:val="20"/>
        </w:rPr>
        <w:t>nd commercial customers net of funding costs associated with interest on deposits, long-term debt and other borrowings. We also earn non-interest income which primarily consists of interchange income, net of reward expenses, service charges and other custo</w:t>
      </w:r>
      <w:r>
        <w:rPr>
          <w:rFonts w:eastAsia="Times New Roman"/>
          <w:color w:val="000000"/>
          <w:sz w:val="20"/>
          <w:szCs w:val="20"/>
        </w:rPr>
        <w:t>mer-related fees. Our expenses primarily consist of the provision for credit losses, operating expenses, marketing expenses and income taxes.</w:t>
      </w:r>
    </w:p>
    <w:p w:rsidR="00000000" w:rsidRDefault="00E92DBE">
      <w:pPr>
        <w:jc w:val="both"/>
        <w:divId w:val="1245601734"/>
        <w:rPr>
          <w:rFonts w:eastAsia="Times New Roman"/>
        </w:rPr>
      </w:pPr>
      <w:r>
        <w:rPr>
          <w:rFonts w:eastAsia="Times New Roman"/>
          <w:color w:val="000000"/>
          <w:sz w:val="20"/>
          <w:szCs w:val="20"/>
        </w:rPr>
        <w:lastRenderedPageBreak/>
        <w:t>Our principal operations are organized for management reporting purposes into three major business segments, which</w:t>
      </w:r>
      <w:r>
        <w:rPr>
          <w:rFonts w:eastAsia="Times New Roman"/>
          <w:color w:val="000000"/>
          <w:sz w:val="20"/>
          <w:szCs w:val="20"/>
        </w:rPr>
        <w:t xml:space="preserve"> are defined primarily based on the products and services provided or the types of customer served: Credit Card, Consumer Banking and Commercial Banking. The operations of acquired businesses have been integrated into or managed as a part of our existing b</w:t>
      </w:r>
      <w:r>
        <w:rPr>
          <w:rFonts w:eastAsia="Times New Roman"/>
          <w:color w:val="000000"/>
          <w:sz w:val="20"/>
          <w:szCs w:val="20"/>
        </w:rPr>
        <w:t>usiness segments. Certain activities that are not part of a segment, such as management of our corporate investment portfolio, asset/liability management by our centralized Corporate Treasury group and residual tax expense or benefit to arrive at the conso</w:t>
      </w:r>
      <w:r>
        <w:rPr>
          <w:rFonts w:eastAsia="Times New Roman"/>
          <w:color w:val="000000"/>
          <w:sz w:val="20"/>
          <w:szCs w:val="20"/>
        </w:rPr>
        <w:t xml:space="preserve">lidated effective tax rate that is not assessed to our primary business segments, are included in the Other category. </w:t>
      </w:r>
    </w:p>
    <w:p w:rsidR="00000000" w:rsidRDefault="00E92DBE">
      <w:pPr>
        <w:ind w:hanging="360"/>
        <w:jc w:val="both"/>
        <w:divId w:val="1660957069"/>
        <w:rPr>
          <w:rFonts w:eastAsia="Times New Roman"/>
        </w:rPr>
      </w:pPr>
      <w:r>
        <w:rPr>
          <w:rFonts w:eastAsia="Times New Roman"/>
          <w:color w:val="000000"/>
          <w:sz w:val="20"/>
          <w:szCs w:val="20"/>
        </w:rPr>
        <w:t>•</w:t>
      </w:r>
      <w:r>
        <w:rPr>
          <w:rFonts w:eastAsia="Times New Roman"/>
          <w:i/>
          <w:iCs/>
          <w:color w:val="000000"/>
          <w:sz w:val="20"/>
          <w:szCs w:val="20"/>
        </w:rPr>
        <w:t>Credit Card:</w:t>
      </w:r>
      <w:r>
        <w:rPr>
          <w:rFonts w:eastAsia="Times New Roman"/>
          <w:color w:val="000000"/>
          <w:sz w:val="20"/>
          <w:szCs w:val="20"/>
        </w:rPr>
        <w:t xml:space="preserve"> </w:t>
      </w:r>
      <w:r>
        <w:rPr>
          <w:rFonts w:eastAsia="Times New Roman"/>
          <w:color w:val="000000"/>
          <w:sz w:val="20"/>
          <w:szCs w:val="20"/>
        </w:rPr>
        <w:t>Consists of our domestic consumer and small business card lending, and international card businesses in Canada and the United Kingdom (“U.K.”).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34391224"/>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234391224"/>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234391224"/>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4</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29" style="width:0;height:1.5pt" o:hralign="center" o:hrstd="t" o:hr="t" fillcolor="#a0a0a0" stroked="f"/>
        </w:pict>
      </w:r>
    </w:p>
    <w:p w:rsidR="00000000" w:rsidRDefault="00E92DBE">
      <w:pPr>
        <w:ind w:hanging="360"/>
        <w:jc w:val="both"/>
        <w:divId w:val="43301327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ind w:hanging="360"/>
        <w:jc w:val="both"/>
        <w:divId w:val="757989623"/>
        <w:rPr>
          <w:rFonts w:eastAsia="Times New Roman"/>
        </w:rPr>
      </w:pPr>
      <w:r>
        <w:rPr>
          <w:rFonts w:eastAsia="Times New Roman"/>
          <w:color w:val="000000"/>
          <w:sz w:val="20"/>
          <w:szCs w:val="20"/>
        </w:rPr>
        <w:t>•</w:t>
      </w:r>
      <w:r>
        <w:rPr>
          <w:rFonts w:eastAsia="Times New Roman"/>
          <w:i/>
          <w:iCs/>
          <w:color w:val="000000"/>
          <w:sz w:val="20"/>
          <w:szCs w:val="20"/>
        </w:rPr>
        <w:t>Consumer Banking:</w:t>
      </w:r>
      <w:r>
        <w:rPr>
          <w:rFonts w:eastAsia="Times New Roman"/>
          <w:color w:val="000000"/>
          <w:sz w:val="20"/>
          <w:szCs w:val="20"/>
        </w:rPr>
        <w:t xml:space="preserve"> Consists of our deposit gathering and lending activities for consumers and small businesses, and national auto lending.</w:t>
      </w:r>
    </w:p>
    <w:p w:rsidR="00000000" w:rsidRDefault="00E92DBE">
      <w:pPr>
        <w:ind w:hanging="360"/>
        <w:jc w:val="both"/>
        <w:divId w:val="2030065596"/>
        <w:rPr>
          <w:rFonts w:eastAsia="Times New Roman"/>
        </w:rPr>
      </w:pPr>
      <w:r>
        <w:rPr>
          <w:rFonts w:eastAsia="Times New Roman"/>
          <w:color w:val="000000"/>
          <w:sz w:val="20"/>
          <w:szCs w:val="20"/>
        </w:rPr>
        <w:t>•</w:t>
      </w:r>
      <w:r>
        <w:rPr>
          <w:rFonts w:eastAsia="Times New Roman"/>
          <w:i/>
          <w:iCs/>
          <w:color w:val="000000"/>
          <w:sz w:val="20"/>
          <w:szCs w:val="20"/>
        </w:rPr>
        <w:t>Commercial Banking:</w:t>
      </w:r>
      <w:r>
        <w:rPr>
          <w:rFonts w:eastAsia="Times New Roman"/>
          <w:color w:val="000000"/>
          <w:sz w:val="20"/>
          <w:szCs w:val="20"/>
        </w:rPr>
        <w:t xml:space="preserve"> Consists of our lending, deposit gathering, capital markets and treasury management services to commercial real estate and commercial and industrial customers. Our commercial and industrial customers typically include companies with ann</w:t>
      </w:r>
      <w:r>
        <w:rPr>
          <w:rFonts w:eastAsia="Times New Roman"/>
          <w:color w:val="000000"/>
          <w:sz w:val="20"/>
          <w:szCs w:val="20"/>
        </w:rPr>
        <w:t>ual revenues between $20 million and $2 billion.</w:t>
      </w:r>
    </w:p>
    <w:p w:rsidR="00000000" w:rsidRDefault="00E92DBE">
      <w:pPr>
        <w:divId w:val="1868372619"/>
        <w:rPr>
          <w:rFonts w:eastAsia="Times New Roman"/>
        </w:rPr>
      </w:pPr>
      <w:r>
        <w:rPr>
          <w:rFonts w:eastAsia="Times New Roman"/>
          <w:b/>
          <w:bCs/>
          <w:color w:val="000000"/>
          <w:sz w:val="20"/>
          <w:szCs w:val="20"/>
        </w:rPr>
        <w:t>Business Developments</w:t>
      </w:r>
    </w:p>
    <w:p w:rsidR="00000000" w:rsidRDefault="00E92DBE">
      <w:pPr>
        <w:jc w:val="both"/>
        <w:divId w:val="1228032505"/>
        <w:rPr>
          <w:rFonts w:eastAsia="Times New Roman"/>
        </w:rPr>
      </w:pPr>
      <w:r>
        <w:rPr>
          <w:rFonts w:eastAsia="Times New Roman"/>
          <w:color w:val="000000"/>
          <w:sz w:val="20"/>
          <w:szCs w:val="20"/>
        </w:rPr>
        <w:t>We regularly explore and evaluate opportunities to acquire financial services and products as well as financial assets, including credit card and other loan portfolios, and enter into s</w:t>
      </w:r>
      <w:r>
        <w:rPr>
          <w:rFonts w:eastAsia="Times New Roman"/>
          <w:color w:val="000000"/>
          <w:sz w:val="20"/>
          <w:szCs w:val="20"/>
        </w:rPr>
        <w:t xml:space="preserve">trategic partnerships as part of our growth strategy. We also explore opportunities to acquire technology companies and related assets to improve our information technology infrastructure and to deliver on our digital strategy. We may issue equity or debt </w:t>
      </w:r>
      <w:r>
        <w:rPr>
          <w:rFonts w:eastAsia="Times New Roman"/>
          <w:color w:val="000000"/>
          <w:sz w:val="20"/>
          <w:szCs w:val="20"/>
        </w:rPr>
        <w:t>to fund our acquisitions. In addition, we regularly consider the potential disposition of certain assets, branches, partnership agreements or lines of business.</w:t>
      </w:r>
    </w:p>
    <w:p w:rsidR="00000000" w:rsidRDefault="00E92DBE">
      <w:pPr>
        <w:jc w:val="both"/>
        <w:divId w:val="61147600"/>
        <w:rPr>
          <w:rFonts w:eastAsia="Times New Roman"/>
        </w:rPr>
      </w:pPr>
      <w:r>
        <w:rPr>
          <w:rFonts w:eastAsia="Times New Roman"/>
          <w:color w:val="000000"/>
          <w:sz w:val="20"/>
          <w:szCs w:val="20"/>
        </w:rPr>
        <w:t>In the fourth quarter of 2020, we entered into an agreement to sell a partnership credit card l</w:t>
      </w:r>
      <w:r>
        <w:rPr>
          <w:rFonts w:eastAsia="Times New Roman"/>
          <w:color w:val="000000"/>
          <w:sz w:val="20"/>
          <w:szCs w:val="20"/>
        </w:rPr>
        <w:t>oan portfolio of approximately $2.1 billion, which had been transferred to held for sale as of September 30, 2020, resulting in an allowance release of $327 million.</w:t>
      </w:r>
    </w:p>
    <w:p w:rsidR="00000000" w:rsidRDefault="00E92DBE">
      <w:pPr>
        <w:divId w:val="1936942054"/>
        <w:rPr>
          <w:rFonts w:eastAsia="Times New Roman"/>
        </w:rPr>
      </w:pPr>
      <w:r>
        <w:rPr>
          <w:rFonts w:eastAsia="Times New Roman"/>
          <w:b/>
          <w:bCs/>
          <w:color w:val="000000"/>
          <w:sz w:val="20"/>
          <w:szCs w:val="20"/>
        </w:rPr>
        <w:t xml:space="preserve">Coronavirus Disease 2019 (COVID-19) Pandemic </w:t>
      </w:r>
    </w:p>
    <w:p w:rsidR="00000000" w:rsidRDefault="00E92DBE">
      <w:pPr>
        <w:jc w:val="both"/>
        <w:divId w:val="140124651"/>
        <w:rPr>
          <w:rFonts w:eastAsia="Times New Roman"/>
        </w:rPr>
      </w:pPr>
      <w:r>
        <w:rPr>
          <w:rFonts w:eastAsia="Times New Roman"/>
          <w:color w:val="212529"/>
          <w:sz w:val="20"/>
          <w:szCs w:val="20"/>
        </w:rPr>
        <w:t>The COVID-19 pandemic has resulted in a glob</w:t>
      </w:r>
      <w:r>
        <w:rPr>
          <w:rFonts w:eastAsia="Times New Roman"/>
          <w:color w:val="212529"/>
          <w:sz w:val="20"/>
          <w:szCs w:val="20"/>
        </w:rPr>
        <w:t>al public-health crisis, disrupting economies and introducing significant volatility into financial markets and uncertainty as to when economic and operating conditions will return to normalcy. This crisis continues to impact individuals, households and bu</w:t>
      </w:r>
      <w:r>
        <w:rPr>
          <w:rFonts w:eastAsia="Times New Roman"/>
          <w:color w:val="212529"/>
          <w:sz w:val="20"/>
          <w:szCs w:val="20"/>
        </w:rPr>
        <w:t>sinesses in a multitude of ways. Companies in the United States of America (“U.S.”) and abroad have experienced unprecedented disruptions to normal business operations, including customer-facing interactions, supply chains, office closures, changes in dema</w:t>
      </w:r>
      <w:r>
        <w:rPr>
          <w:rFonts w:eastAsia="Times New Roman"/>
          <w:color w:val="212529"/>
          <w:sz w:val="20"/>
          <w:szCs w:val="20"/>
        </w:rPr>
        <w:t>nd for products and services, and others. Financial institutions, including us, have been deemed an essential service and exempted from the myriad of shutdowns across the country. We have transformed how we work in order to protect the well-being of our as</w:t>
      </w:r>
      <w:r>
        <w:rPr>
          <w:rFonts w:eastAsia="Times New Roman"/>
          <w:color w:val="212529"/>
          <w:sz w:val="20"/>
          <w:szCs w:val="20"/>
        </w:rPr>
        <w:t>sociates and our customers, serve our customers, support our communities, and position ourselves to navigate the challenges ahead.</w:t>
      </w:r>
    </w:p>
    <w:p w:rsidR="00000000" w:rsidRDefault="00E92DBE">
      <w:pPr>
        <w:jc w:val="both"/>
        <w:divId w:val="1409615398"/>
        <w:rPr>
          <w:rFonts w:eastAsia="Times New Roman"/>
        </w:rPr>
      </w:pPr>
      <w:r>
        <w:rPr>
          <w:rFonts w:eastAsia="Times New Roman"/>
          <w:color w:val="000000"/>
          <w:sz w:val="20"/>
          <w:szCs w:val="20"/>
        </w:rPr>
        <w:t xml:space="preserve">Since the start of the COVID-19 pandemic, a significant majority of our associates across our workforce have transitioned to </w:t>
      </w:r>
      <w:r>
        <w:rPr>
          <w:rFonts w:eastAsia="Times New Roman"/>
          <w:color w:val="000000"/>
          <w:sz w:val="20"/>
          <w:szCs w:val="20"/>
        </w:rPr>
        <w:t>working remotely, relying on our technology infrastructure and systems that have been designed for resilience and security. The majority of our associates will continue to work remotely through at least the summer of 2021, as we continue to prioritize thei</w:t>
      </w:r>
      <w:r>
        <w:rPr>
          <w:rFonts w:eastAsia="Times New Roman"/>
          <w:color w:val="000000"/>
          <w:sz w:val="20"/>
          <w:szCs w:val="20"/>
        </w:rPr>
        <w:t>r safety while planning our return to the office. We have been able to continue serving customers, successfully managing critical functions and keeping our lines of business operating. We have implemented additional paid benefits and flexible attendance po</w:t>
      </w:r>
      <w:r>
        <w:rPr>
          <w:rFonts w:eastAsia="Times New Roman"/>
          <w:color w:val="000000"/>
          <w:sz w:val="20"/>
          <w:szCs w:val="20"/>
        </w:rPr>
        <w:t>licies that are intended to enable our associates to care for their families and loved ones, including increased pay for branch and Café associates working in open locations, associates that perform essential and time-sensitive banking activities that cann</w:t>
      </w:r>
      <w:r>
        <w:rPr>
          <w:rFonts w:eastAsia="Times New Roman"/>
          <w:color w:val="000000"/>
          <w:sz w:val="20"/>
          <w:szCs w:val="20"/>
        </w:rPr>
        <w:t>ot be performed remotely, and other U.S.-based associates in roles instrumental to maintaining essential customer support. We continue to monitor and revise our safety precautions and policies at banking locations as government authorities continue to impl</w:t>
      </w:r>
      <w:r>
        <w:rPr>
          <w:rFonts w:eastAsia="Times New Roman"/>
          <w:color w:val="000000"/>
          <w:sz w:val="20"/>
          <w:szCs w:val="20"/>
        </w:rPr>
        <w:t>ement and modify measures to contain the further spread of COVID-19. In our Retail Banking business, we have reopened nearly all of our Cafés and branches across our network with increased safety precautions. We will continue to monitor local conditions to</w:t>
      </w:r>
      <w:r>
        <w:rPr>
          <w:rFonts w:eastAsia="Times New Roman"/>
          <w:color w:val="000000"/>
          <w:sz w:val="20"/>
          <w:szCs w:val="20"/>
        </w:rPr>
        <w:t xml:space="preserve"> ensure the safety of our associates and customers while providing critical banking services.</w:t>
      </w:r>
    </w:p>
    <w:p w:rsidR="00000000" w:rsidRDefault="00E92DBE">
      <w:pPr>
        <w:jc w:val="both"/>
        <w:divId w:val="1481382523"/>
        <w:rPr>
          <w:rFonts w:eastAsia="Times New Roman"/>
        </w:rPr>
      </w:pPr>
      <w:r>
        <w:rPr>
          <w:rFonts w:eastAsia="Times New Roman"/>
          <w:color w:val="000000"/>
          <w:sz w:val="20"/>
          <w:szCs w:val="20"/>
        </w:rPr>
        <w:t>Beginning in March 2020, we offered a range of policies and programs to accommodate customer hardship across our lines of business, with the largest program offer</w:t>
      </w:r>
      <w:r>
        <w:rPr>
          <w:rFonts w:eastAsia="Times New Roman"/>
          <w:color w:val="000000"/>
          <w:sz w:val="20"/>
          <w:szCs w:val="20"/>
        </w:rPr>
        <w:t xml:space="preserve">ings in our Auto and Domestic Credit Card businesses. Enrollments in these programs peaked early in the pandemic and have declined to low levels thereafter. In addition, we continue to participate in the Paycheck Protection Program (“PPP”), established by </w:t>
      </w:r>
      <w:r>
        <w:rPr>
          <w:rFonts w:eastAsia="Times New Roman"/>
          <w:color w:val="000000"/>
          <w:sz w:val="20"/>
          <w:szCs w:val="20"/>
        </w:rPr>
        <w:t>the Coronavirus Aid, Relief, and Economic Security Act (the “CARES Act”) enacted in March 2020 and implemented by the Small Business Administration. See “MD&amp;A—Credit Risk Profile” for more information about our customer assistance programs and enrollment v</w:t>
      </w:r>
      <w:r>
        <w:rPr>
          <w:rFonts w:eastAsia="Times New Roman"/>
          <w:color w:val="000000"/>
          <w:sz w:val="20"/>
          <w:szCs w:val="20"/>
        </w:rPr>
        <w:t>olumes.</w:t>
      </w:r>
    </w:p>
    <w:p w:rsidR="00000000" w:rsidRDefault="00E92DBE">
      <w:pPr>
        <w:jc w:val="both"/>
        <w:divId w:val="1678075298"/>
        <w:rPr>
          <w:rFonts w:eastAsia="Times New Roman"/>
        </w:rPr>
      </w:pPr>
      <w:r>
        <w:rPr>
          <w:rFonts w:eastAsia="Times New Roman"/>
          <w:color w:val="000000"/>
          <w:sz w:val="20"/>
          <w:szCs w:val="20"/>
        </w:rPr>
        <w:t>We reported net income of $3.3 billion ($7.03 per diluted common share) for the first quarter of 2021, which reflects an allowance release of $1.6 billion. The allowance release was driven by strong credit performance and an improved economic outlo</w:t>
      </w:r>
      <w:r>
        <w:rPr>
          <w:rFonts w:eastAsia="Times New Roman"/>
          <w:color w:val="000000"/>
          <w:sz w:val="20"/>
          <w:szCs w:val="20"/>
        </w:rPr>
        <w:t>ok. Our allowance coverage ratio of 5.77% as of March 31, 2021 remains well above pre-pandemic levels. For more information, see “MD&amp;A—Executive Summary and Business Outlook” and “MD&amp;A—Credit Risk Profile.” We have incorporated recent market events and tre</w:t>
      </w:r>
      <w:r>
        <w:rPr>
          <w:rFonts w:eastAsia="Times New Roman"/>
          <w:color w:val="000000"/>
          <w:sz w:val="20"/>
          <w:szCs w:val="20"/>
        </w:rPr>
        <w:t>nds into our valuations of instruments measured at fair value. See more details in “MD&amp;A—Critical Accounting Policies and Estimates,” “MD&amp;A—Market Risk Profile” and “Note 8—Derivative Instruments and Hedging Activities.” See “MD&amp;A—Liquidity Risk Profile” f</w:t>
      </w:r>
      <w:r>
        <w:rPr>
          <w:rFonts w:eastAsia="Times New Roman"/>
          <w:color w:val="000000"/>
          <w:sz w:val="20"/>
          <w:szCs w:val="20"/>
        </w:rPr>
        <w:t>or information relating to our liquidity reserves as of March 31,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47253027"/>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847253027"/>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847253027"/>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5</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30" style="width:0;height:1.5pt" o:hralign="center" o:hrstd="t" o:hr="t" fillcolor="#a0a0a0" stroked="f"/>
        </w:pict>
      </w:r>
    </w:p>
    <w:p w:rsidR="00000000" w:rsidRDefault="00E92DBE">
      <w:pPr>
        <w:ind w:hanging="360"/>
        <w:jc w:val="both"/>
        <w:divId w:val="1064984445"/>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1875733839"/>
        <w:rPr>
          <w:rFonts w:eastAsia="Times New Roman"/>
        </w:rPr>
      </w:pPr>
      <w:r>
        <w:rPr>
          <w:rFonts w:eastAsia="Times New Roman"/>
          <w:color w:val="000000"/>
          <w:sz w:val="20"/>
          <w:szCs w:val="20"/>
        </w:rPr>
        <w:t>After seeing impacts to the demand for our products and services to varying degrees in 2020 due to the COVID-19 pandemic, we saw significant imp</w:t>
      </w:r>
      <w:r>
        <w:rPr>
          <w:rFonts w:eastAsia="Times New Roman"/>
          <w:color w:val="000000"/>
          <w:sz w:val="20"/>
          <w:szCs w:val="20"/>
        </w:rPr>
        <w:t>rovements in the first quarter of 2021. In our Domestic Card business, the year-over-year percentage change in ending loan balances this quarter was approximately the same as it was last quarter. Rebounding spend levels were offset by the effects of govern</w:t>
      </w:r>
      <w:r>
        <w:rPr>
          <w:rFonts w:eastAsia="Times New Roman"/>
          <w:color w:val="000000"/>
          <w:sz w:val="20"/>
          <w:szCs w:val="20"/>
        </w:rPr>
        <w:t>ment stimulus on Card payment rates, which continue to pressure loan balances. In our Auto business, we saw an increase in origination volumes and loan growth driven by our relationship strategy and digital capabilities along with strong industry sales. In</w:t>
      </w:r>
      <w:r>
        <w:rPr>
          <w:rFonts w:eastAsia="Times New Roman"/>
          <w:color w:val="000000"/>
          <w:sz w:val="20"/>
          <w:szCs w:val="20"/>
        </w:rPr>
        <w:t xml:space="preserve"> our Retail Banking business, we continue to see high deposit volumes driven by increased consumer savings aided by the impact of recently passed government stimulus. In our Commercial Banking business, revenue was up year-over-year as margins improved. De</w:t>
      </w:r>
      <w:r>
        <w:rPr>
          <w:rFonts w:eastAsia="Times New Roman"/>
          <w:color w:val="000000"/>
          <w:sz w:val="20"/>
          <w:szCs w:val="20"/>
        </w:rPr>
        <w:t>posit balances were up significantly, reflecting the impact of the economic environment and government stimulus on our customers, while average loan balances declined modestly.</w:t>
      </w:r>
    </w:p>
    <w:p w:rsidR="00000000" w:rsidRDefault="00E92DBE">
      <w:pPr>
        <w:jc w:val="both"/>
        <w:divId w:val="688945303"/>
        <w:rPr>
          <w:rFonts w:eastAsia="Times New Roman"/>
        </w:rPr>
      </w:pPr>
      <w:r>
        <w:rPr>
          <w:rFonts w:eastAsia="Times New Roman"/>
          <w:color w:val="000000"/>
          <w:sz w:val="20"/>
          <w:szCs w:val="20"/>
        </w:rPr>
        <w:t>We are actively monitoring and responding to developments across the myriad of landscapes affected by the COVID-19 pandemic, including social, financial, legal, regulatory and governmental. As guidance is issued by governments and our regulators, we contin</w:t>
      </w:r>
      <w:r>
        <w:rPr>
          <w:rFonts w:eastAsia="Times New Roman"/>
          <w:color w:val="000000"/>
          <w:sz w:val="20"/>
          <w:szCs w:val="20"/>
        </w:rPr>
        <w:t>ue to assess the impacts on us. As government authorities continue to implement, modify and reinstate social distancing and reopening plans and other measures to contain the further spread of COVID-19, we will continue to adjust our business operations, po</w:t>
      </w:r>
      <w:r>
        <w:rPr>
          <w:rFonts w:eastAsia="Times New Roman"/>
          <w:color w:val="000000"/>
          <w:sz w:val="20"/>
          <w:szCs w:val="20"/>
        </w:rPr>
        <w:t>licies and practices, keeping the best interests of our associates, customers and business partners at the forefront.</w:t>
      </w:r>
    </w:p>
    <w:p w:rsidR="00000000" w:rsidRDefault="00E92DBE">
      <w:pPr>
        <w:jc w:val="both"/>
        <w:divId w:val="1759670529"/>
        <w:rPr>
          <w:rFonts w:eastAsia="Times New Roman"/>
        </w:rPr>
      </w:pPr>
      <w:r>
        <w:rPr>
          <w:rFonts w:eastAsia="Times New Roman"/>
          <w:color w:val="000000"/>
          <w:sz w:val="20"/>
          <w:szCs w:val="20"/>
        </w:rPr>
        <w:t>See “Part I—Item 1A. Risk Factors” in our Annual Report on Form 10-K for the fiscal year ended December 31, 2020 for additional informatio</w:t>
      </w:r>
      <w:r>
        <w:rPr>
          <w:rFonts w:eastAsia="Times New Roman"/>
          <w:color w:val="000000"/>
          <w:sz w:val="20"/>
          <w:szCs w:val="20"/>
        </w:rPr>
        <w:t>n regarding risks and the significant uncertainties relating to the COVID-19 pandemic.</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45760401"/>
        </w:trPr>
        <w:tc>
          <w:tcPr>
            <w:tcW w:w="50" w:type="pct"/>
            <w:vAlign w:val="center"/>
            <w:hideMark/>
          </w:tcPr>
          <w:p w:rsidR="00000000" w:rsidRDefault="00E92DBE">
            <w:pPr>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4576040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SELECTED FINANCIAL DATA</w:t>
            </w:r>
          </w:p>
        </w:tc>
      </w:tr>
    </w:tbl>
    <w:p w:rsidR="00000000" w:rsidRDefault="00E92DBE">
      <w:pPr>
        <w:jc w:val="both"/>
        <w:divId w:val="779763251"/>
        <w:rPr>
          <w:rFonts w:eastAsia="Times New Roman"/>
        </w:rPr>
      </w:pPr>
      <w:r>
        <w:rPr>
          <w:rFonts w:eastAsia="Times New Roman"/>
          <w:color w:val="000000"/>
          <w:sz w:val="20"/>
          <w:szCs w:val="20"/>
        </w:rPr>
        <w:t>The following table presents selected consolidated financial data and performance from our results of operations for the first quarters o</w:t>
      </w:r>
      <w:r>
        <w:rPr>
          <w:rFonts w:eastAsia="Times New Roman"/>
          <w:color w:val="000000"/>
          <w:sz w:val="20"/>
          <w:szCs w:val="20"/>
        </w:rPr>
        <w:t>f 2021 and 2020 and selected comparative balance sheet data as of March 31, 2021 and December 31, 2020. We also provide selected key metrics we use in evaluating our performance, including certain metrics that are computed using non-GAAP measures. We consi</w:t>
      </w:r>
      <w:r>
        <w:rPr>
          <w:rFonts w:eastAsia="Times New Roman"/>
          <w:color w:val="000000"/>
          <w:sz w:val="20"/>
          <w:szCs w:val="20"/>
        </w:rPr>
        <w:t>der these metrics to be key financial measures that management uses in assessing our operating performance, capital adequacy and the level of returns generated. We believe these non-GAAP metrics provide useful insight to investors and users of our financia</w:t>
      </w:r>
      <w:r>
        <w:rPr>
          <w:rFonts w:eastAsia="Times New Roman"/>
          <w:color w:val="000000"/>
          <w:sz w:val="20"/>
          <w:szCs w:val="20"/>
        </w:rPr>
        <w:t>l information as they provide an alternate measurement of our performance and assist in assessing our capital adequacy and the level of return generated.</w:t>
      </w:r>
    </w:p>
    <w:p w:rsidR="00000000" w:rsidRDefault="00E92DBE">
      <w:pPr>
        <w:divId w:val="1365206790"/>
        <w:rPr>
          <w:rFonts w:eastAsia="Times New Roman"/>
        </w:rPr>
      </w:pPr>
      <w:r>
        <w:rPr>
          <w:rFonts w:eastAsia="Times New Roman"/>
          <w:b/>
          <w:bCs/>
          <w:color w:val="000000"/>
          <w:sz w:val="18"/>
          <w:szCs w:val="18"/>
        </w:rPr>
        <w:t xml:space="preserve">Table 1: </w:t>
      </w:r>
      <w:r>
        <w:rPr>
          <w:rFonts w:eastAsia="Times New Roman"/>
          <w:b/>
          <w:bCs/>
          <w:color w:val="000000"/>
          <w:sz w:val="20"/>
          <w:szCs w:val="20"/>
        </w:rPr>
        <w:t>Consolidated Financial Highlights</w:t>
      </w:r>
    </w:p>
    <w:tbl>
      <w:tblPr>
        <w:tblW w:w="5000" w:type="pct"/>
        <w:tblCellMar>
          <w:top w:w="15" w:type="dxa"/>
          <w:left w:w="15" w:type="dxa"/>
          <w:bottom w:w="15" w:type="dxa"/>
          <w:right w:w="15" w:type="dxa"/>
        </w:tblCellMar>
        <w:tblLook w:val="04A0" w:firstRow="1" w:lastRow="0" w:firstColumn="1" w:lastColumn="0" w:noHBand="0" w:noVBand="1"/>
      </w:tblPr>
      <w:tblGrid>
        <w:gridCol w:w="39"/>
        <w:gridCol w:w="4188"/>
        <w:gridCol w:w="38"/>
        <w:gridCol w:w="36"/>
        <w:gridCol w:w="36"/>
        <w:gridCol w:w="36"/>
        <w:gridCol w:w="110"/>
        <w:gridCol w:w="785"/>
        <w:gridCol w:w="36"/>
        <w:gridCol w:w="36"/>
        <w:gridCol w:w="36"/>
        <w:gridCol w:w="36"/>
        <w:gridCol w:w="110"/>
        <w:gridCol w:w="722"/>
        <w:gridCol w:w="36"/>
        <w:gridCol w:w="36"/>
        <w:gridCol w:w="36"/>
        <w:gridCol w:w="36"/>
        <w:gridCol w:w="58"/>
        <w:gridCol w:w="502"/>
        <w:gridCol w:w="17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57769870"/>
        </w:trPr>
        <w:tc>
          <w:tcPr>
            <w:tcW w:w="50" w:type="pct"/>
            <w:vAlign w:val="center"/>
            <w:hideMark/>
          </w:tcPr>
          <w:p w:rsidR="00000000" w:rsidRDefault="00E92DBE">
            <w:pPr>
              <w:rPr>
                <w:rFonts w:eastAsia="Times New Roman"/>
              </w:rPr>
            </w:pPr>
          </w:p>
        </w:tc>
        <w:tc>
          <w:tcPr>
            <w:tcW w:w="30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5776987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per share data and as noted)</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Income statement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5,822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6,025 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1,224 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net revenue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7,113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7,249 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(823)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5,423 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Marketing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491 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Operating expense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3,238 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non-interest expense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3,740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(1,903)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(563)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(1,340)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(1,340)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(28)</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Issuance cost for redeemed preferred stock</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Net income (loss) available to common stockholders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3,236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(1,420)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Common share statistics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Basic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 (loss)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 (loss) per basic common share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57769870"/>
          <w:trHeight w:val="6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6</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31" style="width:0;height:1.5pt" o:hralign="center" o:hrstd="t" o:hr="t" fillcolor="#a0a0a0" stroked="f"/>
        </w:pict>
      </w:r>
    </w:p>
    <w:p w:rsidR="00000000" w:rsidRDefault="00E92DBE">
      <w:pPr>
        <w:ind w:hanging="360"/>
        <w:jc w:val="both"/>
        <w:divId w:val="538707795"/>
        <w:rPr>
          <w:rFonts w:eastAsia="Times New Roman"/>
        </w:rPr>
      </w:pPr>
      <w:hyperlink w:anchor="ic1109d5aa548447c8224139b1ab22bde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1"/>
        <w:gridCol w:w="4006"/>
        <w:gridCol w:w="40"/>
        <w:gridCol w:w="36"/>
        <w:gridCol w:w="36"/>
        <w:gridCol w:w="36"/>
        <w:gridCol w:w="110"/>
        <w:gridCol w:w="656"/>
        <w:gridCol w:w="200"/>
        <w:gridCol w:w="36"/>
        <w:gridCol w:w="36"/>
        <w:gridCol w:w="36"/>
        <w:gridCol w:w="110"/>
        <w:gridCol w:w="630"/>
        <w:gridCol w:w="170"/>
        <w:gridCol w:w="36"/>
        <w:gridCol w:w="36"/>
        <w:gridCol w:w="36"/>
        <w:gridCol w:w="58"/>
        <w:gridCol w:w="502"/>
        <w:gridCol w:w="27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101221726"/>
        </w:trPr>
        <w:tc>
          <w:tcPr>
            <w:tcW w:w="50" w:type="pct"/>
            <w:vAlign w:val="center"/>
            <w:hideMark/>
          </w:tcPr>
          <w:p w:rsidR="00000000" w:rsidRDefault="00E92DBE">
            <w:pPr>
              <w:ind w:hanging="360"/>
              <w:jc w:val="both"/>
              <w:rPr>
                <w:rFonts w:eastAsia="Times New Roman"/>
              </w:rPr>
            </w:pPr>
          </w:p>
        </w:tc>
        <w:tc>
          <w:tcPr>
            <w:tcW w:w="30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10122172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per share data and as noted)</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Diluted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 (loss) per diluted common share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Weighted-average common shares outstanding (in millions):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 xml:space="preserve">Basic </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458.6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457.6 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Diluted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460.1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457.6 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Common shares outstanding (period-end, in millions)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456.8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455.3 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Dividends declared and paid per common share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0.40 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divId w:val="1061101542"/>
              <w:rPr>
                <w:rFonts w:eastAsia="Times New Roman"/>
              </w:rPr>
            </w:pPr>
            <w:r>
              <w:rPr>
                <w:rFonts w:eastAsia="Times New Roman"/>
                <w:color w:val="000000"/>
                <w:sz w:val="18"/>
                <w:szCs w:val="18"/>
              </w:rPr>
              <w:t>Tangible book value per common share (period-end</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90.96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80.68 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Balance sheet (average balances)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243,937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262,889 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388,572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355,347 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421,808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390,380 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273,358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241,115 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deposits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305,056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264,653 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Borrowings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39,911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51,795 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Common equity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55,775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53,186 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stockholders’ equity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60,623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58,568 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performance metrics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108,333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99,920 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divId w:val="1441990355"/>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8.16 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interest margin</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6.78 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divId w:val="1265724853"/>
              <w:rPr>
                <w:rFonts w:eastAsia="Times New Roman"/>
              </w:rPr>
            </w:pPr>
            <w:r>
              <w:rPr>
                <w:rFonts w:eastAsia="Times New Roman"/>
                <w:color w:val="000000"/>
                <w:sz w:val="18"/>
                <w:szCs w:val="18"/>
              </w:rPr>
              <w:t>Return on average asset</w:t>
            </w:r>
            <w:r>
              <w:rPr>
                <w:rFonts w:eastAsia="Times New Roman"/>
                <w:color w:val="000000"/>
                <w:sz w:val="18"/>
                <w:szCs w:val="18"/>
              </w:rPr>
              <w:t>s</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(1.37)</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divId w:val="1593930175"/>
              <w:rPr>
                <w:rFonts w:eastAsia="Times New Roman"/>
              </w:rPr>
            </w:pPr>
            <w:r>
              <w:rPr>
                <w:rFonts w:eastAsia="Times New Roman"/>
                <w:color w:val="000000"/>
                <w:sz w:val="18"/>
                <w:szCs w:val="18"/>
              </w:rPr>
              <w:t>Return on average tangible asset</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divId w:val="1613589553"/>
              <w:rPr>
                <w:rFonts w:eastAsia="Times New Roman"/>
              </w:rPr>
            </w:pPr>
            <w:r>
              <w:rPr>
                <w:rFonts w:eastAsia="Times New Roman"/>
                <w:color w:val="000000"/>
                <w:sz w:val="18"/>
                <w:szCs w:val="18"/>
              </w:rPr>
              <w:t>Return on average common equit</w:t>
            </w:r>
            <w:r>
              <w:rPr>
                <w:rFonts w:eastAsia="Times New Roman"/>
                <w:color w:val="000000"/>
                <w:sz w:val="18"/>
                <w:szCs w:val="18"/>
              </w:rPr>
              <w:t>y</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(10.68)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divId w:val="930772398"/>
              <w:rPr>
                <w:rFonts w:eastAsia="Times New Roman"/>
              </w:rPr>
            </w:pPr>
            <w:r>
              <w:rPr>
                <w:rFonts w:eastAsia="Times New Roman"/>
                <w:color w:val="000000"/>
                <w:sz w:val="18"/>
                <w:szCs w:val="18"/>
              </w:rPr>
              <w:t>Return on average tangible common equit</w:t>
            </w:r>
            <w:r>
              <w:rPr>
                <w:rFonts w:eastAsia="Times New Roman"/>
                <w:color w:val="000000"/>
                <w:sz w:val="18"/>
                <w:szCs w:val="18"/>
              </w:rPr>
              <w:t>y</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(14.85)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divId w:val="1238250692"/>
              <w:rPr>
                <w:rFonts w:eastAsia="Times New Roman"/>
              </w:rPr>
            </w:pPr>
            <w:r>
              <w:rPr>
                <w:rFonts w:eastAsia="Times New Roman"/>
                <w:color w:val="000000"/>
                <w:sz w:val="18"/>
                <w:szCs w:val="18"/>
              </w:rPr>
              <w:t>Equity-to-assets rati</w:t>
            </w:r>
            <w:r>
              <w:rPr>
                <w:rFonts w:eastAsia="Times New Roman"/>
                <w:color w:val="000000"/>
                <w:sz w:val="18"/>
                <w:szCs w:val="18"/>
              </w:rPr>
              <w:t>o</w:t>
            </w:r>
            <w:r>
              <w:rPr>
                <w:rFonts w:eastAsia="Times New Roman"/>
                <w:color w:val="000000"/>
                <w:sz w:val="12"/>
                <w:szCs w:val="12"/>
              </w:rPr>
              <w:t>(7</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15.00 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expense as a percentage of average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5.67 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divId w:val="1372920446"/>
              <w:rPr>
                <w:rFonts w:eastAsia="Times New Roman"/>
              </w:rPr>
            </w:pPr>
            <w:r>
              <w:rPr>
                <w:rFonts w:eastAsia="Times New Roman"/>
                <w:color w:val="000000"/>
                <w:sz w:val="18"/>
                <w:szCs w:val="18"/>
              </w:rPr>
              <w:t>Efficiency rati</w:t>
            </w:r>
            <w:r>
              <w:rPr>
                <w:rFonts w:eastAsia="Times New Roman"/>
                <w:color w:val="000000"/>
                <w:sz w:val="18"/>
                <w:szCs w:val="18"/>
              </w:rPr>
              <w:t>o</w:t>
            </w:r>
            <w:r>
              <w:rPr>
                <w:rFonts w:eastAsia="Times New Roman"/>
                <w:color w:val="000000"/>
                <w:sz w:val="12"/>
                <w:szCs w:val="12"/>
              </w:rPr>
              <w:t>(8</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52.58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51.44 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divId w:val="1631132960"/>
              <w:rPr>
                <w:rFonts w:eastAsia="Times New Roman"/>
              </w:rPr>
            </w:pPr>
            <w:r>
              <w:rPr>
                <w:rFonts w:eastAsia="Times New Roman"/>
                <w:color w:val="000000"/>
                <w:sz w:val="18"/>
                <w:szCs w:val="18"/>
              </w:rPr>
              <w:t>Operating efficiency rati</w:t>
            </w:r>
            <w:r>
              <w:rPr>
                <w:rFonts w:eastAsia="Times New Roman"/>
                <w:color w:val="000000"/>
                <w:sz w:val="18"/>
                <w:szCs w:val="18"/>
              </w:rPr>
              <w:t>o</w:t>
            </w:r>
            <w:r>
              <w:rPr>
                <w:rFonts w:eastAsia="Times New Roman"/>
                <w:color w:val="000000"/>
                <w:sz w:val="12"/>
                <w:szCs w:val="12"/>
              </w:rPr>
              <w:t>(9</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45.54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44.67 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Effective income tax rate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29.6 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1,791 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10122172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2.72 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bl>
    <w:p w:rsidR="00000000" w:rsidRDefault="00E92DBE">
      <w:pPr>
        <w:jc w:val="both"/>
        <w:divId w:val="171789884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2618291"/>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22618291"/>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22618291"/>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7</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32" style="width:0;height:1.5pt" o:hralign="center" o:hrstd="t" o:hr="t" fillcolor="#a0a0a0" stroked="f"/>
        </w:pict>
      </w:r>
    </w:p>
    <w:p w:rsidR="00000000" w:rsidRDefault="00E92DBE">
      <w:pPr>
        <w:ind w:hanging="360"/>
        <w:jc w:val="both"/>
        <w:divId w:val="447359550"/>
        <w:rPr>
          <w:rFonts w:eastAsia="Times New Roman"/>
        </w:rPr>
      </w:pPr>
      <w:hyperlink w:anchor="ic1109d5aa548447c8224139b1ab22bde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1"/>
        <w:gridCol w:w="3982"/>
        <w:gridCol w:w="40"/>
        <w:gridCol w:w="36"/>
        <w:gridCol w:w="36"/>
        <w:gridCol w:w="36"/>
        <w:gridCol w:w="110"/>
        <w:gridCol w:w="640"/>
        <w:gridCol w:w="200"/>
        <w:gridCol w:w="36"/>
        <w:gridCol w:w="36"/>
        <w:gridCol w:w="36"/>
        <w:gridCol w:w="110"/>
        <w:gridCol w:w="671"/>
        <w:gridCol w:w="170"/>
        <w:gridCol w:w="36"/>
        <w:gridCol w:w="36"/>
        <w:gridCol w:w="36"/>
        <w:gridCol w:w="62"/>
        <w:gridCol w:w="497"/>
        <w:gridCol w:w="27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75248728"/>
        </w:trPr>
        <w:tc>
          <w:tcPr>
            <w:tcW w:w="50" w:type="pct"/>
            <w:vAlign w:val="center"/>
            <w:hideMark/>
          </w:tcPr>
          <w:p w:rsidR="00000000" w:rsidRDefault="00E92DBE">
            <w:pPr>
              <w:ind w:hanging="360"/>
              <w:jc w:val="both"/>
              <w:rPr>
                <w:rFonts w:eastAsia="Times New Roman"/>
              </w:rPr>
            </w:pPr>
          </w:p>
        </w:tc>
        <w:tc>
          <w:tcPr>
            <w:tcW w:w="30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3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5248728"/>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Balance sheet (period-end)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243,131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251,624 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392,485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388,917 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425,175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421,602 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276,325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274,300 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310,328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305,442 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Borrowings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38,450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40,539 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Common equity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56,341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55,356 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61,188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60,204 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Credit quality metrics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14,017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15,564 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Allowance as a percentage of loans held for investment (“allowance coverage ratio”)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6.19 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30+ day delinquency rate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Capital ratios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FFFFFF"/>
            <w:tcMar>
              <w:top w:w="30" w:type="dxa"/>
              <w:left w:w="20" w:type="dxa"/>
              <w:bottom w:w="30" w:type="dxa"/>
              <w:right w:w="20" w:type="dxa"/>
            </w:tcMar>
            <w:vAlign w:val="center"/>
            <w:hideMark/>
          </w:tcPr>
          <w:p w:rsidR="00000000" w:rsidRDefault="00E92DBE">
            <w:pPr>
              <w:divId w:val="679695297"/>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CCEEFF"/>
            <w:tcMar>
              <w:top w:w="30" w:type="dxa"/>
              <w:left w:w="20" w:type="dxa"/>
              <w:bottom w:w="30" w:type="dxa"/>
              <w:right w:w="20" w:type="dxa"/>
            </w:tcMar>
            <w:vAlign w:val="center"/>
            <w:hideMark/>
          </w:tcPr>
          <w:p w:rsidR="00000000" w:rsidRDefault="00E92DBE">
            <w:pPr>
              <w:divId w:val="564413833"/>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FFFFFF"/>
            <w:tcMar>
              <w:top w:w="30" w:type="dxa"/>
              <w:left w:w="20" w:type="dxa"/>
              <w:bottom w:w="30" w:type="dxa"/>
              <w:right w:w="20" w:type="dxa"/>
            </w:tcMar>
            <w:vAlign w:val="center"/>
            <w:hideMark/>
          </w:tcPr>
          <w:p w:rsidR="00000000" w:rsidRDefault="00E92DBE">
            <w:pPr>
              <w:divId w:val="1183591908"/>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CCEEFF"/>
            <w:tcMar>
              <w:top w:w="30" w:type="dxa"/>
              <w:left w:w="20" w:type="dxa"/>
              <w:bottom w:w="30" w:type="dxa"/>
              <w:right w:w="20" w:type="dxa"/>
            </w:tcMar>
            <w:vAlign w:val="center"/>
            <w:hideMark/>
          </w:tcPr>
          <w:p w:rsidR="00000000" w:rsidRDefault="00E92DBE">
            <w:pPr>
              <w:divId w:val="230123122"/>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FFFFFF"/>
            <w:tcMar>
              <w:top w:w="30" w:type="dxa"/>
              <w:left w:w="20" w:type="dxa"/>
              <w:bottom w:w="30" w:type="dxa"/>
              <w:right w:w="20" w:type="dxa"/>
            </w:tcMar>
            <w:vAlign w:val="center"/>
            <w:hideMark/>
          </w:tcPr>
          <w:p w:rsidR="00000000" w:rsidRDefault="00E92DBE">
            <w:pPr>
              <w:divId w:val="1003240618"/>
              <w:rPr>
                <w:rFonts w:eastAsia="Times New Roman"/>
              </w:rPr>
            </w:pPr>
            <w:r>
              <w:rPr>
                <w:rFonts w:eastAsia="Times New Roman"/>
                <w:color w:val="000000"/>
                <w:sz w:val="18"/>
                <w:szCs w:val="18"/>
              </w:rPr>
              <w:t>Tangible common equit</w:t>
            </w:r>
            <w:r>
              <w:rPr>
                <w:rFonts w:eastAsia="Times New Roman"/>
                <w:color w:val="000000"/>
                <w:sz w:val="18"/>
                <w:szCs w:val="18"/>
              </w:rPr>
              <w:t>y</w:t>
            </w:r>
            <w:r>
              <w:rPr>
                <w:rFonts w:eastAsia="Times New Roman"/>
                <w:color w:val="000000"/>
                <w:sz w:val="12"/>
                <w:szCs w:val="12"/>
              </w:rPr>
              <w:t>(11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CCEEFF"/>
            <w:tcMar>
              <w:top w:w="30" w:type="dxa"/>
              <w:left w:w="20" w:type="dxa"/>
              <w:bottom w:w="30" w:type="dxa"/>
              <w:right w:w="20" w:type="dxa"/>
            </w:tcMar>
            <w:vAlign w:val="center"/>
            <w:hideMark/>
          </w:tcPr>
          <w:p w:rsidR="00000000" w:rsidRDefault="00E92DBE">
            <w:pPr>
              <w:divId w:val="1466660032"/>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7524872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Employees (period end, in thousands)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52.0 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bl>
    <w:p w:rsidR="00000000" w:rsidRDefault="00E92DBE">
      <w:pPr>
        <w:divId w:val="442379491"/>
        <w:rPr>
          <w:rFonts w:eastAsia="Times New Roman"/>
        </w:rPr>
      </w:pPr>
      <w:r>
        <w:rPr>
          <w:rFonts w:eastAsia="Times New Roman"/>
          <w:color w:val="000000"/>
          <w:sz w:val="20"/>
          <w:szCs w:val="20"/>
        </w:rPr>
        <w:t>________</w:t>
      </w:r>
      <w:r>
        <w:rPr>
          <w:rFonts w:eastAsia="Times New Roman"/>
          <w:color w:val="000000"/>
          <w:sz w:val="20"/>
          <w:szCs w:val="20"/>
        </w:rPr>
        <w:t>__</w:t>
      </w:r>
    </w:p>
    <w:p w:rsidR="00000000" w:rsidRDefault="00E92DBE">
      <w:pPr>
        <w:ind w:hanging="360"/>
        <w:jc w:val="both"/>
        <w:divId w:val="30994210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Tangible book value per common share is a non-GAAP measure calculated based on tangible common equity divided by common shares outstanding. See “MD&amp;A—Table A —Reconciliation of Non-GAAP Measures” </w:t>
      </w:r>
      <w:r>
        <w:rPr>
          <w:rFonts w:eastAsia="Times New Roman"/>
          <w:color w:val="000000"/>
          <w:sz w:val="16"/>
          <w:szCs w:val="16"/>
        </w:rPr>
        <w:t>for additional information on non-GAAP measures.</w:t>
      </w:r>
    </w:p>
    <w:p w:rsidR="00000000" w:rsidRDefault="00E92DBE">
      <w:pPr>
        <w:ind w:hanging="360"/>
        <w:jc w:val="both"/>
        <w:divId w:val="34918109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Total net revenue margin is calculated based on annualized total net revenue for the period divided by average interest-earning assets for the period.</w:t>
      </w:r>
    </w:p>
    <w:p w:rsidR="00000000" w:rsidRDefault="00E92DBE">
      <w:pPr>
        <w:ind w:hanging="360"/>
        <w:jc w:val="both"/>
        <w:divId w:val="1793942151"/>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Return on average assets is calculated based on an</w:t>
      </w:r>
      <w:r>
        <w:rPr>
          <w:rFonts w:eastAsia="Times New Roman"/>
          <w:color w:val="000000"/>
          <w:sz w:val="16"/>
          <w:szCs w:val="16"/>
        </w:rPr>
        <w:t>nualized income from continuing operations, net of tax, for the period divided by average total assets for the period.</w:t>
      </w:r>
    </w:p>
    <w:p w:rsidR="00000000" w:rsidRDefault="00E92DBE">
      <w:pPr>
        <w:ind w:hanging="360"/>
        <w:jc w:val="both"/>
        <w:divId w:val="1773891051"/>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Return on average tangible assets is a non-GAAP measure calculated based on annualized income from continuing operations, net of tax, </w:t>
      </w:r>
      <w:r>
        <w:rPr>
          <w:rFonts w:eastAsia="Times New Roman"/>
          <w:color w:val="000000"/>
          <w:sz w:val="16"/>
          <w:szCs w:val="16"/>
        </w:rPr>
        <w:t>for the period divided by average tangible assets for the period. See “MD&amp;A—Table A—Reconciliation of Non-GAAP Measures” for additional information on non-GAAP measures.</w:t>
      </w:r>
    </w:p>
    <w:p w:rsidR="00000000" w:rsidRDefault="00E92DBE">
      <w:pPr>
        <w:ind w:hanging="360"/>
        <w:jc w:val="both"/>
        <w:divId w:val="2099865068"/>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Return on average common equity is calculated based on annualized net income availa</w:t>
      </w:r>
      <w:r>
        <w:rPr>
          <w:rFonts w:eastAsia="Times New Roman"/>
          <w:color w:val="000000"/>
          <w:sz w:val="16"/>
          <w:szCs w:val="16"/>
        </w:rPr>
        <w:t>ble to common stockholders less income (loss) from discontinued operations, net of tax, for the period, divided by average common equity. Our calculation of return on average common equity may not be comparable to similarly-titled measures reported by othe</w:t>
      </w:r>
      <w:r>
        <w:rPr>
          <w:rFonts w:eastAsia="Times New Roman"/>
          <w:color w:val="000000"/>
          <w:sz w:val="16"/>
          <w:szCs w:val="16"/>
        </w:rPr>
        <w:t>r companies.</w:t>
      </w:r>
    </w:p>
    <w:p w:rsidR="00000000" w:rsidRDefault="00E92DBE">
      <w:pPr>
        <w:ind w:hanging="360"/>
        <w:jc w:val="both"/>
        <w:divId w:val="620644998"/>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Return on average tangible common equity (“TCE”) is a non-GAAP measure calculated based on annualized net income available to common stockholders less income (loss) from discontinued operations, net of tax, for the period, divided by averag</w:t>
      </w:r>
      <w:r>
        <w:rPr>
          <w:rFonts w:eastAsia="Times New Roman"/>
          <w:color w:val="000000"/>
          <w:sz w:val="16"/>
          <w:szCs w:val="16"/>
        </w:rPr>
        <w:t>e tangible common equity. Our calculation of return on average TCE may not be comparable to similarly-titled measures reported by other companies. See “MD&amp;A—Table A—Reconciliation of Non-GAAP Measures” for additional information on non-GAAP measures.</w:t>
      </w:r>
    </w:p>
    <w:p w:rsidR="00000000" w:rsidRDefault="00E92DBE">
      <w:pPr>
        <w:ind w:hanging="360"/>
        <w:jc w:val="both"/>
        <w:divId w:val="75632690"/>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Eq</w:t>
      </w:r>
      <w:r>
        <w:rPr>
          <w:rFonts w:eastAsia="Times New Roman"/>
          <w:color w:val="000000"/>
          <w:sz w:val="16"/>
          <w:szCs w:val="16"/>
        </w:rPr>
        <w:t>uity-to-assets ratio is calculated based on average stockholders’ equity for the period divided by average total assets for the period.</w:t>
      </w:r>
    </w:p>
    <w:p w:rsidR="00000000" w:rsidRDefault="00E92DBE">
      <w:pPr>
        <w:ind w:hanging="360"/>
        <w:jc w:val="both"/>
        <w:divId w:val="1340962874"/>
        <w:rPr>
          <w:rFonts w:eastAsia="Times New Roman"/>
        </w:rPr>
      </w:pPr>
      <w:r>
        <w:rPr>
          <w:rFonts w:eastAsia="Times New Roman"/>
          <w:color w:val="000000"/>
          <w:sz w:val="10"/>
          <w:szCs w:val="10"/>
        </w:rPr>
        <w:t>(8</w:t>
      </w:r>
      <w:r>
        <w:rPr>
          <w:rFonts w:eastAsia="Times New Roman"/>
          <w:color w:val="000000"/>
          <w:sz w:val="10"/>
          <w:szCs w:val="10"/>
        </w:rPr>
        <w:t>)</w:t>
      </w:r>
      <w:r>
        <w:rPr>
          <w:rFonts w:eastAsia="Times New Roman"/>
          <w:color w:val="000000"/>
          <w:sz w:val="16"/>
          <w:szCs w:val="16"/>
        </w:rPr>
        <w:t>Efficiency ratio is calculated based on total non-interest expense for the period divided by total net revenue for th</w:t>
      </w:r>
      <w:r>
        <w:rPr>
          <w:rFonts w:eastAsia="Times New Roman"/>
          <w:color w:val="000000"/>
          <w:sz w:val="16"/>
          <w:szCs w:val="16"/>
        </w:rPr>
        <w:t>e period.</w:t>
      </w:r>
    </w:p>
    <w:p w:rsidR="00000000" w:rsidRDefault="00E92DBE">
      <w:pPr>
        <w:ind w:hanging="360"/>
        <w:jc w:val="both"/>
        <w:divId w:val="1836334865"/>
        <w:rPr>
          <w:rFonts w:eastAsia="Times New Roman"/>
        </w:rPr>
      </w:pPr>
      <w:r>
        <w:rPr>
          <w:rFonts w:eastAsia="Times New Roman"/>
          <w:color w:val="000000"/>
          <w:sz w:val="10"/>
          <w:szCs w:val="10"/>
        </w:rPr>
        <w:t>(9</w:t>
      </w:r>
      <w:r>
        <w:rPr>
          <w:rFonts w:eastAsia="Times New Roman"/>
          <w:color w:val="000000"/>
          <w:sz w:val="10"/>
          <w:szCs w:val="10"/>
        </w:rPr>
        <w:t>)</w:t>
      </w:r>
      <w:r>
        <w:rPr>
          <w:rFonts w:eastAsia="Times New Roman"/>
          <w:color w:val="000000"/>
          <w:sz w:val="16"/>
          <w:szCs w:val="16"/>
        </w:rPr>
        <w:t>Operating efficiency ratio is calculated based on operating expense for the period divided by total net revenue for the period.</w:t>
      </w:r>
    </w:p>
    <w:p w:rsidR="00000000" w:rsidRDefault="00E92DBE">
      <w:pPr>
        <w:ind w:hanging="360"/>
        <w:jc w:val="both"/>
        <w:divId w:val="410544092"/>
        <w:rPr>
          <w:rFonts w:eastAsia="Times New Roman"/>
        </w:rPr>
      </w:pPr>
      <w:r>
        <w:rPr>
          <w:rFonts w:eastAsia="Times New Roman"/>
          <w:color w:val="000000"/>
          <w:sz w:val="10"/>
          <w:szCs w:val="10"/>
        </w:rPr>
        <w:t>(10</w:t>
      </w:r>
      <w:r>
        <w:rPr>
          <w:rFonts w:eastAsia="Times New Roman"/>
          <w:color w:val="000000"/>
          <w:sz w:val="10"/>
          <w:szCs w:val="10"/>
        </w:rPr>
        <w:t>)</w:t>
      </w:r>
      <w:r>
        <w:rPr>
          <w:rFonts w:eastAsia="Times New Roman"/>
          <w:color w:val="000000"/>
          <w:sz w:val="16"/>
          <w:szCs w:val="16"/>
        </w:rPr>
        <w:t>Capital ratios are calculated based on the Basel III Standardized Approach framework, see “MD&amp;A—Capital Managem</w:t>
      </w:r>
      <w:r>
        <w:rPr>
          <w:rFonts w:eastAsia="Times New Roman"/>
          <w:color w:val="000000"/>
          <w:sz w:val="16"/>
          <w:szCs w:val="16"/>
        </w:rPr>
        <w:t>ent” for additional information.</w:t>
      </w:r>
    </w:p>
    <w:p w:rsidR="00000000" w:rsidRDefault="00E92DBE">
      <w:pPr>
        <w:ind w:hanging="360"/>
        <w:jc w:val="both"/>
        <w:divId w:val="287400786"/>
        <w:rPr>
          <w:rFonts w:eastAsia="Times New Roman"/>
        </w:rPr>
      </w:pPr>
      <w:r>
        <w:rPr>
          <w:rFonts w:eastAsia="Times New Roman"/>
          <w:color w:val="000000"/>
          <w:sz w:val="10"/>
          <w:szCs w:val="10"/>
        </w:rPr>
        <w:t>(11</w:t>
      </w:r>
      <w:r>
        <w:rPr>
          <w:rFonts w:eastAsia="Times New Roman"/>
          <w:color w:val="000000"/>
          <w:sz w:val="10"/>
          <w:szCs w:val="10"/>
        </w:rPr>
        <w:t>)</w:t>
      </w:r>
      <w:r>
        <w:rPr>
          <w:rFonts w:eastAsia="Times New Roman"/>
          <w:color w:val="000000"/>
          <w:sz w:val="16"/>
          <w:szCs w:val="16"/>
        </w:rPr>
        <w:t>Tangible common equity ratio is a non-GAAP measure calculated based on TCE divided by tangible assets. See “MD&amp;A—Table A—Reconciliation of Non-GAAP Measures” for the calculation of this measure and reconciliation to the</w:t>
      </w:r>
      <w:r>
        <w:rPr>
          <w:rFonts w:eastAsia="Times New Roman"/>
          <w:color w:val="000000"/>
          <w:sz w:val="16"/>
          <w:szCs w:val="16"/>
        </w:rPr>
        <w:t xml:space="preserve"> comparative U.S. GAAP measure.</w:t>
      </w:r>
    </w:p>
    <w:p w:rsidR="00000000" w:rsidRDefault="00E92DBE">
      <w:pPr>
        <w:ind w:hanging="360"/>
        <w:jc w:val="both"/>
        <w:divId w:val="1685281793"/>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17924151"/>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317924151"/>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317924151"/>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8</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33" style="width:0;height:1.5pt" o:hralign="center" o:hrstd="t" o:hr="t" fillcolor="#a0a0a0" stroked="f"/>
        </w:pict>
      </w:r>
    </w:p>
    <w:p w:rsidR="00000000" w:rsidRDefault="00E92DBE">
      <w:pPr>
        <w:ind w:hanging="360"/>
        <w:jc w:val="both"/>
        <w:divId w:val="687490973"/>
        <w:rPr>
          <w:rFonts w:eastAsia="Times New Roman"/>
        </w:rPr>
      </w:pPr>
      <w:hyperlink w:anchor="ic1109d5aa548447c8224139b1ab22bde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453602126"/>
        </w:trPr>
        <w:tc>
          <w:tcPr>
            <w:tcW w:w="50" w:type="pct"/>
            <w:vAlign w:val="center"/>
            <w:hideMark/>
          </w:tcPr>
          <w:p w:rsidR="00000000" w:rsidRDefault="00E92DBE">
            <w:pPr>
              <w:ind w:hanging="360"/>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45360212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EXECUTIVE SUMMARY AND BUSINESS OUTLOOK</w:t>
            </w:r>
          </w:p>
        </w:tc>
      </w:tr>
    </w:tbl>
    <w:p w:rsidR="00000000" w:rsidRDefault="00E92DBE">
      <w:pPr>
        <w:divId w:val="632445863"/>
        <w:rPr>
          <w:rFonts w:eastAsia="Times New Roman"/>
        </w:rPr>
      </w:pPr>
      <w:r>
        <w:rPr>
          <w:rFonts w:eastAsia="Times New Roman"/>
          <w:b/>
          <w:bCs/>
          <w:color w:val="000000"/>
          <w:sz w:val="20"/>
          <w:szCs w:val="20"/>
        </w:rPr>
        <w:t>Financial Highlights</w:t>
      </w:r>
    </w:p>
    <w:p w:rsidR="00000000" w:rsidRDefault="00E92DBE">
      <w:pPr>
        <w:jc w:val="both"/>
        <w:divId w:val="1114406494"/>
        <w:rPr>
          <w:rFonts w:eastAsia="Times New Roman"/>
        </w:rPr>
      </w:pPr>
      <w:r>
        <w:rPr>
          <w:rFonts w:eastAsia="Times New Roman"/>
          <w:color w:val="000000"/>
          <w:sz w:val="20"/>
          <w:szCs w:val="20"/>
        </w:rPr>
        <w:t>We reported net income of $3.3 billion ($7.03 per diluted common share) on total net revenue of $7.1 billion for the first quarter of 2021. In comparison, we reported net loss of $1.3 billion ($3.10 per diluted common share) on total net revenue of $7.2 bi</w:t>
      </w:r>
      <w:r>
        <w:rPr>
          <w:rFonts w:eastAsia="Times New Roman"/>
          <w:color w:val="000000"/>
          <w:sz w:val="20"/>
          <w:szCs w:val="20"/>
        </w:rPr>
        <w:t>llion for the first quarter of 2020.</w:t>
      </w:r>
    </w:p>
    <w:p w:rsidR="00000000" w:rsidRDefault="00E92DBE">
      <w:pPr>
        <w:jc w:val="both"/>
        <w:divId w:val="118693522"/>
        <w:rPr>
          <w:rFonts w:eastAsia="Times New Roman"/>
        </w:rPr>
      </w:pPr>
      <w:r>
        <w:rPr>
          <w:rFonts w:eastAsia="Times New Roman"/>
          <w:color w:val="000000"/>
          <w:sz w:val="20"/>
          <w:szCs w:val="20"/>
        </w:rPr>
        <w:t>Our common equity Tier 1 capital ratio as calculated under the Basel III Standardized Approach was 14.6% and 13.7% as of March 31, 2021 and December 31, 2020, respectively. See “MD&amp;A—Capital Management” for additional i</w:t>
      </w:r>
      <w:r>
        <w:rPr>
          <w:rFonts w:eastAsia="Times New Roman"/>
          <w:color w:val="000000"/>
          <w:sz w:val="20"/>
          <w:szCs w:val="20"/>
        </w:rPr>
        <w:t>nformation.</w:t>
      </w:r>
    </w:p>
    <w:p w:rsidR="00000000" w:rsidRDefault="00E92DBE">
      <w:pPr>
        <w:jc w:val="both"/>
        <w:divId w:val="1723098014"/>
        <w:rPr>
          <w:rFonts w:eastAsia="Times New Roman"/>
        </w:rPr>
      </w:pPr>
      <w:r>
        <w:rPr>
          <w:rFonts w:eastAsia="Times New Roman"/>
          <w:color w:val="000000"/>
          <w:sz w:val="20"/>
          <w:szCs w:val="20"/>
        </w:rPr>
        <w:t>On January 25, 2021, our Board of Directors authorized the repurchase of up to $7.5 billion of shares of our common stock and we repurchased approximately $490 million of shares of our common stock during the first quarter of 2021. See “MD&amp;A—Ca</w:t>
      </w:r>
      <w:r>
        <w:rPr>
          <w:rFonts w:eastAsia="Times New Roman"/>
          <w:color w:val="000000"/>
          <w:sz w:val="20"/>
          <w:szCs w:val="20"/>
        </w:rPr>
        <w:t>pital Management—Dividend Policy and Stock Purchases” for additional information.</w:t>
      </w:r>
    </w:p>
    <w:p w:rsidR="00000000" w:rsidRDefault="00E92DBE">
      <w:pPr>
        <w:jc w:val="both"/>
        <w:divId w:val="1325160537"/>
        <w:rPr>
          <w:rFonts w:eastAsia="Times New Roman"/>
        </w:rPr>
      </w:pPr>
      <w:r>
        <w:rPr>
          <w:rFonts w:eastAsia="Times New Roman"/>
          <w:color w:val="000000"/>
          <w:sz w:val="20"/>
          <w:szCs w:val="20"/>
        </w:rPr>
        <w:t>Below are additional highlights of our performance in the first quarter of 2021. These highlights are based on a comparison between the results of the first quarters of 2021 and 2020, except as otherwise noted. The changes in our financial condition and cr</w:t>
      </w:r>
      <w:r>
        <w:rPr>
          <w:rFonts w:eastAsia="Times New Roman"/>
          <w:color w:val="000000"/>
          <w:sz w:val="20"/>
          <w:szCs w:val="20"/>
        </w:rPr>
        <w:t xml:space="preserve">edit performance are generally based on our financial condition and credit performance as of March 31, 2021 compared to December 31, 2020. We provide a more detailed discussion of our financial performance in the sections following this “Executive Summary </w:t>
      </w:r>
      <w:r>
        <w:rPr>
          <w:rFonts w:eastAsia="Times New Roman"/>
          <w:color w:val="000000"/>
          <w:sz w:val="20"/>
          <w:szCs w:val="20"/>
        </w:rPr>
        <w:t>and Business Outlook.”</w:t>
      </w:r>
    </w:p>
    <w:p w:rsidR="00000000" w:rsidRDefault="00E92DBE">
      <w:pPr>
        <w:divId w:val="4134526"/>
        <w:rPr>
          <w:rFonts w:eastAsia="Times New Roman"/>
        </w:rPr>
      </w:pPr>
      <w:r>
        <w:rPr>
          <w:rFonts w:eastAsia="Times New Roman"/>
          <w:b/>
          <w:bCs/>
          <w:i/>
          <w:iCs/>
          <w:color w:val="000000"/>
          <w:sz w:val="20"/>
          <w:szCs w:val="20"/>
        </w:rPr>
        <w:t>Total Company Performance</w:t>
      </w:r>
    </w:p>
    <w:p w:rsidR="00000000" w:rsidRDefault="00E92DBE">
      <w:pPr>
        <w:ind w:hanging="360"/>
        <w:jc w:val="both"/>
        <w:divId w:val="1746804220"/>
        <w:rPr>
          <w:rFonts w:eastAsia="Times New Roman"/>
        </w:rPr>
      </w:pPr>
      <w:r>
        <w:rPr>
          <w:rFonts w:eastAsia="Times New Roman"/>
          <w:i/>
          <w:iCs/>
          <w:color w:val="000000"/>
          <w:sz w:val="20"/>
          <w:szCs w:val="20"/>
        </w:rPr>
        <w:t xml:space="preserve">•Earnings: </w:t>
      </w:r>
      <w:r>
        <w:rPr>
          <w:rFonts w:eastAsia="Times New Roman"/>
          <w:color w:val="000000"/>
          <w:sz w:val="20"/>
          <w:szCs w:val="20"/>
        </w:rPr>
        <w:t xml:space="preserve">Our net income increased by $4.7 billion to $3.3 billion in the first quarter of 2021 compared to the first quarter of 2020 primarily driven by: </w:t>
      </w:r>
    </w:p>
    <w:p w:rsidR="00000000" w:rsidRDefault="00E92DBE">
      <w:pPr>
        <w:spacing w:before="180" w:after="60"/>
        <w:ind w:hanging="360"/>
        <w:divId w:val="1824618130"/>
        <w:rPr>
          <w:rFonts w:eastAsia="Times New Roman"/>
        </w:rPr>
      </w:pPr>
      <w:r>
        <w:rPr>
          <w:rFonts w:eastAsia="Times New Roman"/>
          <w:b/>
          <w:bCs/>
          <w:color w:val="000000"/>
          <w:sz w:val="18"/>
          <w:szCs w:val="18"/>
          <w:shd w:val="clear" w:color="auto" w:fill="FFFFFF"/>
        </w:rPr>
        <w:t>◦</w:t>
      </w:r>
      <w:r>
        <w:rPr>
          <w:rFonts w:eastAsia="Times New Roman"/>
          <w:color w:val="000000"/>
          <w:sz w:val="20"/>
          <w:szCs w:val="20"/>
        </w:rPr>
        <w:t>lower provision due to an allowance release in th</w:t>
      </w:r>
      <w:r>
        <w:rPr>
          <w:rFonts w:eastAsia="Times New Roman"/>
          <w:color w:val="000000"/>
          <w:sz w:val="20"/>
          <w:szCs w:val="20"/>
        </w:rPr>
        <w:t>e first quarter of 2021 due to continued strong credit performance and an improved economic outlook compared to an allowance build in the first quarter of 2020 driven by the expected economic worsening and significant uncertainty at the start of the COVID-</w:t>
      </w:r>
      <w:r>
        <w:rPr>
          <w:rFonts w:eastAsia="Times New Roman"/>
          <w:color w:val="000000"/>
          <w:sz w:val="20"/>
          <w:szCs w:val="20"/>
        </w:rPr>
        <w:t>19 pandemic;</w:t>
      </w:r>
    </w:p>
    <w:p w:rsidR="00000000" w:rsidRDefault="00E92DBE">
      <w:pPr>
        <w:ind w:firstLine="90"/>
        <w:jc w:val="both"/>
        <w:divId w:val="1502546598"/>
        <w:rPr>
          <w:rFonts w:eastAsia="Times New Roman"/>
        </w:rPr>
      </w:pPr>
      <w:r>
        <w:rPr>
          <w:rFonts w:eastAsia="Times New Roman"/>
          <w:color w:val="000000"/>
          <w:sz w:val="20"/>
          <w:szCs w:val="20"/>
        </w:rPr>
        <w:t>This driver was partially offset by:</w:t>
      </w:r>
    </w:p>
    <w:p w:rsidR="00000000" w:rsidRDefault="00E92DBE">
      <w:pPr>
        <w:spacing w:before="180" w:after="180"/>
        <w:ind w:hanging="360"/>
        <w:jc w:val="both"/>
        <w:divId w:val="389350547"/>
        <w:rPr>
          <w:rFonts w:eastAsia="Times New Roman"/>
        </w:rPr>
      </w:pPr>
      <w:r>
        <w:rPr>
          <w:rFonts w:eastAsia="Times New Roman"/>
          <w:color w:val="000000"/>
          <w:sz w:val="20"/>
          <w:szCs w:val="20"/>
        </w:rPr>
        <w:t>◦</w:t>
      </w:r>
      <w:r>
        <w:rPr>
          <w:rFonts w:eastAsia="Times New Roman"/>
          <w:color w:val="000000"/>
          <w:sz w:val="20"/>
          <w:szCs w:val="20"/>
        </w:rPr>
        <w:t>lower net interest income due to lower average outstanding balances in our domestic credit card loan portfolio, as well as higher interest-bearing deposit balances, partially offset by the lower interest r</w:t>
      </w:r>
      <w:r>
        <w:rPr>
          <w:rFonts w:eastAsia="Times New Roman"/>
          <w:color w:val="000000"/>
          <w:sz w:val="20"/>
          <w:szCs w:val="20"/>
        </w:rPr>
        <w:t>ate paid on interest-bearing liabilities.</w:t>
      </w:r>
    </w:p>
    <w:p w:rsidR="00000000" w:rsidRDefault="00E92DBE">
      <w:pPr>
        <w:ind w:hanging="360"/>
        <w:jc w:val="both"/>
        <w:divId w:val="143543981"/>
        <w:rPr>
          <w:rFonts w:eastAsia="Times New Roman"/>
        </w:rPr>
      </w:pPr>
      <w:r>
        <w:rPr>
          <w:rFonts w:eastAsia="Times New Roman"/>
          <w:i/>
          <w:iCs/>
          <w:color w:val="000000"/>
          <w:sz w:val="20"/>
          <w:szCs w:val="20"/>
        </w:rPr>
        <w:t>•Loans Held for Investment</w:t>
      </w:r>
      <w:r>
        <w:rPr>
          <w:rFonts w:eastAsia="Times New Roman"/>
          <w:color w:val="000000"/>
          <w:sz w:val="20"/>
          <w:szCs w:val="20"/>
        </w:rPr>
        <w:t>:</w:t>
      </w:r>
    </w:p>
    <w:p w:rsidR="00000000" w:rsidRDefault="00E92DBE">
      <w:pPr>
        <w:spacing w:before="180" w:after="180"/>
        <w:ind w:hanging="360"/>
        <w:jc w:val="both"/>
        <w:divId w:val="1509296949"/>
        <w:rPr>
          <w:rFonts w:eastAsia="Times New Roman"/>
        </w:rPr>
      </w:pPr>
      <w:r>
        <w:rPr>
          <w:rFonts w:eastAsia="Times New Roman"/>
          <w:color w:val="000000"/>
          <w:sz w:val="20"/>
          <w:szCs w:val="20"/>
        </w:rPr>
        <w:t>◦</w:t>
      </w:r>
      <w:r>
        <w:rPr>
          <w:rFonts w:eastAsia="Times New Roman"/>
          <w:color w:val="000000"/>
          <w:sz w:val="20"/>
          <w:szCs w:val="20"/>
        </w:rPr>
        <w:t xml:space="preserve">Period-end loans held for investment decreased by $8.5 billion to $243.1 billion as of March 31, 2021 from December 31, 2020 primarily due to expected seasonal paydowns in our domestic </w:t>
      </w:r>
      <w:r>
        <w:rPr>
          <w:rFonts w:eastAsia="Times New Roman"/>
          <w:color w:val="000000"/>
          <w:sz w:val="20"/>
          <w:szCs w:val="20"/>
        </w:rPr>
        <w:t>credit card loan portfolio as well as higher customer payments and the impact of government stimulus.</w:t>
      </w:r>
    </w:p>
    <w:p w:rsidR="00000000" w:rsidRDefault="00E92DBE">
      <w:pPr>
        <w:spacing w:before="180" w:after="180"/>
        <w:ind w:hanging="360"/>
        <w:jc w:val="both"/>
        <w:divId w:val="36008690"/>
        <w:rPr>
          <w:rFonts w:eastAsia="Times New Roman"/>
        </w:rPr>
      </w:pPr>
      <w:r>
        <w:rPr>
          <w:rFonts w:eastAsia="Times New Roman"/>
          <w:i/>
          <w:iCs/>
          <w:color w:val="000000"/>
          <w:sz w:val="20"/>
          <w:szCs w:val="20"/>
        </w:rPr>
        <w:t>◦</w:t>
      </w:r>
      <w:r>
        <w:rPr>
          <w:rFonts w:eastAsia="Times New Roman"/>
          <w:color w:val="000000"/>
          <w:sz w:val="20"/>
          <w:szCs w:val="20"/>
        </w:rPr>
        <w:t>Average loans held for investment decreased by $19.0 billion to $243.9 billion in the first quarter of 2021 compared to the first quarter of 2020 primari</w:t>
      </w:r>
      <w:r>
        <w:rPr>
          <w:rFonts w:eastAsia="Times New Roman"/>
          <w:color w:val="000000"/>
          <w:sz w:val="20"/>
          <w:szCs w:val="20"/>
        </w:rPr>
        <w:t xml:space="preserve">ly driven by lower outstanding balances in Domestic Card due to higher customer payments and the impact of government stimulus, partially offset by growth in our auto loan portfolio. </w:t>
      </w:r>
    </w:p>
    <w:p w:rsidR="00000000" w:rsidRDefault="00E92DBE">
      <w:pPr>
        <w:ind w:hanging="360"/>
        <w:jc w:val="both"/>
        <w:divId w:val="1299217356"/>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Our net charge-off rate decreas</w:t>
      </w:r>
      <w:r>
        <w:rPr>
          <w:rFonts w:eastAsia="Times New Roman"/>
          <w:color w:val="000000"/>
          <w:sz w:val="20"/>
          <w:szCs w:val="20"/>
        </w:rPr>
        <w:t>ed by 151 basis points to 1.21% in the first quarter of 2021 compared to the first quarter of 2020, driven by strong credit performance, including the impact of government stimulus in our domestic credit card and auto loan portfolios, as well as lower char</w:t>
      </w:r>
      <w:r>
        <w:rPr>
          <w:rFonts w:eastAsia="Times New Roman"/>
          <w:color w:val="000000"/>
          <w:sz w:val="20"/>
          <w:szCs w:val="20"/>
        </w:rPr>
        <w:t xml:space="preserve">ge-offs in our commercial energy loan portfolio. </w:t>
      </w:r>
    </w:p>
    <w:p w:rsidR="00000000" w:rsidRDefault="00E92DBE">
      <w:pPr>
        <w:jc w:val="both"/>
        <w:divId w:val="1974749251"/>
        <w:rPr>
          <w:rFonts w:eastAsia="Times New Roman"/>
        </w:rPr>
      </w:pPr>
      <w:r>
        <w:rPr>
          <w:rFonts w:eastAsia="Times New Roman"/>
          <w:color w:val="000000"/>
          <w:sz w:val="20"/>
          <w:szCs w:val="20"/>
        </w:rPr>
        <w:t>Our 30+ day delinquency rate decreased by 63 basis points to 1.98% as of March 31, 2021 from December 31, 2020 due to seasonally lower delinquency inventories and strong credit performance in our domestic c</w:t>
      </w:r>
      <w:r>
        <w:rPr>
          <w:rFonts w:eastAsia="Times New Roman"/>
          <w:color w:val="000000"/>
          <w:sz w:val="20"/>
          <w:szCs w:val="20"/>
        </w:rPr>
        <w:t xml:space="preserve">redit card and auto loan portfolios. </w:t>
      </w:r>
    </w:p>
    <w:p w:rsidR="00000000" w:rsidRDefault="00E92DBE">
      <w:pPr>
        <w:ind w:hanging="360"/>
        <w:jc w:val="both"/>
        <w:divId w:val="1245578048"/>
        <w:rPr>
          <w:rFonts w:eastAsia="Times New Roman"/>
        </w:rPr>
      </w:pPr>
      <w:r>
        <w:rPr>
          <w:rFonts w:eastAsia="Times New Roman"/>
          <w:color w:val="000000"/>
          <w:sz w:val="20"/>
          <w:szCs w:val="20"/>
        </w:rPr>
        <w:t>•</w:t>
      </w:r>
      <w:r>
        <w:rPr>
          <w:rFonts w:eastAsia="Times New Roman"/>
          <w:i/>
          <w:iCs/>
          <w:color w:val="000000"/>
          <w:sz w:val="20"/>
          <w:szCs w:val="20"/>
        </w:rPr>
        <w:t>Allowance for Credit Losses:</w:t>
      </w:r>
      <w:r>
        <w:rPr>
          <w:rFonts w:eastAsia="Times New Roman"/>
          <w:color w:val="000000"/>
          <w:sz w:val="20"/>
          <w:szCs w:val="20"/>
        </w:rPr>
        <w:t xml:space="preserve"> Our allowance for credit losses decreased by $1.5 billion to $14.0 billion, and our allowance coverage ratio decreased by 42 basis points to 5.77% as of March 31, 2021 from December 31, 20</w:t>
      </w:r>
      <w:r>
        <w:rPr>
          <w:rFonts w:eastAsia="Times New Roman"/>
          <w:color w:val="000000"/>
          <w:sz w:val="20"/>
          <w:szCs w:val="20"/>
        </w:rPr>
        <w:t xml:space="preserve">20, driven by strong credit performance and an improved economic outlook.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18412627"/>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318412627"/>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318412627"/>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9</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34" style="width:0;height:1.5pt" o:hralign="center" o:hrstd="t" o:hr="t" fillcolor="#a0a0a0" stroked="f"/>
        </w:pict>
      </w:r>
    </w:p>
    <w:p w:rsidR="00000000" w:rsidRDefault="00E92DBE">
      <w:pPr>
        <w:ind w:hanging="360"/>
        <w:jc w:val="both"/>
        <w:divId w:val="2062241214"/>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830024475"/>
        <w:rPr>
          <w:rFonts w:eastAsia="Times New Roman"/>
        </w:rPr>
      </w:pPr>
      <w:r>
        <w:rPr>
          <w:rFonts w:eastAsia="Times New Roman"/>
          <w:b/>
          <w:bCs/>
          <w:color w:val="000000"/>
          <w:sz w:val="20"/>
          <w:szCs w:val="20"/>
        </w:rPr>
        <w:t xml:space="preserve">Business Outlook </w:t>
      </w:r>
    </w:p>
    <w:p w:rsidR="00000000" w:rsidRDefault="00E92DBE">
      <w:pPr>
        <w:jc w:val="both"/>
        <w:divId w:val="996610172"/>
        <w:rPr>
          <w:rFonts w:eastAsia="Times New Roman"/>
        </w:rPr>
      </w:pPr>
      <w:r>
        <w:rPr>
          <w:rFonts w:eastAsia="Times New Roman"/>
          <w:color w:val="000000"/>
          <w:sz w:val="20"/>
          <w:szCs w:val="20"/>
        </w:rPr>
        <w:t>We discuss in this Report our expectations as of the time this Report was filed regarding our total company performance and the performance of our business segments based on market conditions, the regulatory environment and our business strategies. The sta</w:t>
      </w:r>
      <w:r>
        <w:rPr>
          <w:rFonts w:eastAsia="Times New Roman"/>
          <w:color w:val="000000"/>
          <w:sz w:val="20"/>
          <w:szCs w:val="20"/>
        </w:rPr>
        <w:t xml:space="preserve">tements contained in this Report are based on our current expectations regarding our outlook for our financial results and business strategies. Our expectations take into account, and should be read in conjunction with, our expectations regarding economic </w:t>
      </w:r>
      <w:r>
        <w:rPr>
          <w:rFonts w:eastAsia="Times New Roman"/>
          <w:color w:val="000000"/>
          <w:sz w:val="20"/>
          <w:szCs w:val="20"/>
        </w:rPr>
        <w:t>trends and analysis of our business as discussed in “Part I—Item 1. Business” and “Part II—Item 7. MD&amp;A” in our 2020 Form 10-K. Certain statements are forward-looking statements within the meaning of the Private Securities Litigation Reform Act of 1995. Ac</w:t>
      </w:r>
      <w:r>
        <w:rPr>
          <w:rFonts w:eastAsia="Times New Roman"/>
          <w:color w:val="000000"/>
          <w:sz w:val="20"/>
          <w:szCs w:val="20"/>
        </w:rPr>
        <w:t>tual results could differ materially from those in our forward-looking statements. Except as otherwise disclosed, forward-looking statements do not reflect:</w:t>
      </w:r>
    </w:p>
    <w:p w:rsidR="00000000" w:rsidRDefault="00E92DBE">
      <w:pPr>
        <w:ind w:hanging="360"/>
        <w:jc w:val="both"/>
        <w:divId w:val="44645851"/>
        <w:rPr>
          <w:rFonts w:eastAsia="Times New Roman"/>
        </w:rPr>
      </w:pPr>
      <w:r>
        <w:rPr>
          <w:rFonts w:eastAsia="Times New Roman"/>
          <w:color w:val="000000"/>
          <w:sz w:val="20"/>
          <w:szCs w:val="20"/>
        </w:rPr>
        <w:t>•any change in current dividend or repurchase strategies;</w:t>
      </w:r>
    </w:p>
    <w:p w:rsidR="00000000" w:rsidRDefault="00E92DBE">
      <w:pPr>
        <w:ind w:hanging="360"/>
        <w:jc w:val="both"/>
        <w:divId w:val="456949021"/>
        <w:rPr>
          <w:rFonts w:eastAsia="Times New Roman"/>
        </w:rPr>
      </w:pPr>
      <w:r>
        <w:rPr>
          <w:rFonts w:eastAsia="Times New Roman"/>
          <w:color w:val="000000"/>
          <w:sz w:val="20"/>
          <w:szCs w:val="20"/>
        </w:rPr>
        <w:t>•the effect of any acquisitions, divestit</w:t>
      </w:r>
      <w:r>
        <w:rPr>
          <w:rFonts w:eastAsia="Times New Roman"/>
          <w:color w:val="000000"/>
          <w:sz w:val="20"/>
          <w:szCs w:val="20"/>
        </w:rPr>
        <w:t>ures or similar transactions that have not been previously disclosed; or</w:t>
      </w:r>
    </w:p>
    <w:p w:rsidR="00000000" w:rsidRDefault="00E92DBE">
      <w:pPr>
        <w:ind w:hanging="360"/>
        <w:jc w:val="both"/>
        <w:divId w:val="2076276006"/>
        <w:rPr>
          <w:rFonts w:eastAsia="Times New Roman"/>
        </w:rPr>
      </w:pPr>
      <w:r>
        <w:rPr>
          <w:rFonts w:eastAsia="Times New Roman"/>
          <w:color w:val="000000"/>
          <w:sz w:val="20"/>
          <w:szCs w:val="20"/>
        </w:rPr>
        <w:t>•any changes in laws, regulations or regulatory interpretations, in each case after the date as of which such statements are made</w:t>
      </w:r>
    </w:p>
    <w:p w:rsidR="00000000" w:rsidRDefault="00E92DBE">
      <w:pPr>
        <w:jc w:val="both"/>
        <w:divId w:val="1587691003"/>
        <w:rPr>
          <w:rFonts w:eastAsia="Times New Roman"/>
        </w:rPr>
      </w:pPr>
      <w:r>
        <w:rPr>
          <w:rFonts w:eastAsia="Times New Roman"/>
          <w:color w:val="000000"/>
          <w:sz w:val="20"/>
          <w:szCs w:val="20"/>
        </w:rPr>
        <w:t xml:space="preserve">The extent to which the COVID-19 pandemic ultimately </w:t>
      </w:r>
      <w:r>
        <w:rPr>
          <w:rFonts w:eastAsia="Times New Roman"/>
          <w:color w:val="000000"/>
          <w:sz w:val="20"/>
          <w:szCs w:val="20"/>
        </w:rPr>
        <w:t>impacts our business, results of operations, and financial condition will depend on future developments that are still uncertain and cannot be predicted, including the scope and duration of the COVID-19 pandemic and actions taken by governmental authoritie</w:t>
      </w:r>
      <w:r>
        <w:rPr>
          <w:rFonts w:eastAsia="Times New Roman"/>
          <w:color w:val="000000"/>
          <w:sz w:val="20"/>
          <w:szCs w:val="20"/>
        </w:rPr>
        <w:t xml:space="preserve">s and other third parties in response to the COVID-19 pandemic. </w:t>
      </w:r>
    </w:p>
    <w:p w:rsidR="00000000" w:rsidRDefault="00E92DBE">
      <w:pPr>
        <w:jc w:val="both"/>
        <w:divId w:val="1650746976"/>
        <w:rPr>
          <w:rFonts w:eastAsia="Times New Roman"/>
        </w:rPr>
      </w:pPr>
      <w:r>
        <w:rPr>
          <w:rFonts w:eastAsia="Times New Roman"/>
          <w:color w:val="000000"/>
          <w:sz w:val="20"/>
          <w:szCs w:val="20"/>
        </w:rPr>
        <w:t>See “MD&amp;A—Forward-Looking Statements” in this Report for more information on the forward-looking statements and “Part I—Item 1A. Risk Factors” in our 2020 Form 10-K for factors that could mat</w:t>
      </w:r>
      <w:r>
        <w:rPr>
          <w:rFonts w:eastAsia="Times New Roman"/>
          <w:color w:val="000000"/>
          <w:sz w:val="20"/>
          <w:szCs w:val="20"/>
        </w:rPr>
        <w:t>erially influence our results.</w:t>
      </w:r>
    </w:p>
    <w:p w:rsidR="00000000" w:rsidRDefault="00E92DBE">
      <w:pPr>
        <w:jc w:val="both"/>
        <w:divId w:val="495415804"/>
        <w:rPr>
          <w:rFonts w:eastAsia="Times New Roman"/>
        </w:rPr>
      </w:pPr>
      <w:r>
        <w:rPr>
          <w:rFonts w:eastAsia="Times New Roman"/>
          <w:b/>
          <w:bCs/>
          <w:i/>
          <w:iCs/>
          <w:color w:val="000000"/>
          <w:sz w:val="20"/>
          <w:szCs w:val="20"/>
        </w:rPr>
        <w:t>Business Segment Expectations</w:t>
      </w:r>
    </w:p>
    <w:p w:rsidR="00000000" w:rsidRDefault="00E92DBE">
      <w:pPr>
        <w:divId w:val="2000185223"/>
        <w:rPr>
          <w:rFonts w:eastAsia="Times New Roman"/>
        </w:rPr>
      </w:pPr>
      <w:r>
        <w:rPr>
          <w:rFonts w:eastAsia="Times New Roman"/>
          <w:color w:val="000000"/>
          <w:sz w:val="20"/>
          <w:szCs w:val="20"/>
        </w:rPr>
        <w:t xml:space="preserve">We expect that the Auto net charge-off rate will increase as used car auction prices decrease from elevated levels and the temporary favorable impact of government stimulus diminishes.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73112757"/>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2073112757"/>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2073112757"/>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10</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35" style="width:0;height:1.5pt" o:hralign="center" o:hrstd="t" o:hr="t" fillcolor="#a0a0a0" stroked="f"/>
        </w:pict>
      </w:r>
    </w:p>
    <w:p w:rsidR="00000000" w:rsidRDefault="00E92DBE">
      <w:pPr>
        <w:ind w:hanging="360"/>
        <w:jc w:val="both"/>
        <w:divId w:val="855073550"/>
        <w:rPr>
          <w:rFonts w:eastAsia="Times New Roman"/>
        </w:rPr>
      </w:pPr>
      <w:hyperlink w:anchor="ic1109d5aa548447c8224139b1ab22bde_7"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736464874"/>
        </w:trPr>
        <w:tc>
          <w:tcPr>
            <w:tcW w:w="50" w:type="pct"/>
            <w:vAlign w:val="center"/>
            <w:hideMark/>
          </w:tcPr>
          <w:p w:rsidR="00000000" w:rsidRDefault="00E92DBE">
            <w:pPr>
              <w:ind w:hanging="360"/>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73646487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CONSOLIDATED RESULTS OF OPERATIONS</w:t>
            </w:r>
          </w:p>
        </w:tc>
      </w:tr>
    </w:tbl>
    <w:p w:rsidR="00000000" w:rsidRDefault="00E92DBE">
      <w:pPr>
        <w:jc w:val="both"/>
        <w:divId w:val="81875491"/>
        <w:rPr>
          <w:rFonts w:eastAsia="Times New Roman"/>
        </w:rPr>
      </w:pPr>
      <w:r>
        <w:rPr>
          <w:rFonts w:eastAsia="Times New Roman"/>
          <w:color w:val="000000"/>
          <w:sz w:val="20"/>
          <w:szCs w:val="20"/>
        </w:rPr>
        <w:t>The section below provides a comparative discussion of our consolidated financial performance for the first quarters of 2021 and 2020. We provide a discussion of our business segment results in the following section, “MD&amp;A—Business Segment Financial Perfor</w:t>
      </w:r>
      <w:r>
        <w:rPr>
          <w:rFonts w:eastAsia="Times New Roman"/>
          <w:color w:val="000000"/>
          <w:sz w:val="20"/>
          <w:szCs w:val="20"/>
        </w:rPr>
        <w:t>mance.” This section should be read together with our “MD&amp;A—Executive Summary and Business Outlook,” where we discuss trends and other factors that we expect will affect our future results of operations.</w:t>
      </w:r>
    </w:p>
    <w:p w:rsidR="00000000" w:rsidRDefault="00E92DBE">
      <w:pPr>
        <w:divId w:val="409471418"/>
        <w:rPr>
          <w:rFonts w:eastAsia="Times New Roman"/>
        </w:rPr>
      </w:pPr>
      <w:r>
        <w:rPr>
          <w:rFonts w:eastAsia="Times New Roman"/>
          <w:b/>
          <w:bCs/>
          <w:color w:val="000000"/>
          <w:sz w:val="20"/>
          <w:szCs w:val="20"/>
        </w:rPr>
        <w:t>Net Interest Income</w:t>
      </w:r>
    </w:p>
    <w:p w:rsidR="00000000" w:rsidRDefault="00E92DBE">
      <w:pPr>
        <w:jc w:val="both"/>
        <w:divId w:val="875776694"/>
        <w:rPr>
          <w:rFonts w:eastAsia="Times New Roman"/>
        </w:rPr>
      </w:pPr>
      <w:r>
        <w:rPr>
          <w:rFonts w:eastAsia="Times New Roman"/>
          <w:color w:val="000000"/>
          <w:sz w:val="20"/>
          <w:szCs w:val="20"/>
        </w:rPr>
        <w:t>Net interest income represents t</w:t>
      </w:r>
      <w:r>
        <w:rPr>
          <w:rFonts w:eastAsia="Times New Roman"/>
          <w:color w:val="000000"/>
          <w:sz w:val="20"/>
          <w:szCs w:val="20"/>
        </w:rPr>
        <w:t>he difference between interest income, including certain fees, earned on our interest-earning assets and the interest expense incurred on our interest-bearing liabilities. Our interest-earning assets include loans, investment securities and other interest-</w:t>
      </w:r>
      <w:r>
        <w:rPr>
          <w:rFonts w:eastAsia="Times New Roman"/>
          <w:color w:val="000000"/>
          <w:sz w:val="20"/>
          <w:szCs w:val="20"/>
        </w:rPr>
        <w:t>earning assets, while our interest-bearing liabilities include interest-bearing deposits, securitized debt obligations, senior and subordinated notes, other borrowings and other interest-bearing liabilities. Generally, we include in interest income any pas</w:t>
      </w:r>
      <w:r>
        <w:rPr>
          <w:rFonts w:eastAsia="Times New Roman"/>
          <w:color w:val="000000"/>
          <w:sz w:val="20"/>
          <w:szCs w:val="20"/>
        </w:rPr>
        <w:t>t due fees on loans that we deem collectible. Our net interest margin, based on our consolidated results, represents the difference between the yield on our interest-earning assets and the cost of our interest-bearing liabilities, including the notional im</w:t>
      </w:r>
      <w:r>
        <w:rPr>
          <w:rFonts w:eastAsia="Times New Roman"/>
          <w:color w:val="000000"/>
          <w:sz w:val="20"/>
          <w:szCs w:val="20"/>
        </w:rPr>
        <w:t xml:space="preserve">pact of non-interest-bearing funding. We expect net interest income and our net interest margin to fluctuate based on changes in interest rates and changes in the amount and composition of our interest-earning assets and interest-bearing liabilities.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39290841"/>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939290841"/>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939290841"/>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11</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36" style="width:0;height:1.5pt" o:hralign="center" o:hrstd="t" o:hr="t" fillcolor="#a0a0a0" stroked="f"/>
        </w:pict>
      </w:r>
    </w:p>
    <w:p w:rsidR="00000000" w:rsidRDefault="00E92DBE">
      <w:pPr>
        <w:ind w:hanging="360"/>
        <w:jc w:val="both"/>
        <w:divId w:val="190671720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306014962"/>
        <w:rPr>
          <w:rFonts w:eastAsia="Times New Roman"/>
        </w:rPr>
      </w:pPr>
      <w:r>
        <w:rPr>
          <w:rFonts w:eastAsia="Times New Roman"/>
          <w:color w:val="000000"/>
          <w:sz w:val="20"/>
          <w:szCs w:val="20"/>
        </w:rPr>
        <w:t>Table 2 below presents the average outstanding balance, interest income earned, interest expense incurred and average yield for the first quarters of 2021 and 2020 for each major category of our interest-earning assets and interest-bearing liabilities. Non</w:t>
      </w:r>
      <w:r>
        <w:rPr>
          <w:rFonts w:eastAsia="Times New Roman"/>
          <w:color w:val="000000"/>
          <w:sz w:val="20"/>
          <w:szCs w:val="20"/>
        </w:rPr>
        <w:t xml:space="preserve">performing loans are included in the average loan balances below. </w:t>
      </w:r>
    </w:p>
    <w:p w:rsidR="00000000" w:rsidRDefault="00E92DBE">
      <w:pPr>
        <w:divId w:val="1997999445"/>
        <w:rPr>
          <w:rFonts w:eastAsia="Times New Roman"/>
        </w:rPr>
      </w:pPr>
      <w:r>
        <w:rPr>
          <w:rFonts w:eastAsia="Times New Roman"/>
          <w:b/>
          <w:bCs/>
          <w:color w:val="000000"/>
          <w:sz w:val="18"/>
          <w:szCs w:val="18"/>
        </w:rPr>
        <w:t>Table 2: Average Balances, Net Interest Income and Net Interest Margin</w:t>
      </w:r>
    </w:p>
    <w:tbl>
      <w:tblPr>
        <w:tblW w:w="4992" w:type="pct"/>
        <w:tblCellMar>
          <w:top w:w="15" w:type="dxa"/>
          <w:left w:w="15" w:type="dxa"/>
          <w:bottom w:w="15" w:type="dxa"/>
          <w:right w:w="15" w:type="dxa"/>
        </w:tblCellMar>
        <w:tblLook w:val="04A0" w:firstRow="1" w:lastRow="0" w:firstColumn="1" w:lastColumn="0" w:noHBand="0" w:noVBand="1"/>
      </w:tblPr>
      <w:tblGrid>
        <w:gridCol w:w="56"/>
        <w:gridCol w:w="3881"/>
        <w:gridCol w:w="36"/>
        <w:gridCol w:w="36"/>
        <w:gridCol w:w="36"/>
        <w:gridCol w:w="36"/>
        <w:gridCol w:w="38"/>
        <w:gridCol w:w="538"/>
        <w:gridCol w:w="36"/>
        <w:gridCol w:w="36"/>
        <w:gridCol w:w="36"/>
        <w:gridCol w:w="36"/>
        <w:gridCol w:w="38"/>
        <w:gridCol w:w="538"/>
        <w:gridCol w:w="36"/>
        <w:gridCol w:w="36"/>
        <w:gridCol w:w="36"/>
        <w:gridCol w:w="36"/>
        <w:gridCol w:w="38"/>
        <w:gridCol w:w="538"/>
        <w:gridCol w:w="36"/>
        <w:gridCol w:w="36"/>
        <w:gridCol w:w="36"/>
        <w:gridCol w:w="36"/>
        <w:gridCol w:w="38"/>
        <w:gridCol w:w="538"/>
        <w:gridCol w:w="36"/>
        <w:gridCol w:w="36"/>
        <w:gridCol w:w="36"/>
        <w:gridCol w:w="36"/>
        <w:gridCol w:w="38"/>
        <w:gridCol w:w="538"/>
        <w:gridCol w:w="36"/>
        <w:gridCol w:w="36"/>
        <w:gridCol w:w="36"/>
        <w:gridCol w:w="36"/>
        <w:gridCol w:w="38"/>
        <w:gridCol w:w="538"/>
        <w:gridCol w:w="36"/>
      </w:tblGrid>
      <w:tr w:rsidR="00000000">
        <w:trPr>
          <w:divId w:val="903222718"/>
        </w:trPr>
        <w:tc>
          <w:tcPr>
            <w:tcW w:w="50" w:type="pct"/>
            <w:vAlign w:val="center"/>
            <w:hideMark/>
          </w:tcPr>
          <w:p w:rsidR="00000000" w:rsidRDefault="00E92DBE">
            <w:pPr>
              <w:rPr>
                <w:rFonts w:eastAsia="Times New Roman"/>
              </w:rPr>
            </w:pPr>
          </w:p>
        </w:tc>
        <w:tc>
          <w:tcPr>
            <w:tcW w:w="235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903222718"/>
          <w:trHeight w:val="60"/>
        </w:trPr>
        <w:tc>
          <w:tcPr>
            <w:tcW w:w="0" w:type="auto"/>
            <w:gridSpan w:val="39"/>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0322271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3744"/>
        <w:gridCol w:w="144"/>
        <w:gridCol w:w="144"/>
        <w:gridCol w:w="144"/>
        <w:gridCol w:w="144"/>
        <w:gridCol w:w="144"/>
        <w:gridCol w:w="587"/>
        <w:gridCol w:w="144"/>
        <w:gridCol w:w="144"/>
        <w:gridCol w:w="144"/>
        <w:gridCol w:w="144"/>
        <w:gridCol w:w="144"/>
        <w:gridCol w:w="587"/>
        <w:gridCol w:w="144"/>
        <w:gridCol w:w="144"/>
        <w:gridCol w:w="144"/>
        <w:gridCol w:w="144"/>
        <w:gridCol w:w="144"/>
        <w:gridCol w:w="587"/>
        <w:gridCol w:w="144"/>
        <w:gridCol w:w="144"/>
        <w:gridCol w:w="144"/>
        <w:gridCol w:w="144"/>
        <w:gridCol w:w="144"/>
        <w:gridCol w:w="587"/>
        <w:gridCol w:w="144"/>
        <w:gridCol w:w="144"/>
        <w:gridCol w:w="144"/>
        <w:gridCol w:w="144"/>
        <w:gridCol w:w="144"/>
        <w:gridCol w:w="587"/>
        <w:gridCol w:w="144"/>
        <w:gridCol w:w="144"/>
        <w:gridCol w:w="144"/>
        <w:gridCol w:w="144"/>
        <w:gridCol w:w="144"/>
        <w:gridCol w:w="587"/>
        <w:gridCol w:w="144"/>
        <w:gridCol w:w="480"/>
        <w:gridCol w:w="1440"/>
        <w:gridCol w:w="480"/>
        <w:gridCol w:w="480"/>
        <w:gridCol w:w="480"/>
        <w:gridCol w:w="480"/>
        <w:gridCol w:w="480"/>
        <w:gridCol w:w="480"/>
        <w:gridCol w:w="480"/>
        <w:gridCol w:w="480"/>
        <w:gridCol w:w="480"/>
        <w:gridCol w:w="480"/>
        <w:gridCol w:w="480"/>
        <w:gridCol w:w="480"/>
      </w:tblGrid>
      <w:tr w:rsidR="00000000">
        <w:tc>
          <w:tcPr>
            <w:tcW w:w="50" w:type="pct"/>
            <w:vAlign w:val="center"/>
            <w:hideMark/>
          </w:tcPr>
          <w:p w:rsidR="00000000" w:rsidRDefault="00E92DBE">
            <w:pPr>
              <w:rPr>
                <w:rFonts w:eastAsia="Times New Roman"/>
              </w:rPr>
            </w:pPr>
          </w:p>
        </w:tc>
        <w:tc>
          <w:tcPr>
            <w:tcW w:w="226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557740287"/>
              <w:rPr>
                <w:rFonts w:eastAsia="Times New Roman"/>
              </w:rPr>
            </w:pPr>
            <w:r>
              <w:rPr>
                <w:rFonts w:eastAsia="Times New Roman"/>
                <w:color w:val="000000"/>
                <w:sz w:val="18"/>
                <w:szCs w:val="18"/>
              </w:rPr>
              <w:t>Loans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102,520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3,713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122,854 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4,437 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14.45 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69,234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63,672 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1,347 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8.46 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divId w:val="409426213"/>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74,921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77,105 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746 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3.87 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201210948"/>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246,675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5,854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263,631 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9.93 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98,296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78,212 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530 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43,601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13,504 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388,572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6,261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355,347 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7,109 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8.00 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Cash and due from banks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4,472 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(15,548)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(10,408)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Premises and equipment, net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4,283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4,344 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39,416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36,625 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421,808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390,380 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Interest-bearing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273,358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241,115 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731 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12,240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18,054 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26,968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31,342 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borrowings and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3,779 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interest-bearing liabilities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314,776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294,290 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31,698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23,538 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14,711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13,984 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361,185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331,812 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60,623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58,568 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421,808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390,380 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9"/>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interest income/spread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5,822</w:t>
            </w:r>
            <w:r>
              <w:rPr>
                <w:rFonts w:eastAsia="Times New Roman"/>
                <w:color w:val="000000"/>
                <w:sz w:val="18"/>
                <w:szCs w:val="18"/>
              </w:rPr>
              <w:t> </w:t>
            </w:r>
          </w:p>
        </w:tc>
        <w:tc>
          <w:tcPr>
            <w:tcW w:w="0" w:type="auto"/>
            <w:tcBorders>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6,025 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15"/>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Impact of non-interest-bearing funding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0.25 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15"/>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interest margin</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5.99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1204250408"/>
        <w:rPr>
          <w:rFonts w:eastAsia="Times New Roman"/>
        </w:rPr>
      </w:pPr>
      <w:r>
        <w:rPr>
          <w:rFonts w:eastAsia="Times New Roman"/>
          <w:color w:val="000000"/>
          <w:sz w:val="20"/>
          <w:szCs w:val="20"/>
        </w:rPr>
        <w:t>__________</w:t>
      </w:r>
    </w:p>
    <w:p w:rsidR="00000000" w:rsidRDefault="00E92DBE">
      <w:pPr>
        <w:ind w:hanging="360"/>
        <w:jc w:val="both"/>
        <w:divId w:val="212352843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Past due fees included in interest income totaled approximately $310 million and $391 million in the first quarters of 2021 and 2020, respectively.</w:t>
      </w:r>
    </w:p>
    <w:p w:rsidR="00000000" w:rsidRDefault="00E92DBE">
      <w:pPr>
        <w:ind w:hanging="360"/>
        <w:jc w:val="both"/>
        <w:divId w:val="206956760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tax-exempt income. Accordingly, we present our Commercial Bankin</w:t>
      </w:r>
      <w:r>
        <w:rPr>
          <w:rFonts w:eastAsia="Times New Roman"/>
          <w:color w:val="000000"/>
          <w:sz w:val="16"/>
          <w:szCs w:val="16"/>
        </w:rPr>
        <w:t>g interest income and yields on a taxable-equivalent basis, calculated using the federal statutory rate of 21% and state taxes where applicable, with offsetting reductions to the Other category. Taxable-equivalent adjustments included in the interest incom</w:t>
      </w:r>
      <w:r>
        <w:rPr>
          <w:rFonts w:eastAsia="Times New Roman"/>
          <w:color w:val="000000"/>
          <w:sz w:val="16"/>
          <w:szCs w:val="16"/>
        </w:rPr>
        <w:t>e and yield computations for our commercial loans totaled approximately $19 million and $20 million for the first quarters of 2021 and 2020, respectively, with corresponding reductions to the Other category.</w:t>
      </w:r>
    </w:p>
    <w:p w:rsidR="00000000" w:rsidRDefault="00E92DBE">
      <w:pPr>
        <w:ind w:hanging="360"/>
        <w:jc w:val="both"/>
        <w:divId w:val="75052848"/>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Interest income/expense in Other represents t</w:t>
      </w:r>
      <w:r>
        <w:rPr>
          <w:rFonts w:eastAsia="Times New Roman"/>
          <w:color w:val="000000"/>
          <w:sz w:val="16"/>
          <w:szCs w:val="16"/>
        </w:rPr>
        <w:t xml:space="preserve">he impact of hedge accounting on our loan portfolios and the offsetting reduction of the taxable-equivalent adjustments of our commercial loans as described above. </w:t>
      </w:r>
    </w:p>
    <w:p w:rsidR="00000000" w:rsidRDefault="00E92DBE">
      <w:pPr>
        <w:ind w:hanging="360"/>
        <w:jc w:val="both"/>
        <w:divId w:val="844367940"/>
        <w:rPr>
          <w:rFonts w:eastAsia="Times New Roman"/>
        </w:rPr>
      </w:pPr>
      <w:r>
        <w:rPr>
          <w:rFonts w:eastAsia="Times New Roman"/>
          <w:color w:val="000000"/>
          <w:sz w:val="16"/>
          <w:szCs w:val="16"/>
        </w:rPr>
        <w:t>**    Not meaningful.</w:t>
      </w:r>
    </w:p>
    <w:p w:rsidR="00000000" w:rsidRDefault="00E92DBE">
      <w:pPr>
        <w:jc w:val="both"/>
        <w:divId w:val="590549047"/>
        <w:rPr>
          <w:rFonts w:eastAsia="Times New Roman"/>
        </w:rPr>
      </w:pPr>
      <w:r>
        <w:rPr>
          <w:rFonts w:eastAsia="Times New Roman"/>
          <w:color w:val="000000"/>
          <w:sz w:val="20"/>
          <w:szCs w:val="20"/>
        </w:rPr>
        <w:t xml:space="preserve">Net interest income decreased by $203 million to $5.8 billion in the </w:t>
      </w:r>
      <w:r>
        <w:rPr>
          <w:rFonts w:eastAsia="Times New Roman"/>
          <w:color w:val="000000"/>
          <w:sz w:val="20"/>
          <w:szCs w:val="20"/>
        </w:rPr>
        <w:t>first quarter of 2021 compared to the first quarter of 2020 primarily driven by lower average outstanding balances in Domestic Card, as well as higher interest-bearing deposit balances, partially offset by the lower interest rate paid on interest-bearing l</w:t>
      </w:r>
      <w:r>
        <w:rPr>
          <w:rFonts w:eastAsia="Times New Roman"/>
          <w:color w:val="000000"/>
          <w:sz w:val="20"/>
          <w:szCs w:val="20"/>
        </w:rPr>
        <w:t>iabilities.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147820"/>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8147820"/>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8147820"/>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12</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37" style="width:0;height:1.5pt" o:hralign="center" o:hrstd="t" o:hr="t" fillcolor="#a0a0a0" stroked="f"/>
        </w:pict>
      </w:r>
    </w:p>
    <w:p w:rsidR="00000000" w:rsidRDefault="00E92DBE">
      <w:pPr>
        <w:ind w:hanging="360"/>
        <w:jc w:val="both"/>
        <w:divId w:val="2059932517"/>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902061597"/>
        <w:rPr>
          <w:rFonts w:eastAsia="Times New Roman"/>
        </w:rPr>
      </w:pPr>
      <w:r>
        <w:rPr>
          <w:rFonts w:eastAsia="Times New Roman"/>
          <w:color w:val="000000"/>
          <w:sz w:val="20"/>
          <w:szCs w:val="20"/>
        </w:rPr>
        <w:t>Net interest margin decreased by 79 basis points to 5.99% in the first quarter of 2021 compared to the first quarter of 2020 primarily driven by</w:t>
      </w:r>
      <w:r>
        <w:rPr>
          <w:rFonts w:eastAsia="Times New Roman"/>
          <w:color w:val="000000"/>
          <w:sz w:val="20"/>
          <w:szCs w:val="20"/>
        </w:rPr>
        <w:t xml:space="preserve"> a shift in our asset mix and lower interest rates received on interest-earning assets, partially offset by the lower interest rate paid on interest-bearing deposits. </w:t>
      </w:r>
    </w:p>
    <w:p w:rsidR="00000000" w:rsidRDefault="00E92DBE">
      <w:pPr>
        <w:jc w:val="both"/>
        <w:divId w:val="631594862"/>
        <w:rPr>
          <w:rFonts w:eastAsia="Times New Roman"/>
        </w:rPr>
      </w:pPr>
      <w:r>
        <w:rPr>
          <w:rFonts w:eastAsia="Times New Roman"/>
          <w:color w:val="000000"/>
          <w:sz w:val="20"/>
          <w:szCs w:val="20"/>
        </w:rPr>
        <w:t>Table 3 displays the change in our net interest income between periods and the extent to</w:t>
      </w:r>
      <w:r>
        <w:rPr>
          <w:rFonts w:eastAsia="Times New Roman"/>
          <w:color w:val="000000"/>
          <w:sz w:val="20"/>
          <w:szCs w:val="20"/>
        </w:rPr>
        <w:t xml:space="preserve"> which the variance is attributable to:</w:t>
      </w:r>
    </w:p>
    <w:p w:rsidR="00000000" w:rsidRDefault="00E92DBE">
      <w:pPr>
        <w:ind w:hanging="360"/>
        <w:jc w:val="both"/>
        <w:divId w:val="321156390"/>
        <w:rPr>
          <w:rFonts w:eastAsia="Times New Roman"/>
        </w:rPr>
      </w:pPr>
      <w:r>
        <w:rPr>
          <w:rFonts w:eastAsia="Times New Roman"/>
          <w:color w:val="000000"/>
          <w:sz w:val="20"/>
          <w:szCs w:val="20"/>
        </w:rPr>
        <w:t>•changes in the volume of our interest-earning assets and interest-bearing liabilities; or</w:t>
      </w:r>
    </w:p>
    <w:p w:rsidR="00000000" w:rsidRDefault="00E92DBE">
      <w:pPr>
        <w:ind w:hanging="360"/>
        <w:jc w:val="both"/>
        <w:divId w:val="1472095880"/>
        <w:rPr>
          <w:rFonts w:eastAsia="Times New Roman"/>
        </w:rPr>
      </w:pPr>
      <w:r>
        <w:rPr>
          <w:rFonts w:eastAsia="Times New Roman"/>
          <w:color w:val="000000"/>
          <w:sz w:val="20"/>
          <w:szCs w:val="20"/>
        </w:rPr>
        <w:t>•changes in the interest rates related to these assets and liabilities.</w:t>
      </w:r>
    </w:p>
    <w:p w:rsidR="00000000" w:rsidRDefault="00E92DBE">
      <w:pPr>
        <w:divId w:val="576943224"/>
        <w:rPr>
          <w:rFonts w:eastAsia="Times New Roman"/>
        </w:rPr>
      </w:pPr>
      <w:r>
        <w:rPr>
          <w:rFonts w:eastAsia="Times New Roman"/>
          <w:b/>
          <w:bCs/>
          <w:color w:val="000000"/>
          <w:sz w:val="18"/>
          <w:szCs w:val="18"/>
        </w:rPr>
        <w:t>Table 3: Rate/Volume Analysis of Net Interest Incom</w:t>
      </w:r>
      <w:r>
        <w:rPr>
          <w:rFonts w:eastAsia="Times New Roman"/>
          <w:b/>
          <w:bCs/>
          <w:color w:val="000000"/>
          <w:sz w:val="18"/>
          <w:szCs w:val="18"/>
        </w:rPr>
        <w:t>e</w:t>
      </w:r>
      <w:r>
        <w:rPr>
          <w:rFonts w:eastAsia="Times New Roman"/>
          <w:b/>
          <w:bCs/>
          <w:color w:val="000000"/>
          <w:sz w:val="12"/>
          <w:szCs w:val="12"/>
        </w:rPr>
        <w:t>(</w:t>
      </w:r>
      <w:r>
        <w:rPr>
          <w:rFonts w:eastAsia="Times New Roman"/>
          <w:b/>
          <w:bCs/>
          <w:color w:val="000000"/>
          <w:sz w:val="12"/>
          <w:szCs w:val="12"/>
        </w:rPr>
        <w:t>1</w:t>
      </w:r>
      <w:r>
        <w:rPr>
          <w:rFonts w:eastAsia="Times New Roman"/>
          <w:b/>
          <w:bCs/>
          <w:color w:val="000000"/>
          <w:sz w:val="12"/>
          <w:szCs w:val="12"/>
        </w:rPr>
        <w:t>)</w:t>
      </w:r>
      <w:r>
        <w:rPr>
          <w:rFonts w:eastAsia="Times New Roman"/>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41"/>
        <w:gridCol w:w="5541"/>
        <w:gridCol w:w="40"/>
        <w:gridCol w:w="36"/>
        <w:gridCol w:w="36"/>
        <w:gridCol w:w="36"/>
        <w:gridCol w:w="111"/>
        <w:gridCol w:w="573"/>
        <w:gridCol w:w="37"/>
        <w:gridCol w:w="36"/>
        <w:gridCol w:w="36"/>
        <w:gridCol w:w="36"/>
        <w:gridCol w:w="111"/>
        <w:gridCol w:w="497"/>
        <w:gridCol w:w="37"/>
        <w:gridCol w:w="36"/>
        <w:gridCol w:w="36"/>
        <w:gridCol w:w="36"/>
        <w:gridCol w:w="110"/>
        <w:gridCol w:w="331"/>
        <w:gridCol w:w="36"/>
        <w:gridCol w:w="36"/>
        <w:gridCol w:w="36"/>
        <w:gridCol w:w="36"/>
        <w:gridCol w:w="36"/>
        <w:gridCol w:w="36"/>
        <w:gridCol w:w="36"/>
        <w:gridCol w:w="36"/>
        <w:gridCol w:w="36"/>
        <w:gridCol w:w="36"/>
        <w:gridCol w:w="36"/>
        <w:gridCol w:w="36"/>
        <w:gridCol w:w="36"/>
        <w:gridCol w:w="36"/>
        <w:gridCol w:w="36"/>
      </w:tblGrid>
      <w:tr w:rsidR="00000000">
        <w:trPr>
          <w:divId w:val="909387984"/>
        </w:trPr>
        <w:tc>
          <w:tcPr>
            <w:tcW w:w="50" w:type="pct"/>
            <w:vAlign w:val="center"/>
            <w:hideMark/>
          </w:tcPr>
          <w:p w:rsidR="00000000" w:rsidRDefault="00E92DBE">
            <w:pPr>
              <w:rPr>
                <w:rFonts w:eastAsia="Times New Roman"/>
              </w:rPr>
            </w:pPr>
          </w:p>
        </w:tc>
        <w:tc>
          <w:tcPr>
            <w:tcW w:w="36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09387984"/>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 vs. 2020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09387984"/>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 Variance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Volume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Rate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(724)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(734)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CCEEFF"/>
            <w:tcMar>
              <w:top w:w="30" w:type="dxa"/>
              <w:left w:w="20" w:type="dxa"/>
              <w:bottom w:w="30" w:type="dxa"/>
              <w:right w:w="20" w:type="dxa"/>
            </w:tcMar>
            <w:vAlign w:val="center"/>
            <w:hideMark/>
          </w:tcPr>
          <w:p w:rsidR="00000000" w:rsidRDefault="00E92DBE">
            <w:pPr>
              <w:divId w:val="1257710083"/>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FFFFFF"/>
            <w:tcMar>
              <w:top w:w="30" w:type="dxa"/>
              <w:left w:w="20" w:type="dxa"/>
              <w:bottom w:w="30" w:type="dxa"/>
              <w:right w:w="20" w:type="dxa"/>
            </w:tcMar>
            <w:vAlign w:val="center"/>
            <w:hideMark/>
          </w:tcPr>
          <w:p w:rsidR="00000000" w:rsidRDefault="00E92DBE">
            <w:pPr>
              <w:divId w:val="1608386271"/>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loans, including loans held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(688)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Investment securities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Cash equivalents and other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interest income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(848)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(550)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(298)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(462)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(494)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(67)</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borrowings and liabilities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interest expense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(645)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(617)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(522)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09387984"/>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1478958003"/>
        <w:rPr>
          <w:rFonts w:eastAsia="Times New Roman"/>
        </w:rPr>
      </w:pPr>
      <w:r>
        <w:rPr>
          <w:rFonts w:eastAsia="Times New Roman"/>
          <w:color w:val="000000"/>
          <w:sz w:val="20"/>
          <w:szCs w:val="20"/>
        </w:rPr>
        <w:t>__________</w:t>
      </w:r>
    </w:p>
    <w:p w:rsidR="00000000" w:rsidRDefault="00E92DBE">
      <w:pPr>
        <w:ind w:hanging="360"/>
        <w:jc w:val="both"/>
        <w:divId w:val="97714856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calculate the change in interest income and interest expense separately for each item. The portion of interest income or interest expense attributable to both volume and rate is allocated proportionately when the calculation results in a positive value.</w:t>
      </w:r>
      <w:r>
        <w:rPr>
          <w:rFonts w:eastAsia="Times New Roman"/>
          <w:color w:val="000000"/>
          <w:sz w:val="16"/>
          <w:szCs w:val="16"/>
        </w:rPr>
        <w:t xml:space="preserve"> When the portion of interest income or interest expense attributable to both volume and rate results in a negative value, the total amount is allocated to volume or rate, depending on which amount is positive.</w:t>
      </w:r>
    </w:p>
    <w:p w:rsidR="00000000" w:rsidRDefault="00E92DBE">
      <w:pPr>
        <w:ind w:hanging="360"/>
        <w:jc w:val="both"/>
        <w:divId w:val="113837578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w:t>
      </w:r>
      <w:r>
        <w:rPr>
          <w:rFonts w:eastAsia="Times New Roman"/>
          <w:color w:val="000000"/>
          <w:sz w:val="16"/>
          <w:szCs w:val="16"/>
        </w:rPr>
        <w:t>exempt income. Accordingly, we present our Commercial Banking interest income and yields on a taxable-equivalent basis, calculated using the federal statutory rate of 21% and state taxes where applicable, with offsetting reductions to the Other category.</w:t>
      </w:r>
    </w:p>
    <w:p w:rsidR="00000000" w:rsidRDefault="00E92DBE">
      <w:pPr>
        <w:ind w:hanging="360"/>
        <w:jc w:val="both"/>
        <w:divId w:val="2003390276"/>
        <w:rPr>
          <w:rFonts w:eastAsia="Times New Roman"/>
        </w:rPr>
      </w:pPr>
      <w:r>
        <w:rPr>
          <w:rFonts w:eastAsia="Times New Roman"/>
          <w:color w:val="000000"/>
          <w:sz w:val="10"/>
          <w:szCs w:val="10"/>
        </w:rPr>
        <w:t>(</w:t>
      </w: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Interest income/expense in Other represents the impact of hedge accounting on our loan portfolios and the offsetting reduction of the taxable-equivalent adjustments of our commercial loans as described above.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75435706"/>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875435706"/>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875435706"/>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13</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38" style="width:0;height:1.5pt" o:hralign="center" o:hrstd="t" o:hr="t" fillcolor="#a0a0a0" stroked="f"/>
        </w:pict>
      </w:r>
    </w:p>
    <w:p w:rsidR="00000000" w:rsidRDefault="00E92DBE">
      <w:pPr>
        <w:ind w:hanging="360"/>
        <w:jc w:val="both"/>
        <w:divId w:val="1335959885"/>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1015427982"/>
        <w:rPr>
          <w:rFonts w:eastAsia="Times New Roman"/>
        </w:rPr>
      </w:pPr>
      <w:r>
        <w:rPr>
          <w:rFonts w:eastAsia="Times New Roman"/>
          <w:b/>
          <w:bCs/>
          <w:color w:val="000000"/>
          <w:sz w:val="20"/>
          <w:szCs w:val="20"/>
        </w:rPr>
        <w:t>Non-Interest Income</w:t>
      </w:r>
    </w:p>
    <w:p w:rsidR="00000000" w:rsidRDefault="00E92DBE">
      <w:pPr>
        <w:jc w:val="both"/>
        <w:divId w:val="1822379394"/>
        <w:rPr>
          <w:rFonts w:eastAsia="Times New Roman"/>
        </w:rPr>
      </w:pPr>
      <w:r>
        <w:rPr>
          <w:rFonts w:eastAsia="Times New Roman"/>
          <w:color w:val="000000"/>
          <w:sz w:val="20"/>
          <w:szCs w:val="20"/>
        </w:rPr>
        <w:t>Table 4 displays the components of non-interest income for the first quarters of 2021 and 2020.</w:t>
      </w:r>
    </w:p>
    <w:p w:rsidR="00000000" w:rsidRDefault="00E92DBE">
      <w:pPr>
        <w:divId w:val="347367893"/>
        <w:rPr>
          <w:rFonts w:eastAsia="Times New Roman"/>
        </w:rPr>
      </w:pPr>
      <w:r>
        <w:rPr>
          <w:rFonts w:eastAsia="Times New Roman"/>
          <w:b/>
          <w:bCs/>
          <w:color w:val="000000"/>
          <w:sz w:val="18"/>
          <w:szCs w:val="18"/>
        </w:rPr>
        <w:t>Table 4: Non-Interest Income</w:t>
      </w:r>
    </w:p>
    <w:tbl>
      <w:tblPr>
        <w:tblW w:w="5000" w:type="pct"/>
        <w:tblCellMar>
          <w:top w:w="15" w:type="dxa"/>
          <w:left w:w="15" w:type="dxa"/>
          <w:bottom w:w="15" w:type="dxa"/>
          <w:right w:w="15" w:type="dxa"/>
        </w:tblCellMar>
        <w:tblLook w:val="04A0" w:firstRow="1" w:lastRow="0" w:firstColumn="1" w:lastColumn="0" w:noHBand="0" w:noVBand="1"/>
      </w:tblPr>
      <w:tblGrid>
        <w:gridCol w:w="41"/>
        <w:gridCol w:w="5712"/>
        <w:gridCol w:w="39"/>
        <w:gridCol w:w="36"/>
        <w:gridCol w:w="36"/>
        <w:gridCol w:w="36"/>
        <w:gridCol w:w="36"/>
        <w:gridCol w:w="36"/>
        <w:gridCol w:w="36"/>
        <w:gridCol w:w="36"/>
        <w:gridCol w:w="110"/>
        <w:gridCol w:w="787"/>
        <w:gridCol w:w="36"/>
        <w:gridCol w:w="36"/>
        <w:gridCol w:w="36"/>
        <w:gridCol w:w="36"/>
        <w:gridCol w:w="110"/>
        <w:gridCol w:w="787"/>
        <w:gridCol w:w="36"/>
        <w:gridCol w:w="36"/>
        <w:gridCol w:w="36"/>
        <w:gridCol w:w="36"/>
        <w:gridCol w:w="36"/>
        <w:gridCol w:w="36"/>
        <w:gridCol w:w="36"/>
        <w:gridCol w:w="36"/>
        <w:gridCol w:w="36"/>
      </w:tblGrid>
      <w:tr w:rsidR="00000000">
        <w:trPr>
          <w:divId w:val="1606306792"/>
        </w:trPr>
        <w:tc>
          <w:tcPr>
            <w:tcW w:w="50" w:type="pct"/>
            <w:vAlign w:val="center"/>
            <w:hideMark/>
          </w:tcPr>
          <w:p w:rsidR="00000000" w:rsidRDefault="00E92DBE">
            <w:pPr>
              <w:rPr>
                <w:rFonts w:eastAsia="Times New Roman"/>
              </w:rPr>
            </w:pPr>
          </w:p>
        </w:tc>
        <w:tc>
          <w:tcPr>
            <w:tcW w:w="365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5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5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06306792"/>
        </w:trPr>
        <w:tc>
          <w:tcPr>
            <w:tcW w:w="0" w:type="auto"/>
            <w:gridSpan w:val="3"/>
            <w:tcMar>
              <w:top w:w="30" w:type="dxa"/>
              <w:left w:w="155"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606306792"/>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0630679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Interchange fees, net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06306792"/>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Service charges and other customer-related fees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327 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06306792"/>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Net securities gains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06306792"/>
        </w:trPr>
        <w:tc>
          <w:tcPr>
            <w:tcW w:w="0" w:type="auto"/>
            <w:gridSpan w:val="3"/>
            <w:shd w:val="clear" w:color="auto" w:fill="FFFFFF"/>
            <w:tcMar>
              <w:top w:w="30" w:type="dxa"/>
              <w:left w:w="20" w:type="dxa"/>
              <w:bottom w:w="30" w:type="dxa"/>
              <w:right w:w="20" w:type="dxa"/>
            </w:tcMar>
            <w:vAlign w:val="bottom"/>
            <w:hideMark/>
          </w:tcPr>
          <w:p w:rsidR="00000000" w:rsidRDefault="00E92DBE">
            <w:pPr>
              <w:divId w:val="679043426"/>
              <w:rPr>
                <w:rFonts w:eastAsia="Times New Roman"/>
              </w:rPr>
            </w:pPr>
            <w:r>
              <w:rPr>
                <w:rFonts w:eastAsia="Times New Roman"/>
                <w:color w:val="000000"/>
                <w:sz w:val="18"/>
                <w:szCs w:val="18"/>
              </w:rPr>
              <w:t>Other non-interest income</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06306792"/>
        </w:trPr>
        <w:tc>
          <w:tcPr>
            <w:tcW w:w="0" w:type="auto"/>
            <w:gridSpan w:val="3"/>
            <w:shd w:val="clear" w:color="auto" w:fill="CCEEFF"/>
            <w:tcMar>
              <w:top w:w="30" w:type="dxa"/>
              <w:left w:w="245" w:type="dxa"/>
              <w:bottom w:w="30" w:type="dxa"/>
              <w:right w:w="20" w:type="dxa"/>
            </w:tcMar>
            <w:vAlign w:val="bottom"/>
            <w:hideMark/>
          </w:tcPr>
          <w:p w:rsidR="00000000" w:rsidRDefault="00E92DBE">
            <w:pPr>
              <w:rPr>
                <w:rFonts w:eastAsia="Times New Roman"/>
              </w:rPr>
            </w:pPr>
            <w:r>
              <w:rPr>
                <w:rFonts w:eastAsia="Times New Roman"/>
                <w:color w:val="000000"/>
                <w:sz w:val="18"/>
                <w:szCs w:val="18"/>
              </w:rPr>
              <w:t>Mortgage banking revenue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06306792"/>
        </w:trPr>
        <w:tc>
          <w:tcPr>
            <w:tcW w:w="0" w:type="auto"/>
            <w:gridSpan w:val="3"/>
            <w:shd w:val="clear" w:color="auto" w:fill="FFFFFF"/>
            <w:tcMar>
              <w:top w:w="30" w:type="dxa"/>
              <w:left w:w="245" w:type="dxa"/>
              <w:bottom w:w="30" w:type="dxa"/>
              <w:right w:w="20" w:type="dxa"/>
            </w:tcMar>
            <w:vAlign w:val="bottom"/>
            <w:hideMark/>
          </w:tcPr>
          <w:p w:rsidR="00000000" w:rsidRDefault="00E92DBE">
            <w:pPr>
              <w:rPr>
                <w:rFonts w:eastAsia="Times New Roman"/>
              </w:rPr>
            </w:pPr>
            <w:r>
              <w:rPr>
                <w:rFonts w:eastAsia="Times New Roman"/>
                <w:color w:val="000000"/>
                <w:sz w:val="18"/>
                <w:szCs w:val="18"/>
              </w:rPr>
              <w:t>Treasury and other investment loss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2C2C2C"/>
                <w:sz w:val="18"/>
                <w:szCs w:val="18"/>
              </w:rPr>
              <w:t>(7)</w:t>
            </w:r>
          </w:p>
        </w:tc>
        <w:tc>
          <w:tcPr>
            <w:tcW w:w="0" w:type="auto"/>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06306792"/>
        </w:trPr>
        <w:tc>
          <w:tcPr>
            <w:tcW w:w="0" w:type="auto"/>
            <w:gridSpan w:val="3"/>
            <w:shd w:val="clear" w:color="auto" w:fill="CCEEFF"/>
            <w:tcMar>
              <w:top w:w="30" w:type="dxa"/>
              <w:left w:w="245" w:type="dxa"/>
              <w:bottom w:w="30" w:type="dxa"/>
              <w:right w:w="20" w:type="dxa"/>
            </w:tcMar>
            <w:vAlign w:val="bottom"/>
            <w:hideMark/>
          </w:tcPr>
          <w:p w:rsidR="00000000" w:rsidRDefault="00E92DBE">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06306792"/>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Total other non-interest income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118</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2C2C2C"/>
                <w:sz w:val="18"/>
                <w:szCs w:val="18"/>
              </w:rPr>
              <w:t>145 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06306792"/>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1,224 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360977466"/>
        <w:rPr>
          <w:rFonts w:eastAsia="Times New Roman"/>
        </w:rPr>
      </w:pPr>
      <w:r>
        <w:rPr>
          <w:rFonts w:eastAsia="Times New Roman"/>
          <w:color w:val="000000"/>
          <w:sz w:val="20"/>
          <w:szCs w:val="20"/>
        </w:rPr>
        <w:t>________</w:t>
      </w:r>
    </w:p>
    <w:p w:rsidR="00000000" w:rsidRDefault="00E92DBE">
      <w:pPr>
        <w:ind w:hanging="360"/>
        <w:jc w:val="both"/>
        <w:divId w:val="2147236940"/>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Includes</w:t>
      </w:r>
      <w:r>
        <w:rPr>
          <w:rFonts w:eastAsia="Times New Roman"/>
          <w:color w:val="000000"/>
          <w:sz w:val="16"/>
          <w:szCs w:val="16"/>
        </w:rPr>
        <w:t xml:space="preserve"> gains </w:t>
      </w:r>
      <w:r>
        <w:rPr>
          <w:rFonts w:eastAsia="Times New Roman"/>
          <w:color w:val="000000"/>
          <w:sz w:val="16"/>
          <w:szCs w:val="16"/>
          <w:shd w:val="clear" w:color="auto" w:fill="FFFFFF"/>
        </w:rPr>
        <w:t xml:space="preserve">of </w:t>
      </w:r>
      <w:r>
        <w:rPr>
          <w:rFonts w:eastAsia="Times New Roman"/>
          <w:color w:val="000000"/>
          <w:sz w:val="16"/>
          <w:szCs w:val="16"/>
        </w:rPr>
        <w:t xml:space="preserve">$19 million and losses of $58 million </w:t>
      </w:r>
      <w:r>
        <w:rPr>
          <w:rFonts w:eastAsia="Times New Roman"/>
          <w:color w:val="000000"/>
          <w:sz w:val="16"/>
          <w:szCs w:val="16"/>
          <w:shd w:val="clear" w:color="auto" w:fill="FFFFFF"/>
        </w:rPr>
        <w:t>on deferred compensation plan investments in the first quarters of 2021</w:t>
      </w:r>
      <w:r>
        <w:rPr>
          <w:rFonts w:eastAsia="Times New Roman"/>
          <w:color w:val="000000"/>
          <w:sz w:val="16"/>
          <w:szCs w:val="16"/>
        </w:rPr>
        <w:t xml:space="preserve"> and 2020</w:t>
      </w:r>
      <w:r>
        <w:rPr>
          <w:rFonts w:eastAsia="Times New Roman"/>
          <w:color w:val="000000"/>
          <w:sz w:val="16"/>
          <w:szCs w:val="16"/>
          <w:shd w:val="clear" w:color="auto" w:fill="FFFFFF"/>
        </w:rPr>
        <w:t>,</w:t>
      </w:r>
      <w:r>
        <w:rPr>
          <w:rFonts w:eastAsia="Times New Roman"/>
          <w:color w:val="000000"/>
          <w:sz w:val="20"/>
          <w:szCs w:val="20"/>
        </w:rPr>
        <w:t xml:space="preserve"> </w:t>
      </w:r>
      <w:r>
        <w:rPr>
          <w:rFonts w:eastAsia="Times New Roman"/>
          <w:color w:val="000000"/>
          <w:sz w:val="16"/>
          <w:szCs w:val="16"/>
          <w:shd w:val="clear" w:color="auto" w:fill="FFFFFF"/>
        </w:rPr>
        <w:t>respectively.</w:t>
      </w:r>
    </w:p>
    <w:p w:rsidR="00000000" w:rsidRDefault="00E92DBE">
      <w:pPr>
        <w:jc w:val="both"/>
        <w:divId w:val="1209803548"/>
        <w:rPr>
          <w:rFonts w:eastAsia="Times New Roman"/>
        </w:rPr>
      </w:pPr>
      <w:r>
        <w:rPr>
          <w:rFonts w:eastAsia="Times New Roman"/>
          <w:color w:val="000000"/>
          <w:sz w:val="20"/>
          <w:szCs w:val="20"/>
          <w:shd w:val="clear" w:color="auto" w:fill="FFFFFF"/>
        </w:rPr>
        <w:t>Non-interest inco</w:t>
      </w:r>
      <w:r>
        <w:rPr>
          <w:rFonts w:eastAsia="Times New Roman"/>
          <w:color w:val="000000"/>
          <w:sz w:val="20"/>
          <w:szCs w:val="20"/>
        </w:rPr>
        <w:t xml:space="preserve">me increased by $67 million to $1.3 billion in the first quarter of 2021 compared to the first quarter of 2020 primarily driven by higher net interchange fees due to an increase in purchase volume. </w:t>
      </w:r>
    </w:p>
    <w:p w:rsidR="00000000" w:rsidRDefault="00E92DBE">
      <w:pPr>
        <w:divId w:val="150216088"/>
        <w:rPr>
          <w:rFonts w:eastAsia="Times New Roman"/>
        </w:rPr>
      </w:pPr>
      <w:r>
        <w:rPr>
          <w:rFonts w:eastAsia="Times New Roman"/>
          <w:b/>
          <w:bCs/>
          <w:color w:val="000000"/>
          <w:sz w:val="20"/>
          <w:szCs w:val="20"/>
          <w:shd w:val="clear" w:color="auto" w:fill="FFFFFF"/>
        </w:rPr>
        <w:t>Provision for Credit Losses</w:t>
      </w:r>
    </w:p>
    <w:p w:rsidR="00000000" w:rsidRDefault="00E92DBE">
      <w:pPr>
        <w:jc w:val="both"/>
        <w:divId w:val="1308632833"/>
        <w:rPr>
          <w:rFonts w:eastAsia="Times New Roman"/>
        </w:rPr>
      </w:pPr>
      <w:r>
        <w:rPr>
          <w:rFonts w:eastAsia="Times New Roman"/>
          <w:color w:val="000000"/>
          <w:sz w:val="20"/>
          <w:szCs w:val="20"/>
          <w:shd w:val="clear" w:color="auto" w:fill="FFFFFF"/>
        </w:rPr>
        <w:t>Our provision for credit loss</w:t>
      </w:r>
      <w:r>
        <w:rPr>
          <w:rFonts w:eastAsia="Times New Roman"/>
          <w:color w:val="000000"/>
          <w:sz w:val="20"/>
          <w:szCs w:val="20"/>
          <w:shd w:val="clear" w:color="auto" w:fill="FFFFFF"/>
        </w:rPr>
        <w:t>es in each period is driven by net charge-offs, changes to the allowance for credit losses and changes to the reserve for unfunded lending commitments. Our provision for credit losses decreased by $6.2 billion and resulted in a benefit of $823 million in t</w:t>
      </w:r>
      <w:r>
        <w:rPr>
          <w:rFonts w:eastAsia="Times New Roman"/>
          <w:color w:val="000000"/>
          <w:sz w:val="20"/>
          <w:szCs w:val="20"/>
          <w:shd w:val="clear" w:color="auto" w:fill="FFFFFF"/>
        </w:rPr>
        <w:t>he first quarter of 2021 compared to the first quarter of 2020. This decrease was primarily driven by an allowance release in the first quarter of 2021 due to continued strong credit performance and an improved economic outlook compared to an allowance bui</w:t>
      </w:r>
      <w:r>
        <w:rPr>
          <w:rFonts w:eastAsia="Times New Roman"/>
          <w:color w:val="000000"/>
          <w:sz w:val="20"/>
          <w:szCs w:val="20"/>
          <w:shd w:val="clear" w:color="auto" w:fill="FFFFFF"/>
        </w:rPr>
        <w:t>ld in the first quarter of 2020 driven by the expected economic worsening and significant uncertainty at the start of the COVID-19 pandemic.</w:t>
      </w:r>
    </w:p>
    <w:p w:rsidR="00000000" w:rsidRDefault="00E92DBE">
      <w:pPr>
        <w:jc w:val="both"/>
        <w:divId w:val="1862820127"/>
        <w:rPr>
          <w:rFonts w:eastAsia="Times New Roman"/>
        </w:rPr>
      </w:pPr>
      <w:r>
        <w:rPr>
          <w:rFonts w:eastAsia="Times New Roman"/>
          <w:color w:val="000000"/>
          <w:sz w:val="20"/>
          <w:szCs w:val="20"/>
          <w:shd w:val="clear" w:color="auto" w:fill="FFFFFF"/>
        </w:rPr>
        <w:t>We provide additional information on the provision for credit losses and changes in the allowance for credit losses</w:t>
      </w:r>
      <w:r>
        <w:rPr>
          <w:rFonts w:eastAsia="Times New Roman"/>
          <w:color w:val="000000"/>
          <w:sz w:val="20"/>
          <w:szCs w:val="20"/>
          <w:shd w:val="clear" w:color="auto" w:fill="FFFFFF"/>
        </w:rPr>
        <w:t xml:space="preserve"> within “MD&amp;A—Credit Risk Profile” and “Note 4—Allowance for Credit Losses and Reserve for Unfunded Lending Commitments.” For information on the allowance methodology for each of our loan categories, see “Note 1—Summary of Significant Accounting Policies” </w:t>
      </w:r>
      <w:r>
        <w:rPr>
          <w:rFonts w:eastAsia="Times New Roman"/>
          <w:color w:val="000000"/>
          <w:sz w:val="20"/>
          <w:szCs w:val="20"/>
          <w:shd w:val="clear" w:color="auto" w:fill="FFFFFF"/>
        </w:rPr>
        <w:t>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68969951"/>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968969951"/>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968969951"/>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14</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39" style="width:0;height:1.5pt" o:hralign="center" o:hrstd="t" o:hr="t" fillcolor="#a0a0a0" stroked="f"/>
        </w:pict>
      </w:r>
    </w:p>
    <w:p w:rsidR="00000000" w:rsidRDefault="00E92DBE">
      <w:pPr>
        <w:ind w:hanging="360"/>
        <w:jc w:val="both"/>
        <w:divId w:val="147818137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1272472417"/>
        <w:rPr>
          <w:rFonts w:eastAsia="Times New Roman"/>
        </w:rPr>
      </w:pPr>
      <w:r>
        <w:rPr>
          <w:rFonts w:eastAsia="Times New Roman"/>
          <w:b/>
          <w:bCs/>
          <w:color w:val="000000"/>
          <w:sz w:val="20"/>
          <w:szCs w:val="20"/>
        </w:rPr>
        <w:t>Non-Interest Expense</w:t>
      </w:r>
    </w:p>
    <w:p w:rsidR="00000000" w:rsidRDefault="00E92DBE">
      <w:pPr>
        <w:jc w:val="both"/>
        <w:divId w:val="708649127"/>
        <w:rPr>
          <w:rFonts w:eastAsia="Times New Roman"/>
        </w:rPr>
      </w:pPr>
      <w:r>
        <w:rPr>
          <w:rFonts w:eastAsia="Times New Roman"/>
          <w:color w:val="000000"/>
          <w:sz w:val="20"/>
          <w:szCs w:val="20"/>
        </w:rPr>
        <w:t xml:space="preserve">Table 5 displays the components of non-interest expense for the first quarters of 2021 and 2020. </w:t>
      </w:r>
    </w:p>
    <w:p w:rsidR="00000000" w:rsidRDefault="00E92DBE">
      <w:pPr>
        <w:divId w:val="1063412881"/>
        <w:rPr>
          <w:rFonts w:eastAsia="Times New Roman"/>
        </w:rPr>
      </w:pPr>
      <w:r>
        <w:rPr>
          <w:rFonts w:eastAsia="Times New Roman"/>
          <w:b/>
          <w:bCs/>
          <w:color w:val="000000"/>
          <w:sz w:val="18"/>
          <w:szCs w:val="18"/>
        </w:rPr>
        <w:t>Table 5: Non-Interest Expense</w:t>
      </w:r>
    </w:p>
    <w:tbl>
      <w:tblPr>
        <w:tblW w:w="5000" w:type="pct"/>
        <w:tblCellMar>
          <w:top w:w="15" w:type="dxa"/>
          <w:left w:w="15" w:type="dxa"/>
          <w:bottom w:w="15" w:type="dxa"/>
          <w:right w:w="15" w:type="dxa"/>
        </w:tblCellMar>
        <w:tblLook w:val="04A0" w:firstRow="1" w:lastRow="0" w:firstColumn="1" w:lastColumn="0" w:noHBand="0" w:noVBand="1"/>
      </w:tblPr>
      <w:tblGrid>
        <w:gridCol w:w="41"/>
        <w:gridCol w:w="5742"/>
        <w:gridCol w:w="40"/>
        <w:gridCol w:w="36"/>
        <w:gridCol w:w="36"/>
        <w:gridCol w:w="36"/>
        <w:gridCol w:w="36"/>
        <w:gridCol w:w="36"/>
        <w:gridCol w:w="36"/>
        <w:gridCol w:w="36"/>
        <w:gridCol w:w="110"/>
        <w:gridCol w:w="807"/>
        <w:gridCol w:w="36"/>
        <w:gridCol w:w="36"/>
        <w:gridCol w:w="36"/>
        <w:gridCol w:w="36"/>
        <w:gridCol w:w="110"/>
        <w:gridCol w:w="808"/>
        <w:gridCol w:w="36"/>
        <w:gridCol w:w="36"/>
        <w:gridCol w:w="36"/>
        <w:gridCol w:w="36"/>
        <w:gridCol w:w="36"/>
        <w:gridCol w:w="36"/>
        <w:gridCol w:w="36"/>
      </w:tblGrid>
      <w:tr w:rsidR="00000000">
        <w:trPr>
          <w:divId w:val="434717466"/>
        </w:trPr>
        <w:tc>
          <w:tcPr>
            <w:tcW w:w="50" w:type="pct"/>
            <w:vAlign w:val="center"/>
            <w:hideMark/>
          </w:tcPr>
          <w:p w:rsidR="00000000" w:rsidRDefault="00E92DBE">
            <w:pPr>
              <w:rPr>
                <w:rFonts w:eastAsia="Times New Roman"/>
              </w:rPr>
            </w:pPr>
          </w:p>
        </w:tc>
        <w:tc>
          <w:tcPr>
            <w:tcW w:w="36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5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5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434717466"/>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804548657"/>
              <w:rPr>
                <w:rFonts w:eastAsia="Times New Roman"/>
              </w:rPr>
            </w:pPr>
            <w:r>
              <w:rPr>
                <w:rFonts w:eastAsia="Times New Roman"/>
                <w:color w:val="000000"/>
                <w:sz w:val="18"/>
                <w:szCs w:val="18"/>
              </w:rPr>
              <w:t>Salaries and associate benefit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Occupancy and equipment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Marketing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491 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Professional services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Communications and data processing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Amortization of intangibles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non-interest expense: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Bankcard, regulatory and other fee assessments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Collections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Fraud losses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other non-interest expense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3471746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non-interest expense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3,740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1391727190"/>
        <w:rPr>
          <w:rFonts w:eastAsia="Times New Roman"/>
        </w:rPr>
      </w:pPr>
      <w:r>
        <w:rPr>
          <w:rFonts w:eastAsia="Times New Roman"/>
          <w:color w:val="000000"/>
          <w:sz w:val="20"/>
          <w:szCs w:val="20"/>
        </w:rPr>
        <w:t>_________</w:t>
      </w:r>
    </w:p>
    <w:p w:rsidR="00000000" w:rsidRDefault="00E92DBE">
      <w:pPr>
        <w:ind w:hanging="360"/>
        <w:jc w:val="both"/>
        <w:divId w:val="1904753375"/>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 xml:space="preserve">Includes </w:t>
      </w:r>
      <w:r>
        <w:rPr>
          <w:rFonts w:eastAsia="Times New Roman"/>
          <w:color w:val="000000"/>
          <w:sz w:val="16"/>
          <w:szCs w:val="16"/>
        </w:rPr>
        <w:t>expenses</w:t>
      </w:r>
      <w:r>
        <w:rPr>
          <w:rFonts w:eastAsia="Times New Roman"/>
          <w:color w:val="000000"/>
          <w:sz w:val="16"/>
          <w:szCs w:val="16"/>
          <w:shd w:val="clear" w:color="auto" w:fill="FFFFFF"/>
        </w:rPr>
        <w:t xml:space="preserve"> of </w:t>
      </w:r>
      <w:r>
        <w:rPr>
          <w:rFonts w:eastAsia="Times New Roman"/>
          <w:color w:val="000000"/>
          <w:sz w:val="16"/>
          <w:szCs w:val="16"/>
        </w:rPr>
        <w:t>$19 million and benefits of $58 million related to our deferred compensation plan investment in the first quarters of 2021</w:t>
      </w:r>
      <w:r>
        <w:rPr>
          <w:rFonts w:eastAsia="Times New Roman"/>
          <w:color w:val="000000"/>
          <w:sz w:val="16"/>
          <w:szCs w:val="16"/>
          <w:shd w:val="clear" w:color="auto" w:fill="FFFFFF"/>
        </w:rPr>
        <w:t xml:space="preserve"> and 2020</w:t>
      </w:r>
      <w:r>
        <w:rPr>
          <w:rFonts w:eastAsia="Times New Roman"/>
          <w:color w:val="000000"/>
          <w:sz w:val="20"/>
          <w:szCs w:val="20"/>
          <w:shd w:val="clear" w:color="auto" w:fill="FFFFFF"/>
        </w:rPr>
        <w:t xml:space="preserve">, </w:t>
      </w:r>
      <w:r>
        <w:rPr>
          <w:rFonts w:eastAsia="Times New Roman"/>
          <w:color w:val="000000"/>
          <w:sz w:val="16"/>
          <w:szCs w:val="16"/>
          <w:shd w:val="clear" w:color="auto" w:fill="FFFFFF"/>
        </w:rPr>
        <w:t>respectively</w:t>
      </w:r>
      <w:r>
        <w:rPr>
          <w:rFonts w:eastAsia="Times New Roman"/>
          <w:color w:val="000000"/>
          <w:sz w:val="16"/>
          <w:szCs w:val="16"/>
        </w:rPr>
        <w:t>. These amounts have corresponding offsets in other non-interest income.</w:t>
      </w:r>
    </w:p>
    <w:p w:rsidR="00000000" w:rsidRDefault="00E92DBE">
      <w:pPr>
        <w:jc w:val="both"/>
        <w:divId w:val="573853920"/>
        <w:rPr>
          <w:rFonts w:eastAsia="Times New Roman"/>
        </w:rPr>
      </w:pPr>
      <w:r>
        <w:rPr>
          <w:rFonts w:eastAsia="Times New Roman"/>
          <w:color w:val="000000"/>
          <w:sz w:val="20"/>
          <w:szCs w:val="20"/>
        </w:rPr>
        <w:t>Non-interest expense remained substant</w:t>
      </w:r>
      <w:r>
        <w:rPr>
          <w:rFonts w:eastAsia="Times New Roman"/>
          <w:color w:val="000000"/>
          <w:sz w:val="20"/>
          <w:szCs w:val="20"/>
        </w:rPr>
        <w:t>ially flat at $3.7 billion in the first quarter of 2021.</w:t>
      </w:r>
    </w:p>
    <w:p w:rsidR="00000000" w:rsidRDefault="00E92DBE">
      <w:pPr>
        <w:divId w:val="1121338352"/>
        <w:rPr>
          <w:rFonts w:eastAsia="Times New Roman"/>
        </w:rPr>
      </w:pPr>
      <w:r>
        <w:rPr>
          <w:rFonts w:eastAsia="Times New Roman"/>
          <w:b/>
          <w:bCs/>
          <w:color w:val="000000"/>
          <w:sz w:val="20"/>
          <w:szCs w:val="20"/>
          <w:shd w:val="clear" w:color="auto" w:fill="FFFFFF"/>
        </w:rPr>
        <w:t>Income Taxes</w:t>
      </w:r>
    </w:p>
    <w:p w:rsidR="00000000" w:rsidRDefault="00E92DBE">
      <w:pPr>
        <w:jc w:val="both"/>
        <w:divId w:val="1568220988"/>
        <w:rPr>
          <w:rFonts w:eastAsia="Times New Roman"/>
        </w:rPr>
      </w:pPr>
      <w:r>
        <w:rPr>
          <w:rFonts w:eastAsia="Times New Roman"/>
          <w:color w:val="000000"/>
          <w:sz w:val="20"/>
          <w:szCs w:val="20"/>
          <w:shd w:val="clear" w:color="auto" w:fill="FFFFFF"/>
        </w:rPr>
        <w:t>We recorded income t</w:t>
      </w:r>
      <w:r>
        <w:rPr>
          <w:rFonts w:eastAsia="Times New Roman"/>
          <w:color w:val="000000"/>
          <w:sz w:val="20"/>
          <w:szCs w:val="20"/>
        </w:rPr>
        <w:t xml:space="preserve">ax provision </w:t>
      </w:r>
      <w:r>
        <w:rPr>
          <w:rFonts w:eastAsia="Times New Roman"/>
          <w:color w:val="000000"/>
          <w:sz w:val="20"/>
          <w:szCs w:val="20"/>
          <w:shd w:val="clear" w:color="auto" w:fill="FFFFFF"/>
        </w:rPr>
        <w:t>o</w:t>
      </w:r>
      <w:r>
        <w:rPr>
          <w:rFonts w:eastAsia="Times New Roman"/>
          <w:color w:val="000000"/>
          <w:sz w:val="20"/>
          <w:szCs w:val="20"/>
        </w:rPr>
        <w:t>f $869 million (20.7% ef</w:t>
      </w:r>
      <w:r>
        <w:rPr>
          <w:rFonts w:eastAsia="Times New Roman"/>
          <w:color w:val="000000"/>
          <w:sz w:val="20"/>
          <w:szCs w:val="20"/>
          <w:shd w:val="clear" w:color="auto" w:fill="FFFFFF"/>
        </w:rPr>
        <w:t xml:space="preserve">fective income tax rate) and income tax benefit of $563 million (29.6% effective income tax rate) in the first quarters of 2021 </w:t>
      </w:r>
      <w:r>
        <w:rPr>
          <w:rFonts w:eastAsia="Times New Roman"/>
          <w:color w:val="000000"/>
          <w:sz w:val="20"/>
          <w:szCs w:val="20"/>
          <w:shd w:val="clear" w:color="auto" w:fill="FFFFFF"/>
        </w:rPr>
        <w:t>and 2020, respectively. Our effective tax rate on income from continuing operations varies between periods due, in part, to</w:t>
      </w:r>
      <w:r>
        <w:rPr>
          <w:rFonts w:eastAsia="Times New Roman"/>
          <w:color w:val="000000"/>
          <w:sz w:val="20"/>
          <w:szCs w:val="20"/>
        </w:rPr>
        <w:t xml:space="preserve"> the impact of changes in pre-tax income and changes in tax credits, tax-exempt income and non-deductible expenses relative to our pr</w:t>
      </w:r>
      <w:r>
        <w:rPr>
          <w:rFonts w:eastAsia="Times New Roman"/>
          <w:color w:val="000000"/>
          <w:sz w:val="20"/>
          <w:szCs w:val="20"/>
        </w:rPr>
        <w:t>e-tax earnings.</w:t>
      </w:r>
    </w:p>
    <w:p w:rsidR="00000000" w:rsidRDefault="00E92DBE">
      <w:pPr>
        <w:jc w:val="both"/>
        <w:divId w:val="698044791"/>
        <w:rPr>
          <w:rFonts w:eastAsia="Times New Roman"/>
        </w:rPr>
      </w:pPr>
      <w:r>
        <w:rPr>
          <w:rFonts w:eastAsia="Times New Roman"/>
          <w:color w:val="000000"/>
          <w:sz w:val="20"/>
          <w:szCs w:val="20"/>
        </w:rPr>
        <w:t>Our effective tax rate of 20.7% in the first quarter of 2021 was computed using the annual effective rate method as compared to the 29.6% effective tax rate in the first quarter of 2020 which was computed utilizing the year-to-date method due to the signif</w:t>
      </w:r>
      <w:r>
        <w:rPr>
          <w:rFonts w:eastAsia="Times New Roman"/>
          <w:color w:val="000000"/>
          <w:sz w:val="20"/>
          <w:szCs w:val="20"/>
        </w:rPr>
        <w:t>icant forecast variability caused by the COVID-19 pandemic and the relationship of our increasing tax credit investments in proportion to our pre-tax earnings.</w:t>
      </w:r>
    </w:p>
    <w:p w:rsidR="00000000" w:rsidRDefault="00E92DBE">
      <w:pPr>
        <w:jc w:val="both"/>
        <w:divId w:val="1603489921"/>
        <w:rPr>
          <w:rFonts w:eastAsia="Times New Roman"/>
        </w:rPr>
      </w:pPr>
      <w:r>
        <w:rPr>
          <w:rFonts w:eastAsia="Times New Roman"/>
          <w:color w:val="000000"/>
          <w:sz w:val="20"/>
          <w:szCs w:val="20"/>
        </w:rPr>
        <w:t xml:space="preserve">We provide additional information on items affecting our income taxes and effective tax rate in </w:t>
      </w:r>
      <w:r>
        <w:rPr>
          <w:rFonts w:eastAsia="Times New Roman"/>
          <w:color w:val="000000"/>
          <w:sz w:val="20"/>
          <w:szCs w:val="20"/>
        </w:rPr>
        <w:t>“Note 15—Income Taxes” 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32751582"/>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632751582"/>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632751582"/>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15</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40" style="width:0;height:1.5pt" o:hralign="center" o:hrstd="t" o:hr="t" fillcolor="#a0a0a0" stroked="f"/>
        </w:pict>
      </w:r>
    </w:p>
    <w:p w:rsidR="00000000" w:rsidRDefault="00E92DBE">
      <w:pPr>
        <w:ind w:hanging="360"/>
        <w:jc w:val="both"/>
        <w:divId w:val="662200108"/>
        <w:rPr>
          <w:rFonts w:eastAsia="Times New Roman"/>
        </w:rPr>
      </w:pPr>
      <w:hyperlink w:anchor="ic1109d5aa548447c8224139b1ab22bde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01378336"/>
        </w:trPr>
        <w:tc>
          <w:tcPr>
            <w:tcW w:w="50" w:type="pct"/>
            <w:vAlign w:val="center"/>
            <w:hideMark/>
          </w:tcPr>
          <w:p w:rsidR="00000000" w:rsidRDefault="00E92DBE">
            <w:pPr>
              <w:ind w:hanging="360"/>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30137833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CONSOLIDATED BALANCE SHEETS ANALYSIS</w:t>
            </w:r>
          </w:p>
        </w:tc>
      </w:tr>
    </w:tbl>
    <w:p w:rsidR="00000000" w:rsidRDefault="00E92DBE">
      <w:pPr>
        <w:jc w:val="both"/>
        <w:divId w:val="109595071"/>
        <w:rPr>
          <w:rFonts w:eastAsia="Times New Roman"/>
        </w:rPr>
      </w:pPr>
      <w:r>
        <w:rPr>
          <w:rFonts w:eastAsia="Times New Roman"/>
          <w:color w:val="000000"/>
          <w:sz w:val="20"/>
          <w:szCs w:val="20"/>
        </w:rPr>
        <w:t xml:space="preserve">Total assets increased by $3.6 billion to $425.2 billion as of March 31, 2021 from December 31, 2020 primarily driven by an increase in our cash balances from </w:t>
      </w:r>
      <w:r>
        <w:rPr>
          <w:rFonts w:eastAsia="Times New Roman"/>
          <w:color w:val="000000"/>
          <w:sz w:val="20"/>
          <w:szCs w:val="20"/>
          <w:shd w:val="clear" w:color="auto" w:fill="FFFFFF"/>
        </w:rPr>
        <w:t xml:space="preserve">deposit growth </w:t>
      </w:r>
      <w:r>
        <w:rPr>
          <w:rFonts w:eastAsia="Times New Roman"/>
          <w:color w:val="000000"/>
          <w:sz w:val="20"/>
          <w:szCs w:val="20"/>
        </w:rPr>
        <w:t>driven by increased consumer savings aided by the impact of recently passed govern</w:t>
      </w:r>
      <w:r>
        <w:rPr>
          <w:rFonts w:eastAsia="Times New Roman"/>
          <w:color w:val="000000"/>
          <w:sz w:val="20"/>
          <w:szCs w:val="20"/>
        </w:rPr>
        <w:t>ment stimulus</w:t>
      </w:r>
      <w:r>
        <w:rPr>
          <w:rFonts w:eastAsia="Times New Roman"/>
          <w:color w:val="000000"/>
          <w:sz w:val="20"/>
          <w:szCs w:val="20"/>
          <w:shd w:val="clear" w:color="auto" w:fill="FFFFFF"/>
        </w:rPr>
        <w:t>, partially offset by a decline in loan balances.</w:t>
      </w:r>
    </w:p>
    <w:p w:rsidR="00000000" w:rsidRDefault="00E92DBE">
      <w:pPr>
        <w:jc w:val="both"/>
        <w:divId w:val="947463786"/>
        <w:rPr>
          <w:rFonts w:eastAsia="Times New Roman"/>
        </w:rPr>
      </w:pPr>
      <w:r>
        <w:rPr>
          <w:rFonts w:eastAsia="Times New Roman"/>
          <w:color w:val="000000"/>
          <w:sz w:val="20"/>
          <w:szCs w:val="20"/>
        </w:rPr>
        <w:t>Total liabilities increased by $2.6 billion to $364.0 billion as of March 31, 2021 from December 31, 2020 primarily driven by growth in deposits driven by increased consumer savings aided by th</w:t>
      </w:r>
      <w:r>
        <w:rPr>
          <w:rFonts w:eastAsia="Times New Roman"/>
          <w:color w:val="000000"/>
          <w:sz w:val="20"/>
          <w:szCs w:val="20"/>
        </w:rPr>
        <w:t>e impact of recently passed government stimulus, partially offset by the early redemption of our senior unsecured debt and paydowns in our auto securitization program.</w:t>
      </w:r>
    </w:p>
    <w:p w:rsidR="00000000" w:rsidRDefault="00E92DBE">
      <w:pPr>
        <w:jc w:val="both"/>
        <w:divId w:val="1045251299"/>
        <w:rPr>
          <w:rFonts w:eastAsia="Times New Roman"/>
        </w:rPr>
      </w:pPr>
      <w:r>
        <w:rPr>
          <w:rFonts w:eastAsia="Times New Roman"/>
          <w:color w:val="000000"/>
          <w:sz w:val="20"/>
          <w:szCs w:val="20"/>
        </w:rPr>
        <w:t>Stockholders’ equity increased by $984 million to $61.2 billion as of March 31, 2021 fro</w:t>
      </w:r>
      <w:r>
        <w:rPr>
          <w:rFonts w:eastAsia="Times New Roman"/>
          <w:color w:val="000000"/>
          <w:sz w:val="20"/>
          <w:szCs w:val="20"/>
        </w:rPr>
        <w:t>m December 31, 2020 primarily due to our net income of $3.3 billion, partially offset by a decline in fair value of our available for sale securities portfolio and the repurchase of shares of our common stock.</w:t>
      </w:r>
    </w:p>
    <w:p w:rsidR="00000000" w:rsidRDefault="00E92DBE">
      <w:pPr>
        <w:jc w:val="both"/>
        <w:divId w:val="1145271693"/>
        <w:rPr>
          <w:rFonts w:eastAsia="Times New Roman"/>
        </w:rPr>
      </w:pPr>
      <w:r>
        <w:rPr>
          <w:rFonts w:eastAsia="Times New Roman"/>
          <w:color w:val="000000"/>
          <w:sz w:val="20"/>
          <w:szCs w:val="20"/>
        </w:rPr>
        <w:t>The following is a discussion of material chan</w:t>
      </w:r>
      <w:r>
        <w:rPr>
          <w:rFonts w:eastAsia="Times New Roman"/>
          <w:color w:val="000000"/>
          <w:sz w:val="20"/>
          <w:szCs w:val="20"/>
        </w:rPr>
        <w:t>ges in the major components of our assets and liabilities during the first quarter of 2021. Period-end balance sheet amounts may vary from average balance sheet amounts due to liquidity and balance sheet management activities that are intended to support t</w:t>
      </w:r>
      <w:r>
        <w:rPr>
          <w:rFonts w:eastAsia="Times New Roman"/>
          <w:color w:val="000000"/>
          <w:sz w:val="20"/>
          <w:szCs w:val="20"/>
        </w:rPr>
        <w:t>he adequacy of capital while managing our liquidity requirements, our customers and our market risk exposure in accordance with our risk appetite.</w:t>
      </w:r>
    </w:p>
    <w:p w:rsidR="00000000" w:rsidRDefault="00E92DBE">
      <w:pPr>
        <w:divId w:val="1177623251"/>
        <w:rPr>
          <w:rFonts w:eastAsia="Times New Roman"/>
        </w:rPr>
      </w:pPr>
      <w:r>
        <w:rPr>
          <w:rFonts w:eastAsia="Times New Roman"/>
          <w:b/>
          <w:bCs/>
          <w:color w:val="000000"/>
          <w:sz w:val="20"/>
          <w:szCs w:val="20"/>
        </w:rPr>
        <w:t xml:space="preserve">Investment Securities </w:t>
      </w:r>
    </w:p>
    <w:p w:rsidR="00000000" w:rsidRDefault="00E92DBE">
      <w:pPr>
        <w:jc w:val="both"/>
        <w:divId w:val="850879342"/>
        <w:rPr>
          <w:rFonts w:eastAsia="Times New Roman"/>
        </w:rPr>
      </w:pPr>
      <w:r>
        <w:rPr>
          <w:rFonts w:eastAsia="Times New Roman"/>
          <w:color w:val="000000"/>
          <w:sz w:val="20"/>
          <w:szCs w:val="20"/>
        </w:rPr>
        <w:t>Our investment securities portfolio consists of the following: U.S. government-sponsor</w:t>
      </w:r>
      <w:r>
        <w:rPr>
          <w:rFonts w:eastAsia="Times New Roman"/>
          <w:color w:val="000000"/>
          <w:sz w:val="20"/>
          <w:szCs w:val="20"/>
        </w:rPr>
        <w:t xml:space="preserve">ed enterprise or agency (“Agency”) and non-agency residential mortgage-backed securities (“RMBS”), Agency commercial mortgage-backed securities (“CMBS”), U.S. Treasury securities and other securities. Agency securities include Government National Mortgage </w:t>
      </w:r>
      <w:r>
        <w:rPr>
          <w:rFonts w:eastAsia="Times New Roman"/>
          <w:color w:val="000000"/>
          <w:sz w:val="20"/>
          <w:szCs w:val="20"/>
        </w:rPr>
        <w:t>Association (“Ginnie Mae”) guaranteed securities as well as Federal National Mortgage Association (“Fannie Mae”) and Federal Home Loan Mortgage Corporation (“Freddie Mac”) issued securities. The carrying value of our investments in Agency and U.S. Treasury</w:t>
      </w:r>
      <w:r>
        <w:rPr>
          <w:rFonts w:eastAsia="Times New Roman"/>
          <w:color w:val="000000"/>
          <w:sz w:val="20"/>
          <w:szCs w:val="20"/>
        </w:rPr>
        <w:t xml:space="preserve"> securities represented 96% of our total investment securities portfolio as of both March 31, 2021 and December 31, 2020.</w:t>
      </w:r>
    </w:p>
    <w:p w:rsidR="00000000" w:rsidRDefault="00E92DBE">
      <w:pPr>
        <w:jc w:val="both"/>
        <w:divId w:val="448278598"/>
        <w:rPr>
          <w:rFonts w:eastAsia="Times New Roman"/>
        </w:rPr>
      </w:pPr>
      <w:r>
        <w:rPr>
          <w:rFonts w:eastAsia="Times New Roman"/>
          <w:color w:val="000000"/>
          <w:sz w:val="20"/>
          <w:szCs w:val="20"/>
        </w:rPr>
        <w:t>The fair value of our available for sale securities portfolio decreased by $1.3 billion to $99.2 billion as of March 31, 2021 from Dec</w:t>
      </w:r>
      <w:r>
        <w:rPr>
          <w:rFonts w:eastAsia="Times New Roman"/>
          <w:color w:val="000000"/>
          <w:sz w:val="20"/>
          <w:szCs w:val="20"/>
        </w:rPr>
        <w:t>ember 31, 2020,</w:t>
      </w:r>
      <w:r>
        <w:rPr>
          <w:rFonts w:eastAsia="Times New Roman"/>
          <w:color w:val="000000"/>
          <w:sz w:val="20"/>
          <w:szCs w:val="20"/>
          <w:shd w:val="clear" w:color="auto" w:fill="FFFFFF"/>
        </w:rPr>
        <w:t xml:space="preserve"> primarily driven by the increase in interest rates. </w:t>
      </w:r>
      <w:r>
        <w:rPr>
          <w:rFonts w:eastAsia="Times New Roman"/>
          <w:color w:val="000000"/>
          <w:sz w:val="20"/>
          <w:szCs w:val="20"/>
        </w:rPr>
        <w:t xml:space="preserve">See “Note 2—Investment Securities” for more information. </w:t>
      </w:r>
    </w:p>
    <w:p w:rsidR="00000000" w:rsidRDefault="00E92DBE">
      <w:pPr>
        <w:jc w:val="both"/>
        <w:divId w:val="199050812"/>
        <w:rPr>
          <w:rFonts w:eastAsia="Times New Roman"/>
        </w:rPr>
      </w:pPr>
      <w:r>
        <w:rPr>
          <w:rFonts w:eastAsia="Times New Roman"/>
          <w:color w:val="000000"/>
          <w:sz w:val="20"/>
          <w:szCs w:val="20"/>
        </w:rPr>
        <w:t xml:space="preserve">Table 6 presents the amortized cost and fair value for the major security types in our available for sale securities portfolio as </w:t>
      </w:r>
      <w:r>
        <w:rPr>
          <w:rFonts w:eastAsia="Times New Roman"/>
          <w:color w:val="000000"/>
          <w:sz w:val="20"/>
          <w:szCs w:val="20"/>
        </w:rPr>
        <w:t xml:space="preserve">of March 31, 2021 and December 31, 2020. </w:t>
      </w:r>
    </w:p>
    <w:p w:rsidR="00000000" w:rsidRDefault="00E92DBE">
      <w:pPr>
        <w:divId w:val="50928721"/>
        <w:rPr>
          <w:rFonts w:eastAsia="Times New Roman"/>
        </w:rPr>
      </w:pPr>
      <w:r>
        <w:rPr>
          <w:rFonts w:eastAsia="Times New Roman"/>
          <w:b/>
          <w:bCs/>
          <w:color w:val="000000"/>
          <w:sz w:val="18"/>
          <w:szCs w:val="18"/>
        </w:rPr>
        <w:t>Table 6: Investment Securities</w:t>
      </w:r>
    </w:p>
    <w:tbl>
      <w:tblPr>
        <w:tblW w:w="5000" w:type="pct"/>
        <w:tblCellMar>
          <w:top w:w="15" w:type="dxa"/>
          <w:left w:w="15" w:type="dxa"/>
          <w:bottom w:w="15" w:type="dxa"/>
          <w:right w:w="15" w:type="dxa"/>
        </w:tblCellMar>
        <w:tblLook w:val="04A0" w:firstRow="1" w:lastRow="0" w:firstColumn="1" w:lastColumn="0" w:noHBand="0" w:noVBand="1"/>
      </w:tblPr>
      <w:tblGrid>
        <w:gridCol w:w="38"/>
        <w:gridCol w:w="4395"/>
        <w:gridCol w:w="37"/>
        <w:gridCol w:w="36"/>
        <w:gridCol w:w="36"/>
        <w:gridCol w:w="36"/>
        <w:gridCol w:w="111"/>
        <w:gridCol w:w="680"/>
        <w:gridCol w:w="36"/>
        <w:gridCol w:w="36"/>
        <w:gridCol w:w="36"/>
        <w:gridCol w:w="36"/>
        <w:gridCol w:w="110"/>
        <w:gridCol w:w="540"/>
        <w:gridCol w:w="36"/>
        <w:gridCol w:w="36"/>
        <w:gridCol w:w="36"/>
        <w:gridCol w:w="36"/>
        <w:gridCol w:w="111"/>
        <w:gridCol w:w="680"/>
        <w:gridCol w:w="36"/>
        <w:gridCol w:w="36"/>
        <w:gridCol w:w="36"/>
        <w:gridCol w:w="36"/>
        <w:gridCol w:w="110"/>
        <w:gridCol w:w="630"/>
        <w:gridCol w:w="36"/>
        <w:gridCol w:w="36"/>
        <w:gridCol w:w="36"/>
        <w:gridCol w:w="36"/>
        <w:gridCol w:w="36"/>
        <w:gridCol w:w="36"/>
        <w:gridCol w:w="36"/>
        <w:gridCol w:w="36"/>
        <w:gridCol w:w="36"/>
      </w:tblGrid>
      <w:tr w:rsidR="00000000">
        <w:trPr>
          <w:divId w:val="735854801"/>
        </w:trPr>
        <w:tc>
          <w:tcPr>
            <w:tcW w:w="50" w:type="pct"/>
            <w:vAlign w:val="center"/>
            <w:hideMark/>
          </w:tcPr>
          <w:p w:rsidR="00000000" w:rsidRDefault="00E92DBE">
            <w:pPr>
              <w:rPr>
                <w:rFonts w:eastAsia="Times New Roman"/>
              </w:rPr>
            </w:pPr>
          </w:p>
        </w:tc>
        <w:tc>
          <w:tcPr>
            <w:tcW w:w="289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2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2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2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2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3585480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9,222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9,248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9,302 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9,318 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73,579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74,445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73,248 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75,466 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1,035 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1,237 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74,552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75,622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74,283 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76,703 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11,015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11,274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11,298 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11,735 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shd w:val="clear" w:color="auto" w:fill="FFFFFF"/>
            <w:tcMar>
              <w:top w:w="30" w:type="dxa"/>
              <w:left w:w="20" w:type="dxa"/>
              <w:bottom w:w="30" w:type="dxa"/>
              <w:right w:w="20" w:type="dxa"/>
            </w:tcMar>
            <w:vAlign w:val="center"/>
            <w:hideMark/>
          </w:tcPr>
          <w:p w:rsidR="00000000" w:rsidRDefault="00E92DBE">
            <w:pPr>
              <w:divId w:val="1654144004"/>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2,686 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2,689 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97,802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99,165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97,569 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100,445 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58548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739013042"/>
        <w:rPr>
          <w:rFonts w:eastAsia="Times New Roman"/>
        </w:rPr>
      </w:pPr>
      <w:r>
        <w:rPr>
          <w:rFonts w:eastAsia="Times New Roman"/>
          <w:color w:val="000000"/>
          <w:sz w:val="20"/>
          <w:szCs w:val="20"/>
        </w:rPr>
        <w:t>__________</w:t>
      </w:r>
    </w:p>
    <w:p w:rsidR="00000000" w:rsidRDefault="00E92DBE">
      <w:pPr>
        <w:ind w:hanging="360"/>
        <w:jc w:val="both"/>
        <w:divId w:val="198882158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$2.1 billion and $1.8 billion of asset-backed securities as of March 31, 2021 and December 31, 2020, respectively. The remaining amount is primarily comprised of supranational bonds and foreign government bonds.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88249929"/>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188249929"/>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188249929"/>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16</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41" style="width:0;height:1.5pt" o:hralign="center" o:hrstd="t" o:hr="t" fillcolor="#a0a0a0" stroked="f"/>
        </w:pict>
      </w:r>
    </w:p>
    <w:p w:rsidR="00000000" w:rsidRDefault="00E92DBE">
      <w:pPr>
        <w:ind w:hanging="360"/>
        <w:jc w:val="both"/>
        <w:divId w:val="647561620"/>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1458377792"/>
        <w:rPr>
          <w:rFonts w:eastAsia="Times New Roman"/>
        </w:rPr>
      </w:pPr>
      <w:r>
        <w:rPr>
          <w:rFonts w:eastAsia="Times New Roman"/>
          <w:b/>
          <w:bCs/>
          <w:color w:val="000000"/>
          <w:sz w:val="20"/>
          <w:szCs w:val="20"/>
        </w:rPr>
        <w:t>Loans Held for Investment</w:t>
      </w:r>
    </w:p>
    <w:p w:rsidR="00000000" w:rsidRDefault="00E92DBE">
      <w:pPr>
        <w:jc w:val="both"/>
        <w:divId w:val="2015448064"/>
        <w:rPr>
          <w:rFonts w:eastAsia="Times New Roman"/>
        </w:rPr>
      </w:pPr>
      <w:r>
        <w:rPr>
          <w:rFonts w:eastAsia="Times New Roman"/>
          <w:color w:val="000000"/>
          <w:sz w:val="20"/>
          <w:szCs w:val="20"/>
        </w:rPr>
        <w:t xml:space="preserve">Total loans held for investment consists of both unsecuritized loans and loans held in our consolidated trusts. Table </w:t>
      </w:r>
      <w:r>
        <w:rPr>
          <w:rFonts w:eastAsia="Times New Roman"/>
          <w:color w:val="000000"/>
          <w:sz w:val="20"/>
          <w:szCs w:val="20"/>
        </w:rPr>
        <w:t>7 summarizes, by portfolio segment, the carrying value of our loans held for investment, the allowance for credit losses and net loan balance as of March 31, 2021 and December 31, 2020.</w:t>
      </w:r>
    </w:p>
    <w:p w:rsidR="00000000" w:rsidRDefault="00E92DBE">
      <w:pPr>
        <w:divId w:val="662464759"/>
        <w:rPr>
          <w:rFonts w:eastAsia="Times New Roman"/>
        </w:rPr>
      </w:pPr>
      <w:r>
        <w:rPr>
          <w:rFonts w:eastAsia="Times New Roman"/>
          <w:b/>
          <w:bCs/>
          <w:color w:val="000000"/>
          <w:sz w:val="18"/>
          <w:szCs w:val="18"/>
        </w:rPr>
        <w:t xml:space="preserve">Table 7: Loans Held for Investment </w:t>
      </w:r>
    </w:p>
    <w:tbl>
      <w:tblPr>
        <w:tblW w:w="4985" w:type="pct"/>
        <w:tblCellMar>
          <w:top w:w="15" w:type="dxa"/>
          <w:left w:w="15" w:type="dxa"/>
          <w:bottom w:w="15" w:type="dxa"/>
          <w:right w:w="15" w:type="dxa"/>
        </w:tblCellMar>
        <w:tblLook w:val="04A0" w:firstRow="1" w:lastRow="0" w:firstColumn="1" w:lastColumn="0" w:noHBand="0" w:noVBand="1"/>
      </w:tblPr>
      <w:tblGrid>
        <w:gridCol w:w="39"/>
        <w:gridCol w:w="2856"/>
        <w:gridCol w:w="38"/>
        <w:gridCol w:w="36"/>
        <w:gridCol w:w="36"/>
        <w:gridCol w:w="36"/>
        <w:gridCol w:w="110"/>
        <w:gridCol w:w="630"/>
        <w:gridCol w:w="36"/>
        <w:gridCol w:w="36"/>
        <w:gridCol w:w="36"/>
        <w:gridCol w:w="36"/>
        <w:gridCol w:w="111"/>
        <w:gridCol w:w="651"/>
        <w:gridCol w:w="36"/>
        <w:gridCol w:w="36"/>
        <w:gridCol w:w="36"/>
        <w:gridCol w:w="36"/>
        <w:gridCol w:w="110"/>
        <w:gridCol w:w="630"/>
        <w:gridCol w:w="36"/>
        <w:gridCol w:w="36"/>
        <w:gridCol w:w="36"/>
        <w:gridCol w:w="36"/>
        <w:gridCol w:w="110"/>
        <w:gridCol w:w="630"/>
        <w:gridCol w:w="36"/>
        <w:gridCol w:w="36"/>
        <w:gridCol w:w="36"/>
        <w:gridCol w:w="36"/>
        <w:gridCol w:w="111"/>
        <w:gridCol w:w="651"/>
        <w:gridCol w:w="36"/>
        <w:gridCol w:w="36"/>
        <w:gridCol w:w="36"/>
        <w:gridCol w:w="36"/>
        <w:gridCol w:w="110"/>
        <w:gridCol w:w="630"/>
        <w:gridCol w:w="36"/>
      </w:tblGrid>
      <w:tr w:rsidR="00000000">
        <w:trPr>
          <w:divId w:val="129981027"/>
        </w:trPr>
        <w:tc>
          <w:tcPr>
            <w:tcW w:w="50" w:type="pct"/>
            <w:vAlign w:val="center"/>
            <w:hideMark/>
          </w:tcPr>
          <w:p w:rsidR="00000000" w:rsidRDefault="00E92DBE">
            <w:pPr>
              <w:rPr>
                <w:rFonts w:eastAsia="Times New Roman"/>
              </w:rPr>
            </w:pPr>
          </w:p>
        </w:tc>
        <w:tc>
          <w:tcPr>
            <w:tcW w:w="226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29981027"/>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129981027"/>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Allowance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 Loans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Allowance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 Loans</w:t>
            </w:r>
          </w:p>
        </w:tc>
      </w:tr>
      <w:tr w:rsidR="00000000">
        <w:trPr>
          <w:divId w:val="12998102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99,127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10,072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89,055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106,956 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11,191 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95,765 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29981027"/>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70,202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67,704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68,888 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2,715 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66,173 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29981027"/>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73,802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72,355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75,780 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1,658 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74,122 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29981027"/>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243,131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14,017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229,114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251,624 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15,564 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236,060 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jc w:val="both"/>
        <w:divId w:val="495339019"/>
        <w:rPr>
          <w:rFonts w:eastAsia="Times New Roman"/>
        </w:rPr>
      </w:pPr>
      <w:r>
        <w:rPr>
          <w:rFonts w:eastAsia="Times New Roman"/>
          <w:color w:val="000000"/>
          <w:sz w:val="20"/>
          <w:szCs w:val="20"/>
        </w:rPr>
        <w:t xml:space="preserve">Loans held for investment decreased by </w:t>
      </w:r>
      <w:r>
        <w:rPr>
          <w:rFonts w:eastAsia="Times New Roman"/>
          <w:color w:val="000000"/>
          <w:sz w:val="20"/>
          <w:szCs w:val="20"/>
        </w:rPr>
        <w:t>$8.5 billion to $243.1 billion as of March 31, 2021 from December 31, 2020 primarily driven by expected seasonal paydowns, higher customer payments and the impact of government stimulus in our domestic credit card loan portfolio.</w:t>
      </w:r>
    </w:p>
    <w:p w:rsidR="00000000" w:rsidRDefault="00E92DBE">
      <w:pPr>
        <w:jc w:val="both"/>
        <w:divId w:val="1039234254"/>
        <w:rPr>
          <w:rFonts w:eastAsia="Times New Roman"/>
        </w:rPr>
      </w:pPr>
      <w:r>
        <w:rPr>
          <w:rFonts w:eastAsia="Times New Roman"/>
          <w:color w:val="000000"/>
          <w:sz w:val="20"/>
          <w:szCs w:val="20"/>
        </w:rPr>
        <w:t>We provide additional info</w:t>
      </w:r>
      <w:r>
        <w:rPr>
          <w:rFonts w:eastAsia="Times New Roman"/>
          <w:color w:val="000000"/>
          <w:sz w:val="20"/>
          <w:szCs w:val="20"/>
        </w:rPr>
        <w:t>rmation on the composition of our loan portfolio and credit quality below in “MD&amp;A—Credit Risk Profile,” “MD&amp;A—Consolidated Results of Operations” and “Note 3—Loans.”</w:t>
      </w:r>
    </w:p>
    <w:p w:rsidR="00000000" w:rsidRDefault="00E92DBE">
      <w:pPr>
        <w:divId w:val="1082986949"/>
        <w:rPr>
          <w:rFonts w:eastAsia="Times New Roman"/>
        </w:rPr>
      </w:pPr>
      <w:r>
        <w:rPr>
          <w:rFonts w:eastAsia="Times New Roman"/>
          <w:b/>
          <w:bCs/>
          <w:color w:val="000000"/>
          <w:sz w:val="20"/>
          <w:szCs w:val="20"/>
        </w:rPr>
        <w:t>Funding Sources</w:t>
      </w:r>
    </w:p>
    <w:p w:rsidR="00000000" w:rsidRDefault="00E92DBE">
      <w:pPr>
        <w:jc w:val="both"/>
        <w:divId w:val="844589322"/>
        <w:rPr>
          <w:rFonts w:eastAsia="Times New Roman"/>
        </w:rPr>
      </w:pPr>
      <w:r>
        <w:rPr>
          <w:rFonts w:eastAsia="Times New Roman"/>
          <w:color w:val="000000"/>
          <w:sz w:val="20"/>
          <w:szCs w:val="20"/>
        </w:rPr>
        <w:t xml:space="preserve">Our primary source of funding comes from deposits, as they are a stable and relatively low cost source of funding. In addition to deposits, we raise funding through the issuance of senior and subordinated notes, securitized debt obligations, federal funds </w:t>
      </w:r>
      <w:r>
        <w:rPr>
          <w:rFonts w:eastAsia="Times New Roman"/>
          <w:color w:val="000000"/>
          <w:sz w:val="20"/>
          <w:szCs w:val="20"/>
        </w:rPr>
        <w:t xml:space="preserve">purchased, securities loaned or sold under agreements to repurchase, and Federal Home Loan Banks (“FHLB”) advances secured by certain portions of our loan and securities portfolios. </w:t>
      </w:r>
    </w:p>
    <w:p w:rsidR="00000000" w:rsidRDefault="00E92DBE">
      <w:pPr>
        <w:divId w:val="1503542540"/>
        <w:rPr>
          <w:rFonts w:eastAsia="Times New Roman"/>
        </w:rPr>
      </w:pPr>
      <w:r>
        <w:rPr>
          <w:rFonts w:eastAsia="Times New Roman"/>
          <w:color w:val="000000"/>
          <w:sz w:val="20"/>
          <w:szCs w:val="20"/>
        </w:rPr>
        <w:t xml:space="preserve">Table 8 provides the composition of our primary sources of funding as of </w:t>
      </w:r>
      <w:r>
        <w:rPr>
          <w:rFonts w:eastAsia="Times New Roman"/>
          <w:color w:val="000000"/>
          <w:sz w:val="20"/>
          <w:szCs w:val="20"/>
        </w:rPr>
        <w:t>March 31, 2021 and December 31, 2020.</w:t>
      </w:r>
    </w:p>
    <w:p w:rsidR="00000000" w:rsidRDefault="00E92DBE">
      <w:pPr>
        <w:divId w:val="71582450"/>
        <w:rPr>
          <w:rFonts w:eastAsia="Times New Roman"/>
        </w:rPr>
      </w:pPr>
      <w:r>
        <w:rPr>
          <w:rFonts w:eastAsia="Times New Roman"/>
          <w:b/>
          <w:bCs/>
          <w:color w:val="000000"/>
          <w:sz w:val="18"/>
          <w:szCs w:val="18"/>
        </w:rPr>
        <w:t xml:space="preserve">Table 8: Funding Sources Composition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89"/>
        <w:gridCol w:w="39"/>
        <w:gridCol w:w="36"/>
        <w:gridCol w:w="36"/>
        <w:gridCol w:w="36"/>
        <w:gridCol w:w="110"/>
        <w:gridCol w:w="630"/>
        <w:gridCol w:w="36"/>
        <w:gridCol w:w="36"/>
        <w:gridCol w:w="36"/>
        <w:gridCol w:w="36"/>
        <w:gridCol w:w="44"/>
        <w:gridCol w:w="485"/>
        <w:gridCol w:w="200"/>
        <w:gridCol w:w="36"/>
        <w:gridCol w:w="36"/>
        <w:gridCol w:w="36"/>
        <w:gridCol w:w="110"/>
        <w:gridCol w:w="630"/>
        <w:gridCol w:w="36"/>
        <w:gridCol w:w="36"/>
        <w:gridCol w:w="36"/>
        <w:gridCol w:w="36"/>
        <w:gridCol w:w="44"/>
        <w:gridCol w:w="498"/>
        <w:gridCol w:w="170"/>
      </w:tblGrid>
      <w:tr w:rsidR="00000000">
        <w:trPr>
          <w:divId w:val="994381251"/>
        </w:trPr>
        <w:tc>
          <w:tcPr>
            <w:tcW w:w="50" w:type="pct"/>
            <w:vAlign w:val="center"/>
            <w:hideMark/>
          </w:tcPr>
          <w:p w:rsidR="00000000" w:rsidRDefault="00E92DBE">
            <w:pPr>
              <w:rPr>
                <w:rFonts w:eastAsia="Times New Roman"/>
              </w:rPr>
            </w:pPr>
          </w:p>
        </w:tc>
        <w:tc>
          <w:tcPr>
            <w:tcW w:w="293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994381251"/>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99438125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Total</w:t>
            </w:r>
          </w:p>
        </w:tc>
      </w:tr>
      <w:tr w:rsidR="00000000">
        <w:trPr>
          <w:divId w:val="9943812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994381251"/>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254,001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249,815 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994381251"/>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41,552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39,590 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994381251"/>
        </w:trPr>
        <w:tc>
          <w:tcPr>
            <w:tcW w:w="0" w:type="auto"/>
            <w:gridSpan w:val="3"/>
            <w:shd w:val="clear" w:color="auto" w:fill="FFFFFF"/>
            <w:tcMar>
              <w:top w:w="30" w:type="dxa"/>
              <w:left w:w="20" w:type="dxa"/>
              <w:bottom w:w="30" w:type="dxa"/>
              <w:right w:w="20" w:type="dxa"/>
            </w:tcMar>
            <w:vAlign w:val="center"/>
            <w:hideMark/>
          </w:tcPr>
          <w:p w:rsidR="00000000" w:rsidRDefault="00E92DBE">
            <w:pPr>
              <w:divId w:val="1308319741"/>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14,775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16,037 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99438125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deposits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310,328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305,442 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99438125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12,071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12,414 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99438125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debt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26,379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28,125 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99438125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funding sources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348,778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345,981 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bl>
    <w:p w:rsidR="00000000" w:rsidRDefault="00E92DBE">
      <w:pPr>
        <w:divId w:val="263802704"/>
        <w:rPr>
          <w:rFonts w:eastAsia="Times New Roman"/>
        </w:rPr>
      </w:pPr>
      <w:r>
        <w:rPr>
          <w:rFonts w:eastAsia="Times New Roman"/>
          <w:color w:val="000000"/>
          <w:sz w:val="20"/>
          <w:szCs w:val="20"/>
        </w:rPr>
        <w:t>__________</w:t>
      </w:r>
    </w:p>
    <w:p w:rsidR="00000000" w:rsidRDefault="00E92DBE">
      <w:pPr>
        <w:ind w:hanging="360"/>
        <w:jc w:val="both"/>
        <w:divId w:val="135916184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brokered deposits of $13.8 billion and $15.0 billion as of March 31, 2021 and December 31, 2020, res</w:t>
      </w:r>
      <w:r>
        <w:rPr>
          <w:rFonts w:eastAsia="Times New Roman"/>
          <w:color w:val="000000"/>
          <w:sz w:val="16"/>
          <w:szCs w:val="16"/>
        </w:rPr>
        <w:t>pectively.</w:t>
      </w:r>
    </w:p>
    <w:p w:rsidR="00000000" w:rsidRDefault="00E92DBE">
      <w:pPr>
        <w:jc w:val="both"/>
        <w:divId w:val="660275715"/>
        <w:rPr>
          <w:rFonts w:eastAsia="Times New Roman"/>
        </w:rPr>
      </w:pPr>
      <w:r>
        <w:rPr>
          <w:rFonts w:eastAsia="Times New Roman"/>
          <w:color w:val="000000"/>
          <w:sz w:val="20"/>
          <w:szCs w:val="20"/>
        </w:rPr>
        <w:t>Total deposits increased by $4.9 billion to $310.3 billion as of March 31, 2021 from December 31, 2020 primarily driven by increased consumer savings aided by the impact of recently passed government stimulus, as well as elevated commercial clie</w:t>
      </w:r>
      <w:r>
        <w:rPr>
          <w:rFonts w:eastAsia="Times New Roman"/>
          <w:color w:val="000000"/>
          <w:sz w:val="20"/>
          <w:szCs w:val="20"/>
        </w:rPr>
        <w:t>nt liquidity.</w:t>
      </w:r>
    </w:p>
    <w:p w:rsidR="00000000" w:rsidRDefault="00E92DBE">
      <w:pPr>
        <w:jc w:val="both"/>
        <w:divId w:val="844901159"/>
        <w:rPr>
          <w:rFonts w:eastAsia="Times New Roman"/>
        </w:rPr>
      </w:pPr>
      <w:r>
        <w:rPr>
          <w:rFonts w:eastAsia="Times New Roman"/>
          <w:color w:val="000000"/>
          <w:sz w:val="20"/>
          <w:szCs w:val="20"/>
        </w:rPr>
        <w:t>Securitized debt obligations decreased by $343 million to $12.1 billion as of March 31, 2021 from December 31, 2020 primarily driven by paydowns in our auto securitization program.</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3796917"/>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43796917"/>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43796917"/>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17</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42" style="width:0;height:1.5pt" o:hralign="center" o:hrstd="t" o:hr="t" fillcolor="#a0a0a0" stroked="f"/>
        </w:pict>
      </w:r>
    </w:p>
    <w:p w:rsidR="00000000" w:rsidRDefault="00E92DBE">
      <w:pPr>
        <w:ind w:hanging="360"/>
        <w:jc w:val="both"/>
        <w:divId w:val="1255165972"/>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1641227776"/>
        <w:rPr>
          <w:rFonts w:eastAsia="Times New Roman"/>
        </w:rPr>
      </w:pPr>
      <w:r>
        <w:rPr>
          <w:rFonts w:eastAsia="Times New Roman"/>
          <w:color w:val="000000"/>
          <w:sz w:val="20"/>
          <w:szCs w:val="20"/>
        </w:rPr>
        <w:t>Other debt decreased by $1.7 billion to $26.4 billion as of March 31, 2021 from December 31, 2020 primarily driven by early redemption of our se</w:t>
      </w:r>
      <w:r>
        <w:rPr>
          <w:rFonts w:eastAsia="Times New Roman"/>
          <w:color w:val="000000"/>
          <w:sz w:val="20"/>
          <w:szCs w:val="20"/>
        </w:rPr>
        <w:t>nior unsecured debt.</w:t>
      </w:r>
    </w:p>
    <w:p w:rsidR="00000000" w:rsidRDefault="00E92DBE">
      <w:pPr>
        <w:jc w:val="both"/>
        <w:divId w:val="1523856549"/>
        <w:rPr>
          <w:rFonts w:eastAsia="Times New Roman"/>
        </w:rPr>
      </w:pPr>
      <w:r>
        <w:rPr>
          <w:rFonts w:eastAsia="Times New Roman"/>
          <w:color w:val="000000"/>
          <w:sz w:val="20"/>
          <w:szCs w:val="20"/>
        </w:rPr>
        <w:t>We provide additional information on our funding sources in “MD&amp;A—Liquidity Risk Profile” and “Note 7—Deposits and Borrowings.”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31087069"/>
        </w:trPr>
        <w:tc>
          <w:tcPr>
            <w:tcW w:w="50" w:type="pct"/>
            <w:vAlign w:val="center"/>
            <w:hideMark/>
          </w:tcPr>
          <w:p w:rsidR="00000000" w:rsidRDefault="00E92DBE">
            <w:pPr>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93108706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 xml:space="preserve">OFF-BALANCE SHEET ARRANGEMENTS </w:t>
            </w:r>
          </w:p>
        </w:tc>
      </w:tr>
    </w:tbl>
    <w:p w:rsidR="00000000" w:rsidRDefault="00E92DBE">
      <w:pPr>
        <w:jc w:val="both"/>
        <w:divId w:val="767651409"/>
        <w:rPr>
          <w:rFonts w:eastAsia="Times New Roman"/>
        </w:rPr>
      </w:pPr>
      <w:r>
        <w:rPr>
          <w:rFonts w:eastAsia="Times New Roman"/>
          <w:color w:val="000000"/>
          <w:sz w:val="20"/>
          <w:szCs w:val="20"/>
        </w:rPr>
        <w:t>In the ordinary course of business, we engage in certain activities that are not reflected on our consolidated balance sheets, generally referred to as off-balance sheet arrangements. These activities typically involve transactions with unconsolidated vari</w:t>
      </w:r>
      <w:r>
        <w:rPr>
          <w:rFonts w:eastAsia="Times New Roman"/>
          <w:color w:val="000000"/>
          <w:sz w:val="20"/>
          <w:szCs w:val="20"/>
        </w:rPr>
        <w:t xml:space="preserve">able interest entities (“VIEs”) as well as other arrangements, such as letters of credit, loan commitments and guarantees, to meet the financing needs of our customers and support their ongoing operations. We provide additional information regarding these </w:t>
      </w:r>
      <w:r>
        <w:rPr>
          <w:rFonts w:eastAsia="Times New Roman"/>
          <w:color w:val="000000"/>
          <w:sz w:val="20"/>
          <w:szCs w:val="20"/>
        </w:rPr>
        <w:t>types of activities in “Note 5—Variable Interest Entities and Securitizations” and “Note 13—Commitments, Contingencies, Guarantees and Others.”</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001154836"/>
        </w:trPr>
        <w:tc>
          <w:tcPr>
            <w:tcW w:w="50" w:type="pct"/>
            <w:vAlign w:val="center"/>
            <w:hideMark/>
          </w:tcPr>
          <w:p w:rsidR="00000000" w:rsidRDefault="00E92DBE">
            <w:pPr>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00115483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BUSINESS SEGMENT FINANCIAL PERFORMANCE</w:t>
            </w:r>
          </w:p>
        </w:tc>
      </w:tr>
    </w:tbl>
    <w:p w:rsidR="00000000" w:rsidRDefault="00E92DBE">
      <w:pPr>
        <w:jc w:val="both"/>
        <w:divId w:val="1470971459"/>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or the types of customer served: Credit Card, Consumer Banking and Commerci</w:t>
      </w:r>
      <w:r>
        <w:rPr>
          <w:rFonts w:eastAsia="Times New Roman"/>
          <w:color w:val="000000"/>
          <w:sz w:val="20"/>
          <w:szCs w:val="20"/>
        </w:rPr>
        <w:t>al Banking. The operations of acquired businesses have been integrated into or managed as a part of our existing business segments. Certain activities that are not part of a segment, such as management of our corporate investment portfolio, asset/liability</w:t>
      </w:r>
      <w:r>
        <w:rPr>
          <w:rFonts w:eastAsia="Times New Roman"/>
          <w:color w:val="000000"/>
          <w:sz w:val="20"/>
          <w:szCs w:val="20"/>
        </w:rPr>
        <w:t xml:space="preserve"> management by our centralized Corporate Treasury group and calculation of our residual tax expense or benefit to arrive at the consolidated effective tax rate that is not assessed to our primary business segments, are included in the Other category.</w:t>
      </w:r>
    </w:p>
    <w:p w:rsidR="00000000" w:rsidRDefault="00E92DBE">
      <w:pPr>
        <w:jc w:val="both"/>
        <w:divId w:val="615331449"/>
        <w:rPr>
          <w:rFonts w:eastAsia="Times New Roman"/>
        </w:rPr>
      </w:pPr>
      <w:r>
        <w:rPr>
          <w:rFonts w:eastAsia="Times New Roman"/>
          <w:color w:val="000000"/>
          <w:sz w:val="20"/>
          <w:szCs w:val="20"/>
        </w:rPr>
        <w:t>The r</w:t>
      </w:r>
      <w:r>
        <w:rPr>
          <w:rFonts w:eastAsia="Times New Roman"/>
          <w:color w:val="000000"/>
          <w:sz w:val="20"/>
          <w:szCs w:val="20"/>
        </w:rPr>
        <w:t>esults of our individual businesses, which we report on a continuing operations basis, reflect the manner in which management evaluates performance and makes decisions about funding our operations and allocating resources. We may periodically change our bu</w:t>
      </w:r>
      <w:r>
        <w:rPr>
          <w:rFonts w:eastAsia="Times New Roman"/>
          <w:color w:val="000000"/>
          <w:sz w:val="20"/>
          <w:szCs w:val="20"/>
        </w:rPr>
        <w:t>siness segments or reclassify business segment results based on modifications to our management reporting methodologies and changes in organizational alignment. Our business segment results are intended to reflect each segment as if it were a stand-alone b</w:t>
      </w:r>
      <w:r>
        <w:rPr>
          <w:rFonts w:eastAsia="Times New Roman"/>
          <w:color w:val="000000"/>
          <w:sz w:val="20"/>
          <w:szCs w:val="20"/>
        </w:rPr>
        <w:t>usiness. We use an internal management and reporting process to derive our business segment results. Our internal management and reporting process employs various allocation methodologies, including funds transfer pricing, to assign certain balance sheet a</w:t>
      </w:r>
      <w:r>
        <w:rPr>
          <w:rFonts w:eastAsia="Times New Roman"/>
          <w:color w:val="000000"/>
          <w:sz w:val="20"/>
          <w:szCs w:val="20"/>
        </w:rPr>
        <w:t>ssets, deposits and other liabilities and their related revenue and expenses directly or indirectly attributable to each business segment. Total interest income and non-interest income are directly attributable to the segment in which they are reported. Th</w:t>
      </w:r>
      <w:r>
        <w:rPr>
          <w:rFonts w:eastAsia="Times New Roman"/>
          <w:color w:val="000000"/>
          <w:sz w:val="20"/>
          <w:szCs w:val="20"/>
        </w:rPr>
        <w:t>e net interest income of each segment reflects the results of our funds transfer pricing process, which is primarily based on a matched funding concept that takes into consideration market interest rates. Our funds transfer pricing process provides a funds</w:t>
      </w:r>
      <w:r>
        <w:rPr>
          <w:rFonts w:eastAsia="Times New Roman"/>
          <w:color w:val="000000"/>
          <w:sz w:val="20"/>
          <w:szCs w:val="20"/>
        </w:rPr>
        <w:t xml:space="preserve"> credit for sources of funds, such as deposits generated by our Consumer Banking and Commercial Banking businesses, and a charge for the use of funds by each segment. The allocation process is unique to each business segment and acquired business. We regul</w:t>
      </w:r>
      <w:r>
        <w:rPr>
          <w:rFonts w:eastAsia="Times New Roman"/>
          <w:color w:val="000000"/>
          <w:sz w:val="20"/>
          <w:szCs w:val="20"/>
        </w:rPr>
        <w:t xml:space="preserve">arly assess the assumptions, methodologies and reporting classifications used for segment reporting, which may result in the implementation of refinements or changes in future periods. We provide additional information on the allocation methodologies used </w:t>
      </w:r>
      <w:r>
        <w:rPr>
          <w:rFonts w:eastAsia="Times New Roman"/>
          <w:color w:val="000000"/>
          <w:sz w:val="20"/>
          <w:szCs w:val="20"/>
        </w:rPr>
        <w:t>to derive our business segment results in “Note 17—Business Segments and Revenue from Contracts with Customers” in our 2020 Form 10-K.</w:t>
      </w:r>
    </w:p>
    <w:p w:rsidR="00000000" w:rsidRDefault="00E92DBE">
      <w:pPr>
        <w:jc w:val="both"/>
        <w:divId w:val="1464539156"/>
        <w:rPr>
          <w:rFonts w:eastAsia="Times New Roman"/>
        </w:rPr>
      </w:pPr>
      <w:r>
        <w:rPr>
          <w:rFonts w:eastAsia="Times New Roman"/>
          <w:color w:val="000000"/>
          <w:sz w:val="20"/>
          <w:szCs w:val="20"/>
        </w:rPr>
        <w:t>We refer to the business segment results derived from our internal management accounting and reporting process as our “ma</w:t>
      </w:r>
      <w:r>
        <w:rPr>
          <w:rFonts w:eastAsia="Times New Roman"/>
          <w:color w:val="000000"/>
          <w:sz w:val="20"/>
          <w:szCs w:val="20"/>
        </w:rPr>
        <w:t>naged” presentation, which differs in some cases from our reported results prepared based on U.S. GAAP. There is no comprehensive authoritative body of guidance for management accounting equivalent to U.S. GAAP; therefore, the managed presentation of our b</w:t>
      </w:r>
      <w:r>
        <w:rPr>
          <w:rFonts w:eastAsia="Times New Roman"/>
          <w:color w:val="000000"/>
          <w:sz w:val="20"/>
          <w:szCs w:val="20"/>
        </w:rPr>
        <w:t>usiness segment results may not be comparable to similar information provided by other financial services companies. In addition, our individual business segment results should not be used as a substitute for comparable results determined in accordance wit</w:t>
      </w:r>
      <w:r>
        <w:rPr>
          <w:rFonts w:eastAsia="Times New Roman"/>
          <w:color w:val="000000"/>
          <w:sz w:val="20"/>
          <w:szCs w:val="20"/>
        </w:rPr>
        <w:t>h U.S. GAAP.</w:t>
      </w:r>
    </w:p>
    <w:p w:rsidR="00000000" w:rsidRDefault="00E92DBE">
      <w:pPr>
        <w:jc w:val="both"/>
        <w:divId w:val="1142621997"/>
        <w:rPr>
          <w:rFonts w:eastAsia="Times New Roman"/>
        </w:rPr>
      </w:pPr>
      <w:r>
        <w:rPr>
          <w:rFonts w:eastAsia="Times New Roman"/>
          <w:color w:val="000000"/>
          <w:sz w:val="20"/>
          <w:szCs w:val="20"/>
        </w:rPr>
        <w:t>We summarize our business segment results for the first quarters of 2021 and 2020 and provide a comparative discussion of these results, as well as changes in our financial condition and credit performance metrics as of March 31, 2021 compared</w:t>
      </w:r>
      <w:r>
        <w:rPr>
          <w:rFonts w:eastAsia="Times New Roman"/>
          <w:color w:val="000000"/>
          <w:sz w:val="20"/>
          <w:szCs w:val="20"/>
        </w:rPr>
        <w:t xml:space="preserve"> to December 31, 2020. We provide a reconciliation of our total business segment results to our reported consolidated results in “Note 12—Business Segments and Revenue from Contracts with Customers.”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78539836"/>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678539836"/>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678539836"/>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18</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43" style="width:0;height:1.5pt" o:hralign="center" o:hrstd="t" o:hr="t" fillcolor="#a0a0a0" stroked="f"/>
        </w:pict>
      </w:r>
    </w:p>
    <w:p w:rsidR="00000000" w:rsidRDefault="00E92DBE">
      <w:pPr>
        <w:ind w:hanging="360"/>
        <w:jc w:val="both"/>
        <w:divId w:val="32474934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903219722"/>
        <w:rPr>
          <w:rFonts w:eastAsia="Times New Roman"/>
        </w:rPr>
      </w:pPr>
      <w:r>
        <w:rPr>
          <w:rFonts w:eastAsia="Times New Roman"/>
          <w:b/>
          <w:bCs/>
          <w:i/>
          <w:iCs/>
          <w:color w:val="000000"/>
          <w:sz w:val="20"/>
          <w:szCs w:val="20"/>
        </w:rPr>
        <w:t>Business Segment Financial Performance</w:t>
      </w:r>
    </w:p>
    <w:p w:rsidR="00000000" w:rsidRDefault="00E92DBE">
      <w:pPr>
        <w:jc w:val="both"/>
        <w:divId w:val="600113239"/>
        <w:rPr>
          <w:rFonts w:eastAsia="Times New Roman"/>
        </w:rPr>
      </w:pPr>
      <w:r>
        <w:rPr>
          <w:rFonts w:eastAsia="Times New Roman"/>
          <w:color w:val="000000"/>
          <w:sz w:val="20"/>
          <w:szCs w:val="20"/>
        </w:rPr>
        <w:t>Table 9 summarizes our business segment results, which we report based on revenue (loss) and income (loss</w:t>
      </w:r>
      <w:r>
        <w:rPr>
          <w:rFonts w:eastAsia="Times New Roman"/>
          <w:color w:val="000000"/>
          <w:sz w:val="20"/>
          <w:szCs w:val="20"/>
        </w:rPr>
        <w:t>) from continuing operations, for the first quarters of 2021 and 2020.</w:t>
      </w:r>
    </w:p>
    <w:p w:rsidR="00000000" w:rsidRDefault="00E92DBE">
      <w:pPr>
        <w:divId w:val="488719381"/>
        <w:rPr>
          <w:rFonts w:eastAsia="Times New Roman"/>
        </w:rPr>
      </w:pPr>
      <w:r>
        <w:rPr>
          <w:rFonts w:eastAsia="Times New Roman"/>
          <w:b/>
          <w:bCs/>
          <w:color w:val="000000"/>
          <w:sz w:val="18"/>
          <w:szCs w:val="18"/>
        </w:rPr>
        <w:t xml:space="preserve">Table 9: Business Segment Results </w:t>
      </w:r>
    </w:p>
    <w:tbl>
      <w:tblPr>
        <w:tblW w:w="5000" w:type="pct"/>
        <w:tblCellMar>
          <w:top w:w="15" w:type="dxa"/>
          <w:left w:w="15" w:type="dxa"/>
          <w:bottom w:w="15" w:type="dxa"/>
          <w:right w:w="15" w:type="dxa"/>
        </w:tblCellMar>
        <w:tblLook w:val="04A0" w:firstRow="1" w:lastRow="0" w:firstColumn="1" w:lastColumn="0" w:noHBand="0" w:noVBand="1"/>
      </w:tblPr>
      <w:tblGrid>
        <w:gridCol w:w="51"/>
        <w:gridCol w:w="2850"/>
        <w:gridCol w:w="36"/>
        <w:gridCol w:w="36"/>
        <w:gridCol w:w="36"/>
        <w:gridCol w:w="36"/>
        <w:gridCol w:w="36"/>
        <w:gridCol w:w="445"/>
        <w:gridCol w:w="36"/>
        <w:gridCol w:w="36"/>
        <w:gridCol w:w="36"/>
        <w:gridCol w:w="36"/>
        <w:gridCol w:w="36"/>
        <w:gridCol w:w="455"/>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7"/>
        <w:gridCol w:w="36"/>
        <w:gridCol w:w="36"/>
        <w:gridCol w:w="36"/>
        <w:gridCol w:w="36"/>
        <w:gridCol w:w="36"/>
        <w:gridCol w:w="36"/>
        <w:gridCol w:w="36"/>
        <w:gridCol w:w="36"/>
        <w:gridCol w:w="36"/>
        <w:gridCol w:w="36"/>
        <w:gridCol w:w="36"/>
        <w:gridCol w:w="36"/>
        <w:gridCol w:w="36"/>
      </w:tblGrid>
      <w:tr w:rsidR="00000000">
        <w:trPr>
          <w:divId w:val="825046501"/>
        </w:trPr>
        <w:tc>
          <w:tcPr>
            <w:tcW w:w="50" w:type="pct"/>
            <w:vAlign w:val="center"/>
            <w:hideMark/>
          </w:tcPr>
          <w:p w:rsidR="00000000" w:rsidRDefault="00E92DBE">
            <w:pPr>
              <w:rPr>
                <w:rFonts w:eastAsia="Times New Roman"/>
              </w:rPr>
            </w:pPr>
          </w:p>
        </w:tc>
        <w:tc>
          <w:tcPr>
            <w:tcW w:w="182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0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25046501"/>
          <w:trHeight w:val="60"/>
        </w:trPr>
        <w:tc>
          <w:tcPr>
            <w:tcW w:w="0" w:type="auto"/>
            <w:gridSpan w:val="51"/>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250465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250465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250465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250465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250465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250465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250465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250465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250465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2504650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089"/>
        <w:gridCol w:w="144"/>
        <w:gridCol w:w="144"/>
        <w:gridCol w:w="144"/>
        <w:gridCol w:w="144"/>
        <w:gridCol w:w="144"/>
        <w:gridCol w:w="490"/>
        <w:gridCol w:w="144"/>
        <w:gridCol w:w="144"/>
        <w:gridCol w:w="144"/>
        <w:gridCol w:w="144"/>
        <w:gridCol w:w="144"/>
        <w:gridCol w:w="490"/>
        <w:gridCol w:w="144"/>
        <w:gridCol w:w="144"/>
        <w:gridCol w:w="144"/>
        <w:gridCol w:w="144"/>
        <w:gridCol w:w="144"/>
        <w:gridCol w:w="466"/>
        <w:gridCol w:w="144"/>
        <w:gridCol w:w="144"/>
        <w:gridCol w:w="144"/>
        <w:gridCol w:w="144"/>
        <w:gridCol w:w="144"/>
        <w:gridCol w:w="490"/>
        <w:gridCol w:w="144"/>
        <w:gridCol w:w="144"/>
        <w:gridCol w:w="144"/>
        <w:gridCol w:w="144"/>
        <w:gridCol w:w="144"/>
        <w:gridCol w:w="490"/>
        <w:gridCol w:w="144"/>
        <w:gridCol w:w="144"/>
        <w:gridCol w:w="144"/>
        <w:gridCol w:w="144"/>
        <w:gridCol w:w="144"/>
        <w:gridCol w:w="490"/>
        <w:gridCol w:w="144"/>
        <w:gridCol w:w="144"/>
        <w:gridCol w:w="144"/>
        <w:gridCol w:w="144"/>
        <w:gridCol w:w="144"/>
        <w:gridCol w:w="490"/>
        <w:gridCol w:w="144"/>
        <w:gridCol w:w="144"/>
        <w:gridCol w:w="144"/>
        <w:gridCol w:w="144"/>
        <w:gridCol w:w="144"/>
        <w:gridCol w:w="491"/>
        <w:gridCol w:w="144"/>
        <w:gridCol w:w="160"/>
        <w:gridCol w:w="160"/>
        <w:gridCol w:w="160"/>
        <w:gridCol w:w="480"/>
        <w:gridCol w:w="480"/>
        <w:gridCol w:w="480"/>
        <w:gridCol w:w="480"/>
        <w:gridCol w:w="480"/>
        <w:gridCol w:w="480"/>
        <w:gridCol w:w="480"/>
        <w:gridCol w:w="480"/>
        <w:gridCol w:w="480"/>
      </w:tblGrid>
      <w:tr w:rsidR="00000000">
        <w:tc>
          <w:tcPr>
            <w:tcW w:w="50" w:type="pct"/>
            <w:vAlign w:val="center"/>
            <w:hideMark/>
          </w:tcPr>
          <w:p w:rsidR="00000000" w:rsidRDefault="00E92DBE">
            <w:pPr>
              <w:rPr>
                <w:rFonts w:eastAsia="Times New Roman"/>
              </w:rPr>
            </w:pPr>
          </w:p>
        </w:tc>
        <w:tc>
          <w:tcPr>
            <w:tcW w:w="186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45"/>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divId w:val="55536012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divId w:val="1409232343"/>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Revenue (Loss</w:t>
            </w:r>
            <w:r>
              <w:rPr>
                <w:rFonts w:eastAsia="Times New Roman"/>
                <w:b/>
                <w:bCs/>
                <w:color w:val="000000"/>
                <w:sz w:val="16"/>
                <w:szCs w:val="16"/>
              </w:rPr>
              <w: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 Income</w:t>
            </w:r>
          </w:p>
          <w:p w:rsidR="00000000" w:rsidRDefault="00E92DBE">
            <w:pPr>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 Income</w:t>
            </w:r>
          </w:p>
          <w:p w:rsidR="00000000" w:rsidRDefault="00E92DBE">
            <w:pPr>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4,401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1,783 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828135484"/>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729 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(411)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divId w:val="101337731"/>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504171442"/>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7,113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3,327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7,249 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bl>
    <w:p w:rsidR="00000000" w:rsidRDefault="00E92DBE">
      <w:pPr>
        <w:divId w:val="567306823"/>
        <w:rPr>
          <w:rFonts w:eastAsia="Times New Roman"/>
        </w:rPr>
      </w:pPr>
      <w:r>
        <w:rPr>
          <w:rFonts w:eastAsia="Times New Roman"/>
          <w:color w:val="000000"/>
          <w:sz w:val="20"/>
          <w:szCs w:val="20"/>
        </w:rPr>
        <w:t>__________</w:t>
      </w:r>
    </w:p>
    <w:p w:rsidR="00000000" w:rsidRDefault="00E92DBE">
      <w:pPr>
        <w:ind w:hanging="360"/>
        <w:jc w:val="both"/>
        <w:divId w:val="103423272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Total net revenue (loss) consists of net interest income and non-interest income.</w:t>
      </w:r>
    </w:p>
    <w:p w:rsidR="00000000" w:rsidRDefault="00E92DBE">
      <w:pPr>
        <w:ind w:hanging="360"/>
        <w:jc w:val="both"/>
        <w:divId w:val="177427916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Net income (loss) for our business segments and the Other category is based on income (loss) from continuing operations, net of tax.</w:t>
      </w:r>
    </w:p>
    <w:p w:rsidR="00000000" w:rsidRDefault="00E92DBE">
      <w:pPr>
        <w:ind w:hanging="360"/>
        <w:jc w:val="both"/>
        <w:divId w:val="186844837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Some of our comm</w:t>
      </w:r>
      <w:r>
        <w:rPr>
          <w:rFonts w:eastAsia="Times New Roman"/>
          <w:color w:val="000000"/>
          <w:sz w:val="16"/>
          <w:szCs w:val="16"/>
        </w:rPr>
        <w:t xml:space="preserve">ercial investments generate tax-exempt income, tax credits or other tax benefits. Accordingly, we present our Commercial Banking revenue and yields on a taxable-equivalent basis, calculated using the federal statutory tax rate of 21% and state taxes where </w:t>
      </w:r>
      <w:r>
        <w:rPr>
          <w:rFonts w:eastAsia="Times New Roman"/>
          <w:color w:val="000000"/>
          <w:sz w:val="16"/>
          <w:szCs w:val="16"/>
        </w:rPr>
        <w:t>applicable, with offsetting reductions to the Other category</w:t>
      </w:r>
      <w:r>
        <w:rPr>
          <w:rFonts w:eastAsia="Times New Roman"/>
          <w:color w:val="000000"/>
          <w:sz w:val="16"/>
          <w:szCs w:val="16"/>
        </w:rPr>
        <w:t>.</w:t>
      </w:r>
      <w:r>
        <w:rPr>
          <w:rFonts w:eastAsia="Times New Roman"/>
          <w:color w:val="000000"/>
          <w:sz w:val="10"/>
          <w:szCs w:val="10"/>
        </w:rPr>
        <w:t xml:space="preserve"> </w:t>
      </w:r>
    </w:p>
    <w:tbl>
      <w:tblPr>
        <w:tblW w:w="4978" w:type="pct"/>
        <w:tblCellMar>
          <w:top w:w="15" w:type="dxa"/>
          <w:left w:w="15" w:type="dxa"/>
          <w:bottom w:w="15" w:type="dxa"/>
          <w:right w:w="15" w:type="dxa"/>
        </w:tblCellMar>
        <w:tblLook w:val="04A0" w:firstRow="1" w:lastRow="0" w:firstColumn="1" w:lastColumn="0" w:noHBand="0" w:noVBand="1"/>
      </w:tblPr>
      <w:tblGrid>
        <w:gridCol w:w="51"/>
        <w:gridCol w:w="2849"/>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4"/>
        <w:gridCol w:w="36"/>
        <w:gridCol w:w="36"/>
        <w:gridCol w:w="36"/>
        <w:gridCol w:w="36"/>
        <w:gridCol w:w="36"/>
        <w:gridCol w:w="435"/>
        <w:gridCol w:w="36"/>
        <w:gridCol w:w="36"/>
        <w:gridCol w:w="36"/>
        <w:gridCol w:w="36"/>
        <w:gridCol w:w="36"/>
        <w:gridCol w:w="36"/>
        <w:gridCol w:w="36"/>
        <w:gridCol w:w="36"/>
        <w:gridCol w:w="36"/>
        <w:gridCol w:w="36"/>
        <w:gridCol w:w="36"/>
        <w:gridCol w:w="36"/>
        <w:gridCol w:w="36"/>
      </w:tblGrid>
      <w:tr w:rsidR="00000000">
        <w:trPr>
          <w:divId w:val="723988291"/>
        </w:trPr>
        <w:tc>
          <w:tcPr>
            <w:tcW w:w="50" w:type="pct"/>
            <w:vAlign w:val="center"/>
            <w:hideMark/>
          </w:tcPr>
          <w:p w:rsidR="00000000" w:rsidRDefault="00E92DBE">
            <w:pPr>
              <w:ind w:hanging="360"/>
              <w:jc w:val="both"/>
              <w:rPr>
                <w:rFonts w:eastAsia="Times New Roman"/>
              </w:rPr>
            </w:pPr>
          </w:p>
        </w:tc>
        <w:tc>
          <w:tcPr>
            <w:tcW w:w="183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23988291"/>
          <w:trHeight w:val="6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2398829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2398829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2398829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2398829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2398829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2398829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2398829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2398829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2398829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19</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44" style="width:0;height:1.5pt" o:hralign="center" o:hrstd="t" o:hr="t" fillcolor="#a0a0a0" stroked="f"/>
        </w:pict>
      </w:r>
    </w:p>
    <w:p w:rsidR="00000000" w:rsidRDefault="00E92DBE">
      <w:pPr>
        <w:ind w:hanging="360"/>
        <w:jc w:val="both"/>
        <w:divId w:val="670259833"/>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187567820"/>
        <w:rPr>
          <w:rFonts w:eastAsia="Times New Roman"/>
        </w:rPr>
      </w:pPr>
      <w:r>
        <w:rPr>
          <w:rFonts w:eastAsia="Times New Roman"/>
          <w:b/>
          <w:bCs/>
          <w:color w:val="000000"/>
          <w:sz w:val="20"/>
          <w:szCs w:val="20"/>
        </w:rPr>
        <w:t>Credit Card Business</w:t>
      </w:r>
    </w:p>
    <w:p w:rsidR="00000000" w:rsidRDefault="00E92DBE">
      <w:pPr>
        <w:jc w:val="both"/>
        <w:divId w:val="660475188"/>
        <w:rPr>
          <w:rFonts w:eastAsia="Times New Roman"/>
        </w:rPr>
      </w:pPr>
      <w:r>
        <w:rPr>
          <w:rFonts w:eastAsia="Times New Roman"/>
          <w:color w:val="000000"/>
          <w:sz w:val="20"/>
          <w:szCs w:val="20"/>
        </w:rPr>
        <w:t>The primary sources of revenue for our Credit Card business are net interest income, net interchange income and fees collected from customers. Expenses primarily consist of the provision for credit losses, operating costs and marketing expenses.</w:t>
      </w:r>
    </w:p>
    <w:p w:rsidR="00000000" w:rsidRDefault="00E92DBE">
      <w:pPr>
        <w:jc w:val="both"/>
        <w:divId w:val="271212098"/>
        <w:rPr>
          <w:rFonts w:eastAsia="Times New Roman"/>
        </w:rPr>
      </w:pPr>
      <w:r>
        <w:rPr>
          <w:rFonts w:eastAsia="Times New Roman"/>
          <w:color w:val="000000"/>
          <w:sz w:val="20"/>
          <w:szCs w:val="20"/>
        </w:rPr>
        <w:t>Our Credit</w:t>
      </w:r>
      <w:r>
        <w:rPr>
          <w:rFonts w:eastAsia="Times New Roman"/>
          <w:color w:val="000000"/>
          <w:sz w:val="20"/>
          <w:szCs w:val="20"/>
        </w:rPr>
        <w:t xml:space="preserve"> Card business generated net income from continuing operations of $2.1 billion in the first quarter of 2021, compared to net loss of $991 million in the first quarter of 2020.</w:t>
      </w:r>
    </w:p>
    <w:p w:rsidR="00000000" w:rsidRDefault="00E92DBE">
      <w:pPr>
        <w:jc w:val="both"/>
        <w:divId w:val="464080125"/>
        <w:rPr>
          <w:rFonts w:eastAsia="Times New Roman"/>
        </w:rPr>
      </w:pPr>
      <w:r>
        <w:rPr>
          <w:rFonts w:eastAsia="Times New Roman"/>
          <w:color w:val="000000"/>
          <w:sz w:val="20"/>
          <w:szCs w:val="20"/>
        </w:rPr>
        <w:t>Table 10 summarizes the financial results of our Credit Card business and displays selected key metrics for the periods indicated.</w:t>
      </w:r>
    </w:p>
    <w:p w:rsidR="00000000" w:rsidRDefault="00E92DBE">
      <w:pPr>
        <w:divId w:val="617564793"/>
        <w:rPr>
          <w:rFonts w:eastAsia="Times New Roman"/>
        </w:rPr>
      </w:pPr>
      <w:r>
        <w:rPr>
          <w:rFonts w:eastAsia="Times New Roman"/>
          <w:b/>
          <w:bCs/>
          <w:color w:val="000000"/>
          <w:sz w:val="18"/>
          <w:szCs w:val="18"/>
        </w:rPr>
        <w:t>Table 10: Credit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0"/>
        <w:gridCol w:w="4430"/>
        <w:gridCol w:w="39"/>
        <w:gridCol w:w="36"/>
        <w:gridCol w:w="36"/>
        <w:gridCol w:w="36"/>
        <w:gridCol w:w="110"/>
        <w:gridCol w:w="630"/>
        <w:gridCol w:w="200"/>
        <w:gridCol w:w="36"/>
        <w:gridCol w:w="36"/>
        <w:gridCol w:w="36"/>
        <w:gridCol w:w="110"/>
        <w:gridCol w:w="630"/>
        <w:gridCol w:w="170"/>
        <w:gridCol w:w="36"/>
        <w:gridCol w:w="36"/>
        <w:gridCol w:w="36"/>
        <w:gridCol w:w="55"/>
        <w:gridCol w:w="505"/>
        <w:gridCol w:w="27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378406531"/>
        </w:trPr>
        <w:tc>
          <w:tcPr>
            <w:tcW w:w="50" w:type="pct"/>
            <w:vAlign w:val="center"/>
            <w:hideMark/>
          </w:tcPr>
          <w:p w:rsidR="00000000" w:rsidRDefault="00E92DBE">
            <w:pPr>
              <w:rPr>
                <w:rFonts w:eastAsia="Times New Roman"/>
              </w:rPr>
            </w:pPr>
          </w:p>
        </w:tc>
        <w:tc>
          <w:tcPr>
            <w:tcW w:w="32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tcMar>
              <w:top w:w="30" w:type="dxa"/>
              <w:left w:w="515"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37840653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3,702 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911 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FFFFFF"/>
            <w:tcMar>
              <w:top w:w="30" w:type="dxa"/>
              <w:left w:w="20" w:type="dxa"/>
              <w:bottom w:w="30" w:type="dxa"/>
              <w:right w:w="20" w:type="dxa"/>
            </w:tcMar>
            <w:vAlign w:val="center"/>
            <w:hideMark/>
          </w:tcPr>
          <w:p w:rsidR="00000000" w:rsidRDefault="00E92DBE">
            <w:pPr>
              <w:divId w:val="846871149"/>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(492)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3,702 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2,208 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2,758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(1,297)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100,534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122,776 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FFFFFF"/>
            <w:tcMar>
              <w:top w:w="30" w:type="dxa"/>
              <w:left w:w="20" w:type="dxa"/>
              <w:bottom w:w="30" w:type="dxa"/>
              <w:right w:w="20" w:type="dxa"/>
            </w:tcMar>
            <w:vAlign w:val="center"/>
            <w:hideMark/>
          </w:tcPr>
          <w:p w:rsidR="00000000" w:rsidRDefault="00E92DBE">
            <w:pPr>
              <w:divId w:val="28455959"/>
              <w:rPr>
                <w:rFonts w:eastAsia="Times New Roman"/>
              </w:rPr>
            </w:pPr>
            <w:r>
              <w:rPr>
                <w:rFonts w:eastAsia="Times New Roman"/>
                <w:color w:val="000000"/>
                <w:sz w:val="18"/>
                <w:szCs w:val="18"/>
              </w:rPr>
              <w:t>Average yield on loan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14.46 </w:t>
            </w:r>
          </w:p>
        </w:tc>
        <w:tc>
          <w:tcPr>
            <w:tcW w:w="0" w:type="auto"/>
            <w:shd w:val="clear" w:color="auto" w:fill="FFFF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CCEEFF"/>
            <w:tcMar>
              <w:top w:w="30" w:type="dxa"/>
              <w:left w:w="20" w:type="dxa"/>
              <w:bottom w:w="30" w:type="dxa"/>
              <w:right w:w="20" w:type="dxa"/>
            </w:tcMar>
            <w:vAlign w:val="center"/>
            <w:hideMark/>
          </w:tcPr>
          <w:p w:rsidR="00000000" w:rsidRDefault="00E92DBE">
            <w:pPr>
              <w:divId w:val="1622029204"/>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15.03 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1,436 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4.68 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(216)</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108,333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99,920 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Height w:val="24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investment</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99,127</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106,956 </w:t>
            </w:r>
          </w:p>
        </w:tc>
        <w:tc>
          <w:tcPr>
            <w:tcW w:w="0" w:type="auto"/>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w:t>
            </w:r>
          </w:p>
        </w:tc>
        <w:tc>
          <w:tcPr>
            <w:tcW w:w="0" w:type="auto"/>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2.44 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30+ day delinquency rate</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2"/>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2.27</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2.45 </w:t>
            </w:r>
          </w:p>
        </w:tc>
        <w:tc>
          <w:tcPr>
            <w:tcW w:w="0" w:type="auto"/>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(18)</w:t>
            </w:r>
          </w:p>
        </w:tc>
        <w:tc>
          <w:tcPr>
            <w:tcW w:w="0" w:type="auto"/>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CCEEFF"/>
            <w:tcMar>
              <w:top w:w="30" w:type="dxa"/>
              <w:left w:w="20" w:type="dxa"/>
              <w:bottom w:w="30" w:type="dxa"/>
              <w:right w:w="20" w:type="dxa"/>
            </w:tcMar>
            <w:vAlign w:val="center"/>
            <w:hideMark/>
          </w:tcPr>
          <w:p w:rsidR="00000000" w:rsidRDefault="00E92DBE">
            <w:pPr>
              <w:divId w:val="1329938465"/>
              <w:rPr>
                <w:rFonts w:eastAsia="Times New Roman"/>
              </w:rPr>
            </w:pPr>
            <w:r>
              <w:rPr>
                <w:rFonts w:eastAsia="Times New Roman"/>
                <w:color w:val="000000"/>
                <w:sz w:val="18"/>
                <w:szCs w:val="18"/>
              </w:rPr>
              <w:t>Nonperforming loan rat</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0.02 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Allowance for credit losses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10,072</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11,191 </w:t>
            </w:r>
          </w:p>
        </w:tc>
        <w:tc>
          <w:tcPr>
            <w:tcW w:w="0" w:type="auto"/>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w:t>
            </w:r>
          </w:p>
        </w:tc>
        <w:tc>
          <w:tcPr>
            <w:tcW w:w="0" w:type="auto"/>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7840653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10.16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10.46 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(30)</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1449930620"/>
        <w:rPr>
          <w:rFonts w:eastAsia="Times New Roman"/>
        </w:rPr>
      </w:pPr>
      <w:r>
        <w:rPr>
          <w:rFonts w:eastAsia="Times New Roman"/>
          <w:color w:val="000000"/>
          <w:sz w:val="20"/>
          <w:szCs w:val="20"/>
        </w:rPr>
        <w:t>__________</w:t>
      </w:r>
    </w:p>
    <w:p w:rsidR="00000000" w:rsidRDefault="00E92DBE">
      <w:pPr>
        <w:ind w:hanging="360"/>
        <w:jc w:val="both"/>
        <w:divId w:val="111027449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open-ended loans in accordance with the contractual provisions of the credit arrangements and charge-off uncollectible amounts. Total net revenue was reduced by $180 million and $389 million in the first quart</w:t>
      </w:r>
      <w:r>
        <w:rPr>
          <w:rFonts w:eastAsia="Times New Roman"/>
          <w:color w:val="000000"/>
          <w:sz w:val="16"/>
          <w:szCs w:val="16"/>
        </w:rPr>
        <w:t>ers of 2021 and 2020, respectively, for finance charges and fees charged-off as uncollectible.</w:t>
      </w:r>
    </w:p>
    <w:p w:rsidR="00000000" w:rsidRDefault="00E92DBE">
      <w:pPr>
        <w:ind w:hanging="360"/>
        <w:jc w:val="both"/>
        <w:divId w:val="14975806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and does not include any allocations</w:t>
      </w:r>
      <w:r>
        <w:rPr>
          <w:rFonts w:eastAsia="Times New Roman"/>
          <w:color w:val="000000"/>
          <w:sz w:val="16"/>
          <w:szCs w:val="16"/>
        </w:rPr>
        <w:t>, such as funds transfer pricing.</w:t>
      </w:r>
    </w:p>
    <w:p w:rsidR="00000000" w:rsidRDefault="00E92DBE">
      <w:pPr>
        <w:ind w:hanging="360"/>
        <w:jc w:val="both"/>
        <w:divId w:val="1808429933"/>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Total net revenue margin is calculated based on annualized total net revenue for the period divided by average loans during the period.</w:t>
      </w:r>
    </w:p>
    <w:p w:rsidR="00000000" w:rsidRDefault="00E92DBE">
      <w:pPr>
        <w:ind w:hanging="360"/>
        <w:jc w:val="both"/>
        <w:divId w:val="1184898485"/>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Within our credit card loan portfolio, only certain loans in our international c</w:t>
      </w:r>
      <w:r>
        <w:rPr>
          <w:rFonts w:eastAsia="Times New Roman"/>
          <w:color w:val="000000"/>
          <w:sz w:val="16"/>
          <w:szCs w:val="16"/>
        </w:rPr>
        <w:t>ard businesses are classified as nonperforming. See “MD&amp;A—Nonperforming Loans and Other Nonperforming Assets” for additional information.</w:t>
      </w:r>
    </w:p>
    <w:p w:rsidR="00000000" w:rsidRDefault="00E92DBE">
      <w:pPr>
        <w:jc w:val="both"/>
        <w:divId w:val="1268464819"/>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45895648"/>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845895648"/>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845895648"/>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20</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45" style="width:0;height:1.5pt" o:hralign="center" o:hrstd="t" o:hr="t" fillcolor="#a0a0a0" stroked="f"/>
        </w:pict>
      </w:r>
    </w:p>
    <w:p w:rsidR="00000000" w:rsidRDefault="00E92DBE">
      <w:pPr>
        <w:ind w:hanging="360"/>
        <w:jc w:val="both"/>
        <w:divId w:val="911461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194925980"/>
        <w:rPr>
          <w:rFonts w:eastAsia="Times New Roman"/>
        </w:rPr>
      </w:pPr>
      <w:r>
        <w:rPr>
          <w:rFonts w:eastAsia="Times New Roman"/>
          <w:color w:val="000000"/>
          <w:sz w:val="20"/>
          <w:szCs w:val="20"/>
        </w:rPr>
        <w:t>Key factors affecting the results of our Credit Card business for the first quarter of 2021 compared to the first quarter of 2020, and changes i</w:t>
      </w:r>
      <w:r>
        <w:rPr>
          <w:rFonts w:eastAsia="Times New Roman"/>
          <w:color w:val="000000"/>
          <w:sz w:val="20"/>
          <w:szCs w:val="20"/>
        </w:rPr>
        <w:t>n financial condition and credit performance between March 31, 2021 and December 31, 2020 include the following:</w:t>
      </w:r>
    </w:p>
    <w:p w:rsidR="00000000" w:rsidRDefault="00E92DBE">
      <w:pPr>
        <w:ind w:hanging="360"/>
        <w:jc w:val="both"/>
        <w:divId w:val="1370230002"/>
        <w:rPr>
          <w:rFonts w:eastAsia="Times New Roman"/>
        </w:rPr>
      </w:pPr>
      <w:r>
        <w:rPr>
          <w:rFonts w:eastAsia="Times New Roman"/>
          <w:color w:val="000000"/>
          <w:sz w:val="20"/>
          <w:szCs w:val="20"/>
        </w:rPr>
        <w:t>•</w:t>
      </w:r>
      <w:r>
        <w:rPr>
          <w:rFonts w:eastAsia="Times New Roman"/>
          <w:i/>
          <w:iCs/>
          <w:color w:val="000000"/>
          <w:sz w:val="20"/>
          <w:szCs w:val="20"/>
        </w:rPr>
        <w:t>Net Interest Income:</w:t>
      </w:r>
      <w:r>
        <w:rPr>
          <w:rFonts w:eastAsia="Times New Roman"/>
          <w:color w:val="000000"/>
          <w:sz w:val="20"/>
          <w:szCs w:val="20"/>
        </w:rPr>
        <w:t xml:space="preserve"> Net interest income decreased by $330 million to $3.4 billion in the first quarter of 2021 primarily driven by lower aver</w:t>
      </w:r>
      <w:r>
        <w:rPr>
          <w:rFonts w:eastAsia="Times New Roman"/>
          <w:color w:val="000000"/>
          <w:sz w:val="20"/>
          <w:szCs w:val="20"/>
        </w:rPr>
        <w:t xml:space="preserve">age loan balances from higher customer payments and the impact of government stimulus, partially offset by higher margins. </w:t>
      </w:r>
    </w:p>
    <w:p w:rsidR="00000000" w:rsidRDefault="00E92DBE">
      <w:pPr>
        <w:ind w:hanging="360"/>
        <w:jc w:val="both"/>
        <w:divId w:val="680820567"/>
        <w:rPr>
          <w:rFonts w:eastAsia="Times New Roman"/>
        </w:rPr>
      </w:pPr>
      <w:r>
        <w:rPr>
          <w:rFonts w:eastAsia="Times New Roman"/>
          <w:color w:val="000000"/>
          <w:sz w:val="18"/>
          <w:szCs w:val="18"/>
        </w:rPr>
        <w:t>•</w:t>
      </w:r>
      <w:r>
        <w:rPr>
          <w:rFonts w:eastAsia="Times New Roman"/>
          <w:i/>
          <w:iCs/>
          <w:color w:val="000000"/>
          <w:sz w:val="20"/>
          <w:szCs w:val="20"/>
        </w:rPr>
        <w:t xml:space="preserve">Non-Interest Income: </w:t>
      </w:r>
      <w:r>
        <w:rPr>
          <w:rFonts w:eastAsia="Times New Roman"/>
          <w:color w:val="000000"/>
          <w:sz w:val="20"/>
          <w:szCs w:val="20"/>
        </w:rPr>
        <w:t>Non-interest income increased by $118 million to $1.0 billion in the first quarter of 2021 primarily driven by</w:t>
      </w:r>
      <w:r>
        <w:rPr>
          <w:rFonts w:eastAsia="Times New Roman"/>
          <w:color w:val="000000"/>
          <w:sz w:val="20"/>
          <w:szCs w:val="20"/>
        </w:rPr>
        <w:t xml:space="preserve"> higher net interchange fees from an increase in purchase volume and lower amortization expense of deferred bounty payments.</w:t>
      </w:r>
    </w:p>
    <w:p w:rsidR="00000000" w:rsidRDefault="00E92DBE">
      <w:pPr>
        <w:ind w:hanging="360"/>
        <w:divId w:val="1462574355"/>
        <w:rPr>
          <w:rFonts w:eastAsia="Times New Roman"/>
        </w:rPr>
      </w:pPr>
      <w:r>
        <w:rPr>
          <w:rFonts w:eastAsia="Times New Roman"/>
          <w:b/>
          <w:bCs/>
          <w:color w:val="000000"/>
          <w:sz w:val="18"/>
          <w:szCs w:val="18"/>
          <w:shd w:val="clear" w:color="auto" w:fill="FFFFFF"/>
        </w:rPr>
        <w:t>•</w:t>
      </w:r>
      <w:r>
        <w:rPr>
          <w:rFonts w:eastAsia="Times New Roman"/>
          <w:i/>
          <w:iCs/>
          <w:color w:val="000000"/>
          <w:sz w:val="20"/>
          <w:szCs w:val="20"/>
        </w:rPr>
        <w:t>Provision for Credit Losses:</w:t>
      </w:r>
      <w:r>
        <w:rPr>
          <w:rFonts w:eastAsia="Times New Roman"/>
          <w:color w:val="000000"/>
          <w:sz w:val="20"/>
          <w:szCs w:val="20"/>
        </w:rPr>
        <w:t xml:space="preserve"> Provision for credit losses decreased by $4.2 billion to a benefit of $492 million in the first quart</w:t>
      </w:r>
      <w:r>
        <w:rPr>
          <w:rFonts w:eastAsia="Times New Roman"/>
          <w:color w:val="000000"/>
          <w:sz w:val="20"/>
          <w:szCs w:val="20"/>
        </w:rPr>
        <w:t>er of 2021 driven by an allowance release in the first quarter of 2021 due to continued strong credit performance and an improved economic outlook compared to an allowance build in the first quarter of 2020 driven by the expected economic worsening and sig</w:t>
      </w:r>
      <w:r>
        <w:rPr>
          <w:rFonts w:eastAsia="Times New Roman"/>
          <w:color w:val="000000"/>
          <w:sz w:val="20"/>
          <w:szCs w:val="20"/>
        </w:rPr>
        <w:t>nificant uncertainty at the start of the COVID-19 pandemic.</w:t>
      </w:r>
    </w:p>
    <w:p w:rsidR="00000000" w:rsidRDefault="00E92DBE">
      <w:pPr>
        <w:ind w:hanging="360"/>
        <w:jc w:val="both"/>
        <w:divId w:val="1953709126"/>
        <w:rPr>
          <w:rFonts w:eastAsia="Times New Roman"/>
        </w:rPr>
      </w:pPr>
      <w:r>
        <w:rPr>
          <w:rFonts w:eastAsia="Times New Roman"/>
          <w:i/>
          <w:iCs/>
          <w:color w:val="000000"/>
          <w:sz w:val="20"/>
          <w:szCs w:val="20"/>
        </w:rPr>
        <w:t>•Non-Interest Expense:</w:t>
      </w:r>
      <w:r>
        <w:rPr>
          <w:rFonts w:eastAsia="Times New Roman"/>
          <w:color w:val="000000"/>
          <w:sz w:val="20"/>
          <w:szCs w:val="20"/>
        </w:rPr>
        <w:t xml:space="preserve"> Non-interest expense remained substantially flat at $2.1 billion in the first quarter of 2021.</w:t>
      </w:r>
    </w:p>
    <w:p w:rsidR="00000000" w:rsidRDefault="00E92DBE">
      <w:pPr>
        <w:ind w:hanging="360"/>
        <w:jc w:val="both"/>
        <w:divId w:val="1869291271"/>
        <w:rPr>
          <w:rFonts w:eastAsia="Times New Roman"/>
        </w:rPr>
      </w:pPr>
      <w:r>
        <w:rPr>
          <w:rFonts w:eastAsia="Times New Roman"/>
          <w:i/>
          <w:iCs/>
          <w:color w:val="000000"/>
          <w:sz w:val="20"/>
          <w:szCs w:val="20"/>
        </w:rPr>
        <w:t>•Loans Held for Investment:</w:t>
      </w:r>
      <w:r>
        <w:rPr>
          <w:rFonts w:eastAsia="Times New Roman"/>
          <w:color w:val="000000"/>
          <w:sz w:val="20"/>
          <w:szCs w:val="20"/>
        </w:rPr>
        <w:t xml:space="preserve"> </w:t>
      </w:r>
    </w:p>
    <w:p w:rsidR="00000000" w:rsidRDefault="00E92DBE">
      <w:pPr>
        <w:spacing w:before="180" w:after="180"/>
        <w:ind w:hanging="360"/>
        <w:jc w:val="both"/>
        <w:divId w:val="1641306621"/>
        <w:rPr>
          <w:rFonts w:eastAsia="Times New Roman"/>
        </w:rPr>
      </w:pPr>
      <w:r>
        <w:rPr>
          <w:rFonts w:eastAsia="Times New Roman"/>
          <w:color w:val="000000"/>
          <w:sz w:val="20"/>
          <w:szCs w:val="20"/>
        </w:rPr>
        <w:t>◦</w:t>
      </w:r>
      <w:r>
        <w:rPr>
          <w:rFonts w:eastAsia="Times New Roman"/>
          <w:color w:val="000000"/>
          <w:sz w:val="20"/>
          <w:szCs w:val="20"/>
        </w:rPr>
        <w:t xml:space="preserve">Period-end loans held for investment decreased by $7.8 billion to $99.1 billion as of March 31, 2021 from December 31, 2020 due to expected seasonal paydowns as well as higher customer payments and the impact of government stimulus. </w:t>
      </w:r>
    </w:p>
    <w:p w:rsidR="00000000" w:rsidRDefault="00E92DBE">
      <w:pPr>
        <w:spacing w:before="180" w:after="180"/>
        <w:ind w:hanging="360"/>
        <w:jc w:val="both"/>
        <w:divId w:val="1834488754"/>
        <w:rPr>
          <w:rFonts w:eastAsia="Times New Roman"/>
        </w:rPr>
      </w:pPr>
      <w:r>
        <w:rPr>
          <w:rFonts w:eastAsia="Times New Roman"/>
          <w:color w:val="000000"/>
          <w:sz w:val="20"/>
          <w:szCs w:val="20"/>
        </w:rPr>
        <w:t>◦</w:t>
      </w:r>
      <w:r>
        <w:rPr>
          <w:rFonts w:eastAsia="Times New Roman"/>
          <w:color w:val="000000"/>
          <w:sz w:val="20"/>
          <w:szCs w:val="20"/>
        </w:rPr>
        <w:t>Average loans held fo</w:t>
      </w:r>
      <w:r>
        <w:rPr>
          <w:rFonts w:eastAsia="Times New Roman"/>
          <w:color w:val="000000"/>
          <w:sz w:val="20"/>
          <w:szCs w:val="20"/>
        </w:rPr>
        <w:t>r investment decreased by $22.2 billion to $100.5 billion in the first quarter of 2021 compared to the first quarter of 2020 driven by higher customer payments and the impact of government stimulus.</w:t>
      </w:r>
    </w:p>
    <w:p w:rsidR="00000000" w:rsidRDefault="00E92DBE">
      <w:pPr>
        <w:ind w:hanging="360"/>
        <w:jc w:val="both"/>
        <w:divId w:val="352001463"/>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The net charge-o</w:t>
      </w:r>
      <w:r>
        <w:rPr>
          <w:rFonts w:eastAsia="Times New Roman"/>
          <w:color w:val="000000"/>
          <w:sz w:val="20"/>
          <w:szCs w:val="20"/>
        </w:rPr>
        <w:t>ff rate decreased by 216 basis points to 2.52% in the first quarter of 2021 compared to the first quarter of 2020 primarily driven by strong credit performance in Domestic Card due to customer payment behavior in response to the COVID-19 pandemic, includin</w:t>
      </w:r>
      <w:r>
        <w:rPr>
          <w:rFonts w:eastAsia="Times New Roman"/>
          <w:color w:val="000000"/>
          <w:sz w:val="20"/>
          <w:szCs w:val="20"/>
        </w:rPr>
        <w:t>g the impact of the government stimulus, partially offset by lower average balances.</w:t>
      </w:r>
    </w:p>
    <w:p w:rsidR="00000000" w:rsidRDefault="00E92DBE">
      <w:pPr>
        <w:jc w:val="both"/>
        <w:divId w:val="253979456"/>
        <w:rPr>
          <w:rFonts w:eastAsia="Times New Roman"/>
        </w:rPr>
      </w:pPr>
      <w:r>
        <w:rPr>
          <w:rFonts w:eastAsia="Times New Roman"/>
          <w:color w:val="000000"/>
          <w:sz w:val="20"/>
          <w:szCs w:val="20"/>
        </w:rPr>
        <w:t>The 30+ day delinquency rate decreased by 18 basis points to 2.27% as of March 31, 2021 from December 31, 2020 due to seasonally lower delinquency inventories and strong c</w:t>
      </w:r>
      <w:r>
        <w:rPr>
          <w:rFonts w:eastAsia="Times New Roman"/>
          <w:color w:val="000000"/>
          <w:sz w:val="20"/>
          <w:szCs w:val="20"/>
        </w:rPr>
        <w:t xml:space="preserve">redit performance in our domestic credit card loan portfolio, partially offset by lower outstanding balances.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04375304"/>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404375304"/>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404375304"/>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21</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46" style="width:0;height:1.5pt" o:hralign="center" o:hrstd="t" o:hr="t" fillcolor="#a0a0a0" stroked="f"/>
        </w:pict>
      </w:r>
    </w:p>
    <w:p w:rsidR="00000000" w:rsidRDefault="00E92DBE">
      <w:pPr>
        <w:ind w:hanging="360"/>
        <w:jc w:val="both"/>
        <w:divId w:val="195147393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1224221972"/>
        <w:rPr>
          <w:rFonts w:eastAsia="Times New Roman"/>
        </w:rPr>
      </w:pPr>
      <w:r>
        <w:rPr>
          <w:rFonts w:eastAsia="Times New Roman"/>
          <w:b/>
          <w:bCs/>
          <w:color w:val="000000"/>
          <w:sz w:val="20"/>
          <w:szCs w:val="20"/>
        </w:rPr>
        <w:t>Domestic Card Business</w:t>
      </w:r>
    </w:p>
    <w:p w:rsidR="00000000" w:rsidRDefault="00E92DBE">
      <w:pPr>
        <w:jc w:val="both"/>
        <w:divId w:val="1904633790"/>
        <w:rPr>
          <w:rFonts w:eastAsia="Times New Roman"/>
        </w:rPr>
      </w:pPr>
      <w:r>
        <w:rPr>
          <w:rFonts w:eastAsia="Times New Roman"/>
          <w:color w:val="000000"/>
          <w:sz w:val="20"/>
          <w:szCs w:val="20"/>
        </w:rPr>
        <w:t>The Domestic Card business generated net income from continuing operations of $2.0 billion in the first quarter of 2021, compared to net loss of $935 million in the first quarter of 2020. In the first quarters of 2021 and 2020, the Domestic Card business a</w:t>
      </w:r>
      <w:r>
        <w:rPr>
          <w:rFonts w:eastAsia="Times New Roman"/>
          <w:color w:val="000000"/>
          <w:sz w:val="20"/>
          <w:szCs w:val="20"/>
        </w:rPr>
        <w:t>ccounted for greater than 90% of total net revenue of our Credit Card business.</w:t>
      </w:r>
    </w:p>
    <w:p w:rsidR="00000000" w:rsidRDefault="00E92DBE">
      <w:pPr>
        <w:jc w:val="both"/>
        <w:divId w:val="257833498"/>
        <w:rPr>
          <w:rFonts w:eastAsia="Times New Roman"/>
        </w:rPr>
      </w:pPr>
      <w:r>
        <w:rPr>
          <w:rFonts w:eastAsia="Times New Roman"/>
          <w:color w:val="000000"/>
          <w:sz w:val="20"/>
          <w:szCs w:val="20"/>
        </w:rPr>
        <w:t>Table 10.1 summarizes the financial results for Domestic Card business and displays selected key metrics for the periods indicated.</w:t>
      </w:r>
    </w:p>
    <w:p w:rsidR="00000000" w:rsidRDefault="00E92DBE">
      <w:pPr>
        <w:divId w:val="310915048"/>
        <w:rPr>
          <w:rFonts w:eastAsia="Times New Roman"/>
        </w:rPr>
      </w:pPr>
      <w:r>
        <w:rPr>
          <w:rFonts w:eastAsia="Times New Roman"/>
          <w:b/>
          <w:bCs/>
          <w:color w:val="000000"/>
          <w:sz w:val="18"/>
          <w:szCs w:val="18"/>
        </w:rPr>
        <w:t>Table 10.1: Domestic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4522"/>
        <w:gridCol w:w="38"/>
        <w:gridCol w:w="36"/>
        <w:gridCol w:w="36"/>
        <w:gridCol w:w="36"/>
        <w:gridCol w:w="110"/>
        <w:gridCol w:w="540"/>
        <w:gridCol w:w="200"/>
        <w:gridCol w:w="36"/>
        <w:gridCol w:w="36"/>
        <w:gridCol w:w="36"/>
        <w:gridCol w:w="110"/>
        <w:gridCol w:w="630"/>
        <w:gridCol w:w="170"/>
        <w:gridCol w:w="36"/>
        <w:gridCol w:w="36"/>
        <w:gridCol w:w="36"/>
        <w:gridCol w:w="55"/>
        <w:gridCol w:w="505"/>
        <w:gridCol w:w="27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707026581"/>
        </w:trPr>
        <w:tc>
          <w:tcPr>
            <w:tcW w:w="50" w:type="pct"/>
            <w:vAlign w:val="center"/>
            <w:hideMark/>
          </w:tcPr>
          <w:p w:rsidR="00000000" w:rsidRDefault="00E92DBE">
            <w:pPr>
              <w:rPr>
                <w:rFonts w:eastAsia="Times New Roman"/>
              </w:rPr>
            </w:pPr>
          </w:p>
        </w:tc>
        <w:tc>
          <w:tcPr>
            <w:tcW w:w="32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70702658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3,381 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842 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FFFFFF"/>
            <w:tcMar>
              <w:top w:w="30" w:type="dxa"/>
              <w:left w:w="20" w:type="dxa"/>
              <w:bottom w:w="30" w:type="dxa"/>
              <w:right w:w="20" w:type="dxa"/>
            </w:tcMar>
            <w:vAlign w:val="center"/>
            <w:hideMark/>
          </w:tcPr>
          <w:p w:rsidR="00000000" w:rsidRDefault="00E92DBE">
            <w:pPr>
              <w:divId w:val="1573269914"/>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4,054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4,223 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(491)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3,464 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1,984 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2,622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(1,225)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(290)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(935)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92,594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113,711 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FFFFFF"/>
            <w:tcMar>
              <w:top w:w="30" w:type="dxa"/>
              <w:left w:w="20" w:type="dxa"/>
              <w:bottom w:w="30" w:type="dxa"/>
              <w:right w:w="20" w:type="dxa"/>
            </w:tcMar>
            <w:vAlign w:val="center"/>
            <w:hideMark/>
          </w:tcPr>
          <w:p w:rsidR="00000000" w:rsidRDefault="00E92DBE">
            <w:pPr>
              <w:divId w:val="2088961274"/>
              <w:rPr>
                <w:rFonts w:eastAsia="Times New Roman"/>
              </w:rPr>
            </w:pPr>
            <w:r>
              <w:rPr>
                <w:rFonts w:eastAsia="Times New Roman"/>
                <w:color w:val="000000"/>
                <w:sz w:val="18"/>
                <w:szCs w:val="18"/>
              </w:rPr>
              <w:t>Average yield on loan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14.30 </w:t>
            </w:r>
          </w:p>
        </w:tc>
        <w:tc>
          <w:tcPr>
            <w:tcW w:w="0" w:type="auto"/>
            <w:shd w:val="clear" w:color="auto" w:fill="FFFF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CCEEFF"/>
            <w:tcMar>
              <w:top w:w="30" w:type="dxa"/>
              <w:left w:w="20" w:type="dxa"/>
              <w:bottom w:w="30" w:type="dxa"/>
              <w:right w:w="20" w:type="dxa"/>
            </w:tcMar>
            <w:vAlign w:val="center"/>
            <w:hideMark/>
          </w:tcPr>
          <w:p w:rsidR="00000000" w:rsidRDefault="00E92DBE">
            <w:pPr>
              <w:divId w:val="2128116771"/>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14.86 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1,331 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4.68 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99,960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92,248 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Height w:val="24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investment</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91,099</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98,504 </w:t>
            </w:r>
          </w:p>
        </w:tc>
        <w:tc>
          <w:tcPr>
            <w:tcW w:w="0" w:type="auto"/>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w:t>
            </w:r>
          </w:p>
        </w:tc>
        <w:tc>
          <w:tcPr>
            <w:tcW w:w="0" w:type="auto"/>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2.42 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Allowance for credit losses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9,572</w:t>
            </w: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10,650 </w:t>
            </w:r>
          </w:p>
        </w:tc>
        <w:tc>
          <w:tcPr>
            <w:tcW w:w="0" w:type="auto"/>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w:t>
            </w:r>
          </w:p>
        </w:tc>
        <w:tc>
          <w:tcPr>
            <w:tcW w:w="0" w:type="auto"/>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10.51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10.81 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(30)</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0702658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1848982604"/>
        <w:rPr>
          <w:rFonts w:eastAsia="Times New Roman"/>
        </w:rPr>
      </w:pPr>
      <w:r>
        <w:rPr>
          <w:rFonts w:eastAsia="Times New Roman"/>
          <w:color w:val="000000"/>
          <w:sz w:val="20"/>
          <w:szCs w:val="20"/>
        </w:rPr>
        <w:t>__________</w:t>
      </w:r>
    </w:p>
    <w:p w:rsidR="00000000" w:rsidRDefault="00E92DBE">
      <w:pPr>
        <w:ind w:hanging="360"/>
        <w:jc w:val="both"/>
        <w:divId w:val="108522754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open-ended loans in accordance with the contractual provisions of the credit arrangements and charge-off uncollectible amounts. Finance charges and fees charged-off as uncollectible are reflected as a reductio</w:t>
      </w:r>
      <w:r>
        <w:rPr>
          <w:rFonts w:eastAsia="Times New Roman"/>
          <w:color w:val="000000"/>
          <w:sz w:val="16"/>
          <w:szCs w:val="16"/>
        </w:rPr>
        <w:t>n in total net revenue.</w:t>
      </w:r>
    </w:p>
    <w:p w:rsidR="00000000" w:rsidRDefault="00E92DBE">
      <w:pPr>
        <w:ind w:hanging="360"/>
        <w:jc w:val="both"/>
        <w:divId w:val="173901867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and does not include any allocations, such as funds transfer pricing.</w:t>
      </w:r>
    </w:p>
    <w:p w:rsidR="00000000" w:rsidRDefault="00E92DBE">
      <w:pPr>
        <w:ind w:hanging="360"/>
        <w:jc w:val="both"/>
        <w:divId w:val="376661765"/>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Total net revenue margin is calcul</w:t>
      </w:r>
      <w:r>
        <w:rPr>
          <w:rFonts w:eastAsia="Times New Roman"/>
          <w:color w:val="000000"/>
          <w:sz w:val="16"/>
          <w:szCs w:val="16"/>
        </w:rPr>
        <w:t>ated based on annualized total net revenue for the period divided by average loans during the period.</w:t>
      </w:r>
    </w:p>
    <w:p w:rsidR="00000000" w:rsidRDefault="00E92DBE">
      <w:pPr>
        <w:ind w:hanging="360"/>
        <w:jc w:val="both"/>
        <w:divId w:val="1208226661"/>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12414949"/>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2012414949"/>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2012414949"/>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22</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47" style="width:0;height:1.5pt" o:hralign="center" o:hrstd="t" o:hr="t" fillcolor="#a0a0a0" stroked="f"/>
        </w:pict>
      </w:r>
    </w:p>
    <w:p w:rsidR="00000000" w:rsidRDefault="00E92DBE">
      <w:pPr>
        <w:ind w:hanging="360"/>
        <w:jc w:val="both"/>
        <w:divId w:val="1211380162"/>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67116127"/>
        <w:rPr>
          <w:rFonts w:eastAsia="Times New Roman"/>
        </w:rPr>
      </w:pPr>
      <w:r>
        <w:rPr>
          <w:rFonts w:eastAsia="Times New Roman"/>
          <w:color w:val="000000"/>
          <w:sz w:val="20"/>
          <w:szCs w:val="20"/>
        </w:rPr>
        <w:t>Because our Domestic Card business accounts for the substantial majority of our Credit Card business, the key factors driving the results are similar to the key factors affecting our total Credit Card business. Net Income for our Domestic Card business inc</w:t>
      </w:r>
      <w:r>
        <w:rPr>
          <w:rFonts w:eastAsia="Times New Roman"/>
          <w:color w:val="000000"/>
          <w:sz w:val="20"/>
          <w:szCs w:val="20"/>
        </w:rPr>
        <w:t xml:space="preserve">reased in the first quarter of 2021 compared to the first quarter of 2020 primarily driven by: </w:t>
      </w:r>
    </w:p>
    <w:p w:rsidR="00000000" w:rsidRDefault="00E92DBE">
      <w:pPr>
        <w:ind w:hanging="360"/>
        <w:divId w:val="1720284389"/>
        <w:rPr>
          <w:rFonts w:eastAsia="Times New Roman"/>
        </w:rPr>
      </w:pPr>
      <w:r>
        <w:rPr>
          <w:rFonts w:eastAsia="Times New Roman"/>
          <w:b/>
          <w:bCs/>
          <w:color w:val="000000"/>
          <w:sz w:val="18"/>
          <w:szCs w:val="18"/>
          <w:shd w:val="clear" w:color="auto" w:fill="FFFFFF"/>
        </w:rPr>
        <w:t>•</w:t>
      </w:r>
      <w:r>
        <w:rPr>
          <w:rFonts w:eastAsia="Times New Roman"/>
          <w:color w:val="000000"/>
          <w:sz w:val="20"/>
          <w:szCs w:val="20"/>
        </w:rPr>
        <w:t xml:space="preserve">lower provision for credit losses due to an allowance release in the first quarter of 2021 due to continued strong credit performance and an improved economic </w:t>
      </w:r>
      <w:r>
        <w:rPr>
          <w:rFonts w:eastAsia="Times New Roman"/>
          <w:color w:val="000000"/>
          <w:sz w:val="20"/>
          <w:szCs w:val="20"/>
        </w:rPr>
        <w:t>outlook compared to an allowance build in the first quarter of 2020 driven by the expected economic worsening and significant uncertainty at the start of the COVID-19 pandemic; and</w:t>
      </w:r>
    </w:p>
    <w:p w:rsidR="00000000" w:rsidRDefault="00E92DBE">
      <w:pPr>
        <w:ind w:hanging="360"/>
        <w:jc w:val="both"/>
        <w:divId w:val="624046225"/>
        <w:rPr>
          <w:rFonts w:eastAsia="Times New Roman"/>
        </w:rPr>
      </w:pPr>
      <w:r>
        <w:rPr>
          <w:rFonts w:eastAsia="Times New Roman"/>
          <w:color w:val="000000"/>
          <w:sz w:val="20"/>
          <w:szCs w:val="20"/>
        </w:rPr>
        <w:t>•higher non-interest income primarily due to higher net interchange fees fr</w:t>
      </w:r>
      <w:r>
        <w:rPr>
          <w:rFonts w:eastAsia="Times New Roman"/>
          <w:color w:val="000000"/>
          <w:sz w:val="20"/>
          <w:szCs w:val="20"/>
        </w:rPr>
        <w:t>om an increase in purchase volume and lower amortization expense of deferred bounty payments.</w:t>
      </w:r>
    </w:p>
    <w:p w:rsidR="00000000" w:rsidRDefault="00E92DBE">
      <w:pPr>
        <w:ind w:hanging="360"/>
        <w:jc w:val="both"/>
        <w:divId w:val="863204697"/>
        <w:rPr>
          <w:rFonts w:eastAsia="Times New Roman"/>
        </w:rPr>
      </w:pPr>
      <w:r>
        <w:rPr>
          <w:rFonts w:eastAsia="Times New Roman"/>
          <w:color w:val="000000"/>
          <w:sz w:val="20"/>
          <w:szCs w:val="20"/>
        </w:rPr>
        <w:t>•</w:t>
      </w:r>
      <w:r>
        <w:rPr>
          <w:rFonts w:eastAsia="Times New Roman"/>
          <w:color w:val="000000"/>
          <w:sz w:val="20"/>
          <w:szCs w:val="20"/>
        </w:rPr>
        <w:t>lower net interest income primarily driven by lower average outstanding balances.</w:t>
      </w:r>
    </w:p>
    <w:p w:rsidR="00000000" w:rsidRDefault="00E92DBE">
      <w:pPr>
        <w:divId w:val="1990933939"/>
        <w:rPr>
          <w:rFonts w:eastAsia="Times New Roman"/>
        </w:rPr>
      </w:pPr>
      <w:r>
        <w:rPr>
          <w:rFonts w:eastAsia="Times New Roman"/>
          <w:b/>
          <w:bCs/>
          <w:color w:val="000000"/>
          <w:sz w:val="20"/>
          <w:szCs w:val="20"/>
        </w:rPr>
        <w:t>Consumer Banking Business</w:t>
      </w:r>
    </w:p>
    <w:p w:rsidR="00000000" w:rsidRDefault="00E92DBE">
      <w:pPr>
        <w:jc w:val="both"/>
        <w:divId w:val="340621955"/>
        <w:rPr>
          <w:rFonts w:eastAsia="Times New Roman"/>
        </w:rPr>
      </w:pPr>
      <w:r>
        <w:rPr>
          <w:rFonts w:eastAsia="Times New Roman"/>
          <w:color w:val="000000"/>
          <w:sz w:val="20"/>
          <w:szCs w:val="20"/>
        </w:rPr>
        <w:t>The primary sources of revenue for our Consumer Banking business are net interest income from loans and deposits as well as service charges and cust</w:t>
      </w:r>
      <w:r>
        <w:rPr>
          <w:rFonts w:eastAsia="Times New Roman"/>
          <w:color w:val="000000"/>
          <w:sz w:val="20"/>
          <w:szCs w:val="20"/>
        </w:rPr>
        <w:t>omer-related fees. Expenses primarily consist of the provision for credit losses, operating costs and marketing expenses.</w:t>
      </w:r>
    </w:p>
    <w:p w:rsidR="00000000" w:rsidRDefault="00E92DBE">
      <w:pPr>
        <w:jc w:val="both"/>
        <w:divId w:val="251209123"/>
        <w:rPr>
          <w:rFonts w:eastAsia="Times New Roman"/>
        </w:rPr>
      </w:pPr>
      <w:r>
        <w:rPr>
          <w:rFonts w:eastAsia="Times New Roman"/>
          <w:color w:val="000000"/>
          <w:sz w:val="20"/>
          <w:szCs w:val="20"/>
        </w:rPr>
        <w:t>Our Consumer Banking business generated net income from continuing operations of $902 million in the first quarter of 2021, compared t</w:t>
      </w:r>
      <w:r>
        <w:rPr>
          <w:rFonts w:eastAsia="Times New Roman"/>
          <w:color w:val="000000"/>
          <w:sz w:val="20"/>
          <w:szCs w:val="20"/>
        </w:rPr>
        <w:t xml:space="preserve">o net loss of $52 million in the first quarter of 2020. </w:t>
      </w:r>
    </w:p>
    <w:p w:rsidR="00000000" w:rsidRDefault="00E92DBE">
      <w:pPr>
        <w:jc w:val="both"/>
        <w:divId w:val="2052530235"/>
        <w:rPr>
          <w:rFonts w:eastAsia="Times New Roman"/>
        </w:rPr>
      </w:pPr>
      <w:r>
        <w:rPr>
          <w:rFonts w:eastAsia="Times New Roman"/>
          <w:color w:val="000000"/>
          <w:sz w:val="20"/>
          <w:szCs w:val="20"/>
        </w:rPr>
        <w:t>Table 11 summarizes the financial results of our Consumer Banking business and displays selected key metrics for the periods indicated.</w:t>
      </w:r>
    </w:p>
    <w:p w:rsidR="00000000" w:rsidRDefault="00E92DBE">
      <w:pPr>
        <w:divId w:val="289944754"/>
        <w:rPr>
          <w:rFonts w:eastAsia="Times New Roman"/>
        </w:rPr>
      </w:pPr>
      <w:r>
        <w:rPr>
          <w:rFonts w:eastAsia="Times New Roman"/>
          <w:b/>
          <w:bCs/>
          <w:color w:val="000000"/>
          <w:sz w:val="18"/>
          <w:szCs w:val="18"/>
        </w:rPr>
        <w:t>Table 11: Consumer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0"/>
        <w:gridCol w:w="4431"/>
        <w:gridCol w:w="38"/>
        <w:gridCol w:w="36"/>
        <w:gridCol w:w="36"/>
        <w:gridCol w:w="36"/>
        <w:gridCol w:w="110"/>
        <w:gridCol w:w="630"/>
        <w:gridCol w:w="200"/>
        <w:gridCol w:w="36"/>
        <w:gridCol w:w="36"/>
        <w:gridCol w:w="36"/>
        <w:gridCol w:w="110"/>
        <w:gridCol w:w="630"/>
        <w:gridCol w:w="170"/>
        <w:gridCol w:w="36"/>
        <w:gridCol w:w="36"/>
        <w:gridCol w:w="36"/>
        <w:gridCol w:w="55"/>
        <w:gridCol w:w="505"/>
        <w:gridCol w:w="27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297759116"/>
        </w:trPr>
        <w:tc>
          <w:tcPr>
            <w:tcW w:w="50" w:type="pct"/>
            <w:vAlign w:val="center"/>
            <w:hideMark/>
          </w:tcPr>
          <w:p w:rsidR="00000000" w:rsidRDefault="00E92DBE">
            <w:pPr>
              <w:rPr>
                <w:rFonts w:eastAsia="Times New Roman"/>
              </w:rPr>
            </w:pPr>
          </w:p>
        </w:tc>
        <w:tc>
          <w:tcPr>
            <w:tcW w:w="32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tcMar>
              <w:top w:w="30" w:type="dxa"/>
              <w:left w:w="245" w:type="dxa"/>
              <w:bottom w:w="30" w:type="dxa"/>
              <w:right w:w="20" w:type="dxa"/>
            </w:tcMar>
            <w:vAlign w:val="bottom"/>
            <w:hideMark/>
          </w:tcPr>
          <w:p w:rsidR="00000000" w:rsidRDefault="00E92DBE">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297759116"/>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1,657 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net revenue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2,171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(126)</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860 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991 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66,185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61,005 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2,666 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69,234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63,671 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CCEEFF"/>
            <w:tcMar>
              <w:top w:w="30" w:type="dxa"/>
              <w:left w:w="20" w:type="dxa"/>
              <w:bottom w:w="30" w:type="dxa"/>
              <w:right w:w="20" w:type="dxa"/>
            </w:tcMar>
            <w:vAlign w:val="center"/>
            <w:hideMark/>
          </w:tcPr>
          <w:p w:rsidR="00000000" w:rsidRDefault="00E92DBE">
            <w:pPr>
              <w:divId w:val="841355070"/>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8.16</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8.46 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Average 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249,499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215,071 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Average deposits interest rate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1.54 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 loan originations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8,833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7,640 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97759116"/>
          <w:trHeight w:val="166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23</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48" style="width:0;height:1.5pt" o:hralign="center" o:hrstd="t" o:hr="t" fillcolor="#a0a0a0" stroked="f"/>
        </w:pict>
      </w:r>
    </w:p>
    <w:p w:rsidR="00000000" w:rsidRDefault="00E92DBE">
      <w:pPr>
        <w:ind w:hanging="360"/>
        <w:jc w:val="both"/>
        <w:divId w:val="2025355603"/>
        <w:rPr>
          <w:rFonts w:eastAsia="Times New Roman"/>
        </w:rPr>
      </w:pPr>
      <w:hyperlink w:anchor="ic1109d5aa548447c8224139b1ab22bde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4862"/>
        <w:gridCol w:w="39"/>
        <w:gridCol w:w="36"/>
        <w:gridCol w:w="36"/>
        <w:gridCol w:w="36"/>
        <w:gridCol w:w="110"/>
        <w:gridCol w:w="630"/>
        <w:gridCol w:w="200"/>
        <w:gridCol w:w="36"/>
        <w:gridCol w:w="36"/>
        <w:gridCol w:w="36"/>
        <w:gridCol w:w="110"/>
        <w:gridCol w:w="630"/>
        <w:gridCol w:w="170"/>
        <w:gridCol w:w="36"/>
        <w:gridCol w:w="36"/>
        <w:gridCol w:w="36"/>
        <w:gridCol w:w="55"/>
        <w:gridCol w:w="505"/>
        <w:gridCol w:w="271"/>
        <w:gridCol w:w="36"/>
        <w:gridCol w:w="36"/>
        <w:gridCol w:w="36"/>
        <w:gridCol w:w="36"/>
        <w:gridCol w:w="36"/>
        <w:gridCol w:w="36"/>
        <w:gridCol w:w="36"/>
        <w:gridCol w:w="36"/>
        <w:gridCol w:w="36"/>
        <w:gridCol w:w="36"/>
      </w:tblGrid>
      <w:tr w:rsidR="00000000">
        <w:trPr>
          <w:divId w:val="1079642628"/>
        </w:trPr>
        <w:tc>
          <w:tcPr>
            <w:tcW w:w="50" w:type="pct"/>
            <w:vAlign w:val="center"/>
            <w:hideMark/>
          </w:tcPr>
          <w:p w:rsidR="00000000" w:rsidRDefault="00E92DBE">
            <w:pPr>
              <w:ind w:hanging="360"/>
              <w:jc w:val="both"/>
              <w:rPr>
                <w:rFonts w:eastAsia="Times New Roman"/>
              </w:rPr>
            </w:pPr>
          </w:p>
        </w:tc>
        <w:tc>
          <w:tcPr>
            <w:tcW w:w="32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79642628"/>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as noted)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7964262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7964262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7964262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67,059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65,762 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7964262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3,126 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7964262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70,202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68,888 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7964262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30+ day performing delinquency rate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4.62 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7964262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30+ day delinquency rate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7964262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Nonperforming loan rate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0.47 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79642628"/>
        </w:trPr>
        <w:tc>
          <w:tcPr>
            <w:tcW w:w="0" w:type="auto"/>
            <w:gridSpan w:val="3"/>
            <w:shd w:val="clear" w:color="auto" w:fill="CCEEFF"/>
            <w:tcMar>
              <w:top w:w="30" w:type="dxa"/>
              <w:left w:w="20" w:type="dxa"/>
              <w:bottom w:w="30" w:type="dxa"/>
              <w:right w:w="20" w:type="dxa"/>
            </w:tcMar>
            <w:vAlign w:val="center"/>
            <w:hideMark/>
          </w:tcPr>
          <w:p w:rsidR="00000000" w:rsidRDefault="00E92DBE">
            <w:pPr>
              <w:divId w:val="1864633203"/>
              <w:rPr>
                <w:rFonts w:eastAsia="Times New Roman"/>
              </w:rPr>
            </w:pPr>
            <w:r>
              <w:rPr>
                <w:rFonts w:eastAsia="Times New Roman"/>
                <w:color w:val="000000"/>
                <w:sz w:val="18"/>
                <w:szCs w:val="18"/>
              </w:rPr>
              <w:t>Nonperforming asset rat</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0.54 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7964262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7964262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7964262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254,001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249,815 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bl>
    <w:p w:rsidR="00000000" w:rsidRDefault="00E92DBE">
      <w:pPr>
        <w:divId w:val="1468737188"/>
        <w:rPr>
          <w:rFonts w:eastAsia="Times New Roman"/>
        </w:rPr>
      </w:pPr>
      <w:r>
        <w:rPr>
          <w:rFonts w:eastAsia="Times New Roman"/>
          <w:color w:val="000000"/>
          <w:sz w:val="20"/>
          <w:szCs w:val="20"/>
        </w:rPr>
        <w:t>__________</w:t>
      </w:r>
    </w:p>
    <w:p w:rsidR="00000000" w:rsidRDefault="00E92DBE">
      <w:pPr>
        <w:ind w:hanging="360"/>
        <w:jc w:val="both"/>
        <w:divId w:val="200022851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and does not include any allocations, such as funds transfer pricing.</w:t>
      </w:r>
    </w:p>
    <w:p w:rsidR="00000000" w:rsidRDefault="00E92DBE">
      <w:pPr>
        <w:ind w:hanging="360"/>
        <w:jc w:val="both"/>
        <w:divId w:val="80408543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assets primarily consist of nonperforming loans</w:t>
      </w:r>
      <w:r>
        <w:rPr>
          <w:rFonts w:eastAsia="Times New Roman"/>
          <w:color w:val="000000"/>
          <w:sz w:val="16"/>
          <w:szCs w:val="16"/>
        </w:rPr>
        <w:t xml:space="preserve"> and repossessed assets. The total nonperforming asset rate is calculated based on total nonperforming assets divided by the combined period-end total loans held for investment and repossessed assets. </w:t>
      </w:r>
    </w:p>
    <w:p w:rsidR="00000000" w:rsidRDefault="00E92DBE">
      <w:pPr>
        <w:ind w:hanging="360"/>
        <w:jc w:val="both"/>
        <w:divId w:val="1432387030"/>
        <w:rPr>
          <w:rFonts w:eastAsia="Times New Roman"/>
        </w:rPr>
      </w:pPr>
      <w:r>
        <w:rPr>
          <w:rFonts w:eastAsia="Times New Roman"/>
          <w:color w:val="000000"/>
          <w:sz w:val="16"/>
          <w:szCs w:val="16"/>
        </w:rPr>
        <w:t>**    Not meaningful.</w:t>
      </w:r>
    </w:p>
    <w:p w:rsidR="00000000" w:rsidRDefault="00E92DBE">
      <w:pPr>
        <w:jc w:val="both"/>
        <w:divId w:val="626544310"/>
        <w:rPr>
          <w:rFonts w:eastAsia="Times New Roman"/>
        </w:rPr>
      </w:pPr>
      <w:r>
        <w:rPr>
          <w:rFonts w:eastAsia="Times New Roman"/>
          <w:color w:val="000000"/>
          <w:sz w:val="20"/>
          <w:szCs w:val="20"/>
        </w:rPr>
        <w:t>Key factors affecting the result</w:t>
      </w:r>
      <w:r>
        <w:rPr>
          <w:rFonts w:eastAsia="Times New Roman"/>
          <w:color w:val="000000"/>
          <w:sz w:val="20"/>
          <w:szCs w:val="20"/>
        </w:rPr>
        <w:t>s of our Consumer Banking business for the first quarter of 2021 compared to the first quarter of 2020, and changes in financial condition and credit performance between March 31, 2021 and December 31, 2020 include the following:</w:t>
      </w:r>
    </w:p>
    <w:p w:rsidR="00000000" w:rsidRDefault="00E92DBE">
      <w:pPr>
        <w:ind w:hanging="360"/>
        <w:jc w:val="both"/>
        <w:divId w:val="980185725"/>
        <w:rPr>
          <w:rFonts w:eastAsia="Times New Roman"/>
        </w:rPr>
      </w:pPr>
      <w:r>
        <w:rPr>
          <w:rFonts w:eastAsia="Times New Roman"/>
          <w:color w:val="000000"/>
          <w:sz w:val="20"/>
          <w:szCs w:val="20"/>
        </w:rPr>
        <w:t>•</w:t>
      </w:r>
      <w:r>
        <w:rPr>
          <w:rFonts w:eastAsia="Times New Roman"/>
          <w:i/>
          <w:iCs/>
          <w:color w:val="000000"/>
          <w:sz w:val="20"/>
          <w:szCs w:val="20"/>
        </w:rPr>
        <w:t>Net Interest Income: </w:t>
      </w:r>
      <w:r>
        <w:rPr>
          <w:rFonts w:eastAsia="Times New Roman"/>
          <w:color w:val="000000"/>
          <w:sz w:val="20"/>
          <w:szCs w:val="20"/>
        </w:rPr>
        <w:t xml:space="preserve">Net </w:t>
      </w:r>
      <w:r>
        <w:rPr>
          <w:rFonts w:eastAsia="Times New Roman"/>
          <w:color w:val="000000"/>
          <w:sz w:val="20"/>
          <w:szCs w:val="20"/>
        </w:rPr>
        <w:t>interest income increased by $373 million to $2.0 billion in the first quarter of 2021 primarily driven by higher margins and deposits in our Retail Banking business as well as growth in our auto loan portfolio.</w:t>
      </w:r>
    </w:p>
    <w:p w:rsidR="00000000" w:rsidRDefault="00E92DBE">
      <w:pPr>
        <w:ind w:hanging="360"/>
        <w:jc w:val="both"/>
        <w:divId w:val="1393426510"/>
        <w:rPr>
          <w:rFonts w:eastAsia="Times New Roman"/>
        </w:rPr>
      </w:pPr>
      <w:r>
        <w:rPr>
          <w:rFonts w:eastAsia="Times New Roman"/>
          <w:color w:val="000000"/>
          <w:sz w:val="20"/>
          <w:szCs w:val="20"/>
        </w:rPr>
        <w:t>•</w:t>
      </w:r>
      <w:r>
        <w:rPr>
          <w:rFonts w:eastAsia="Times New Roman"/>
          <w:i/>
          <w:iCs/>
          <w:color w:val="000000"/>
          <w:sz w:val="20"/>
          <w:szCs w:val="20"/>
        </w:rPr>
        <w:t xml:space="preserve">Non-Interest Income: </w:t>
      </w:r>
      <w:r>
        <w:rPr>
          <w:rFonts w:eastAsia="Times New Roman"/>
          <w:color w:val="000000"/>
          <w:sz w:val="20"/>
          <w:szCs w:val="20"/>
        </w:rPr>
        <w:t>Non-interest income re</w:t>
      </w:r>
      <w:r>
        <w:rPr>
          <w:rFonts w:eastAsia="Times New Roman"/>
          <w:color w:val="000000"/>
          <w:sz w:val="20"/>
          <w:szCs w:val="20"/>
        </w:rPr>
        <w:t>mained substantially flat at $141 million in the first quarter of 2021.</w:t>
      </w:r>
    </w:p>
    <w:p w:rsidR="00000000" w:rsidRDefault="00E92DBE">
      <w:pPr>
        <w:ind w:hanging="360"/>
        <w:divId w:val="993144426"/>
        <w:rPr>
          <w:rFonts w:eastAsia="Times New Roman"/>
        </w:rPr>
      </w:pPr>
      <w:r>
        <w:rPr>
          <w:rFonts w:eastAsia="Times New Roman"/>
          <w:b/>
          <w:bCs/>
          <w:color w:val="000000"/>
          <w:sz w:val="18"/>
          <w:szCs w:val="18"/>
          <w:shd w:val="clear" w:color="auto" w:fill="FFFFFF"/>
        </w:rPr>
        <w:t>•</w:t>
      </w:r>
      <w:r>
        <w:rPr>
          <w:rFonts w:eastAsia="Times New Roman"/>
          <w:i/>
          <w:iCs/>
          <w:color w:val="000000"/>
          <w:sz w:val="20"/>
          <w:szCs w:val="20"/>
        </w:rPr>
        <w:t xml:space="preserve">Provision for Credit Losses: </w:t>
      </w:r>
      <w:r>
        <w:rPr>
          <w:rFonts w:eastAsia="Times New Roman"/>
          <w:color w:val="000000"/>
          <w:sz w:val="20"/>
          <w:szCs w:val="20"/>
        </w:rPr>
        <w:t>Provision for credit losses decreased by $986 million to a benefit of $126 million in the first quarter of 2021 driven by an allowance release in the firs</w:t>
      </w:r>
      <w:r>
        <w:rPr>
          <w:rFonts w:eastAsia="Times New Roman"/>
          <w:color w:val="000000"/>
          <w:sz w:val="20"/>
          <w:szCs w:val="20"/>
        </w:rPr>
        <w:t xml:space="preserve">t quarter of 2021 due to strong credit performance, an improved economic outlook and auction price favorability, compared to an allowance build in the first quarter of 2020 driven by the expected economic worsening and significant uncertainty at the start </w:t>
      </w:r>
      <w:r>
        <w:rPr>
          <w:rFonts w:eastAsia="Times New Roman"/>
          <w:color w:val="000000"/>
          <w:sz w:val="20"/>
          <w:szCs w:val="20"/>
        </w:rPr>
        <w:t>of the COVID-19 pandemic.</w:t>
      </w:r>
    </w:p>
    <w:p w:rsidR="00000000" w:rsidRDefault="00E92DBE">
      <w:pPr>
        <w:ind w:hanging="360"/>
        <w:jc w:val="both"/>
        <w:divId w:val="1038625944"/>
        <w:rPr>
          <w:rFonts w:eastAsia="Times New Roman"/>
        </w:rPr>
      </w:pPr>
      <w:r>
        <w:rPr>
          <w:rFonts w:eastAsia="Times New Roman"/>
          <w:i/>
          <w:iCs/>
          <w:color w:val="000000"/>
          <w:sz w:val="20"/>
          <w:szCs w:val="20"/>
        </w:rPr>
        <w:t>•Non-Interest Expense:</w:t>
      </w:r>
      <w:r>
        <w:rPr>
          <w:rFonts w:eastAsia="Times New Roman"/>
          <w:color w:val="000000"/>
          <w:sz w:val="20"/>
          <w:szCs w:val="20"/>
        </w:rPr>
        <w:t xml:space="preserve"> Non-interest expense increased by $126 million to $1.1 billion in the first quarter of 2021 primarily driven by growth in our auto loan portfolio as well as continued investment in infrastructure and technol</w:t>
      </w:r>
      <w:r>
        <w:rPr>
          <w:rFonts w:eastAsia="Times New Roman"/>
          <w:color w:val="000000"/>
          <w:sz w:val="20"/>
          <w:szCs w:val="20"/>
        </w:rPr>
        <w:t>ogy.</w:t>
      </w:r>
    </w:p>
    <w:p w:rsidR="00000000" w:rsidRDefault="00E92DBE">
      <w:pPr>
        <w:ind w:hanging="360"/>
        <w:jc w:val="both"/>
        <w:divId w:val="1385174317"/>
        <w:rPr>
          <w:rFonts w:eastAsia="Times New Roman"/>
        </w:rPr>
      </w:pPr>
      <w:r>
        <w:rPr>
          <w:rFonts w:eastAsia="Times New Roman"/>
          <w:i/>
          <w:iCs/>
          <w:color w:val="000000"/>
          <w:sz w:val="20"/>
          <w:szCs w:val="20"/>
        </w:rPr>
        <w:t>•Loans Held for Investment:</w:t>
      </w:r>
      <w:r>
        <w:rPr>
          <w:rFonts w:eastAsia="Times New Roman"/>
          <w:color w:val="000000"/>
          <w:sz w:val="20"/>
          <w:szCs w:val="20"/>
        </w:rPr>
        <w:t> Period-end loans held for investment increased by $1.3 billion to $70.2 billion as of March 31, 2021 from December 31, 2020, and average loans held for investment increased by $5.6 billion to $69.2 billion in the first quar</w:t>
      </w:r>
      <w:r>
        <w:rPr>
          <w:rFonts w:eastAsia="Times New Roman"/>
          <w:color w:val="000000"/>
          <w:sz w:val="20"/>
          <w:szCs w:val="20"/>
        </w:rPr>
        <w:t>ter of 2021 compared to the first quarter of 2020 primarily due to growth in our auto loan portfolio.</w:t>
      </w:r>
    </w:p>
    <w:p w:rsidR="00000000" w:rsidRDefault="00E92DBE">
      <w:pPr>
        <w:ind w:hanging="360"/>
        <w:jc w:val="both"/>
        <w:divId w:val="1921213748"/>
        <w:rPr>
          <w:rFonts w:eastAsia="Times New Roman"/>
        </w:rPr>
      </w:pPr>
      <w:r>
        <w:rPr>
          <w:rFonts w:eastAsia="Times New Roman"/>
          <w:i/>
          <w:iCs/>
          <w:color w:val="000000"/>
          <w:sz w:val="20"/>
          <w:szCs w:val="20"/>
        </w:rPr>
        <w:t>•Deposits:</w:t>
      </w:r>
      <w:r>
        <w:rPr>
          <w:rFonts w:eastAsia="Times New Roman"/>
          <w:color w:val="000000"/>
          <w:sz w:val="20"/>
          <w:szCs w:val="20"/>
        </w:rPr>
        <w:t> Period-end deposits increased by $4.2 billion to $254.0 billion as of March 31, 2021 from December 31, 2020 primarily driven by increased consu</w:t>
      </w:r>
      <w:r>
        <w:rPr>
          <w:rFonts w:eastAsia="Times New Roman"/>
          <w:color w:val="000000"/>
          <w:sz w:val="20"/>
          <w:szCs w:val="20"/>
        </w:rPr>
        <w:t>mer savings aided by the impact of recently passed government stimulus</w:t>
      </w:r>
      <w:r>
        <w:rPr>
          <w:rFonts w:eastAsia="Times New Roman"/>
          <w:i/>
          <w:iCs/>
          <w:color w:val="000000"/>
          <w:sz w:val="20"/>
          <w:szCs w:val="20"/>
        </w:rPr>
        <w:t>.</w:t>
      </w:r>
    </w:p>
    <w:p w:rsidR="00000000" w:rsidRDefault="00E92DBE">
      <w:pPr>
        <w:ind w:hanging="360"/>
        <w:jc w:val="both"/>
        <w:divId w:val="357660730"/>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The net charge-off rate decreased by 102 basis points to 0.52% in the first quarter of 2021 compared to the first quarter of 2020 primarily dri</w:t>
      </w:r>
      <w:r>
        <w:rPr>
          <w:rFonts w:eastAsia="Times New Roman"/>
          <w:color w:val="000000"/>
          <w:sz w:val="20"/>
          <w:szCs w:val="20"/>
        </w:rPr>
        <w:t>ven by strong credit performance and the impact of government stimulus as well as the impact of elevated auction prices and short-term payment extensions offered to affected auto borrowers in response to the COVID-19 pandemic.</w:t>
      </w:r>
    </w:p>
    <w:p w:rsidR="00000000" w:rsidRDefault="00E92DBE">
      <w:pPr>
        <w:jc w:val="both"/>
        <w:divId w:val="2010059445"/>
        <w:rPr>
          <w:rFonts w:eastAsia="Times New Roman"/>
        </w:rPr>
      </w:pPr>
      <w:r>
        <w:rPr>
          <w:rFonts w:eastAsia="Times New Roman"/>
          <w:color w:val="000000"/>
          <w:sz w:val="20"/>
          <w:szCs w:val="20"/>
        </w:rPr>
        <w:t xml:space="preserve">The 30+ day delinquency rate </w:t>
      </w:r>
      <w:r>
        <w:rPr>
          <w:rFonts w:eastAsia="Times New Roman"/>
          <w:color w:val="000000"/>
          <w:sz w:val="20"/>
          <w:szCs w:val="20"/>
        </w:rPr>
        <w:t>decreased by 175 basis points to 3.25% as of March 31, 2021 from December 31, 2020 driven by seasonally lower delinquency inventories and strong credit performance in our auto loan portfolio.</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65620145"/>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665620145"/>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665620145"/>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24</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49" style="width:0;height:1.5pt" o:hralign="center" o:hrstd="t" o:hr="t" fillcolor="#a0a0a0" stroked="f"/>
        </w:pict>
      </w:r>
    </w:p>
    <w:p w:rsidR="00000000" w:rsidRDefault="00E92DBE">
      <w:pPr>
        <w:ind w:hanging="360"/>
        <w:jc w:val="both"/>
        <w:divId w:val="150607791"/>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1221668773"/>
        <w:rPr>
          <w:rFonts w:eastAsia="Times New Roman"/>
        </w:rPr>
      </w:pPr>
      <w:r>
        <w:rPr>
          <w:rFonts w:eastAsia="Times New Roman"/>
          <w:b/>
          <w:bCs/>
          <w:color w:val="000000"/>
          <w:sz w:val="20"/>
          <w:szCs w:val="20"/>
        </w:rPr>
        <w:t>Commercial Banking Business</w:t>
      </w:r>
    </w:p>
    <w:p w:rsidR="00000000" w:rsidRDefault="00E92DBE">
      <w:pPr>
        <w:jc w:val="both"/>
        <w:divId w:val="1795517927"/>
        <w:rPr>
          <w:rFonts w:eastAsia="Times New Roman"/>
        </w:rPr>
      </w:pPr>
      <w:r>
        <w:rPr>
          <w:rFonts w:eastAsia="Times New Roman"/>
          <w:color w:val="000000"/>
          <w:sz w:val="20"/>
          <w:szCs w:val="20"/>
        </w:rPr>
        <w:t>The primary sources of revenue for our Commercial Banking business are net interest income from loans and deposits a</w:t>
      </w:r>
      <w:r>
        <w:rPr>
          <w:rFonts w:eastAsia="Times New Roman"/>
          <w:color w:val="000000"/>
          <w:sz w:val="20"/>
          <w:szCs w:val="20"/>
        </w:rPr>
        <w:t>nd non-interest income earned from products and services provided to our clients such as capital markets and treasury management. Because our Commercial Banking business has loans and investments that generate tax-exempt income, tax credits or other tax be</w:t>
      </w:r>
      <w:r>
        <w:rPr>
          <w:rFonts w:eastAsia="Times New Roman"/>
          <w:color w:val="000000"/>
          <w:sz w:val="20"/>
          <w:szCs w:val="20"/>
        </w:rPr>
        <w:t>nefits, we present the revenues on a taxable-equivalent basis. Expenses primarily consist of the provision for credit losses and operating costs.</w:t>
      </w:r>
    </w:p>
    <w:p w:rsidR="00000000" w:rsidRDefault="00E92DBE">
      <w:pPr>
        <w:jc w:val="both"/>
        <w:divId w:val="1697123925"/>
        <w:rPr>
          <w:rFonts w:eastAsia="Times New Roman"/>
        </w:rPr>
      </w:pPr>
      <w:r>
        <w:rPr>
          <w:rFonts w:eastAsia="Times New Roman"/>
          <w:color w:val="000000"/>
          <w:sz w:val="20"/>
          <w:szCs w:val="20"/>
        </w:rPr>
        <w:t>Our Commercial Banking business generated net income from continuing operations of $416 million in the first q</w:t>
      </w:r>
      <w:r>
        <w:rPr>
          <w:rFonts w:eastAsia="Times New Roman"/>
          <w:color w:val="000000"/>
          <w:sz w:val="20"/>
          <w:szCs w:val="20"/>
        </w:rPr>
        <w:t>uarter of 2021, compared to net loss of $411 million in the first quarter of 2020.</w:t>
      </w:r>
    </w:p>
    <w:p w:rsidR="00000000" w:rsidRDefault="00E92DBE">
      <w:pPr>
        <w:jc w:val="both"/>
        <w:divId w:val="1828857552"/>
        <w:rPr>
          <w:rFonts w:eastAsia="Times New Roman"/>
        </w:rPr>
      </w:pPr>
      <w:r>
        <w:rPr>
          <w:rFonts w:eastAsia="Times New Roman"/>
          <w:color w:val="000000"/>
          <w:sz w:val="20"/>
          <w:szCs w:val="20"/>
        </w:rPr>
        <w:t>Table 12 summarizes the financial results of our Commercial Banking business and displays selected key metrics for the periods indicated.</w:t>
      </w:r>
    </w:p>
    <w:p w:rsidR="00000000" w:rsidRDefault="00E92DBE">
      <w:pPr>
        <w:divId w:val="256716414"/>
        <w:rPr>
          <w:rFonts w:eastAsia="Times New Roman"/>
        </w:rPr>
      </w:pPr>
      <w:r>
        <w:rPr>
          <w:rFonts w:eastAsia="Times New Roman"/>
          <w:b/>
          <w:bCs/>
          <w:color w:val="000000"/>
          <w:sz w:val="18"/>
          <w:szCs w:val="18"/>
        </w:rPr>
        <w:t>Table 12: Commercial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0"/>
        <w:gridCol w:w="4610"/>
        <w:gridCol w:w="39"/>
        <w:gridCol w:w="36"/>
        <w:gridCol w:w="36"/>
        <w:gridCol w:w="36"/>
        <w:gridCol w:w="110"/>
        <w:gridCol w:w="540"/>
        <w:gridCol w:w="200"/>
        <w:gridCol w:w="36"/>
        <w:gridCol w:w="36"/>
        <w:gridCol w:w="36"/>
        <w:gridCol w:w="110"/>
        <w:gridCol w:w="540"/>
        <w:gridCol w:w="170"/>
        <w:gridCol w:w="36"/>
        <w:gridCol w:w="36"/>
        <w:gridCol w:w="36"/>
        <w:gridCol w:w="55"/>
        <w:gridCol w:w="505"/>
        <w:gridCol w:w="27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017275373"/>
        </w:trPr>
        <w:tc>
          <w:tcPr>
            <w:tcW w:w="50" w:type="pct"/>
            <w:vAlign w:val="center"/>
            <w:hideMark/>
          </w:tcPr>
          <w:p w:rsidR="00000000" w:rsidRDefault="00E92DBE">
            <w:pPr>
              <w:rPr>
                <w:rFonts w:eastAsia="Times New Roman"/>
              </w:rPr>
            </w:pPr>
          </w:p>
        </w:tc>
        <w:tc>
          <w:tcPr>
            <w:tcW w:w="32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17275373"/>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491 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0" w:type="dxa"/>
              <w:bottom w:w="30" w:type="dxa"/>
              <w:right w:w="20" w:type="dxa"/>
            </w:tcMar>
            <w:vAlign w:val="center"/>
            <w:hideMark/>
          </w:tcPr>
          <w:p w:rsidR="00000000" w:rsidRDefault="00E92DBE">
            <w:pPr>
              <w:divId w:val="984972069"/>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760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0" w:type="dxa"/>
              <w:bottom w:w="30" w:type="dxa"/>
              <w:right w:w="20" w:type="dxa"/>
            </w:tcMar>
            <w:vAlign w:val="center"/>
            <w:hideMark/>
          </w:tcPr>
          <w:p w:rsidR="00000000" w:rsidRDefault="00E92DBE">
            <w:pPr>
              <w:divId w:val="1736389236"/>
              <w:rPr>
                <w:rFonts w:eastAsia="Times New Roman"/>
              </w:rPr>
            </w:pPr>
            <w:r>
              <w:rPr>
                <w:rFonts w:eastAsia="Times New Roman"/>
                <w:color w:val="000000"/>
                <w:sz w:val="18"/>
                <w:szCs w:val="18"/>
              </w:rPr>
              <w:t>Provision (benefit)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856 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412 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544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(411)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29,856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31,081 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44,313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45,361 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74,169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76,442 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0" w:type="dxa"/>
              <w:bottom w:w="30" w:type="dxa"/>
              <w:right w:w="20" w:type="dxa"/>
            </w:tcMar>
            <w:vAlign w:val="center"/>
            <w:hideMark/>
          </w:tcPr>
          <w:p w:rsidR="00000000" w:rsidRDefault="00E92DBE">
            <w:pPr>
              <w:divId w:val="412431806"/>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(1)(3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2.76</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3.88 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Average 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40,107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32,238 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Average deposits interest rate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0.89 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0.57 </w:t>
            </w:r>
          </w:p>
        </w:tc>
        <w:tc>
          <w:tcPr>
            <w:tcW w:w="0" w:type="auto"/>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Height w:val="24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as noted)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30,008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30,681 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43,794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45,099 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73,802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75,780 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Nonperforming loan rate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0.92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0.86 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0" w:type="dxa"/>
              <w:bottom w:w="30" w:type="dxa"/>
              <w:right w:w="20" w:type="dxa"/>
            </w:tcMar>
            <w:vAlign w:val="center"/>
            <w:hideMark/>
          </w:tcPr>
          <w:p w:rsidR="00000000" w:rsidRDefault="00E92DBE">
            <w:pPr>
              <w:divId w:val="1462767136"/>
              <w:rPr>
                <w:rFonts w:eastAsia="Times New Roman"/>
              </w:rPr>
            </w:pPr>
            <w:r>
              <w:rPr>
                <w:rFonts w:eastAsia="Times New Roman"/>
                <w:color w:val="000000"/>
                <w:sz w:val="18"/>
                <w:szCs w:val="18"/>
              </w:rPr>
              <w:t>Nonperforming asset rat</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0.86 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0" w:type="dxa"/>
              <w:bottom w:w="30" w:type="dxa"/>
              <w:right w:w="20" w:type="dxa"/>
            </w:tcMar>
            <w:vAlign w:val="center"/>
            <w:hideMark/>
          </w:tcPr>
          <w:p w:rsidR="00000000" w:rsidRDefault="00E92DBE">
            <w:pPr>
              <w:divId w:val="1921862805"/>
              <w:rPr>
                <w:rFonts w:eastAsia="Times New Roman"/>
              </w:rPr>
            </w:pPr>
            <w:r>
              <w:rPr>
                <w:rFonts w:eastAsia="Times New Roman"/>
                <w:color w:val="000000"/>
                <w:sz w:val="18"/>
                <w:szCs w:val="18"/>
              </w:rPr>
              <w:t>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1,658 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bps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41,552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39,590 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17275373"/>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serviced for others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45,042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44,162 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821196721"/>
        <w:rPr>
          <w:rFonts w:eastAsia="Times New Roman"/>
        </w:rPr>
      </w:pPr>
      <w:r>
        <w:rPr>
          <w:rFonts w:eastAsia="Times New Roman"/>
          <w:color w:val="000000"/>
          <w:sz w:val="20"/>
          <w:szCs w:val="20"/>
        </w:rPr>
        <w:t>__________</w:t>
      </w:r>
    </w:p>
    <w:p w:rsidR="00000000" w:rsidRDefault="00E92DBE">
      <w:pPr>
        <w:ind w:hanging="360"/>
        <w:jc w:val="both"/>
        <w:divId w:val="192106311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w:t>
      </w:r>
      <w:r>
        <w:rPr>
          <w:rFonts w:eastAsia="Times New Roman"/>
          <w:color w:val="000000"/>
          <w:sz w:val="16"/>
          <w:szCs w:val="16"/>
        </w:rPr>
        <w:t>al statutory tax rate of 21% and state taxes where applicable, with offsetting reductions to the Other category.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25623760"/>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625623760"/>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625623760"/>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25</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50" style="width:0;height:1.5pt" o:hralign="center" o:hrstd="t" o:hr="t" fillcolor="#a0a0a0" stroked="f"/>
        </w:pict>
      </w:r>
    </w:p>
    <w:p w:rsidR="00000000" w:rsidRDefault="00E92DBE">
      <w:pPr>
        <w:ind w:hanging="360"/>
        <w:jc w:val="both"/>
        <w:divId w:val="28281254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ind w:hanging="360"/>
        <w:jc w:val="both"/>
        <w:divId w:val="198515975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 provision for losses on unfunded lending commitments is included in the provision for credit losses in our consolidated statements of income and the related reserve is included in other liabilities on our consolidated balance sheets. Our reserve for un</w:t>
      </w:r>
      <w:r>
        <w:rPr>
          <w:rFonts w:eastAsia="Times New Roman"/>
          <w:color w:val="000000"/>
          <w:sz w:val="16"/>
          <w:szCs w:val="16"/>
        </w:rPr>
        <w:t>funded lending commitments totaled $187 million and $195 million as of March 31, 2021 and December 31, 2020, respectively.</w:t>
      </w:r>
    </w:p>
    <w:p w:rsidR="00000000" w:rsidRDefault="00E92DBE">
      <w:pPr>
        <w:ind w:hanging="360"/>
        <w:jc w:val="both"/>
        <w:divId w:val="1651594590"/>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and does</w:t>
      </w:r>
      <w:r>
        <w:rPr>
          <w:rFonts w:eastAsia="Times New Roman"/>
          <w:color w:val="000000"/>
          <w:sz w:val="16"/>
          <w:szCs w:val="16"/>
        </w:rPr>
        <w:t xml:space="preserve"> not include any allocations, such as funds transfer pricing.</w:t>
      </w:r>
    </w:p>
    <w:p w:rsidR="00000000" w:rsidRDefault="00E92DBE">
      <w:pPr>
        <w:ind w:hanging="360"/>
        <w:jc w:val="both"/>
        <w:divId w:val="252973601"/>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Nonperforming assets consist of nonperforming loans and other foreclosed assets. The total nonperforming asset rate is calculated based on total nonperforming assets divided by the combined p</w:t>
      </w:r>
      <w:r>
        <w:rPr>
          <w:rFonts w:eastAsia="Times New Roman"/>
          <w:color w:val="000000"/>
          <w:sz w:val="16"/>
          <w:szCs w:val="16"/>
        </w:rPr>
        <w:t>eriod-end total loans held for investment and other foreclosed assets.</w:t>
      </w:r>
    </w:p>
    <w:p w:rsidR="00000000" w:rsidRDefault="00E92DBE">
      <w:pPr>
        <w:ind w:hanging="360"/>
        <w:jc w:val="both"/>
        <w:divId w:val="2029797378"/>
        <w:rPr>
          <w:rFonts w:eastAsia="Times New Roman"/>
        </w:rPr>
      </w:pPr>
      <w:r>
        <w:rPr>
          <w:rFonts w:eastAsia="Times New Roman"/>
          <w:color w:val="000000"/>
          <w:sz w:val="16"/>
          <w:szCs w:val="16"/>
        </w:rPr>
        <w:t>**    Not meaningful.</w:t>
      </w:r>
    </w:p>
    <w:p w:rsidR="00000000" w:rsidRDefault="00E92DBE">
      <w:pPr>
        <w:jc w:val="both"/>
        <w:divId w:val="421533984"/>
        <w:rPr>
          <w:rFonts w:eastAsia="Times New Roman"/>
        </w:rPr>
      </w:pPr>
      <w:r>
        <w:rPr>
          <w:rFonts w:eastAsia="Times New Roman"/>
          <w:color w:val="000000"/>
          <w:sz w:val="20"/>
          <w:szCs w:val="20"/>
        </w:rPr>
        <w:t>Key factors affecting the results of our Commercial Banking business for the first quarter of 2021 compared to the first quarter of 2020, and changes in financial condition and credit performance between March 31, 2021 and December 31, 2020 include the fol</w:t>
      </w:r>
      <w:r>
        <w:rPr>
          <w:rFonts w:eastAsia="Times New Roman"/>
          <w:color w:val="000000"/>
          <w:sz w:val="20"/>
          <w:szCs w:val="20"/>
        </w:rPr>
        <w:t>lowing:</w:t>
      </w:r>
    </w:p>
    <w:p w:rsidR="00000000" w:rsidRDefault="00E92DBE">
      <w:pPr>
        <w:ind w:hanging="360"/>
        <w:jc w:val="both"/>
        <w:divId w:val="1750803939"/>
        <w:rPr>
          <w:rFonts w:eastAsia="Times New Roman"/>
        </w:rPr>
      </w:pPr>
      <w:r>
        <w:rPr>
          <w:rFonts w:eastAsia="Times New Roman"/>
          <w:color w:val="000000"/>
          <w:sz w:val="20"/>
          <w:szCs w:val="20"/>
        </w:rPr>
        <w:t>•</w:t>
      </w:r>
      <w:r>
        <w:rPr>
          <w:rFonts w:eastAsia="Times New Roman"/>
          <w:i/>
          <w:iCs/>
          <w:color w:val="000000"/>
          <w:sz w:val="20"/>
          <w:szCs w:val="20"/>
        </w:rPr>
        <w:t>Net Interest Income:</w:t>
      </w:r>
      <w:r>
        <w:rPr>
          <w:rFonts w:eastAsia="Times New Roman"/>
          <w:color w:val="000000"/>
          <w:sz w:val="20"/>
          <w:szCs w:val="20"/>
        </w:rPr>
        <w:t xml:space="preserve"> Net interest income increased by $29 million to $520 million in the first quarter of 2021 as higher margins and growth in average deposits were partially offset by lower average loans.</w:t>
      </w:r>
    </w:p>
    <w:p w:rsidR="00000000" w:rsidRDefault="00E92DBE">
      <w:pPr>
        <w:ind w:hanging="360"/>
        <w:jc w:val="both"/>
        <w:divId w:val="87893065"/>
        <w:rPr>
          <w:rFonts w:eastAsia="Times New Roman"/>
        </w:rPr>
      </w:pPr>
      <w:r>
        <w:rPr>
          <w:rFonts w:eastAsia="Times New Roman"/>
          <w:i/>
          <w:iCs/>
          <w:color w:val="000000"/>
          <w:sz w:val="20"/>
          <w:szCs w:val="20"/>
        </w:rPr>
        <w:t xml:space="preserve">•Non-Interest Income: </w:t>
      </w:r>
      <w:r>
        <w:rPr>
          <w:rFonts w:eastAsia="Times New Roman"/>
          <w:color w:val="000000"/>
          <w:sz w:val="20"/>
          <w:szCs w:val="20"/>
        </w:rPr>
        <w:t>Non-interest income</w:t>
      </w:r>
      <w:r>
        <w:rPr>
          <w:rFonts w:eastAsia="Times New Roman"/>
          <w:color w:val="000000"/>
          <w:sz w:val="20"/>
          <w:szCs w:val="20"/>
        </w:rPr>
        <w:t xml:space="preserve"> remained substantially flat at $240 million in the first quarter of 2021.</w:t>
      </w:r>
    </w:p>
    <w:p w:rsidR="00000000" w:rsidRDefault="00E92DBE">
      <w:pPr>
        <w:ind w:hanging="360"/>
        <w:jc w:val="both"/>
        <w:divId w:val="631443283"/>
        <w:rPr>
          <w:rFonts w:eastAsia="Times New Roman"/>
        </w:rPr>
      </w:pPr>
      <w:r>
        <w:rPr>
          <w:rFonts w:eastAsia="Times New Roman"/>
          <w:color w:val="000000"/>
          <w:sz w:val="18"/>
          <w:szCs w:val="18"/>
          <w:shd w:val="clear" w:color="auto" w:fill="FFFFFF"/>
        </w:rPr>
        <w:t>•</w:t>
      </w:r>
      <w:r>
        <w:rPr>
          <w:rFonts w:eastAsia="Times New Roman"/>
          <w:i/>
          <w:iCs/>
          <w:color w:val="000000"/>
          <w:sz w:val="20"/>
          <w:szCs w:val="20"/>
        </w:rPr>
        <w:t>Provision for Credit Losses:</w:t>
      </w:r>
      <w:r>
        <w:rPr>
          <w:rFonts w:eastAsia="Times New Roman"/>
          <w:color w:val="000000"/>
          <w:sz w:val="20"/>
          <w:szCs w:val="20"/>
        </w:rPr>
        <w:t xml:space="preserve"> Provision for credit losses decreased by $1.1 billion to a benefit of $203 million in the first quarter of 2021 driven by an allowance release in the f</w:t>
      </w:r>
      <w:r>
        <w:rPr>
          <w:rFonts w:eastAsia="Times New Roman"/>
          <w:color w:val="000000"/>
          <w:sz w:val="20"/>
          <w:szCs w:val="20"/>
        </w:rPr>
        <w:t>irst quarter of 2021 due to an improved economic outlook, compared to an allowance build in the first quarter of 2020 driven by the expected economic worsening and significant uncertainty at the start of the COVID-19 pandemic and deterioration in our energ</w:t>
      </w:r>
      <w:r>
        <w:rPr>
          <w:rFonts w:eastAsia="Times New Roman"/>
          <w:color w:val="000000"/>
          <w:sz w:val="20"/>
          <w:szCs w:val="20"/>
        </w:rPr>
        <w:t xml:space="preserve">y loan portfolio. </w:t>
      </w:r>
    </w:p>
    <w:p w:rsidR="00000000" w:rsidRDefault="00E92DBE">
      <w:pPr>
        <w:ind w:hanging="360"/>
        <w:jc w:val="both"/>
        <w:divId w:val="1731028012"/>
        <w:rPr>
          <w:rFonts w:eastAsia="Times New Roman"/>
        </w:rPr>
      </w:pPr>
      <w:r>
        <w:rPr>
          <w:rFonts w:eastAsia="Times New Roman"/>
          <w:color w:val="000000"/>
          <w:sz w:val="20"/>
          <w:szCs w:val="20"/>
        </w:rPr>
        <w:t>•</w:t>
      </w:r>
      <w:r>
        <w:rPr>
          <w:rFonts w:eastAsia="Times New Roman"/>
          <w:i/>
          <w:iCs/>
          <w:color w:val="000000"/>
          <w:sz w:val="20"/>
          <w:szCs w:val="20"/>
        </w:rPr>
        <w:t xml:space="preserve">Non-Interest Expense: </w:t>
      </w:r>
      <w:r>
        <w:rPr>
          <w:rFonts w:eastAsia="Times New Roman"/>
          <w:color w:val="000000"/>
          <w:sz w:val="20"/>
          <w:szCs w:val="20"/>
        </w:rPr>
        <w:t>Non-interest expense remained substantially flat at $419 million in the first quarter of 2021.</w:t>
      </w:r>
    </w:p>
    <w:p w:rsidR="00000000" w:rsidRDefault="00E92DBE">
      <w:pPr>
        <w:ind w:hanging="360"/>
        <w:jc w:val="both"/>
        <w:divId w:val="70272280"/>
        <w:rPr>
          <w:rFonts w:eastAsia="Times New Roman"/>
        </w:rPr>
      </w:pPr>
      <w:r>
        <w:rPr>
          <w:rFonts w:eastAsia="Times New Roman"/>
          <w:color w:val="000000"/>
          <w:sz w:val="20"/>
          <w:szCs w:val="20"/>
        </w:rPr>
        <w:t>•</w:t>
      </w:r>
      <w:r>
        <w:rPr>
          <w:rFonts w:eastAsia="Times New Roman"/>
          <w:i/>
          <w:iCs/>
          <w:color w:val="000000"/>
          <w:sz w:val="20"/>
          <w:szCs w:val="20"/>
        </w:rPr>
        <w:t>Loans Held for Investment:</w:t>
      </w:r>
      <w:r>
        <w:rPr>
          <w:rFonts w:eastAsia="Times New Roman"/>
          <w:color w:val="000000"/>
          <w:sz w:val="20"/>
          <w:szCs w:val="20"/>
        </w:rPr>
        <w:t xml:space="preserve"> Period-end loans held for investment decreased by $2.0 billion to $73.8 billion as of March</w:t>
      </w:r>
      <w:r>
        <w:rPr>
          <w:rFonts w:eastAsia="Times New Roman"/>
          <w:color w:val="000000"/>
          <w:sz w:val="20"/>
          <w:szCs w:val="20"/>
        </w:rPr>
        <w:t xml:space="preserve"> 31, 2021 from December 31, 2020, and average loans held for investment decreased by $2.3 billion to $74.2 billion in the first quarter of 2021 compared to the first quarter of 2020 driven by higher utilization of credit lines in 2020 due to the COVID-19 p</w:t>
      </w:r>
      <w:r>
        <w:rPr>
          <w:rFonts w:eastAsia="Times New Roman"/>
          <w:color w:val="000000"/>
          <w:sz w:val="20"/>
          <w:szCs w:val="20"/>
        </w:rPr>
        <w:t xml:space="preserve">andemic. </w:t>
      </w:r>
    </w:p>
    <w:p w:rsidR="00000000" w:rsidRDefault="00E92DBE">
      <w:pPr>
        <w:ind w:hanging="360"/>
        <w:jc w:val="both"/>
        <w:divId w:val="1415129274"/>
        <w:rPr>
          <w:rFonts w:eastAsia="Times New Roman"/>
        </w:rPr>
      </w:pPr>
      <w:r>
        <w:rPr>
          <w:rFonts w:eastAsia="Times New Roman"/>
          <w:color w:val="000000"/>
          <w:sz w:val="20"/>
          <w:szCs w:val="20"/>
        </w:rPr>
        <w:t>•</w:t>
      </w:r>
      <w:r>
        <w:rPr>
          <w:rFonts w:eastAsia="Times New Roman"/>
          <w:i/>
          <w:iCs/>
          <w:color w:val="000000"/>
          <w:sz w:val="20"/>
          <w:szCs w:val="20"/>
        </w:rPr>
        <w:t>Deposits:</w:t>
      </w:r>
      <w:r>
        <w:rPr>
          <w:rFonts w:eastAsia="Times New Roman"/>
          <w:color w:val="000000"/>
          <w:sz w:val="20"/>
          <w:szCs w:val="20"/>
        </w:rPr>
        <w:t xml:space="preserve"> Period-end deposits increased by $2.0 billion to $41.6 billion as of March 31, 2021 from December 31, 2020 primarily driven by elevated client liquidity.</w:t>
      </w:r>
    </w:p>
    <w:p w:rsidR="00000000" w:rsidRDefault="00E92DBE">
      <w:pPr>
        <w:ind w:hanging="360"/>
        <w:jc w:val="both"/>
        <w:divId w:val="1891259213"/>
        <w:rPr>
          <w:rFonts w:eastAsia="Times New Roman"/>
        </w:rPr>
      </w:pPr>
      <w:r>
        <w:rPr>
          <w:rFonts w:eastAsia="Times New Roman"/>
          <w:color w:val="000000"/>
          <w:sz w:val="20"/>
          <w:szCs w:val="20"/>
        </w:rPr>
        <w:t>•</w:t>
      </w:r>
      <w:r>
        <w:rPr>
          <w:rFonts w:eastAsia="Times New Roman"/>
          <w:i/>
          <w:iCs/>
          <w:color w:val="000000"/>
          <w:sz w:val="20"/>
          <w:szCs w:val="20"/>
        </w:rPr>
        <w:t>Net Charge-Off and Nonperforming Metrics:</w:t>
      </w:r>
      <w:r>
        <w:rPr>
          <w:rFonts w:eastAsia="Times New Roman"/>
          <w:color w:val="000000"/>
          <w:sz w:val="20"/>
          <w:szCs w:val="20"/>
        </w:rPr>
        <w:t xml:space="preserve"> The net charge-off rate decreased by 4</w:t>
      </w:r>
      <w:r>
        <w:rPr>
          <w:rFonts w:eastAsia="Times New Roman"/>
          <w:color w:val="000000"/>
          <w:sz w:val="20"/>
          <w:szCs w:val="20"/>
        </w:rPr>
        <w:t>8 basis points to 0.09% in the first quarter of 2021 primarily driven by lower charge-offs in our energy loan portfolio.</w:t>
      </w:r>
    </w:p>
    <w:p w:rsidR="00000000" w:rsidRDefault="00E92DBE">
      <w:pPr>
        <w:jc w:val="both"/>
        <w:divId w:val="1157769777"/>
        <w:rPr>
          <w:rFonts w:eastAsia="Times New Roman"/>
        </w:rPr>
      </w:pPr>
      <w:r>
        <w:rPr>
          <w:rFonts w:eastAsia="Times New Roman"/>
          <w:color w:val="000000"/>
          <w:sz w:val="20"/>
          <w:szCs w:val="20"/>
        </w:rPr>
        <w:t xml:space="preserve">The nonperforming loan rate increased by 6 basis points to 0.92% as of March 31, 2021 from December 31, 2020 driven by isolated credit </w:t>
      </w:r>
      <w:r>
        <w:rPr>
          <w:rFonts w:eastAsia="Times New Roman"/>
          <w:color w:val="000000"/>
          <w:sz w:val="20"/>
          <w:szCs w:val="20"/>
        </w:rPr>
        <w:t>downgrades in our real estate portfolio.</w:t>
      </w:r>
    </w:p>
    <w:p w:rsidR="00000000" w:rsidRDefault="00E92DBE">
      <w:pPr>
        <w:divId w:val="1065104983"/>
        <w:rPr>
          <w:rFonts w:eastAsia="Times New Roman"/>
        </w:rPr>
      </w:pPr>
      <w:r>
        <w:rPr>
          <w:rFonts w:eastAsia="Times New Roman"/>
          <w:b/>
          <w:bCs/>
          <w:color w:val="000000"/>
          <w:sz w:val="20"/>
          <w:szCs w:val="20"/>
        </w:rPr>
        <w:t>Other Category</w:t>
      </w:r>
    </w:p>
    <w:p w:rsidR="00000000" w:rsidRDefault="00E92DBE">
      <w:pPr>
        <w:jc w:val="both"/>
        <w:divId w:val="872497390"/>
        <w:rPr>
          <w:rFonts w:eastAsia="Times New Roman"/>
        </w:rPr>
      </w:pPr>
      <w:r>
        <w:rPr>
          <w:rFonts w:eastAsia="Times New Roman"/>
          <w:color w:val="000000"/>
          <w:sz w:val="20"/>
          <w:szCs w:val="20"/>
        </w:rPr>
        <w:t>Other includes unallocated amounts related to our centralized Corporate Treasury group activities, such as management of our corporate investment securities portfolio, asset/liability management and c</w:t>
      </w:r>
      <w:r>
        <w:rPr>
          <w:rFonts w:eastAsia="Times New Roman"/>
          <w:color w:val="000000"/>
          <w:sz w:val="20"/>
          <w:szCs w:val="20"/>
        </w:rPr>
        <w:t>ertain capital management activities. Other also includes:</w:t>
      </w:r>
    </w:p>
    <w:p w:rsidR="00000000" w:rsidRDefault="00E92DBE">
      <w:pPr>
        <w:ind w:hanging="360"/>
        <w:jc w:val="both"/>
        <w:divId w:val="146095362"/>
        <w:rPr>
          <w:rFonts w:eastAsia="Times New Roman"/>
        </w:rPr>
      </w:pPr>
      <w:r>
        <w:rPr>
          <w:rFonts w:eastAsia="Times New Roman"/>
          <w:color w:val="000000"/>
          <w:sz w:val="20"/>
          <w:szCs w:val="20"/>
        </w:rPr>
        <w:t>•unallocated corporate revenue and expenses that do not directly support the operations of the business segments or for which the business segments are not considered financially accountable in eva</w:t>
      </w:r>
      <w:r>
        <w:rPr>
          <w:rFonts w:eastAsia="Times New Roman"/>
          <w:color w:val="000000"/>
          <w:sz w:val="20"/>
          <w:szCs w:val="20"/>
        </w:rPr>
        <w:t>luating their performance, such as certain restructuring charges;</w:t>
      </w:r>
    </w:p>
    <w:p w:rsidR="00000000" w:rsidRDefault="00E92DBE">
      <w:pPr>
        <w:ind w:hanging="360"/>
        <w:jc w:val="both"/>
        <w:divId w:val="165486049"/>
        <w:rPr>
          <w:rFonts w:eastAsia="Times New Roman"/>
        </w:rPr>
      </w:pPr>
      <w:r>
        <w:rPr>
          <w:rFonts w:eastAsia="Times New Roman"/>
          <w:color w:val="000000"/>
          <w:sz w:val="20"/>
          <w:szCs w:val="20"/>
        </w:rPr>
        <w:t>•offsets related to certain line-item reclassifications;</w:t>
      </w:r>
    </w:p>
    <w:p w:rsidR="00000000" w:rsidRDefault="00E92DBE">
      <w:pPr>
        <w:ind w:hanging="360"/>
        <w:jc w:val="both"/>
        <w:divId w:val="1672102975"/>
        <w:rPr>
          <w:rFonts w:eastAsia="Times New Roman"/>
        </w:rPr>
      </w:pPr>
      <w:r>
        <w:rPr>
          <w:rFonts w:eastAsia="Times New Roman"/>
          <w:color w:val="000000"/>
          <w:sz w:val="20"/>
          <w:szCs w:val="20"/>
        </w:rPr>
        <w:t>•</w:t>
      </w:r>
      <w:r>
        <w:rPr>
          <w:rFonts w:eastAsia="Times New Roman"/>
          <w:color w:val="000000"/>
          <w:sz w:val="20"/>
          <w:szCs w:val="20"/>
        </w:rPr>
        <w:t>residual tax expense or benefit to arrive at the consolidated effective tax rate that is not assessed to our primary business segments; and</w:t>
      </w:r>
    </w:p>
    <w:p w:rsidR="00000000" w:rsidRDefault="00E92DBE">
      <w:pPr>
        <w:ind w:hanging="360"/>
        <w:jc w:val="both"/>
        <w:divId w:val="1212351580"/>
        <w:rPr>
          <w:rFonts w:eastAsia="Times New Roman"/>
        </w:rPr>
      </w:pPr>
      <w:r>
        <w:rPr>
          <w:rFonts w:eastAsia="Times New Roman"/>
          <w:color w:val="000000"/>
          <w:sz w:val="20"/>
          <w:szCs w:val="20"/>
        </w:rPr>
        <w:t>•foreign exchange-rate fluctuations on foreign currency-denominated balances.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28757990"/>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228757990"/>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228757990"/>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26</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51" style="width:0;height:1.5pt" o:hralign="center" o:hrstd="t" o:hr="t" fillcolor="#a0a0a0" stroked="f"/>
        </w:pict>
      </w:r>
    </w:p>
    <w:p w:rsidR="00000000" w:rsidRDefault="00E92DBE">
      <w:pPr>
        <w:ind w:hanging="360"/>
        <w:jc w:val="both"/>
        <w:divId w:val="1807552894"/>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2138715877"/>
        <w:rPr>
          <w:rFonts w:eastAsia="Times New Roman"/>
        </w:rPr>
      </w:pPr>
      <w:r>
        <w:rPr>
          <w:rFonts w:eastAsia="Times New Roman"/>
          <w:color w:val="000000"/>
          <w:sz w:val="20"/>
          <w:szCs w:val="20"/>
        </w:rPr>
        <w:t>Table 13 summarizes the financial results of our Other category for the periods indicated.</w:t>
      </w:r>
    </w:p>
    <w:p w:rsidR="00000000" w:rsidRDefault="00E92DBE">
      <w:pPr>
        <w:divId w:val="444234129"/>
        <w:rPr>
          <w:rFonts w:eastAsia="Times New Roman"/>
        </w:rPr>
      </w:pPr>
      <w:r>
        <w:rPr>
          <w:rFonts w:eastAsia="Times New Roman"/>
          <w:b/>
          <w:bCs/>
          <w:color w:val="000000"/>
          <w:sz w:val="18"/>
          <w:szCs w:val="18"/>
        </w:rPr>
        <w:t>Table 13: Other Category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4854"/>
        <w:gridCol w:w="37"/>
        <w:gridCol w:w="36"/>
        <w:gridCol w:w="36"/>
        <w:gridCol w:w="36"/>
        <w:gridCol w:w="110"/>
        <w:gridCol w:w="592"/>
        <w:gridCol w:w="36"/>
        <w:gridCol w:w="36"/>
        <w:gridCol w:w="36"/>
        <w:gridCol w:w="36"/>
        <w:gridCol w:w="110"/>
        <w:gridCol w:w="592"/>
        <w:gridCol w:w="36"/>
        <w:gridCol w:w="36"/>
        <w:gridCol w:w="36"/>
        <w:gridCol w:w="36"/>
        <w:gridCol w:w="55"/>
        <w:gridCol w:w="560"/>
        <w:gridCol w:w="17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210268341"/>
        </w:trPr>
        <w:tc>
          <w:tcPr>
            <w:tcW w:w="50" w:type="pct"/>
            <w:vAlign w:val="center"/>
            <w:hideMark/>
          </w:tcPr>
          <w:p w:rsidR="00000000" w:rsidRDefault="00E92DBE">
            <w:pPr>
              <w:rPr>
                <w:rFonts w:eastAsia="Times New Roman"/>
              </w:rPr>
            </w:pPr>
          </w:p>
        </w:tc>
        <w:tc>
          <w:tcPr>
            <w:tcW w:w="32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026834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1026834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026834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026834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interest income (loss)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026834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loss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0268341"/>
        </w:trPr>
        <w:tc>
          <w:tcPr>
            <w:tcW w:w="0" w:type="auto"/>
            <w:gridSpan w:val="3"/>
            <w:shd w:val="clear" w:color="auto" w:fill="FFFFFF"/>
            <w:tcMar>
              <w:top w:w="30" w:type="dxa"/>
              <w:left w:w="20" w:type="dxa"/>
              <w:bottom w:w="30" w:type="dxa"/>
              <w:right w:w="20" w:type="dxa"/>
            </w:tcMar>
            <w:vAlign w:val="center"/>
            <w:hideMark/>
          </w:tcPr>
          <w:p w:rsidR="00000000" w:rsidRDefault="00E92DBE">
            <w:pPr>
              <w:divId w:val="1413162486"/>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026834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026834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(42)</w:t>
            </w:r>
          </w:p>
        </w:tc>
        <w:tc>
          <w:tcPr>
            <w:tcW w:w="0" w:type="auto"/>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026834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026834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tax benefit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026834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1772162577"/>
        <w:rPr>
          <w:rFonts w:eastAsia="Times New Roman"/>
        </w:rPr>
      </w:pPr>
      <w:r>
        <w:rPr>
          <w:rFonts w:eastAsia="Times New Roman"/>
          <w:color w:val="000000"/>
          <w:sz w:val="20"/>
          <w:szCs w:val="20"/>
        </w:rPr>
        <w:t>__________</w:t>
      </w:r>
    </w:p>
    <w:p w:rsidR="00000000" w:rsidRDefault="00E92DBE">
      <w:pPr>
        <w:ind w:hanging="360"/>
        <w:jc w:val="both"/>
        <w:divId w:val="52189510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w:t>
      </w:r>
      <w:r>
        <w:rPr>
          <w:rFonts w:eastAsia="Times New Roman"/>
          <w:color w:val="000000"/>
          <w:sz w:val="16"/>
          <w:szCs w:val="16"/>
        </w:rPr>
        <w:t xml:space="preserve"> statutory tax rate of 21% and state taxes where applicable, with offsetting reductions to the Other category.</w:t>
      </w:r>
    </w:p>
    <w:p w:rsidR="00000000" w:rsidRDefault="00E92DBE">
      <w:pPr>
        <w:ind w:hanging="360"/>
        <w:jc w:val="both"/>
        <w:divId w:val="667485081"/>
        <w:rPr>
          <w:rFonts w:eastAsia="Times New Roman"/>
        </w:rPr>
      </w:pPr>
      <w:r>
        <w:rPr>
          <w:rFonts w:eastAsia="Times New Roman"/>
          <w:color w:val="000000"/>
          <w:sz w:val="16"/>
          <w:szCs w:val="16"/>
        </w:rPr>
        <w:t>**    Not meaningful.</w:t>
      </w:r>
    </w:p>
    <w:p w:rsidR="00000000" w:rsidRDefault="00E92DBE">
      <w:pPr>
        <w:jc w:val="both"/>
        <w:divId w:val="2089450755"/>
        <w:rPr>
          <w:rFonts w:eastAsia="Times New Roman"/>
        </w:rPr>
      </w:pPr>
      <w:r>
        <w:rPr>
          <w:rFonts w:eastAsia="Times New Roman"/>
          <w:color w:val="000000"/>
          <w:sz w:val="20"/>
          <w:szCs w:val="20"/>
        </w:rPr>
        <w:t>Net loss from continuing operations was $96 million in the first quarters of 2021, compared to net income of $114 million i</w:t>
      </w:r>
      <w:r>
        <w:rPr>
          <w:rFonts w:eastAsia="Times New Roman"/>
          <w:color w:val="000000"/>
          <w:sz w:val="20"/>
          <w:szCs w:val="20"/>
        </w:rPr>
        <w:t>n the first quarter of 2020, primarily driven by lower net interest income due to the declines in market interest rates, reduced funding needs of our business segments as compared to increased sources of funds, as well as a loss on our equity investment in</w:t>
      </w:r>
      <w:r>
        <w:rPr>
          <w:rFonts w:eastAsia="Times New Roman"/>
          <w:color w:val="000000"/>
          <w:sz w:val="20"/>
          <w:szCs w:val="20"/>
        </w:rPr>
        <w:t xml:space="preserve"> Snowflake Inc. that reduced our cumulative gain on this investment to $460 million.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45593039"/>
        </w:trPr>
        <w:tc>
          <w:tcPr>
            <w:tcW w:w="50" w:type="pct"/>
            <w:vAlign w:val="center"/>
            <w:hideMark/>
          </w:tcPr>
          <w:p w:rsidR="00000000" w:rsidRDefault="00E92DBE">
            <w:pPr>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34559303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CRITICAL ACCOUNTING POLICIES AND ESTIMATES</w:t>
            </w:r>
          </w:p>
        </w:tc>
      </w:tr>
    </w:tbl>
    <w:p w:rsidR="00000000" w:rsidRDefault="00E92DBE">
      <w:pPr>
        <w:jc w:val="both"/>
        <w:divId w:val="2063094007"/>
        <w:rPr>
          <w:rFonts w:eastAsia="Times New Roman"/>
        </w:rPr>
      </w:pPr>
      <w:r>
        <w:rPr>
          <w:rFonts w:eastAsia="Times New Roman"/>
          <w:color w:val="000000"/>
          <w:sz w:val="20"/>
          <w:szCs w:val="20"/>
        </w:rPr>
        <w:t>The preparation of financial statements in accordance with U.S. GAAP requires management to make a number of judgments, estimates and assumptions that affect the amount of assets, liabilities, income and expenses on the consolidated financial statements. U</w:t>
      </w:r>
      <w:r>
        <w:rPr>
          <w:rFonts w:eastAsia="Times New Roman"/>
          <w:color w:val="000000"/>
          <w:sz w:val="20"/>
          <w:szCs w:val="20"/>
        </w:rPr>
        <w:t xml:space="preserve">nderstanding our accounting policies and the extent to which we use management judgment and estimates in applying these policies is integral to understanding our financial statements. We provide a summary of our significant accounting policies under “Note </w:t>
      </w:r>
      <w:r>
        <w:rPr>
          <w:rFonts w:eastAsia="Times New Roman"/>
          <w:color w:val="000000"/>
          <w:sz w:val="20"/>
          <w:szCs w:val="20"/>
        </w:rPr>
        <w:t>1—Summary of Significant Accounting Policies” in our 2020 Form 10-K.</w:t>
      </w:r>
    </w:p>
    <w:p w:rsidR="00000000" w:rsidRDefault="00E92DBE">
      <w:pPr>
        <w:jc w:val="both"/>
        <w:divId w:val="824051356"/>
        <w:rPr>
          <w:rFonts w:eastAsia="Times New Roman"/>
        </w:rPr>
      </w:pPr>
      <w:r>
        <w:rPr>
          <w:rFonts w:eastAsia="Times New Roman"/>
          <w:color w:val="000000"/>
          <w:sz w:val="20"/>
          <w:szCs w:val="20"/>
        </w:rPr>
        <w:t xml:space="preserve">We have identified the following accounting estimates as critical because they require significant judgments and assumptions about highly complex and inherently uncertain matters and the </w:t>
      </w:r>
      <w:r>
        <w:rPr>
          <w:rFonts w:eastAsia="Times New Roman"/>
          <w:color w:val="000000"/>
          <w:sz w:val="20"/>
          <w:szCs w:val="20"/>
        </w:rPr>
        <w:t>use of reasonably different estimates and assumptions could have a material impact on our results of operations or financial condition. Our critical accounting policies and estimates are as follows:</w:t>
      </w:r>
    </w:p>
    <w:p w:rsidR="00000000" w:rsidRDefault="00E92DBE">
      <w:pPr>
        <w:ind w:hanging="360"/>
        <w:divId w:val="727804044"/>
        <w:rPr>
          <w:rFonts w:eastAsia="Times New Roman"/>
        </w:rPr>
      </w:pPr>
      <w:r>
        <w:rPr>
          <w:rFonts w:eastAsia="Times New Roman"/>
          <w:color w:val="000000"/>
          <w:sz w:val="20"/>
          <w:szCs w:val="20"/>
        </w:rPr>
        <w:t>•Loan loss reserves</w:t>
      </w:r>
    </w:p>
    <w:p w:rsidR="00000000" w:rsidRDefault="00E92DBE">
      <w:pPr>
        <w:ind w:hanging="360"/>
        <w:divId w:val="1488329101"/>
        <w:rPr>
          <w:rFonts w:eastAsia="Times New Roman"/>
        </w:rPr>
      </w:pPr>
      <w:r>
        <w:rPr>
          <w:rFonts w:eastAsia="Times New Roman"/>
          <w:color w:val="000000"/>
          <w:sz w:val="20"/>
          <w:szCs w:val="20"/>
        </w:rPr>
        <w:t>•Asset impairment</w:t>
      </w:r>
    </w:p>
    <w:p w:rsidR="00000000" w:rsidRDefault="00E92DBE">
      <w:pPr>
        <w:ind w:hanging="360"/>
        <w:divId w:val="1052073052"/>
        <w:rPr>
          <w:rFonts w:eastAsia="Times New Roman"/>
        </w:rPr>
      </w:pPr>
      <w:r>
        <w:rPr>
          <w:rFonts w:eastAsia="Times New Roman"/>
          <w:color w:val="000000"/>
          <w:sz w:val="20"/>
          <w:szCs w:val="20"/>
        </w:rPr>
        <w:t>•Fair value of fina</w:t>
      </w:r>
      <w:r>
        <w:rPr>
          <w:rFonts w:eastAsia="Times New Roman"/>
          <w:color w:val="000000"/>
          <w:sz w:val="20"/>
          <w:szCs w:val="20"/>
        </w:rPr>
        <w:t>ncial instruments</w:t>
      </w:r>
    </w:p>
    <w:p w:rsidR="00000000" w:rsidRDefault="00E92DBE">
      <w:pPr>
        <w:ind w:hanging="360"/>
        <w:divId w:val="1529559994"/>
        <w:rPr>
          <w:rFonts w:eastAsia="Times New Roman"/>
        </w:rPr>
      </w:pPr>
      <w:r>
        <w:rPr>
          <w:rFonts w:eastAsia="Times New Roman"/>
          <w:color w:val="000000"/>
          <w:sz w:val="20"/>
          <w:szCs w:val="20"/>
        </w:rPr>
        <w:t>•Customer rewards reserve</w:t>
      </w:r>
    </w:p>
    <w:p w:rsidR="00000000" w:rsidRDefault="00E92DBE">
      <w:pPr>
        <w:jc w:val="both"/>
        <w:divId w:val="2026512447"/>
        <w:rPr>
          <w:rFonts w:eastAsia="Times New Roman"/>
        </w:rPr>
      </w:pPr>
      <w:r>
        <w:rPr>
          <w:rFonts w:eastAsia="Times New Roman"/>
          <w:color w:val="000000"/>
          <w:sz w:val="20"/>
          <w:szCs w:val="20"/>
        </w:rPr>
        <w:t xml:space="preserve">We evaluate our critical accounting estimates and judgments on an ongoing basis and update them as necessary, based on changing conditions. </w:t>
      </w:r>
    </w:p>
    <w:p w:rsidR="00000000" w:rsidRDefault="00E92DBE">
      <w:pPr>
        <w:divId w:val="435904141"/>
        <w:rPr>
          <w:rFonts w:eastAsia="Times New Roman"/>
        </w:rPr>
      </w:pPr>
      <w:r>
        <w:rPr>
          <w:rFonts w:eastAsia="Times New Roman"/>
          <w:b/>
          <w:bCs/>
          <w:color w:val="000000"/>
          <w:sz w:val="20"/>
          <w:szCs w:val="20"/>
        </w:rPr>
        <w:t>Asset Impairment</w:t>
      </w:r>
    </w:p>
    <w:p w:rsidR="00000000" w:rsidRDefault="00E92DBE">
      <w:pPr>
        <w:jc w:val="both"/>
        <w:divId w:val="2121215708"/>
        <w:rPr>
          <w:rFonts w:eastAsia="Times New Roman"/>
        </w:rPr>
      </w:pPr>
      <w:r>
        <w:rPr>
          <w:rFonts w:eastAsia="Times New Roman"/>
          <w:color w:val="000000"/>
          <w:sz w:val="20"/>
          <w:szCs w:val="20"/>
        </w:rPr>
        <w:t>In addition to our loan portfolio, we review other ass</w:t>
      </w:r>
      <w:r>
        <w:rPr>
          <w:rFonts w:eastAsia="Times New Roman"/>
          <w:color w:val="000000"/>
          <w:sz w:val="20"/>
          <w:szCs w:val="20"/>
        </w:rPr>
        <w:t>ets for impairment on a regular basis in accordance with applicable accounting guidance. This process requires significant management judgment and involves various estimates and assumptions. Below we describe our process for assessing impairment of goodwil</w:t>
      </w:r>
      <w:r>
        <w:rPr>
          <w:rFonts w:eastAsia="Times New Roman"/>
          <w:color w:val="000000"/>
          <w:sz w:val="20"/>
          <w:szCs w:val="20"/>
        </w:rPr>
        <w:t>l and the key estimates and assumptions involved in this process.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13848616"/>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913848616"/>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913848616"/>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27</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52" style="width:0;height:1.5pt" o:hralign="center" o:hrstd="t" o:hr="t" fillcolor="#a0a0a0" stroked="f"/>
        </w:pict>
      </w:r>
    </w:p>
    <w:p w:rsidR="00000000" w:rsidRDefault="00E92DBE">
      <w:pPr>
        <w:ind w:hanging="360"/>
        <w:jc w:val="both"/>
        <w:divId w:val="180619962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570969031"/>
        <w:rPr>
          <w:rFonts w:eastAsia="Times New Roman"/>
        </w:rPr>
      </w:pPr>
      <w:r>
        <w:rPr>
          <w:rFonts w:eastAsia="Times New Roman"/>
          <w:b/>
          <w:bCs/>
          <w:i/>
          <w:iCs/>
          <w:color w:val="000000"/>
          <w:sz w:val="20"/>
          <w:szCs w:val="20"/>
        </w:rPr>
        <w:t>Goodwill</w:t>
      </w:r>
    </w:p>
    <w:p w:rsidR="00000000" w:rsidRDefault="00E92DBE">
      <w:pPr>
        <w:jc w:val="both"/>
        <w:divId w:val="953290445"/>
        <w:rPr>
          <w:rFonts w:eastAsia="Times New Roman"/>
        </w:rPr>
      </w:pPr>
      <w:r>
        <w:rPr>
          <w:rFonts w:eastAsia="Times New Roman"/>
          <w:color w:val="000000"/>
          <w:sz w:val="20"/>
          <w:szCs w:val="20"/>
        </w:rPr>
        <w:t>We perform our goodwill impairment test annually on October 1 at a reporting unit level. As of our last annual test and as of March 31, 2021, we had four reporting units which included Credit Card, Auto Finance, Other Consumer Banking and Commercial Bankin</w:t>
      </w:r>
      <w:r>
        <w:rPr>
          <w:rFonts w:eastAsia="Times New Roman"/>
          <w:color w:val="000000"/>
          <w:sz w:val="20"/>
          <w:szCs w:val="20"/>
        </w:rPr>
        <w:t>g. We are also required to test goodwill for impairment when a triggering event occurs that indicates it is more likely than not that the fair value of a reporting unit is below its carrying amount. We have continued to evaluate the potential impact of the</w:t>
      </w:r>
      <w:r>
        <w:rPr>
          <w:rFonts w:eastAsia="Times New Roman"/>
          <w:color w:val="000000"/>
          <w:sz w:val="20"/>
          <w:szCs w:val="20"/>
        </w:rPr>
        <w:t xml:space="preserve"> COVID-19 pandemic on our goodwill impairment analysis and have considered recent market events and trends. We determined it was more likely than not that the fair value of our reporting units remained in excess of their carrying values as of March 31, 202</w:t>
      </w:r>
      <w:r>
        <w:rPr>
          <w:rFonts w:eastAsia="Times New Roman"/>
          <w:color w:val="000000"/>
          <w:sz w:val="20"/>
          <w:szCs w:val="20"/>
        </w:rPr>
        <w:t>1. We will continue to monitor developments regarding the COVID-19 pandemic and measures implemented in response to the COVID-19 pandemic, our market capitalization, overall economic conditions and any other triggering events or circumstances that may caus</w:t>
      </w:r>
      <w:r>
        <w:rPr>
          <w:rFonts w:eastAsia="Times New Roman"/>
          <w:color w:val="000000"/>
          <w:sz w:val="20"/>
          <w:szCs w:val="20"/>
        </w:rPr>
        <w:t xml:space="preserve">e an impairment of goodwill in the future. </w:t>
      </w:r>
    </w:p>
    <w:p w:rsidR="00000000" w:rsidRDefault="00E92DBE">
      <w:pPr>
        <w:jc w:val="both"/>
        <w:divId w:val="1811164648"/>
        <w:rPr>
          <w:rFonts w:eastAsia="Times New Roman"/>
        </w:rPr>
      </w:pPr>
      <w:r>
        <w:rPr>
          <w:rFonts w:eastAsia="Times New Roman"/>
          <w:color w:val="000000"/>
          <w:sz w:val="20"/>
          <w:szCs w:val="20"/>
        </w:rPr>
        <w:t>There have been no additional changes to our critical accounting policies and estimates described in our December 31, 2020 Form 10-K under “MD&amp;A—Critical Accounting Policies and Estimates.”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71137565"/>
        </w:trPr>
        <w:tc>
          <w:tcPr>
            <w:tcW w:w="50" w:type="pct"/>
            <w:vAlign w:val="center"/>
            <w:hideMark/>
          </w:tcPr>
          <w:p w:rsidR="00000000" w:rsidRDefault="00E92DBE">
            <w:pPr>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27113756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ACCOUNTING CHANGES AND DEVELOPMENTS</w:t>
            </w:r>
          </w:p>
        </w:tc>
      </w:tr>
    </w:tbl>
    <w:p w:rsidR="00000000" w:rsidRDefault="00E92DBE">
      <w:pPr>
        <w:divId w:val="1878540263"/>
        <w:rPr>
          <w:rFonts w:eastAsia="Times New Roman"/>
        </w:rPr>
      </w:pPr>
      <w:r>
        <w:rPr>
          <w:rFonts w:eastAsia="Times New Roman"/>
          <w:b/>
          <w:bCs/>
          <w:color w:val="000000"/>
          <w:sz w:val="20"/>
          <w:szCs w:val="20"/>
        </w:rPr>
        <w:t xml:space="preserve">Accounting Standards Issued but Not Adopted as of March 31, 2021 </w:t>
      </w:r>
    </w:p>
    <w:tbl>
      <w:tblPr>
        <w:tblW w:w="4970" w:type="pct"/>
        <w:jc w:val="center"/>
        <w:tblCellMar>
          <w:top w:w="15" w:type="dxa"/>
          <w:left w:w="15" w:type="dxa"/>
          <w:bottom w:w="15" w:type="dxa"/>
          <w:right w:w="15" w:type="dxa"/>
        </w:tblCellMar>
        <w:tblLook w:val="04A0" w:firstRow="1" w:lastRow="0" w:firstColumn="1" w:lastColumn="0" w:noHBand="0" w:noVBand="1"/>
      </w:tblPr>
      <w:tblGrid>
        <w:gridCol w:w="58"/>
        <w:gridCol w:w="2592"/>
        <w:gridCol w:w="36"/>
        <w:gridCol w:w="36"/>
        <w:gridCol w:w="36"/>
        <w:gridCol w:w="36"/>
        <w:gridCol w:w="41"/>
        <w:gridCol w:w="2593"/>
        <w:gridCol w:w="36"/>
        <w:gridCol w:w="36"/>
        <w:gridCol w:w="36"/>
        <w:gridCol w:w="36"/>
        <w:gridCol w:w="42"/>
        <w:gridCol w:w="2606"/>
        <w:gridCol w:w="36"/>
      </w:tblGrid>
      <w:tr w:rsidR="00000000">
        <w:trPr>
          <w:jc w:val="center"/>
        </w:trPr>
        <w:tc>
          <w:tcPr>
            <w:tcW w:w="50" w:type="pct"/>
            <w:vAlign w:val="center"/>
            <w:hideMark/>
          </w:tcPr>
          <w:p w:rsidR="00000000" w:rsidRDefault="00E92DBE">
            <w:pPr>
              <w:rPr>
                <w:rFonts w:eastAsia="Times New Roman"/>
              </w:rPr>
            </w:pPr>
          </w:p>
        </w:tc>
        <w:tc>
          <w:tcPr>
            <w:tcW w:w="15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5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59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jc w:val="both"/>
        <w:rPr>
          <w:rFonts w:eastAsia="Times New Roman"/>
        </w:rPr>
      </w:pPr>
      <w:r>
        <w:rPr>
          <w:rFonts w:eastAsia="Times New Roman"/>
          <w:color w:val="000000"/>
          <w:sz w:val="20"/>
          <w:szCs w:val="20"/>
        </w:rPr>
        <w:t>There were no relevant new accounting standards issued but not adopted as of March 31, 2021. See “Note 1—Summary of Significant Accounting Policies” for information on the accounting standards we adopted in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21454943"/>
        </w:trPr>
        <w:tc>
          <w:tcPr>
            <w:tcW w:w="50" w:type="pct"/>
            <w:vAlign w:val="center"/>
            <w:hideMark/>
          </w:tcPr>
          <w:p w:rsidR="00000000" w:rsidRDefault="00E92DBE">
            <w:pPr>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221454943"/>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20"/>
                <w:szCs w:val="20"/>
              </w:rPr>
              <w:t>CAPITAL MANAGEMENT</w:t>
            </w:r>
          </w:p>
        </w:tc>
      </w:tr>
    </w:tbl>
    <w:p w:rsidR="00000000" w:rsidRDefault="00E92DBE">
      <w:pPr>
        <w:jc w:val="both"/>
        <w:divId w:val="415251580"/>
        <w:rPr>
          <w:rFonts w:eastAsia="Times New Roman"/>
        </w:rPr>
      </w:pPr>
      <w:r>
        <w:rPr>
          <w:rFonts w:eastAsia="Times New Roman"/>
          <w:color w:val="000000"/>
          <w:sz w:val="20"/>
          <w:szCs w:val="20"/>
        </w:rPr>
        <w:t>The level and composition of our capital are determined by multiple factors, including our consolidated regulatory capital requirements and internal risk-based capital assessments such as internal stress testing and economic capital. The level and composit</w:t>
      </w:r>
      <w:r>
        <w:rPr>
          <w:rFonts w:eastAsia="Times New Roman"/>
          <w:color w:val="000000"/>
          <w:sz w:val="20"/>
          <w:szCs w:val="20"/>
        </w:rPr>
        <w:t>ion of our capital may also be influenced by rating agency guidelines, subsidiary capital requirements, business environment, conditions in the financial markets and assessments of potential future losses due to adverse changes in our business and market e</w:t>
      </w:r>
      <w:r>
        <w:rPr>
          <w:rFonts w:eastAsia="Times New Roman"/>
          <w:color w:val="000000"/>
          <w:sz w:val="20"/>
          <w:szCs w:val="20"/>
        </w:rPr>
        <w:t>nvironments.</w:t>
      </w:r>
    </w:p>
    <w:p w:rsidR="00000000" w:rsidRDefault="00E92DBE">
      <w:pPr>
        <w:divId w:val="114523223"/>
        <w:rPr>
          <w:rFonts w:eastAsia="Times New Roman"/>
        </w:rPr>
      </w:pPr>
      <w:r>
        <w:rPr>
          <w:rFonts w:eastAsia="Times New Roman"/>
          <w:b/>
          <w:bCs/>
          <w:color w:val="000000"/>
          <w:sz w:val="20"/>
          <w:szCs w:val="20"/>
        </w:rPr>
        <w:t>Capital Standards and Prompt Corrective Action</w:t>
      </w:r>
    </w:p>
    <w:p w:rsidR="00000000" w:rsidRDefault="00E92DBE">
      <w:pPr>
        <w:jc w:val="both"/>
        <w:divId w:val="1203176228"/>
        <w:rPr>
          <w:rFonts w:eastAsia="Times New Roman"/>
        </w:rPr>
      </w:pPr>
      <w:r>
        <w:rPr>
          <w:rFonts w:eastAsia="Times New Roman"/>
          <w:color w:val="000000"/>
          <w:sz w:val="20"/>
          <w:szCs w:val="20"/>
        </w:rPr>
        <w:t>The Company and the Banks are subject to the Basel III Capital Rules established by the Board of Governors of the Federal Reserve System (“Federal Reserve”) and the Office of the Comptroller of th</w:t>
      </w:r>
      <w:r>
        <w:rPr>
          <w:rFonts w:eastAsia="Times New Roman"/>
          <w:color w:val="000000"/>
          <w:sz w:val="20"/>
          <w:szCs w:val="20"/>
        </w:rPr>
        <w:t xml:space="preserve">e Currency (“OCC”) respectively (the “Basel III Capital Rules”). The Basel III Capital Rules implement certain capital and liquidity requirements published by the Basel Committee on Banking Supervision (“Basel Committee”), along with certain provisions of </w:t>
      </w:r>
      <w:r>
        <w:rPr>
          <w:rFonts w:eastAsia="Times New Roman"/>
          <w:color w:val="000000"/>
          <w:sz w:val="20"/>
          <w:szCs w:val="20"/>
        </w:rPr>
        <w:t>the Dodd-Frank Wall Street Reform and Consumer Protection Act of 2010 (“Dodd-Frank Act”) and other capital provisions. Moreover, the Banks, as insured depository institutions, are subject to prompt corrective action (“PCA”) capital regulations.</w:t>
      </w:r>
    </w:p>
    <w:p w:rsidR="00000000" w:rsidRDefault="00E92DBE">
      <w:pPr>
        <w:jc w:val="both"/>
        <w:divId w:val="1972903962"/>
        <w:rPr>
          <w:rFonts w:eastAsia="Times New Roman"/>
        </w:rPr>
      </w:pPr>
      <w:r>
        <w:rPr>
          <w:rFonts w:eastAsia="Times New Roman"/>
          <w:b/>
          <w:bCs/>
          <w:i/>
          <w:iCs/>
          <w:color w:val="000000"/>
          <w:sz w:val="20"/>
          <w:szCs w:val="20"/>
        </w:rPr>
        <w:t>Basel III a</w:t>
      </w:r>
      <w:r>
        <w:rPr>
          <w:rFonts w:eastAsia="Times New Roman"/>
          <w:b/>
          <w:bCs/>
          <w:i/>
          <w:iCs/>
          <w:color w:val="000000"/>
          <w:sz w:val="20"/>
          <w:szCs w:val="20"/>
        </w:rPr>
        <w:t>nd United States Capital Rules</w:t>
      </w:r>
    </w:p>
    <w:p w:rsidR="00000000" w:rsidRDefault="00E92DBE">
      <w:pPr>
        <w:jc w:val="both"/>
        <w:divId w:val="494222451"/>
        <w:rPr>
          <w:rFonts w:eastAsia="Times New Roman"/>
        </w:rPr>
      </w:pPr>
      <w:r>
        <w:rPr>
          <w:rFonts w:eastAsia="Times New Roman"/>
          <w:color w:val="000000"/>
          <w:sz w:val="20"/>
          <w:szCs w:val="20"/>
        </w:rPr>
        <w:t>Under the Basel III Capital Rules, we must maintain a minimum common equity Tier 1 (“CET1”) capital ratio of 4.5%, a Tier 1 capital ratio of 6.0%, and a total capital ratio of 8.0%, in each case in relation to risk-weighted a</w:t>
      </w:r>
      <w:r>
        <w:rPr>
          <w:rFonts w:eastAsia="Times New Roman"/>
          <w:color w:val="000000"/>
          <w:sz w:val="20"/>
          <w:szCs w:val="20"/>
        </w:rPr>
        <w:t>ssets. In addition, we must maintain a minimum leverage ratio of 4.0% and a minimum supplementary leverage ratio of 3.0%. We are also subject to the capital conservation buffer and countercyclical capital buffer requirements, as described below.</w:t>
      </w:r>
    </w:p>
    <w:p w:rsidR="00000000" w:rsidRDefault="00E92DBE">
      <w:pPr>
        <w:jc w:val="both"/>
        <w:divId w:val="888109569"/>
        <w:rPr>
          <w:rFonts w:eastAsia="Times New Roman"/>
        </w:rPr>
      </w:pPr>
      <w:r>
        <w:rPr>
          <w:rFonts w:eastAsia="Times New Roman"/>
          <w:color w:val="000000"/>
          <w:sz w:val="20"/>
          <w:szCs w:val="20"/>
        </w:rPr>
        <w:t>In October</w:t>
      </w:r>
      <w:r>
        <w:rPr>
          <w:rFonts w:eastAsia="Times New Roman"/>
          <w:color w:val="000000"/>
          <w:sz w:val="20"/>
          <w:szCs w:val="20"/>
        </w:rPr>
        <w:t xml:space="preserve"> 2019, the Federal Reserve, OCC and Federal Deposit Insurance Corporation (the “FDIC,” and collectively, the Federal Banking Agencies”) amended the Basel III Capital Rules to provide for tailored application of certain capital requirements across different</w:t>
      </w:r>
      <w:r>
        <w:rPr>
          <w:rFonts w:eastAsia="Times New Roman"/>
          <w:color w:val="000000"/>
          <w:sz w:val="20"/>
          <w:szCs w:val="20"/>
        </w:rPr>
        <w:t xml:space="preserve"> categories of banking institutions (the “Tailoring Rules”). These categories are determined primarily by an institution’s asset size, with adjustments to a more stringent category possible if the institution exceeds certain risk-based thresholds. As a ban</w:t>
      </w:r>
      <w:r>
        <w:rPr>
          <w:rFonts w:eastAsia="Times New Roman"/>
          <w:color w:val="000000"/>
          <w:sz w:val="20"/>
          <w:szCs w:val="20"/>
        </w:rPr>
        <w:t>k holding company (“BHC”) with total consolidated assets of at least $250 billion that does not exceed any of the applicable risk-based thresholds, we are a Category III institution under the Tailoring Rules. Therefore, effective January 1, 2020, we are no</w:t>
      </w:r>
      <w:r>
        <w:rPr>
          <w:rFonts w:eastAsia="Times New Roman"/>
          <w:color w:val="000000"/>
          <w:sz w:val="20"/>
          <w:szCs w:val="20"/>
        </w:rPr>
        <w:t xml:space="preserve"> longer subject to the Basel III “Advanced Approaches” framework and certain associated capital requirements, and we have elected to exclude certain elements of accumulated other comprehensive income (“AOCI”) from our regulatory capital as permitted by the</w:t>
      </w:r>
      <w:r>
        <w:rPr>
          <w:rFonts w:eastAsia="Times New Roman"/>
          <w:color w:val="000000"/>
          <w:sz w:val="20"/>
          <w:szCs w:val="20"/>
        </w:rPr>
        <w:t xml:space="preserve"> Tailoring Rules. We remain subject to the countercyclical capital buffer requirement (which is currently set at 0%) and supplementary leverage ratio requirement, which were previously required only for Basel III Advanced Approaches institutions.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6441019"/>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26441019"/>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26441019"/>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28</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53" style="width:0;height:1.5pt" o:hralign="center" o:hrstd="t" o:hr="t" fillcolor="#a0a0a0" stroked="f"/>
        </w:pict>
      </w:r>
    </w:p>
    <w:p w:rsidR="00000000" w:rsidRDefault="00E92DBE">
      <w:pPr>
        <w:ind w:hanging="360"/>
        <w:jc w:val="both"/>
        <w:divId w:val="242305017"/>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1622498680"/>
        <w:rPr>
          <w:rFonts w:eastAsia="Times New Roman"/>
        </w:rPr>
      </w:pPr>
      <w:r>
        <w:rPr>
          <w:rFonts w:eastAsia="Times New Roman"/>
          <w:color w:val="000000"/>
          <w:sz w:val="20"/>
          <w:szCs w:val="20"/>
        </w:rPr>
        <w:t>Global systemically important banks (“G-SIBs”) that are based in the U.S. are subject to an additional CET1 capital requirement known as the G-S</w:t>
      </w:r>
      <w:r>
        <w:rPr>
          <w:rFonts w:eastAsia="Times New Roman"/>
          <w:color w:val="000000"/>
          <w:sz w:val="20"/>
          <w:szCs w:val="20"/>
        </w:rPr>
        <w:t>IB Surcharge. We are not a G-SIB based on the most recent available data and thus we are not subject to a G-SIB Surcharge.</w:t>
      </w:r>
    </w:p>
    <w:p w:rsidR="00000000" w:rsidRDefault="00E92DBE">
      <w:pPr>
        <w:jc w:val="both"/>
        <w:divId w:val="2051227022"/>
        <w:rPr>
          <w:rFonts w:eastAsia="Times New Roman"/>
        </w:rPr>
      </w:pPr>
      <w:r>
        <w:rPr>
          <w:rFonts w:eastAsia="Times New Roman"/>
          <w:b/>
          <w:bCs/>
          <w:i/>
          <w:iCs/>
          <w:color w:val="000000"/>
          <w:sz w:val="20"/>
          <w:szCs w:val="20"/>
        </w:rPr>
        <w:t>Stress Capital Buffer Rule</w:t>
      </w:r>
    </w:p>
    <w:p w:rsidR="00000000" w:rsidRDefault="00E92DBE">
      <w:pPr>
        <w:jc w:val="both"/>
        <w:divId w:val="452018558"/>
        <w:rPr>
          <w:rFonts w:eastAsia="Times New Roman"/>
        </w:rPr>
      </w:pPr>
      <w:r>
        <w:rPr>
          <w:rFonts w:eastAsia="Times New Roman"/>
          <w:color w:val="000000"/>
          <w:sz w:val="20"/>
          <w:szCs w:val="20"/>
        </w:rPr>
        <w:t>The Basel III Capital Rules require banking institutions to maintain a capital conservation buffer, compos</w:t>
      </w:r>
      <w:r>
        <w:rPr>
          <w:rFonts w:eastAsia="Times New Roman"/>
          <w:color w:val="000000"/>
          <w:sz w:val="20"/>
          <w:szCs w:val="20"/>
        </w:rPr>
        <w:t>ed of CET1 capital, above the regulatory minimum ratios. The capital conservation buffer for BHCs was previously fixed at 2.5%. In March 2020, the Federal Reserve issued a final rule to implement the stress capital buffer requirement (the “Stress Capital B</w:t>
      </w:r>
      <w:r>
        <w:rPr>
          <w:rFonts w:eastAsia="Times New Roman"/>
          <w:color w:val="000000"/>
          <w:sz w:val="20"/>
          <w:szCs w:val="20"/>
        </w:rPr>
        <w:t>uffer Rule”). The stress capital buffer requirement is institution-specific and replaces the fixed 2.5% capital conservation buffer for BHCs.</w:t>
      </w:r>
    </w:p>
    <w:p w:rsidR="00000000" w:rsidRDefault="00E92DBE">
      <w:pPr>
        <w:jc w:val="both"/>
        <w:divId w:val="197284953"/>
        <w:rPr>
          <w:rFonts w:eastAsia="Times New Roman"/>
        </w:rPr>
      </w:pPr>
      <w:r>
        <w:rPr>
          <w:rFonts w:eastAsia="Times New Roman"/>
          <w:color w:val="000000"/>
          <w:sz w:val="20"/>
          <w:szCs w:val="20"/>
        </w:rPr>
        <w:t>Pursuant to the Stress Capital Buffer Rule, the Federal Reserve will use the results of its supervisory stress test to determine the size of a BHC’s stress capital buffer requirement. In particular, a BHC’s stress capital buffer requirement will equal, sub</w:t>
      </w:r>
      <w:r>
        <w:rPr>
          <w:rFonts w:eastAsia="Times New Roman"/>
          <w:color w:val="000000"/>
          <w:sz w:val="20"/>
          <w:szCs w:val="20"/>
        </w:rPr>
        <w:t>ject to a floor of 2.5%, the sum of (i) the difference between the BHC’s starting CET1 capital ratio and its lowest projected CET1 capital ratio under the severely adverse scenario of the Federal Reserve’s supervisory stress test plus (ii) the ratio of the</w:t>
      </w:r>
      <w:r>
        <w:rPr>
          <w:rFonts w:eastAsia="Times New Roman"/>
          <w:color w:val="000000"/>
          <w:sz w:val="20"/>
          <w:szCs w:val="20"/>
        </w:rPr>
        <w:t xml:space="preserve"> BHC’s projected four quarters of common stock dividends (for the fourth to seventh quarters of the planning horizon) to the projected risk-weighted assets for the quarter in which the BHC’s projected CET1 capital ratio reaches its minimum under the superv</w:t>
      </w:r>
      <w:r>
        <w:rPr>
          <w:rFonts w:eastAsia="Times New Roman"/>
          <w:color w:val="000000"/>
          <w:sz w:val="20"/>
          <w:szCs w:val="20"/>
        </w:rPr>
        <w:t>isory stress test.</w:t>
      </w:r>
    </w:p>
    <w:p w:rsidR="00000000" w:rsidRDefault="00E92DBE">
      <w:pPr>
        <w:jc w:val="both"/>
        <w:divId w:val="66726455"/>
        <w:rPr>
          <w:rFonts w:eastAsia="Times New Roman"/>
        </w:rPr>
      </w:pPr>
      <w:r>
        <w:rPr>
          <w:rFonts w:eastAsia="Times New Roman"/>
          <w:color w:val="000000"/>
          <w:sz w:val="20"/>
          <w:szCs w:val="20"/>
        </w:rPr>
        <w:t>Under the Stress Capital Buffer Rule framework, the Company’s new “standardized approach capital conservation buffer” includes its stress capital buffer requirement (which will be recalibrated every year based on the Company’s supervisor</w:t>
      </w:r>
      <w:r>
        <w:rPr>
          <w:rFonts w:eastAsia="Times New Roman"/>
          <w:color w:val="000000"/>
          <w:sz w:val="20"/>
          <w:szCs w:val="20"/>
        </w:rPr>
        <w:t>y stress test results), any G-SIB surcharge (which is not applicable to us) and the countercyclical capital buffer requirement (which is currently set at 0%). Any determination to increase the countercyclical capital buffer generally would be effective twe</w:t>
      </w:r>
      <w:r>
        <w:rPr>
          <w:rFonts w:eastAsia="Times New Roman"/>
          <w:color w:val="000000"/>
          <w:sz w:val="20"/>
          <w:szCs w:val="20"/>
        </w:rPr>
        <w:t>lve months after the announcement of such an increase, unless the Federal Banking Agencies set an earlier effective date.</w:t>
      </w:r>
    </w:p>
    <w:p w:rsidR="00000000" w:rsidRDefault="00E92DBE">
      <w:pPr>
        <w:jc w:val="both"/>
        <w:divId w:val="604002543"/>
        <w:rPr>
          <w:rFonts w:eastAsia="Times New Roman"/>
        </w:rPr>
      </w:pPr>
      <w:r>
        <w:rPr>
          <w:rFonts w:eastAsia="Times New Roman"/>
          <w:color w:val="000000"/>
          <w:sz w:val="20"/>
          <w:szCs w:val="20"/>
        </w:rPr>
        <w:t>The Company’s stress capital buffer requirement is 5.6% for the period from October 1, 2020 through September 30, 2021, at which point</w:t>
      </w:r>
      <w:r>
        <w:rPr>
          <w:rFonts w:eastAsia="Times New Roman"/>
          <w:color w:val="000000"/>
          <w:sz w:val="20"/>
          <w:szCs w:val="20"/>
        </w:rPr>
        <w:t xml:space="preserve"> a revised stress capital buffer requirement will be applicable to the Company based on the Company’s 2021 stress testing results. Therefore, the Company’s minimum capital requirements plus the standardized approach capital conservation buffer for CET1 cap</w:t>
      </w:r>
      <w:r>
        <w:rPr>
          <w:rFonts w:eastAsia="Times New Roman"/>
          <w:color w:val="000000"/>
          <w:sz w:val="20"/>
          <w:szCs w:val="20"/>
        </w:rPr>
        <w:t xml:space="preserve">ital, Tier 1 capital and total capital ratios under the stress capital buffer framework are 10.1%, 11.6% and 13.6%, respectively, for the period from October 1, 2020 through September 30, 2021. </w:t>
      </w:r>
    </w:p>
    <w:p w:rsidR="00000000" w:rsidRDefault="00E92DBE">
      <w:pPr>
        <w:jc w:val="both"/>
        <w:divId w:val="2057317850"/>
        <w:rPr>
          <w:rFonts w:eastAsia="Times New Roman"/>
        </w:rPr>
      </w:pPr>
      <w:r>
        <w:rPr>
          <w:rFonts w:eastAsia="Times New Roman"/>
          <w:color w:val="000000"/>
          <w:sz w:val="20"/>
          <w:szCs w:val="20"/>
        </w:rPr>
        <w:t>The Stress Capital Buffer Rule does not apply to the Banks. T</w:t>
      </w:r>
      <w:r>
        <w:rPr>
          <w:rFonts w:eastAsia="Times New Roman"/>
          <w:color w:val="000000"/>
          <w:sz w:val="20"/>
          <w:szCs w:val="20"/>
        </w:rPr>
        <w:t xml:space="preserve">he capital conservation buffer for the Banks continues to be fixed at 2.5%. Accordingly, each Bank’s minimum capital requirements plus its capital conservation buffer for CET1 capital, Tier 1 capital and total capital ratios remain at 7.0%, 8.5% and 10.5% </w:t>
      </w:r>
      <w:r>
        <w:rPr>
          <w:rFonts w:eastAsia="Times New Roman"/>
          <w:color w:val="000000"/>
          <w:sz w:val="20"/>
          <w:szCs w:val="20"/>
        </w:rPr>
        <w:t>respectively.</w:t>
      </w:r>
    </w:p>
    <w:p w:rsidR="00000000" w:rsidRDefault="00E92DBE">
      <w:pPr>
        <w:jc w:val="both"/>
        <w:divId w:val="354578832"/>
        <w:rPr>
          <w:rFonts w:eastAsia="Times New Roman"/>
        </w:rPr>
      </w:pPr>
      <w:r>
        <w:rPr>
          <w:rFonts w:eastAsia="Times New Roman"/>
          <w:color w:val="000000"/>
          <w:sz w:val="20"/>
          <w:szCs w:val="20"/>
        </w:rPr>
        <w:t>If we fail to maintain our capital ratios above the minimum capital requirements plus the applicable buffer requirements, we will face increasingly strict automatic limitations on capital distributions and discretionary bonus payments to cert</w:t>
      </w:r>
      <w:r>
        <w:rPr>
          <w:rFonts w:eastAsia="Times New Roman"/>
          <w:color w:val="000000"/>
          <w:sz w:val="20"/>
          <w:szCs w:val="20"/>
        </w:rPr>
        <w:t>ain executive officers.</w:t>
      </w:r>
    </w:p>
    <w:p w:rsidR="00000000" w:rsidRDefault="00E92DBE">
      <w:pPr>
        <w:jc w:val="both"/>
        <w:divId w:val="950164104"/>
        <w:rPr>
          <w:rFonts w:eastAsia="Times New Roman"/>
        </w:rPr>
      </w:pPr>
      <w:r>
        <w:rPr>
          <w:rFonts w:eastAsia="Times New Roman"/>
          <w:color w:val="000000"/>
          <w:sz w:val="20"/>
          <w:szCs w:val="20"/>
        </w:rPr>
        <w:t>As of March 31, 2021 and December 31, 2020, respectively, each of the Company and the Banks exceeded the minimum capital requirements and the buffer requirements applicable to them, and each of the Banks was “well capitalized” under</w:t>
      </w:r>
      <w:r>
        <w:rPr>
          <w:rFonts w:eastAsia="Times New Roman"/>
          <w:color w:val="000000"/>
          <w:sz w:val="20"/>
          <w:szCs w:val="20"/>
        </w:rPr>
        <w:t xml:space="preserve"> PCA requirements.</w:t>
      </w:r>
    </w:p>
    <w:p w:rsidR="00000000" w:rsidRDefault="00E92DBE">
      <w:pPr>
        <w:jc w:val="both"/>
        <w:divId w:val="921378845"/>
        <w:rPr>
          <w:rFonts w:eastAsia="Times New Roman"/>
        </w:rPr>
      </w:pPr>
      <w:r>
        <w:rPr>
          <w:rFonts w:eastAsia="Times New Roman"/>
          <w:b/>
          <w:bCs/>
          <w:i/>
          <w:iCs/>
          <w:color w:val="000000"/>
          <w:sz w:val="20"/>
          <w:szCs w:val="20"/>
        </w:rPr>
        <w:t>Market Risk Rule</w:t>
      </w:r>
    </w:p>
    <w:p w:rsidR="00000000" w:rsidRDefault="00E92DBE">
      <w:pPr>
        <w:jc w:val="both"/>
        <w:divId w:val="223294242"/>
        <w:rPr>
          <w:rFonts w:eastAsia="Times New Roman"/>
        </w:rPr>
      </w:pPr>
      <w:r>
        <w:rPr>
          <w:rFonts w:eastAsia="Times New Roman"/>
          <w:color w:val="000000"/>
          <w:sz w:val="20"/>
          <w:szCs w:val="20"/>
        </w:rPr>
        <w:t>The “Market Risk Rule” supplements the Basel III Capital Rules by requiring institutions subject to the rule to adjust their risk-based capital ratios to reflect the market risk in their trading portfolios. The Market Ri</w:t>
      </w:r>
      <w:r>
        <w:rPr>
          <w:rFonts w:eastAsia="Times New Roman"/>
          <w:color w:val="000000"/>
          <w:sz w:val="20"/>
          <w:szCs w:val="20"/>
        </w:rPr>
        <w:t>sk Rule generally applies to institutions with aggregate trading assets and liabilities equal to 10% or more of total assets or $1 billion or more. As of March 31, 2021, the Company and CONA are subject to the Market Risk Rule. See “MD&amp;A—Market Risk Profil</w:t>
      </w:r>
      <w:r>
        <w:rPr>
          <w:rFonts w:eastAsia="Times New Roman"/>
          <w:color w:val="000000"/>
          <w:sz w:val="20"/>
          <w:szCs w:val="20"/>
        </w:rPr>
        <w:t xml:space="preserve">e” below for additional information. </w:t>
      </w:r>
    </w:p>
    <w:p w:rsidR="00000000" w:rsidRDefault="00E92DBE">
      <w:pPr>
        <w:jc w:val="both"/>
        <w:divId w:val="680669522"/>
        <w:rPr>
          <w:rFonts w:eastAsia="Times New Roman"/>
        </w:rPr>
      </w:pPr>
      <w:r>
        <w:rPr>
          <w:rFonts w:eastAsia="Times New Roman"/>
          <w:b/>
          <w:bCs/>
          <w:i/>
          <w:iCs/>
          <w:color w:val="000000"/>
          <w:sz w:val="20"/>
          <w:szCs w:val="20"/>
        </w:rPr>
        <w:t>CECL Transition Rule</w:t>
      </w:r>
    </w:p>
    <w:p w:rsidR="00000000" w:rsidRDefault="00E92DBE">
      <w:pPr>
        <w:jc w:val="both"/>
        <w:divId w:val="914390706"/>
        <w:rPr>
          <w:rFonts w:eastAsia="Times New Roman"/>
        </w:rPr>
      </w:pPr>
      <w:r>
        <w:rPr>
          <w:rFonts w:eastAsia="Times New Roman"/>
          <w:color w:val="000000"/>
          <w:sz w:val="20"/>
          <w:szCs w:val="20"/>
        </w:rPr>
        <w:t>As part of their response to the COVID-19 pandemic, the Federal Banking Agencies adopted a final rule (the “2020 CECL Transition Rule”) that provides banking institutions an optional five-year tran</w:t>
      </w:r>
      <w:r>
        <w:rPr>
          <w:rFonts w:eastAsia="Times New Roman"/>
          <w:color w:val="000000"/>
          <w:sz w:val="20"/>
          <w:szCs w:val="20"/>
        </w:rPr>
        <w:t>sition period to phase in the impact of the CECL standard on their regulatory capital (the “2020 CECL Transition Election”).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04909349"/>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704909349"/>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704909349"/>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29</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54" style="width:0;height:1.5pt" o:hralign="center" o:hrstd="t" o:hr="t" fillcolor="#a0a0a0" stroked="f"/>
        </w:pict>
      </w:r>
    </w:p>
    <w:p w:rsidR="00000000" w:rsidRDefault="00E92DBE">
      <w:pPr>
        <w:ind w:hanging="360"/>
        <w:jc w:val="both"/>
        <w:divId w:val="683436060"/>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2062243647"/>
        <w:rPr>
          <w:rFonts w:eastAsia="Times New Roman"/>
        </w:rPr>
      </w:pPr>
      <w:r>
        <w:rPr>
          <w:rFonts w:eastAsia="Times New Roman"/>
          <w:color w:val="000000"/>
          <w:sz w:val="20"/>
          <w:szCs w:val="20"/>
        </w:rPr>
        <w:t>Pursuant to the 2020 CECL Transition Rule, a banking institution may elect to delay the estimated impact of adopting CECL on its regulatory capital through December 31, 2021 and then phase in the estimated cumulative impact from January 1, 2022 through Dec</w:t>
      </w:r>
      <w:r>
        <w:rPr>
          <w:rFonts w:eastAsia="Times New Roman"/>
          <w:color w:val="000000"/>
          <w:sz w:val="20"/>
          <w:szCs w:val="20"/>
        </w:rPr>
        <w:t>ember 31, 2024. For the “day 2” ongoing impact of CECL during the initial two years, the Federal Banking Agencies use a uniform “scaling factor” of 25% as an approximation of the increase in the allowance under the CECL standard compared to the prior incur</w:t>
      </w:r>
      <w:r>
        <w:rPr>
          <w:rFonts w:eastAsia="Times New Roman"/>
          <w:color w:val="000000"/>
          <w:sz w:val="20"/>
          <w:szCs w:val="20"/>
        </w:rPr>
        <w:t>red loss methodology. Accordingly, from January 1, 2020 through December 31, 2021, electing banking institutions are permitted to add back to their regulatory capital an amount equal to the sum of the after-tax “day 1” CECL adoption impact and 25% of the i</w:t>
      </w:r>
      <w:r>
        <w:rPr>
          <w:rFonts w:eastAsia="Times New Roman"/>
          <w:color w:val="000000"/>
          <w:sz w:val="20"/>
          <w:szCs w:val="20"/>
        </w:rPr>
        <w:t>ncrease in the allowance since the adoption of the CECL standard. Beginning January 1, 2022 through December 31, 2024, the after-tax “day 1” CECL adoption impact and the cumulative “day 2” ongoing impact will be phased in to regulatory capital at 25% per y</w:t>
      </w:r>
      <w:r>
        <w:rPr>
          <w:rFonts w:eastAsia="Times New Roman"/>
          <w:color w:val="000000"/>
          <w:sz w:val="20"/>
          <w:szCs w:val="20"/>
        </w:rPr>
        <w:t>ear. The following table summarizes the capital impact delay and phase in period on our regulatory capital from years 2020 to 2025.</w:t>
      </w:r>
    </w:p>
    <w:tbl>
      <w:tblPr>
        <w:tblW w:w="4963" w:type="pct"/>
        <w:tblCellMar>
          <w:top w:w="15" w:type="dxa"/>
          <w:left w:w="15" w:type="dxa"/>
          <w:bottom w:w="15" w:type="dxa"/>
          <w:right w:w="15" w:type="dxa"/>
        </w:tblCellMar>
        <w:tblLook w:val="04A0" w:firstRow="1" w:lastRow="0" w:firstColumn="1" w:lastColumn="0" w:noHBand="0" w:noVBand="1"/>
      </w:tblPr>
      <w:tblGrid>
        <w:gridCol w:w="53"/>
        <w:gridCol w:w="2299"/>
        <w:gridCol w:w="37"/>
        <w:gridCol w:w="36"/>
        <w:gridCol w:w="36"/>
        <w:gridCol w:w="36"/>
        <w:gridCol w:w="48"/>
        <w:gridCol w:w="775"/>
        <w:gridCol w:w="39"/>
        <w:gridCol w:w="38"/>
        <w:gridCol w:w="38"/>
        <w:gridCol w:w="38"/>
        <w:gridCol w:w="48"/>
        <w:gridCol w:w="773"/>
        <w:gridCol w:w="38"/>
        <w:gridCol w:w="36"/>
        <w:gridCol w:w="36"/>
        <w:gridCol w:w="36"/>
        <w:gridCol w:w="50"/>
        <w:gridCol w:w="775"/>
        <w:gridCol w:w="36"/>
        <w:gridCol w:w="36"/>
        <w:gridCol w:w="36"/>
        <w:gridCol w:w="36"/>
        <w:gridCol w:w="50"/>
        <w:gridCol w:w="776"/>
        <w:gridCol w:w="36"/>
        <w:gridCol w:w="36"/>
        <w:gridCol w:w="36"/>
        <w:gridCol w:w="36"/>
        <w:gridCol w:w="50"/>
        <w:gridCol w:w="789"/>
        <w:gridCol w:w="36"/>
        <w:gridCol w:w="36"/>
        <w:gridCol w:w="36"/>
        <w:gridCol w:w="36"/>
        <w:gridCol w:w="54"/>
        <w:gridCol w:w="793"/>
        <w:gridCol w:w="36"/>
      </w:tblGrid>
      <w:tr w:rsidR="00000000">
        <w:trPr>
          <w:divId w:val="1955139148"/>
        </w:trPr>
        <w:tc>
          <w:tcPr>
            <w:tcW w:w="50" w:type="pct"/>
            <w:vAlign w:val="center"/>
            <w:hideMark/>
          </w:tcPr>
          <w:p w:rsidR="00000000" w:rsidRDefault="00E92DBE">
            <w:pPr>
              <w:jc w:val="both"/>
              <w:rPr>
                <w:rFonts w:eastAsia="Times New Roman"/>
              </w:rPr>
            </w:pPr>
          </w:p>
        </w:tc>
        <w:tc>
          <w:tcPr>
            <w:tcW w:w="14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955139148"/>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Capital Impact Delayed</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Phase In Period</w:t>
            </w:r>
          </w:p>
        </w:tc>
      </w:tr>
      <w:tr w:rsidR="00000000">
        <w:trPr>
          <w:divId w:val="1955139148"/>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2025</w:t>
            </w:r>
          </w:p>
        </w:tc>
      </w:tr>
      <w:tr w:rsidR="00000000">
        <w:trPr>
          <w:divId w:val="1955139148"/>
          <w:trHeight w:val="48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“Day 1” CECL adoption impact</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color w:val="000000"/>
                <w:sz w:val="18"/>
                <w:szCs w:val="18"/>
              </w:rPr>
              <w:t>Capital impact delayed to 2022</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color w:val="000000"/>
                <w:sz w:val="18"/>
                <w:szCs w:val="18"/>
              </w:rPr>
              <w:t>25% Phased In</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color w:val="000000"/>
                <w:sz w:val="18"/>
                <w:szCs w:val="18"/>
              </w:rPr>
              <w:t>50% Phased In</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color w:val="000000"/>
                <w:sz w:val="18"/>
                <w:szCs w:val="18"/>
              </w:rPr>
              <w:t>75% Phased In</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color w:val="000000"/>
                <w:sz w:val="18"/>
                <w:szCs w:val="18"/>
              </w:rPr>
              <w:t>Fully Phased In</w:t>
            </w:r>
          </w:p>
        </w:tc>
      </w:tr>
      <w:tr w:rsidR="00000000">
        <w:trPr>
          <w:divId w:val="1955139148"/>
          <w:trHeight w:val="640"/>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 xml:space="preserve">Cumulative “day 2” </w:t>
            </w:r>
            <w:r>
              <w:rPr>
                <w:rFonts w:eastAsia="Times New Roman"/>
                <w:color w:val="000000"/>
                <w:sz w:val="18"/>
                <w:szCs w:val="18"/>
              </w:rPr>
              <w:t>ongoing impact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92DBE">
            <w:pP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color w:val="000000"/>
                <w:sz w:val="18"/>
                <w:szCs w:val="18"/>
              </w:rPr>
              <w:t> 25% scaling factor as an approximation of the increase in allowance under CECL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E92DBE">
            <w:pPr>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E92DBE">
            <w:pPr>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E92DBE">
            <w:pPr>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E92DBE">
            <w:pPr>
              <w:rPr>
                <w:rFonts w:eastAsia="Times New Roman"/>
              </w:rPr>
            </w:pPr>
          </w:p>
        </w:tc>
      </w:tr>
    </w:tbl>
    <w:p w:rsidR="00000000" w:rsidRDefault="00E92DBE">
      <w:pPr>
        <w:jc w:val="both"/>
        <w:divId w:val="1940290153"/>
        <w:rPr>
          <w:rFonts w:eastAsia="Times New Roman"/>
        </w:rPr>
      </w:pPr>
      <w:r>
        <w:rPr>
          <w:rFonts w:eastAsia="Times New Roman"/>
          <w:color w:val="000000"/>
          <w:sz w:val="20"/>
          <w:szCs w:val="20"/>
        </w:rPr>
        <w:t>We adopted the CECL standard (for accounting purposes) as of January 1, 2020, and made the 2020 CECL Transition Election (for regulatory capital purposes) in the first quarter of 2020. Therefore, the applicable amounts presented in this Report reflect such</w:t>
      </w:r>
      <w:r>
        <w:rPr>
          <w:rFonts w:eastAsia="Times New Roman"/>
          <w:color w:val="000000"/>
          <w:sz w:val="20"/>
          <w:szCs w:val="20"/>
        </w:rPr>
        <w:t xml:space="preserve"> election. </w:t>
      </w:r>
    </w:p>
    <w:p w:rsidR="00000000" w:rsidRDefault="00E92DBE">
      <w:pPr>
        <w:jc w:val="both"/>
        <w:divId w:val="676540358"/>
        <w:rPr>
          <w:rFonts w:eastAsia="Times New Roman"/>
        </w:rPr>
      </w:pPr>
      <w:r>
        <w:rPr>
          <w:rFonts w:eastAsia="Times New Roman"/>
          <w:b/>
          <w:bCs/>
          <w:i/>
          <w:iCs/>
          <w:color w:val="000000"/>
          <w:sz w:val="20"/>
          <w:szCs w:val="20"/>
        </w:rPr>
        <w:t>Temporary Exclusions for Supplementary Leverage Ratio</w:t>
      </w:r>
    </w:p>
    <w:p w:rsidR="00000000" w:rsidRDefault="00E92DBE">
      <w:pPr>
        <w:jc w:val="both"/>
        <w:divId w:val="1654210853"/>
        <w:rPr>
          <w:rFonts w:eastAsia="Times New Roman"/>
        </w:rPr>
      </w:pPr>
      <w:r>
        <w:rPr>
          <w:rFonts w:eastAsia="Times New Roman"/>
          <w:color w:val="000000"/>
          <w:sz w:val="20"/>
          <w:szCs w:val="20"/>
        </w:rPr>
        <w:t>In April 2020, as part of the response to the COVID-19 pandemic, the Federal Reserve issued an interim final rule that temporarily excludes U.S. Treasury securities and deposits at Federal Reserve Banks from the calculation of the supplementary leverage ra</w:t>
      </w:r>
      <w:r>
        <w:rPr>
          <w:rFonts w:eastAsia="Times New Roman"/>
          <w:color w:val="000000"/>
          <w:sz w:val="20"/>
          <w:szCs w:val="20"/>
        </w:rPr>
        <w:t>tio for BHCs. These temporary exclusions remained in effect through March 31, 2021 and expired as scheduled thereafter. The Company’s supplementary leverage ratio as of March 31, 2021 reflected these temporary exclusions. Without these temporary exclusions</w:t>
      </w:r>
      <w:r>
        <w:rPr>
          <w:rFonts w:eastAsia="Times New Roman"/>
          <w:color w:val="000000"/>
          <w:sz w:val="20"/>
          <w:szCs w:val="20"/>
        </w:rPr>
        <w:t>, we would have remained substantially in excess of the 3% regulatory minimum as of March 31, 2021.</w:t>
      </w:r>
    </w:p>
    <w:p w:rsidR="00000000" w:rsidRDefault="00E92DBE">
      <w:pPr>
        <w:jc w:val="both"/>
        <w:divId w:val="1016082952"/>
        <w:rPr>
          <w:rFonts w:eastAsia="Times New Roman"/>
        </w:rPr>
      </w:pPr>
      <w:r>
        <w:rPr>
          <w:rFonts w:eastAsia="Times New Roman"/>
          <w:color w:val="000000"/>
          <w:sz w:val="20"/>
          <w:szCs w:val="20"/>
        </w:rPr>
        <w:t>In May 2020, the Federal Banking Agencies issued an interim final rule that provides an option for depository institutions to make similar exclusions to the</w:t>
      </w:r>
      <w:r>
        <w:rPr>
          <w:rFonts w:eastAsia="Times New Roman"/>
          <w:color w:val="000000"/>
          <w:sz w:val="20"/>
          <w:szCs w:val="20"/>
        </w:rPr>
        <w:t xml:space="preserve"> calculation of the supplementary leverage ratio. If a depository institution elects to make such exclusions, it must request prior approval from its primary federal banking regulator before making capital distributions, such as paying dividends to its par</w:t>
      </w:r>
      <w:r>
        <w:rPr>
          <w:rFonts w:eastAsia="Times New Roman"/>
          <w:color w:val="000000"/>
          <w:sz w:val="20"/>
          <w:szCs w:val="20"/>
        </w:rPr>
        <w:t>ent company, for as long as the exclusions are in effect. These temporary exclusions remained in effect for electing institutions through March 31, 2021 and expired as scheduled thereafter. Neither CONA nor COBNA elected to make such exclusions.</w:t>
      </w:r>
    </w:p>
    <w:p w:rsidR="00000000" w:rsidRDefault="00E92DBE">
      <w:pPr>
        <w:jc w:val="both"/>
        <w:divId w:val="1976447178"/>
        <w:rPr>
          <w:rFonts w:eastAsia="Times New Roman"/>
        </w:rPr>
      </w:pPr>
      <w:r>
        <w:rPr>
          <w:rFonts w:eastAsia="Times New Roman"/>
          <w:color w:val="000000"/>
          <w:sz w:val="20"/>
          <w:szCs w:val="20"/>
        </w:rPr>
        <w:t>For the de</w:t>
      </w:r>
      <w:r>
        <w:rPr>
          <w:rFonts w:eastAsia="Times New Roman"/>
          <w:color w:val="000000"/>
          <w:sz w:val="20"/>
          <w:szCs w:val="20"/>
        </w:rPr>
        <w:t>scription of the regulatory capital rules we are subject to, see “MD&amp;A—Supervision and Regulation” in this Report as well as “Part I—Item 1. Business—Supervision and Regulation” 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11320371"/>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411320371"/>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411320371"/>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30</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55" style="width:0;height:1.5pt" o:hralign="center" o:hrstd="t" o:hr="t" fillcolor="#a0a0a0" stroked="f"/>
        </w:pict>
      </w:r>
    </w:p>
    <w:p w:rsidR="00000000" w:rsidRDefault="00E92DBE">
      <w:pPr>
        <w:ind w:hanging="360"/>
        <w:jc w:val="both"/>
        <w:divId w:val="1314480400"/>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133839610"/>
        <w:rPr>
          <w:rFonts w:eastAsia="Times New Roman"/>
        </w:rPr>
      </w:pPr>
      <w:r>
        <w:rPr>
          <w:rFonts w:eastAsia="Times New Roman"/>
          <w:color w:val="000000"/>
          <w:sz w:val="20"/>
          <w:szCs w:val="20"/>
        </w:rPr>
        <w:t>Table 14 provides a comparison of our regulatory capital ratios under the Basel III Standardized Approach, the regulatory minimum capital adequacy ratios and the PCA well-capitalized level for each ratio, where applicable, as of March 31, 2021 and December</w:t>
      </w:r>
      <w:r>
        <w:rPr>
          <w:rFonts w:eastAsia="Times New Roman"/>
          <w:color w:val="000000"/>
          <w:sz w:val="20"/>
          <w:szCs w:val="20"/>
        </w:rPr>
        <w:t xml:space="preserve"> 31, 2020.</w:t>
      </w:r>
    </w:p>
    <w:p w:rsidR="00000000" w:rsidRDefault="00E92DBE">
      <w:pPr>
        <w:divId w:val="714358084"/>
        <w:rPr>
          <w:rFonts w:eastAsia="Times New Roman"/>
        </w:rPr>
      </w:pPr>
      <w:r>
        <w:rPr>
          <w:rFonts w:eastAsia="Times New Roman"/>
          <w:b/>
          <w:bCs/>
          <w:color w:val="000000"/>
          <w:sz w:val="18"/>
          <w:szCs w:val="18"/>
        </w:rPr>
        <w:t>Table 14: Capital Ratios Under Basel II</w:t>
      </w:r>
      <w:r>
        <w:rPr>
          <w:rFonts w:eastAsia="Times New Roman"/>
          <w:b/>
          <w:bCs/>
          <w:color w:val="000000"/>
          <w:sz w:val="18"/>
          <w:szCs w:val="18"/>
        </w:rPr>
        <w:t>I</w:t>
      </w:r>
      <w:r>
        <w:rPr>
          <w:rFonts w:eastAsia="Times New Roman"/>
          <w:b/>
          <w:bCs/>
          <w:color w:val="000000"/>
          <w:sz w:val="12"/>
          <w:szCs w:val="12"/>
        </w:rPr>
        <w:t>(1)(2</w:t>
      </w:r>
      <w:r>
        <w:rPr>
          <w:rFonts w:eastAsia="Times New Roman"/>
          <w:b/>
          <w:bCs/>
          <w:color w:val="000000"/>
          <w:sz w:val="12"/>
          <w:szCs w:val="12"/>
        </w:rPr>
        <w:t>)</w:t>
      </w:r>
    </w:p>
    <w:tbl>
      <w:tblPr>
        <w:tblW w:w="4978" w:type="pct"/>
        <w:tblCellMar>
          <w:top w:w="15" w:type="dxa"/>
          <w:left w:w="15" w:type="dxa"/>
          <w:bottom w:w="15" w:type="dxa"/>
          <w:right w:w="15" w:type="dxa"/>
        </w:tblCellMar>
        <w:tblLook w:val="04A0" w:firstRow="1" w:lastRow="0" w:firstColumn="1" w:lastColumn="0" w:noHBand="0" w:noVBand="1"/>
      </w:tblPr>
      <w:tblGrid>
        <w:gridCol w:w="39"/>
        <w:gridCol w:w="2554"/>
        <w:gridCol w:w="38"/>
        <w:gridCol w:w="36"/>
        <w:gridCol w:w="36"/>
        <w:gridCol w:w="36"/>
        <w:gridCol w:w="52"/>
        <w:gridCol w:w="357"/>
        <w:gridCol w:w="200"/>
        <w:gridCol w:w="36"/>
        <w:gridCol w:w="36"/>
        <w:gridCol w:w="36"/>
        <w:gridCol w:w="87"/>
        <w:gridCol w:w="630"/>
        <w:gridCol w:w="200"/>
        <w:gridCol w:w="36"/>
        <w:gridCol w:w="36"/>
        <w:gridCol w:w="36"/>
        <w:gridCol w:w="93"/>
        <w:gridCol w:w="721"/>
        <w:gridCol w:w="200"/>
        <w:gridCol w:w="36"/>
        <w:gridCol w:w="36"/>
        <w:gridCol w:w="36"/>
        <w:gridCol w:w="52"/>
        <w:gridCol w:w="357"/>
        <w:gridCol w:w="170"/>
        <w:gridCol w:w="36"/>
        <w:gridCol w:w="36"/>
        <w:gridCol w:w="36"/>
        <w:gridCol w:w="87"/>
        <w:gridCol w:w="630"/>
        <w:gridCol w:w="170"/>
        <w:gridCol w:w="36"/>
        <w:gridCol w:w="36"/>
        <w:gridCol w:w="36"/>
        <w:gridCol w:w="92"/>
        <w:gridCol w:w="722"/>
        <w:gridCol w:w="170"/>
      </w:tblGrid>
      <w:tr w:rsidR="00000000">
        <w:trPr>
          <w:divId w:val="172884841"/>
        </w:trPr>
        <w:tc>
          <w:tcPr>
            <w:tcW w:w="50" w:type="pct"/>
            <w:vAlign w:val="center"/>
            <w:hideMark/>
          </w:tcPr>
          <w:p w:rsidR="00000000" w:rsidRDefault="00E92DBE">
            <w:pPr>
              <w:rPr>
                <w:rFonts w:eastAsia="Times New Roman"/>
              </w:rPr>
            </w:pPr>
          </w:p>
        </w:tc>
        <w:tc>
          <w:tcPr>
            <w:tcW w:w="21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7288484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172884841"/>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Minimum</w:t>
            </w:r>
            <w:r>
              <w:rPr>
                <w:rFonts w:eastAsia="Times New Roman"/>
                <w:b/>
                <w:bCs/>
                <w:color w:val="000000"/>
                <w:sz w:val="16"/>
                <w:szCs w:val="16"/>
              </w:rPr>
              <w:b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Minimum</w:t>
            </w:r>
            <w:r>
              <w:rPr>
                <w:rFonts w:eastAsia="Times New Roman"/>
                <w:b/>
                <w:bCs/>
                <w:color w:val="000000"/>
                <w:sz w:val="16"/>
                <w:szCs w:val="16"/>
              </w:rPr>
              <w:b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r>
      <w:tr w:rsidR="00000000">
        <w:trPr>
          <w:divId w:val="17288484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Capital One Financial Corp:</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2884841"/>
        </w:trPr>
        <w:tc>
          <w:tcPr>
            <w:tcW w:w="0" w:type="auto"/>
            <w:gridSpan w:val="3"/>
            <w:shd w:val="clear" w:color="auto" w:fill="FFFFFF"/>
            <w:tcMar>
              <w:top w:w="30" w:type="dxa"/>
              <w:left w:w="20" w:type="dxa"/>
              <w:bottom w:w="30" w:type="dxa"/>
              <w:right w:w="20" w:type="dxa"/>
            </w:tcMar>
            <w:vAlign w:val="center"/>
            <w:hideMark/>
          </w:tcPr>
          <w:p w:rsidR="00000000" w:rsidRDefault="00E92DBE">
            <w:pPr>
              <w:divId w:val="1755542497"/>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N/A</w:t>
            </w:r>
          </w:p>
        </w:tc>
      </w:tr>
      <w:tr w:rsidR="00000000">
        <w:trPr>
          <w:divId w:val="172884841"/>
        </w:trPr>
        <w:tc>
          <w:tcPr>
            <w:tcW w:w="0" w:type="auto"/>
            <w:gridSpan w:val="3"/>
            <w:shd w:val="clear" w:color="auto" w:fill="CCEEFF"/>
            <w:tcMar>
              <w:top w:w="30" w:type="dxa"/>
              <w:left w:w="20" w:type="dxa"/>
              <w:bottom w:w="30" w:type="dxa"/>
              <w:right w:w="20" w:type="dxa"/>
            </w:tcMar>
            <w:vAlign w:val="center"/>
            <w:hideMark/>
          </w:tcPr>
          <w:p w:rsidR="00000000" w:rsidRDefault="00E92DBE">
            <w:pPr>
              <w:divId w:val="865757170"/>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172884841"/>
        </w:trPr>
        <w:tc>
          <w:tcPr>
            <w:tcW w:w="0" w:type="auto"/>
            <w:gridSpan w:val="3"/>
            <w:shd w:val="clear" w:color="auto" w:fill="FFFFFF"/>
            <w:tcMar>
              <w:top w:w="30" w:type="dxa"/>
              <w:left w:w="20" w:type="dxa"/>
              <w:bottom w:w="30" w:type="dxa"/>
              <w:right w:w="20" w:type="dxa"/>
            </w:tcMar>
            <w:vAlign w:val="center"/>
            <w:hideMark/>
          </w:tcPr>
          <w:p w:rsidR="00000000" w:rsidRDefault="00E92DBE">
            <w:pPr>
              <w:divId w:val="1474832315"/>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(5</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2884841"/>
        </w:trPr>
        <w:tc>
          <w:tcPr>
            <w:tcW w:w="0" w:type="auto"/>
            <w:gridSpan w:val="3"/>
            <w:shd w:val="clear" w:color="auto" w:fill="CCEEFF"/>
            <w:tcMar>
              <w:top w:w="30" w:type="dxa"/>
              <w:left w:w="20" w:type="dxa"/>
              <w:bottom w:w="30" w:type="dxa"/>
              <w:right w:w="20" w:type="dxa"/>
            </w:tcMar>
            <w:vAlign w:val="center"/>
            <w:hideMark/>
          </w:tcPr>
          <w:p w:rsidR="00000000" w:rsidRDefault="00E92DBE">
            <w:pPr>
              <w:divId w:val="1028990838"/>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N/A</w:t>
            </w:r>
          </w:p>
        </w:tc>
      </w:tr>
      <w:tr w:rsidR="00000000">
        <w:trPr>
          <w:divId w:val="172884841"/>
        </w:trPr>
        <w:tc>
          <w:tcPr>
            <w:tcW w:w="0" w:type="auto"/>
            <w:gridSpan w:val="3"/>
            <w:shd w:val="clear" w:color="auto" w:fill="FFFFFF"/>
            <w:tcMar>
              <w:top w:w="30" w:type="dxa"/>
              <w:left w:w="20" w:type="dxa"/>
              <w:bottom w:w="30" w:type="dxa"/>
              <w:right w:w="20" w:type="dxa"/>
            </w:tcMar>
            <w:vAlign w:val="center"/>
            <w:hideMark/>
          </w:tcPr>
          <w:p w:rsidR="00000000" w:rsidRDefault="00E92DBE">
            <w:pPr>
              <w:divId w:val="1937518357"/>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(7)(8</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N/A</w:t>
            </w:r>
          </w:p>
        </w:tc>
      </w:tr>
      <w:tr w:rsidR="00000000">
        <w:trPr>
          <w:divId w:val="17288484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COBNA: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2884841"/>
        </w:trPr>
        <w:tc>
          <w:tcPr>
            <w:tcW w:w="0" w:type="auto"/>
            <w:gridSpan w:val="3"/>
            <w:shd w:val="clear" w:color="auto" w:fill="FFFFFF"/>
            <w:tcMar>
              <w:top w:w="30" w:type="dxa"/>
              <w:left w:w="20" w:type="dxa"/>
              <w:bottom w:w="30" w:type="dxa"/>
              <w:right w:w="20" w:type="dxa"/>
            </w:tcMar>
            <w:vAlign w:val="center"/>
            <w:hideMark/>
          </w:tcPr>
          <w:p w:rsidR="00000000" w:rsidRDefault="00E92DBE">
            <w:pPr>
              <w:divId w:val="1506435206"/>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2884841"/>
        </w:trPr>
        <w:tc>
          <w:tcPr>
            <w:tcW w:w="0" w:type="auto"/>
            <w:gridSpan w:val="3"/>
            <w:shd w:val="clear" w:color="auto" w:fill="CCEEFF"/>
            <w:tcMar>
              <w:top w:w="30" w:type="dxa"/>
              <w:left w:w="20" w:type="dxa"/>
              <w:bottom w:w="30" w:type="dxa"/>
              <w:right w:w="20" w:type="dxa"/>
            </w:tcMar>
            <w:vAlign w:val="center"/>
            <w:hideMark/>
          </w:tcPr>
          <w:p w:rsidR="00000000" w:rsidRDefault="00E92DBE">
            <w:pPr>
              <w:divId w:val="564730497"/>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2884841"/>
        </w:trPr>
        <w:tc>
          <w:tcPr>
            <w:tcW w:w="0" w:type="auto"/>
            <w:gridSpan w:val="3"/>
            <w:shd w:val="clear" w:color="auto" w:fill="FFFFFF"/>
            <w:tcMar>
              <w:top w:w="30" w:type="dxa"/>
              <w:left w:w="20" w:type="dxa"/>
              <w:bottom w:w="30" w:type="dxa"/>
              <w:right w:w="20" w:type="dxa"/>
            </w:tcMar>
            <w:vAlign w:val="center"/>
            <w:hideMark/>
          </w:tcPr>
          <w:p w:rsidR="00000000" w:rsidRDefault="00E92DBE">
            <w:pPr>
              <w:divId w:val="1756701709"/>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(5</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2884841"/>
        </w:trPr>
        <w:tc>
          <w:tcPr>
            <w:tcW w:w="0" w:type="auto"/>
            <w:gridSpan w:val="3"/>
            <w:shd w:val="clear" w:color="auto" w:fill="CCEEFF"/>
            <w:tcMar>
              <w:top w:w="30" w:type="dxa"/>
              <w:left w:w="20" w:type="dxa"/>
              <w:bottom w:w="30" w:type="dxa"/>
              <w:right w:w="20" w:type="dxa"/>
            </w:tcMar>
            <w:vAlign w:val="center"/>
            <w:hideMark/>
          </w:tcPr>
          <w:p w:rsidR="00000000" w:rsidRDefault="00E92DBE">
            <w:pPr>
              <w:divId w:val="155607809"/>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18.3 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2884841"/>
        </w:trPr>
        <w:tc>
          <w:tcPr>
            <w:tcW w:w="0" w:type="auto"/>
            <w:gridSpan w:val="3"/>
            <w:shd w:val="clear" w:color="auto" w:fill="FFFFFF"/>
            <w:tcMar>
              <w:top w:w="30" w:type="dxa"/>
              <w:left w:w="20" w:type="dxa"/>
              <w:bottom w:w="30" w:type="dxa"/>
              <w:right w:w="20" w:type="dxa"/>
            </w:tcMar>
            <w:vAlign w:val="center"/>
            <w:hideMark/>
          </w:tcPr>
          <w:p w:rsidR="00000000" w:rsidRDefault="00E92DBE">
            <w:pPr>
              <w:divId w:val="1144002932"/>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(7</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N/A</w:t>
            </w:r>
          </w:p>
        </w:tc>
      </w:tr>
      <w:tr w:rsidR="00000000">
        <w:trPr>
          <w:divId w:val="17288484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CONA: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2884841"/>
        </w:trPr>
        <w:tc>
          <w:tcPr>
            <w:tcW w:w="0" w:type="auto"/>
            <w:gridSpan w:val="3"/>
            <w:shd w:val="clear" w:color="auto" w:fill="FFFFFF"/>
            <w:tcMar>
              <w:top w:w="30" w:type="dxa"/>
              <w:left w:w="20" w:type="dxa"/>
              <w:bottom w:w="30" w:type="dxa"/>
              <w:right w:w="20" w:type="dxa"/>
            </w:tcMar>
            <w:vAlign w:val="center"/>
            <w:hideMark/>
          </w:tcPr>
          <w:p w:rsidR="00000000" w:rsidRDefault="00E92DBE">
            <w:pPr>
              <w:divId w:val="41249626"/>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2884841"/>
        </w:trPr>
        <w:tc>
          <w:tcPr>
            <w:tcW w:w="0" w:type="auto"/>
            <w:gridSpan w:val="3"/>
            <w:shd w:val="clear" w:color="auto" w:fill="CCEEFF"/>
            <w:tcMar>
              <w:top w:w="30" w:type="dxa"/>
              <w:left w:w="20" w:type="dxa"/>
              <w:bottom w:w="30" w:type="dxa"/>
              <w:right w:w="20" w:type="dxa"/>
            </w:tcMar>
            <w:vAlign w:val="center"/>
            <w:hideMark/>
          </w:tcPr>
          <w:p w:rsidR="00000000" w:rsidRDefault="00E92DBE">
            <w:pPr>
              <w:divId w:val="38629965"/>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2884841"/>
        </w:trPr>
        <w:tc>
          <w:tcPr>
            <w:tcW w:w="0" w:type="auto"/>
            <w:gridSpan w:val="3"/>
            <w:shd w:val="clear" w:color="auto" w:fill="FFFFFF"/>
            <w:tcMar>
              <w:top w:w="30" w:type="dxa"/>
              <w:left w:w="20" w:type="dxa"/>
              <w:bottom w:w="30" w:type="dxa"/>
              <w:right w:w="20" w:type="dxa"/>
            </w:tcMar>
            <w:vAlign w:val="center"/>
            <w:hideMark/>
          </w:tcPr>
          <w:p w:rsidR="00000000" w:rsidRDefault="00E92DBE">
            <w:pPr>
              <w:divId w:val="310793056"/>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(5</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2884841"/>
        </w:trPr>
        <w:tc>
          <w:tcPr>
            <w:tcW w:w="0" w:type="auto"/>
            <w:gridSpan w:val="3"/>
            <w:shd w:val="clear" w:color="auto" w:fill="CCEEFF"/>
            <w:tcMar>
              <w:top w:w="30" w:type="dxa"/>
              <w:left w:w="20" w:type="dxa"/>
              <w:bottom w:w="30" w:type="dxa"/>
              <w:right w:w="20" w:type="dxa"/>
            </w:tcMar>
            <w:vAlign w:val="center"/>
            <w:hideMark/>
          </w:tcPr>
          <w:p w:rsidR="00000000" w:rsidRDefault="00E92DBE">
            <w:pPr>
              <w:divId w:val="415202326"/>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2884841"/>
        </w:trPr>
        <w:tc>
          <w:tcPr>
            <w:tcW w:w="0" w:type="auto"/>
            <w:gridSpan w:val="3"/>
            <w:shd w:val="clear" w:color="auto" w:fill="FFFFFF"/>
            <w:tcMar>
              <w:top w:w="30" w:type="dxa"/>
              <w:left w:w="20" w:type="dxa"/>
              <w:bottom w:w="30" w:type="dxa"/>
              <w:right w:w="20" w:type="dxa"/>
            </w:tcMar>
            <w:vAlign w:val="center"/>
            <w:hideMark/>
          </w:tcPr>
          <w:p w:rsidR="00000000" w:rsidRDefault="00E92DBE">
            <w:pPr>
              <w:divId w:val="237709756"/>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(7</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color w:val="000000"/>
                <w:sz w:val="18"/>
                <w:szCs w:val="18"/>
              </w:rPr>
              <w:t>N/A</w:t>
            </w:r>
          </w:p>
        </w:tc>
      </w:tr>
    </w:tbl>
    <w:p w:rsidR="00000000" w:rsidRDefault="00E92DBE">
      <w:pPr>
        <w:divId w:val="1629780005"/>
        <w:rPr>
          <w:rFonts w:eastAsia="Times New Roman"/>
        </w:rPr>
      </w:pPr>
      <w:r>
        <w:rPr>
          <w:rFonts w:eastAsia="Times New Roman"/>
          <w:color w:val="000000"/>
          <w:sz w:val="20"/>
          <w:szCs w:val="20"/>
        </w:rPr>
        <w:t>__________</w:t>
      </w:r>
    </w:p>
    <w:p w:rsidR="00000000" w:rsidRDefault="00E92DBE">
      <w:pPr>
        <w:ind w:hanging="360"/>
        <w:jc w:val="both"/>
        <w:divId w:val="127948496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Capital requirements that are not applicable are denoted by “N/A.”</w:t>
      </w:r>
    </w:p>
    <w:p w:rsidR="00000000" w:rsidRDefault="00E92DBE">
      <w:pPr>
        <w:ind w:hanging="360"/>
        <w:jc w:val="both"/>
        <w:divId w:val="41644551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Ratios as of March 31, 2021 are preliminary. As we continue to validate our data, the calculations are subject to change until we file our March</w:t>
      </w:r>
      <w:r>
        <w:rPr>
          <w:rFonts w:eastAsia="Times New Roman"/>
          <w:color w:val="000000"/>
          <w:sz w:val="16"/>
          <w:szCs w:val="16"/>
        </w:rPr>
        <w:t xml:space="preserve"> 31, 2021 Form FR Y-9C—Consolidated Financial Statements for Holding Companies and Call Reports.</w:t>
      </w:r>
    </w:p>
    <w:p w:rsidR="00000000" w:rsidRDefault="00E92DBE">
      <w:pPr>
        <w:ind w:hanging="360"/>
        <w:jc w:val="both"/>
        <w:divId w:val="21497210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Common equity Tier 1 capital ratio is a regulatory capital measure calculated based on common equity Tier 1 capital divided by risk-weighted assets.</w:t>
      </w:r>
    </w:p>
    <w:p w:rsidR="00000000" w:rsidRDefault="00E92DBE">
      <w:pPr>
        <w:ind w:hanging="360"/>
        <w:jc w:val="both"/>
        <w:divId w:val="71854885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Tier</w:t>
      </w:r>
      <w:r>
        <w:rPr>
          <w:rFonts w:eastAsia="Times New Roman"/>
          <w:color w:val="000000"/>
          <w:sz w:val="16"/>
          <w:szCs w:val="16"/>
        </w:rPr>
        <w:t xml:space="preserve"> 1 capital ratio is a regulatory capital measure calculated based on Tier 1 capital divided by risk-weighted assets.</w:t>
      </w:r>
    </w:p>
    <w:p w:rsidR="00000000" w:rsidRDefault="00E92DBE">
      <w:pPr>
        <w:ind w:hanging="360"/>
        <w:jc w:val="both"/>
        <w:divId w:val="609238407"/>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Total capital ratio is a regulatory capital measure calculated based on total capital divided by risk-weighted assets.</w:t>
      </w:r>
    </w:p>
    <w:p w:rsidR="00000000" w:rsidRDefault="00E92DBE">
      <w:pPr>
        <w:ind w:hanging="360"/>
        <w:jc w:val="both"/>
        <w:divId w:val="160779587"/>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Tier 1 leverag</w:t>
      </w:r>
      <w:r>
        <w:rPr>
          <w:rFonts w:eastAsia="Times New Roman"/>
          <w:color w:val="000000"/>
          <w:sz w:val="16"/>
          <w:szCs w:val="16"/>
        </w:rPr>
        <w:t>e ratio is a regulatory capital measure calculated based on Tier 1 capital divided by adjusted average assets.</w:t>
      </w:r>
    </w:p>
    <w:p w:rsidR="00000000" w:rsidRDefault="00E92DBE">
      <w:pPr>
        <w:ind w:hanging="360"/>
        <w:jc w:val="both"/>
        <w:divId w:val="388849024"/>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 xml:space="preserve">Supplementary leverage ratio is a regulatory capital measure calculated based on Tier 1 capital divided by total leverage exposure. </w:t>
      </w:r>
    </w:p>
    <w:p w:rsidR="00000000" w:rsidRDefault="00E92DBE">
      <w:pPr>
        <w:ind w:hanging="360"/>
        <w:jc w:val="both"/>
        <w:divId w:val="344677826"/>
        <w:rPr>
          <w:rFonts w:eastAsia="Times New Roman"/>
        </w:rPr>
      </w:pPr>
      <w:r>
        <w:rPr>
          <w:rFonts w:eastAsia="Times New Roman"/>
          <w:color w:val="000000"/>
          <w:sz w:val="10"/>
          <w:szCs w:val="10"/>
        </w:rPr>
        <w:t>(8</w:t>
      </w:r>
      <w:r>
        <w:rPr>
          <w:rFonts w:eastAsia="Times New Roman"/>
          <w:color w:val="000000"/>
          <w:sz w:val="10"/>
          <w:szCs w:val="10"/>
        </w:rPr>
        <w:t>)</w:t>
      </w:r>
      <w:r>
        <w:rPr>
          <w:rFonts w:eastAsia="Times New Roman"/>
          <w:color w:val="000000"/>
          <w:sz w:val="16"/>
          <w:szCs w:val="16"/>
        </w:rPr>
        <w:t>Supplementary leverage ratio for the Company as of March 31, 2021 and December 31, 2020 excludes U.S. Treasury securitie</w:t>
      </w:r>
      <w:r>
        <w:rPr>
          <w:rFonts w:eastAsia="Times New Roman"/>
          <w:color w:val="000000"/>
          <w:sz w:val="16"/>
          <w:szCs w:val="16"/>
        </w:rPr>
        <w:t xml:space="preserve">s and deposits with the Federal Reserve Banks pursuant to an interim final rule issued by the Federal Reserve, see “MD&amp;A—Supervision and Regulation” for more information.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22311905"/>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122311905"/>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122311905"/>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31</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56" style="width:0;height:1.5pt" o:hralign="center" o:hrstd="t" o:hr="t" fillcolor="#a0a0a0" stroked="f"/>
        </w:pict>
      </w:r>
    </w:p>
    <w:p w:rsidR="00000000" w:rsidRDefault="00E92DBE">
      <w:pPr>
        <w:ind w:hanging="360"/>
        <w:jc w:val="both"/>
        <w:divId w:val="1273704995"/>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2108697647"/>
        <w:rPr>
          <w:rFonts w:eastAsia="Times New Roman"/>
        </w:rPr>
      </w:pPr>
      <w:r>
        <w:rPr>
          <w:rFonts w:eastAsia="Times New Roman"/>
          <w:color w:val="000000"/>
          <w:sz w:val="20"/>
          <w:szCs w:val="20"/>
        </w:rPr>
        <w:t xml:space="preserve">Table 15 presents regulatory capital under the Basel III Standardized Approach and regulatory capital metrics as of March 31, 2021 and December </w:t>
      </w:r>
      <w:r>
        <w:rPr>
          <w:rFonts w:eastAsia="Times New Roman"/>
          <w:color w:val="000000"/>
          <w:sz w:val="20"/>
          <w:szCs w:val="20"/>
        </w:rPr>
        <w:t xml:space="preserve">31, 2020. </w:t>
      </w:r>
    </w:p>
    <w:p w:rsidR="00000000" w:rsidRDefault="00E92DBE">
      <w:pPr>
        <w:divId w:val="681905141"/>
        <w:rPr>
          <w:rFonts w:eastAsia="Times New Roman"/>
        </w:rPr>
      </w:pPr>
      <w:r>
        <w:rPr>
          <w:rFonts w:eastAsia="Times New Roman"/>
          <w:b/>
          <w:bCs/>
          <w:color w:val="000000"/>
          <w:sz w:val="18"/>
          <w:szCs w:val="18"/>
        </w:rPr>
        <w:t>Table 15: Regulatory Risk-Based Capital Components and Regulatory Capital Metrics</w:t>
      </w:r>
    </w:p>
    <w:tbl>
      <w:tblPr>
        <w:tblW w:w="4970" w:type="pct"/>
        <w:tblCellMar>
          <w:top w:w="15" w:type="dxa"/>
          <w:left w:w="15" w:type="dxa"/>
          <w:bottom w:w="15" w:type="dxa"/>
          <w:right w:w="15" w:type="dxa"/>
        </w:tblCellMar>
        <w:tblLook w:val="04A0" w:firstRow="1" w:lastRow="0" w:firstColumn="1" w:lastColumn="0" w:noHBand="0" w:noVBand="1"/>
      </w:tblPr>
      <w:tblGrid>
        <w:gridCol w:w="41"/>
        <w:gridCol w:w="5650"/>
        <w:gridCol w:w="37"/>
        <w:gridCol w:w="36"/>
        <w:gridCol w:w="36"/>
        <w:gridCol w:w="36"/>
        <w:gridCol w:w="110"/>
        <w:gridCol w:w="1033"/>
        <w:gridCol w:w="36"/>
        <w:gridCol w:w="36"/>
        <w:gridCol w:w="36"/>
        <w:gridCol w:w="36"/>
        <w:gridCol w:w="110"/>
        <w:gridCol w:w="987"/>
        <w:gridCol w:w="36"/>
      </w:tblGrid>
      <w:tr w:rsidR="00000000">
        <w:trPr>
          <w:divId w:val="761874144"/>
        </w:trPr>
        <w:tc>
          <w:tcPr>
            <w:tcW w:w="50" w:type="pct"/>
            <w:vAlign w:val="center"/>
            <w:hideMark/>
          </w:tcPr>
          <w:p w:rsidR="00000000" w:rsidRDefault="00E92DBE">
            <w:pPr>
              <w:rPr>
                <w:rFonts w:eastAsia="Times New Roman"/>
              </w:rPr>
            </w:pPr>
          </w:p>
        </w:tc>
        <w:tc>
          <w:tcPr>
            <w:tcW w:w="34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761874144"/>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76187414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8"/>
                <w:szCs w:val="18"/>
              </w:rPr>
              <w:t>Regulatory Capital Under Basel III Standardized Approach</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761874144"/>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Common equity excluding AOCI</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57,607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55,299 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Adjustments: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761874144"/>
        </w:trPr>
        <w:tc>
          <w:tcPr>
            <w:tcW w:w="0" w:type="auto"/>
            <w:gridSpan w:val="3"/>
            <w:shd w:val="clear" w:color="auto" w:fill="FFFFFF"/>
            <w:tcMar>
              <w:top w:w="30" w:type="dxa"/>
              <w:left w:w="20" w:type="dxa"/>
              <w:bottom w:w="30" w:type="dxa"/>
              <w:right w:w="20" w:type="dxa"/>
            </w:tcMar>
            <w:vAlign w:val="bottom"/>
            <w:hideMark/>
          </w:tcPr>
          <w:p w:rsidR="00000000" w:rsidRDefault="00E92DBE">
            <w:pPr>
              <w:divId w:val="1400858222"/>
              <w:rPr>
                <w:rFonts w:eastAsia="Times New Roman"/>
              </w:rPr>
            </w:pPr>
            <w:r>
              <w:rPr>
                <w:rFonts w:eastAsia="Times New Roman"/>
                <w:color w:val="000000"/>
                <w:sz w:val="18"/>
                <w:szCs w:val="18"/>
              </w:rPr>
              <w:t>AOCI, net of ta</w:t>
            </w:r>
            <w:r>
              <w:rPr>
                <w:rFonts w:eastAsia="Times New Roman"/>
                <w:color w:val="000000"/>
                <w:sz w:val="18"/>
                <w:szCs w:val="18"/>
              </w:rPr>
              <w:t>x</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Pr>
        <w:tc>
          <w:tcPr>
            <w:tcW w:w="0" w:type="auto"/>
            <w:gridSpan w:val="3"/>
            <w:shd w:val="clear" w:color="auto" w:fill="CCEEFF"/>
            <w:tcMar>
              <w:top w:w="30" w:type="dxa"/>
              <w:left w:w="245" w:type="dxa"/>
              <w:bottom w:w="30" w:type="dxa"/>
              <w:right w:w="20" w:type="dxa"/>
            </w:tcMar>
            <w:vAlign w:val="bottom"/>
            <w:hideMark/>
          </w:tcPr>
          <w:p w:rsidR="00000000" w:rsidRDefault="00E92DBE">
            <w:pPr>
              <w:rPr>
                <w:rFonts w:eastAsia="Times New Roman"/>
              </w:rPr>
            </w:pPr>
            <w:r>
              <w:rPr>
                <w:rFonts w:eastAsia="Times New Roman"/>
                <w:color w:val="000000"/>
                <w:sz w:val="18"/>
                <w:szCs w:val="18"/>
              </w:rPr>
              <w:t>Goodwill, net of related 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(14,444)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(14,448)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Pr>
        <w:tc>
          <w:tcPr>
            <w:tcW w:w="0" w:type="auto"/>
            <w:gridSpan w:val="3"/>
            <w:shd w:val="clear" w:color="auto" w:fill="FFFFFF"/>
            <w:tcMar>
              <w:top w:w="30" w:type="dxa"/>
              <w:left w:w="245" w:type="dxa"/>
              <w:bottom w:w="30" w:type="dxa"/>
              <w:right w:w="20" w:type="dxa"/>
            </w:tcMar>
            <w:vAlign w:val="bottom"/>
            <w:hideMark/>
          </w:tcPr>
          <w:p w:rsidR="00000000" w:rsidRDefault="00E92DBE">
            <w:pPr>
              <w:rPr>
                <w:rFonts w:eastAsia="Times New Roman"/>
              </w:rPr>
            </w:pPr>
            <w:r>
              <w:rPr>
                <w:rFonts w:eastAsia="Times New Roman"/>
                <w:color w:val="000000"/>
                <w:sz w:val="18"/>
                <w:szCs w:val="18"/>
              </w:rPr>
              <w:t>Intangible assets, net of related 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Pr>
        <w:tc>
          <w:tcPr>
            <w:tcW w:w="0" w:type="auto"/>
            <w:gridSpan w:val="3"/>
            <w:shd w:val="clear" w:color="auto" w:fill="CCEEFF"/>
            <w:tcMar>
              <w:top w:w="30" w:type="dxa"/>
              <w:left w:w="20" w:type="dxa"/>
              <w:bottom w:w="30" w:type="dxa"/>
              <w:right w:w="20" w:type="dxa"/>
            </w:tcMar>
            <w:vAlign w:val="bottom"/>
            <w:hideMark/>
          </w:tcPr>
          <w:p w:rsidR="00000000" w:rsidRDefault="00E92DBE">
            <w:pPr>
              <w:divId w:val="1003899983"/>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Common equity Tier 1 capital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43,051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40,736 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Tier 1 capital instruments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4,847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4,847 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61874144"/>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Tier 1 capital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47,898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45,583 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Tier 2 capital instruments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3,385 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Qualifying 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3,772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3,820 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Tier 2 capital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6,882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7,205 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Total capital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54,780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52,788 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Height w:val="280"/>
        </w:trPr>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761874144"/>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8"/>
                <w:szCs w:val="18"/>
              </w:rPr>
              <w:t>Regulatory Capital Metrics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761874144"/>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Risk-weighted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295,209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297,903 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Adjusted average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408,596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406,762 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61874144"/>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Total leverage exposure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424,389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427,522 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425809729"/>
        <w:rPr>
          <w:rFonts w:eastAsia="Times New Roman"/>
        </w:rPr>
      </w:pPr>
      <w:r>
        <w:rPr>
          <w:rFonts w:eastAsia="Times New Roman"/>
          <w:color w:val="000000"/>
          <w:sz w:val="20"/>
          <w:szCs w:val="20"/>
        </w:rPr>
        <w:t>__________</w:t>
      </w:r>
    </w:p>
    <w:p w:rsidR="00000000" w:rsidRDefault="00E92DBE">
      <w:pPr>
        <w:ind w:hanging="360"/>
        <w:jc w:val="both"/>
        <w:divId w:val="175161169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Excludes certain components of AOCI as permitted under the Tailoring Rules.</w:t>
      </w:r>
    </w:p>
    <w:p w:rsidR="00000000" w:rsidRDefault="00E92DBE">
      <w:pPr>
        <w:ind w:hanging="360"/>
        <w:jc w:val="both"/>
        <w:divId w:val="144638899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deferred tax assets deducted from regulatory capital.</w:t>
      </w:r>
    </w:p>
    <w:p w:rsidR="00000000" w:rsidRDefault="00E92DBE">
      <w:pPr>
        <w:divId w:val="2062629082"/>
        <w:rPr>
          <w:rFonts w:eastAsia="Times New Roman"/>
        </w:rPr>
      </w:pPr>
      <w:r>
        <w:rPr>
          <w:rFonts w:eastAsia="Times New Roman"/>
          <w:b/>
          <w:bCs/>
          <w:color w:val="000000"/>
          <w:sz w:val="20"/>
          <w:szCs w:val="20"/>
        </w:rPr>
        <w:t>Capital Planning and Regulatory Stress Testing</w:t>
      </w:r>
    </w:p>
    <w:p w:rsidR="00000000" w:rsidRDefault="00E92DBE">
      <w:pPr>
        <w:jc w:val="both"/>
        <w:divId w:val="306323644"/>
        <w:rPr>
          <w:rFonts w:eastAsia="Times New Roman"/>
        </w:rPr>
      </w:pPr>
      <w:r>
        <w:rPr>
          <w:rFonts w:eastAsia="Times New Roman"/>
          <w:color w:val="000000"/>
          <w:sz w:val="20"/>
          <w:szCs w:val="20"/>
        </w:rPr>
        <w:t>In March 2021, the Federal Reserve extended the temporary capital distribution restrictions in place during the first quarter of 2021 for all BHCs</w:t>
      </w:r>
      <w:r>
        <w:rPr>
          <w:rFonts w:eastAsia="Times New Roman"/>
          <w:color w:val="000000"/>
          <w:sz w:val="20"/>
          <w:szCs w:val="20"/>
        </w:rPr>
        <w:t xml:space="preserve"> participating in the Comprehensive Capital Analysis and Review (“CCAR”) through the second quarter of 2021. In particular, for the first and second quarters of 2021, the aggregate amount of common stock dividend payments and share repurchases for each qua</w:t>
      </w:r>
      <w:r>
        <w:rPr>
          <w:rFonts w:eastAsia="Times New Roman"/>
          <w:color w:val="000000"/>
          <w:sz w:val="20"/>
          <w:szCs w:val="20"/>
        </w:rPr>
        <w:t>rter shall not exceed an amount equal to the average net income earned across the four preceding calendar quarters. In addition, common stock dividend payments for each of the first and second quarters of 2021 continue to be capped at the amount paid in th</w:t>
      </w:r>
      <w:r>
        <w:rPr>
          <w:rFonts w:eastAsia="Times New Roman"/>
          <w:color w:val="000000"/>
          <w:sz w:val="20"/>
          <w:szCs w:val="20"/>
        </w:rPr>
        <w:t>e second quarter of 2020.</w:t>
      </w:r>
    </w:p>
    <w:p w:rsidR="00000000" w:rsidRDefault="00E92DBE">
      <w:pPr>
        <w:jc w:val="both"/>
        <w:divId w:val="1332218411"/>
        <w:rPr>
          <w:rFonts w:eastAsia="Times New Roman"/>
        </w:rPr>
      </w:pPr>
      <w:r>
        <w:rPr>
          <w:rFonts w:eastAsia="Times New Roman"/>
          <w:color w:val="000000"/>
          <w:sz w:val="20"/>
          <w:szCs w:val="20"/>
        </w:rPr>
        <w:t>If a participating BHC remains above all of its minimum risk-based capital requirements in its 2021 supervisory stress test, these temporary capital distribution restrictions will no longer apply to such BHC after the second quart</w:t>
      </w:r>
      <w:r>
        <w:rPr>
          <w:rFonts w:eastAsia="Times New Roman"/>
          <w:color w:val="000000"/>
          <w:sz w:val="20"/>
          <w:szCs w:val="20"/>
        </w:rPr>
        <w:t>er of 2021, and the normal restrictions under the stress capital buffer framework will apply instead. For any participating BHC that falls below any of its minimum risk-based capital requirements in its 2021 supervisory stress test, these temporary capital</w:t>
      </w:r>
      <w:r>
        <w:rPr>
          <w:rFonts w:eastAsia="Times New Roman"/>
          <w:color w:val="000000"/>
          <w:sz w:val="20"/>
          <w:szCs w:val="20"/>
        </w:rPr>
        <w:t xml:space="preserve"> distribution restrictions will continue to apply for such BHC through the end of the third quarter of 2021.</w:t>
      </w:r>
    </w:p>
    <w:p w:rsidR="00000000" w:rsidRDefault="00E92DBE">
      <w:pPr>
        <w:jc w:val="both"/>
        <w:divId w:val="791631792"/>
        <w:rPr>
          <w:rFonts w:eastAsia="Times New Roman"/>
        </w:rPr>
      </w:pPr>
      <w:r>
        <w:rPr>
          <w:rFonts w:eastAsia="Times New Roman"/>
          <w:color w:val="000000"/>
          <w:sz w:val="20"/>
          <w:szCs w:val="20"/>
        </w:rPr>
        <w:t>On April 2, 2021, we submitted our capital plan to the Federal Reserve as part of the 2021 CCAR cycle. The stress testing results are expected to be released by the Federal Reserve by July 1, 2021. Our 2021 supervisory stress test result will determine the</w:t>
      </w:r>
      <w:r>
        <w:rPr>
          <w:rFonts w:eastAsia="Times New Roman"/>
          <w:color w:val="000000"/>
          <w:sz w:val="20"/>
          <w:szCs w:val="20"/>
        </w:rPr>
        <w:t xml:space="preserve"> size of our stress capital buffer requirement for the period beginning from October 1, 2021 through September 30, 2022.</w:t>
      </w:r>
    </w:p>
    <w:p w:rsidR="00000000" w:rsidRDefault="00E92DBE">
      <w:pPr>
        <w:jc w:val="both"/>
        <w:divId w:val="615019687"/>
        <w:rPr>
          <w:rFonts w:eastAsia="Times New Roman"/>
        </w:rPr>
      </w:pPr>
      <w:r>
        <w:rPr>
          <w:rFonts w:eastAsia="Times New Roman"/>
          <w:color w:val="000000"/>
          <w:sz w:val="20"/>
          <w:szCs w:val="20"/>
        </w:rPr>
        <w:t>On January 25, 2021, our Board of Directors authorized the repurchase of up to $7.5 billion of shares of our common stock and we repurc</w:t>
      </w:r>
      <w:r>
        <w:rPr>
          <w:rFonts w:eastAsia="Times New Roman"/>
          <w:color w:val="000000"/>
          <w:sz w:val="20"/>
          <w:szCs w:val="20"/>
        </w:rPr>
        <w:t>hased approximately $490 million of shares of our common stock during the first quarter of 2021. Based on our average net income across the four preceding calendar quarters, our share repurchase capacity in the second quarter of 2021 is expected to be appr</w:t>
      </w:r>
      <w:r>
        <w:rPr>
          <w:rFonts w:eastAsia="Times New Roman"/>
          <w:color w:val="000000"/>
          <w:sz w:val="20"/>
          <w:szCs w:val="20"/>
        </w:rPr>
        <w:t>oximately $1.7 billion.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30554168"/>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930554168"/>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930554168"/>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32</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57" style="width:0;height:1.5pt" o:hralign="center" o:hrstd="t" o:hr="t" fillcolor="#a0a0a0" stroked="f"/>
        </w:pict>
      </w:r>
    </w:p>
    <w:p w:rsidR="00000000" w:rsidRDefault="00E92DBE">
      <w:pPr>
        <w:ind w:hanging="360"/>
        <w:jc w:val="both"/>
        <w:divId w:val="16686930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524485899"/>
        <w:rPr>
          <w:rFonts w:eastAsia="Times New Roman"/>
        </w:rPr>
      </w:pPr>
      <w:r>
        <w:rPr>
          <w:rFonts w:eastAsia="Times New Roman"/>
          <w:color w:val="000000"/>
          <w:sz w:val="20"/>
          <w:szCs w:val="20"/>
        </w:rPr>
        <w:t xml:space="preserve">For the description of the regulatory capital planning rules we are subject to, see “MD&amp;A—Supervision and Regulation” in this Report as well as </w:t>
      </w:r>
      <w:r>
        <w:rPr>
          <w:rFonts w:eastAsia="Times New Roman"/>
          <w:color w:val="000000"/>
          <w:sz w:val="20"/>
          <w:szCs w:val="20"/>
        </w:rPr>
        <w:t>“Part I—Item 1. Business—Supervision and Regulation” in our 2020 Form 10-K.</w:t>
      </w:r>
    </w:p>
    <w:p w:rsidR="00000000" w:rsidRDefault="00E92DBE">
      <w:pPr>
        <w:divId w:val="2513652"/>
        <w:rPr>
          <w:rFonts w:eastAsia="Times New Roman"/>
        </w:rPr>
      </w:pPr>
      <w:r>
        <w:rPr>
          <w:rFonts w:eastAsia="Times New Roman"/>
          <w:b/>
          <w:bCs/>
          <w:color w:val="000000"/>
          <w:sz w:val="20"/>
          <w:szCs w:val="20"/>
        </w:rPr>
        <w:t>Equity Offerings and Transactions</w:t>
      </w:r>
    </w:p>
    <w:p w:rsidR="00000000" w:rsidRDefault="00E92DBE">
      <w:pPr>
        <w:jc w:val="both"/>
        <w:divId w:val="1403984671"/>
        <w:rPr>
          <w:rFonts w:eastAsia="Times New Roman"/>
        </w:rPr>
      </w:pPr>
      <w:r>
        <w:rPr>
          <w:rFonts w:eastAsia="Times New Roman"/>
          <w:color w:val="000000"/>
          <w:sz w:val="20"/>
          <w:szCs w:val="20"/>
        </w:rPr>
        <w:t>On May 4, 2021, we issued 27,000,000 depositary shares, each representing a 1/40th interest in a share of Fixed Rate Non-Cumulative Perpetual Pref</w:t>
      </w:r>
      <w:r>
        <w:rPr>
          <w:rFonts w:eastAsia="Times New Roman"/>
          <w:color w:val="000000"/>
          <w:sz w:val="20"/>
          <w:szCs w:val="20"/>
        </w:rPr>
        <w:t>erred Stock, Series L, $0.01 par value, with a liquidation preference of $25 per depositary share (“Series L Preferred Stock”). The net proceeds of the offering of Series L Preferred Stock were approximately $652.9 million after deducting underwriting comm</w:t>
      </w:r>
      <w:r>
        <w:rPr>
          <w:rFonts w:eastAsia="Times New Roman"/>
          <w:color w:val="000000"/>
          <w:sz w:val="20"/>
          <w:szCs w:val="20"/>
        </w:rPr>
        <w:t>issions and offering expenses. Dividends on the Series L Preferred Stock are payable quarterly in arrears at a rate of 4.375% per annum.</w:t>
      </w:r>
    </w:p>
    <w:p w:rsidR="00000000" w:rsidRDefault="00E92DBE">
      <w:pPr>
        <w:divId w:val="1922988183"/>
        <w:rPr>
          <w:rFonts w:eastAsia="Times New Roman"/>
        </w:rPr>
      </w:pPr>
      <w:r>
        <w:rPr>
          <w:rFonts w:eastAsia="Times New Roman"/>
          <w:b/>
          <w:bCs/>
          <w:color w:val="000000"/>
          <w:sz w:val="20"/>
          <w:szCs w:val="20"/>
        </w:rPr>
        <w:t xml:space="preserve">Dividend Policy and Stock Purchases </w:t>
      </w:r>
    </w:p>
    <w:p w:rsidR="00000000" w:rsidRDefault="00E92DBE">
      <w:pPr>
        <w:jc w:val="both"/>
        <w:divId w:val="1644967510"/>
        <w:rPr>
          <w:rFonts w:eastAsia="Times New Roman"/>
        </w:rPr>
      </w:pPr>
      <w:r>
        <w:rPr>
          <w:rFonts w:eastAsia="Times New Roman"/>
          <w:color w:val="000000"/>
          <w:sz w:val="20"/>
          <w:szCs w:val="20"/>
        </w:rPr>
        <w:t xml:space="preserve">In the first three months of 2021, we declared and paid common stock dividends of </w:t>
      </w:r>
      <w:r>
        <w:rPr>
          <w:rFonts w:eastAsia="Times New Roman"/>
          <w:color w:val="000000"/>
          <w:sz w:val="20"/>
          <w:szCs w:val="20"/>
        </w:rPr>
        <w:t>$185 million, or $0.40 per share, and preferred stock dividends of $61 million. The following table summarizes the dividends paid per share on our various preferred stock series in the first quarter of 2021.</w:t>
      </w:r>
    </w:p>
    <w:p w:rsidR="00000000" w:rsidRDefault="00E92DBE">
      <w:pPr>
        <w:divId w:val="235867390"/>
        <w:rPr>
          <w:rFonts w:eastAsia="Times New Roman"/>
        </w:rPr>
      </w:pPr>
      <w:r>
        <w:rPr>
          <w:rFonts w:eastAsia="Times New Roman"/>
          <w:b/>
          <w:bCs/>
          <w:color w:val="000000"/>
          <w:sz w:val="18"/>
          <w:szCs w:val="18"/>
        </w:rPr>
        <w:t>Table 16: Preferred Stock Dividends Paid Per Sha</w:t>
      </w:r>
      <w:r>
        <w:rPr>
          <w:rFonts w:eastAsia="Times New Roman"/>
          <w:b/>
          <w:bCs/>
          <w:color w:val="000000"/>
          <w:sz w:val="18"/>
          <w:szCs w:val="18"/>
        </w:rPr>
        <w:t xml:space="preserve">re </w:t>
      </w:r>
    </w:p>
    <w:tbl>
      <w:tblPr>
        <w:tblW w:w="4963" w:type="pct"/>
        <w:tblCellMar>
          <w:top w:w="15" w:type="dxa"/>
          <w:left w:w="15" w:type="dxa"/>
          <w:bottom w:w="15" w:type="dxa"/>
          <w:right w:w="15" w:type="dxa"/>
        </w:tblCellMar>
        <w:tblLook w:val="04A0" w:firstRow="1" w:lastRow="0" w:firstColumn="1" w:lastColumn="0" w:noHBand="0" w:noVBand="1"/>
      </w:tblPr>
      <w:tblGrid>
        <w:gridCol w:w="58"/>
        <w:gridCol w:w="648"/>
        <w:gridCol w:w="36"/>
        <w:gridCol w:w="36"/>
        <w:gridCol w:w="36"/>
        <w:gridCol w:w="36"/>
        <w:gridCol w:w="54"/>
        <w:gridCol w:w="1318"/>
        <w:gridCol w:w="36"/>
        <w:gridCol w:w="36"/>
        <w:gridCol w:w="36"/>
        <w:gridCol w:w="36"/>
        <w:gridCol w:w="46"/>
        <w:gridCol w:w="1446"/>
        <w:gridCol w:w="37"/>
        <w:gridCol w:w="36"/>
        <w:gridCol w:w="36"/>
        <w:gridCol w:w="36"/>
        <w:gridCol w:w="47"/>
        <w:gridCol w:w="1447"/>
        <w:gridCol w:w="37"/>
        <w:gridCol w:w="36"/>
        <w:gridCol w:w="36"/>
        <w:gridCol w:w="36"/>
        <w:gridCol w:w="47"/>
        <w:gridCol w:w="1447"/>
        <w:gridCol w:w="37"/>
        <w:gridCol w:w="36"/>
        <w:gridCol w:w="36"/>
        <w:gridCol w:w="36"/>
        <w:gridCol w:w="60"/>
        <w:gridCol w:w="652"/>
        <w:gridCol w:w="36"/>
        <w:gridCol w:w="36"/>
        <w:gridCol w:w="36"/>
        <w:gridCol w:w="36"/>
        <w:gridCol w:w="36"/>
        <w:gridCol w:w="36"/>
        <w:gridCol w:w="36"/>
      </w:tblGrid>
      <w:tr w:rsidR="00000000">
        <w:trPr>
          <w:divId w:val="867640780"/>
        </w:trPr>
        <w:tc>
          <w:tcPr>
            <w:tcW w:w="50" w:type="pct"/>
            <w:vAlign w:val="center"/>
            <w:hideMark/>
          </w:tcPr>
          <w:p w:rsidR="00000000" w:rsidRDefault="00E92DBE">
            <w:pPr>
              <w:rPr>
                <w:rFonts w:eastAsia="Times New Roman"/>
              </w:rPr>
            </w:pPr>
          </w:p>
        </w:tc>
        <w:tc>
          <w:tcPr>
            <w:tcW w:w="42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85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2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2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92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67640780"/>
          <w:trHeight w:val="280"/>
        </w:trPr>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Series</w:t>
            </w:r>
          </w:p>
        </w:tc>
        <w:tc>
          <w:tcPr>
            <w:tcW w:w="0" w:type="auto"/>
            <w:gridSpan w:val="3"/>
            <w:vMerge w:val="restart"/>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Description</w:t>
            </w:r>
          </w:p>
        </w:tc>
        <w:tc>
          <w:tcPr>
            <w:tcW w:w="0" w:type="auto"/>
            <w:gridSpan w:val="3"/>
            <w:vMerge w:val="restart"/>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Issuance Date</w:t>
            </w:r>
          </w:p>
        </w:tc>
        <w:tc>
          <w:tcPr>
            <w:tcW w:w="0" w:type="auto"/>
            <w:gridSpan w:val="3"/>
            <w:vMerge w:val="restart"/>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 xml:space="preserve">Per Annum </w:t>
            </w:r>
            <w:r>
              <w:rPr>
                <w:rFonts w:eastAsia="Times New Roman"/>
                <w:b/>
                <w:bCs/>
                <w:color w:val="000000"/>
                <w:sz w:val="18"/>
                <w:szCs w:val="18"/>
              </w:rPr>
              <w:br/>
              <w:t>Dividend Rate</w:t>
            </w:r>
          </w:p>
        </w:tc>
        <w:tc>
          <w:tcPr>
            <w:tcW w:w="0" w:type="auto"/>
            <w:gridSpan w:val="3"/>
            <w:vMerge w:val="restart"/>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Dividend Frequency</w:t>
            </w:r>
          </w:p>
        </w:tc>
        <w:tc>
          <w:tcPr>
            <w:tcW w:w="0" w:type="auto"/>
            <w:gridSpan w:val="3"/>
            <w:vMerge w:val="restart"/>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2021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67640780"/>
          <w:trHeight w:val="280"/>
        </w:trPr>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8"/>
                <w:szCs w:val="18"/>
              </w:rPr>
              <w:t>Q1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6764078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6764078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6764078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67640780"/>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2DBE">
            <w:pPr>
              <w:rPr>
                <w:rFonts w:eastAsia="Times New Roman"/>
              </w:rPr>
            </w:pPr>
            <w:r>
              <w:rPr>
                <w:rFonts w:eastAsia="Times New Roman"/>
                <w:b/>
                <w:bCs/>
                <w:color w:val="000000"/>
                <w:sz w:val="20"/>
                <w:szCs w:val="20"/>
              </w:rPr>
              <w:t>Series 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Fixed-to-Floating Rate</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May 14, 2015</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 xml:space="preserve">5.550% through 5/31/2020; </w:t>
            </w:r>
            <w:r>
              <w:rPr>
                <w:rFonts w:eastAsia="Times New Roman"/>
                <w:color w:val="000000"/>
                <w:sz w:val="20"/>
                <w:szCs w:val="20"/>
              </w:rPr>
              <w:br/>
              <w:t>3-mo. LIBOR + 380 bps thereafter</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Semi-Annually through 5/31/2020; Quarterly thereafter</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b/>
                <w:bCs/>
                <w:color w:val="000000"/>
                <w:sz w:val="20"/>
                <w:szCs w:val="20"/>
              </w:rPr>
              <w:t>$10.06</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6764078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67640780"/>
        </w:trPr>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b/>
                <w:bCs/>
                <w:color w:val="000000"/>
                <w:sz w:val="20"/>
                <w:szCs w:val="20"/>
              </w:rPr>
              <w:t>Series 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5.200%</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July 29, 2016</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5.200</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b/>
                <w:bCs/>
                <w:color w:val="000000"/>
                <w:sz w:val="20"/>
                <w:szCs w:val="20"/>
              </w:rPr>
              <w:t>13.00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67640780"/>
        </w:trPr>
        <w:tc>
          <w:tcPr>
            <w:tcW w:w="0" w:type="auto"/>
            <w:gridSpan w:val="3"/>
            <w:shd w:val="clear" w:color="auto" w:fill="CCEEFF"/>
            <w:tcMar>
              <w:top w:w="30" w:type="dxa"/>
              <w:left w:w="20" w:type="dxa"/>
              <w:bottom w:w="30" w:type="dxa"/>
              <w:right w:w="20" w:type="dxa"/>
            </w:tcMar>
            <w:hideMark/>
          </w:tcPr>
          <w:p w:rsidR="00000000" w:rsidRDefault="00E92DBE">
            <w:pPr>
              <w:rPr>
                <w:rFonts w:eastAsia="Times New Roman"/>
              </w:rPr>
            </w:pPr>
            <w:r>
              <w:rPr>
                <w:rFonts w:eastAsia="Times New Roman"/>
                <w:b/>
                <w:bCs/>
                <w:color w:val="000000"/>
                <w:sz w:val="20"/>
                <w:szCs w:val="20"/>
              </w:rPr>
              <w:t>Series H</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 xml:space="preserve">6.000% </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November 29, 2016</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6.000</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b/>
                <w:bCs/>
                <w:color w:val="000000"/>
                <w:sz w:val="20"/>
                <w:szCs w:val="20"/>
              </w:rPr>
              <w:t>15.00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67640780"/>
        </w:trPr>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b/>
                <w:bCs/>
                <w:color w:val="000000"/>
                <w:sz w:val="20"/>
                <w:szCs w:val="20"/>
              </w:rPr>
              <w:t>Series I</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 xml:space="preserve">5.000% </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September 11, 2019</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5.000</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Quarterly</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b/>
                <w:bCs/>
                <w:color w:val="000000"/>
                <w:sz w:val="20"/>
                <w:szCs w:val="20"/>
              </w:rPr>
              <w:t>12.50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67640780"/>
        </w:trPr>
        <w:tc>
          <w:tcPr>
            <w:tcW w:w="0" w:type="auto"/>
            <w:gridSpan w:val="3"/>
            <w:shd w:val="clear" w:color="auto" w:fill="CCEEFF"/>
            <w:tcMar>
              <w:top w:w="30" w:type="dxa"/>
              <w:left w:w="20" w:type="dxa"/>
              <w:bottom w:w="30" w:type="dxa"/>
              <w:right w:w="20" w:type="dxa"/>
            </w:tcMar>
            <w:hideMark/>
          </w:tcPr>
          <w:p w:rsidR="00000000" w:rsidRDefault="00E92DBE">
            <w:pPr>
              <w:rPr>
                <w:rFonts w:eastAsia="Times New Roman"/>
              </w:rPr>
            </w:pPr>
            <w:r>
              <w:rPr>
                <w:rFonts w:eastAsia="Times New Roman"/>
                <w:b/>
                <w:bCs/>
                <w:color w:val="000000"/>
                <w:sz w:val="20"/>
                <w:szCs w:val="20"/>
              </w:rPr>
              <w:t>Series J</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 xml:space="preserve">4.800% </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January 31, 2020</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4.800</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jc w:val="center"/>
              <w:rPr>
                <w:rFonts w:eastAsia="Times New Roman"/>
              </w:rPr>
            </w:pPr>
            <w:r>
              <w:rPr>
                <w:rFonts w:eastAsia="Times New Roman"/>
                <w:b/>
                <w:bCs/>
                <w:color w:val="000000"/>
                <w:sz w:val="20"/>
                <w:szCs w:val="20"/>
              </w:rPr>
              <w:t>12.00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67640780"/>
        </w:trPr>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b/>
                <w:bCs/>
                <w:color w:val="000000"/>
                <w:sz w:val="20"/>
                <w:szCs w:val="20"/>
              </w:rPr>
              <w:t>Series K</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4.625%</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September 17, 2020</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4.625</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jc w:val="center"/>
              <w:rPr>
                <w:rFonts w:eastAsia="Times New Roman"/>
              </w:rPr>
            </w:pPr>
            <w:r>
              <w:rPr>
                <w:rFonts w:eastAsia="Times New Roman"/>
                <w:b/>
                <w:bCs/>
                <w:color w:val="000000"/>
                <w:sz w:val="20"/>
                <w:szCs w:val="20"/>
              </w:rPr>
              <w:t>11.56</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bl>
    <w:p w:rsidR="00000000" w:rsidRDefault="00E92DBE">
      <w:pPr>
        <w:jc w:val="both"/>
        <w:divId w:val="135100626"/>
        <w:rPr>
          <w:rFonts w:eastAsia="Times New Roman"/>
        </w:rPr>
      </w:pPr>
      <w:r>
        <w:rPr>
          <w:rFonts w:eastAsia="Times New Roman"/>
          <w:color w:val="000000"/>
          <w:sz w:val="20"/>
          <w:szCs w:val="20"/>
        </w:rPr>
        <w:t>The declaration and paymen</w:t>
      </w:r>
      <w:r>
        <w:rPr>
          <w:rFonts w:eastAsia="Times New Roman"/>
          <w:color w:val="000000"/>
          <w:sz w:val="20"/>
          <w:szCs w:val="20"/>
        </w:rPr>
        <w:t>t of dividends to our stockholders, as well as the amount thereof, are subject to the discretion of our Board of Directors and depend upon our results of operations, financial condition, capital levels, cash requirements, future prospects, regulatory requi</w:t>
      </w:r>
      <w:r>
        <w:rPr>
          <w:rFonts w:eastAsia="Times New Roman"/>
          <w:color w:val="000000"/>
          <w:sz w:val="20"/>
          <w:szCs w:val="20"/>
        </w:rPr>
        <w:t>rements and other factors deemed relevant by the Board of Directors. As a BHC, our ability to pay dividends is largely dependent upon the receipt of dividends or other payments from our subsidiaries. The Banks are subject to regulatory restrictions that li</w:t>
      </w:r>
      <w:r>
        <w:rPr>
          <w:rFonts w:eastAsia="Times New Roman"/>
          <w:color w:val="000000"/>
          <w:sz w:val="20"/>
          <w:szCs w:val="20"/>
        </w:rPr>
        <w:t>mit their ability to transfer funds to our BHC. As of March 31, 2021, funds available for dividend payments from COBNA and CONA were $4.5 billion and $1.3 billion, respectively. There can be no assurance that we will declare and pay any dividends to stockh</w:t>
      </w:r>
      <w:r>
        <w:rPr>
          <w:rFonts w:eastAsia="Times New Roman"/>
          <w:color w:val="000000"/>
          <w:sz w:val="20"/>
          <w:szCs w:val="20"/>
        </w:rPr>
        <w:t xml:space="preserve">olders. </w:t>
      </w:r>
    </w:p>
    <w:p w:rsidR="00000000" w:rsidRDefault="00E92DBE">
      <w:pPr>
        <w:jc w:val="both"/>
        <w:divId w:val="1199589162"/>
        <w:rPr>
          <w:rFonts w:eastAsia="Times New Roman"/>
        </w:rPr>
      </w:pPr>
      <w:r>
        <w:rPr>
          <w:rFonts w:eastAsia="Times New Roman"/>
          <w:color w:val="000000"/>
          <w:sz w:val="20"/>
          <w:szCs w:val="20"/>
        </w:rPr>
        <w:t xml:space="preserve">On January 25, 2021, our Board of Directors authorized the repurchase of up to $7.5 billion of shares of our common stock and we repurchased approximately $490 million of shares of our common stock during the first quarter of 2021. The timing and </w:t>
      </w:r>
      <w:r>
        <w:rPr>
          <w:rFonts w:eastAsia="Times New Roman"/>
          <w:color w:val="000000"/>
          <w:sz w:val="20"/>
          <w:szCs w:val="20"/>
        </w:rPr>
        <w:t xml:space="preserve">exact amount of any future common stock repurchases will depend on various factors, including regulatory approval, market conditions, opportunities for growth, our capital position and the amount of retained earnings. Our stock repurchase program does not </w:t>
      </w:r>
      <w:r>
        <w:rPr>
          <w:rFonts w:eastAsia="Times New Roman"/>
          <w:color w:val="000000"/>
          <w:sz w:val="20"/>
          <w:szCs w:val="20"/>
        </w:rPr>
        <w:t>include specific price targets, may be executed through open market purchases or privately negotiated transactions, including utilizing Rule 10b5-1 programs, and may be suspended at any time. For additional information on dividends and stock repurchases, s</w:t>
      </w:r>
      <w:r>
        <w:rPr>
          <w:rFonts w:eastAsia="Times New Roman"/>
          <w:color w:val="000000"/>
          <w:sz w:val="20"/>
          <w:szCs w:val="20"/>
        </w:rPr>
        <w:t>ee “MD&amp;A—Capital Management—Capital Planning and Regulatory Stress Testing” and “Part I—Item 1. Business—Supervision and Regulation—Dividends, Stock Repurchases and Transfers of Funds”in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99749452"/>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599749452"/>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599749452"/>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33</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58" style="width:0;height:1.5pt" o:hralign="center" o:hrstd="t" o:hr="t" fillcolor="#a0a0a0" stroked="f"/>
        </w:pict>
      </w:r>
    </w:p>
    <w:p w:rsidR="00000000" w:rsidRDefault="00E92DBE">
      <w:pPr>
        <w:ind w:hanging="360"/>
        <w:jc w:val="both"/>
        <w:divId w:val="2086106697"/>
        <w:rPr>
          <w:rFonts w:eastAsia="Times New Roman"/>
        </w:rPr>
      </w:pPr>
      <w:hyperlink w:anchor="ic1109d5aa548447c8224139b1ab22bde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65436533"/>
        </w:trPr>
        <w:tc>
          <w:tcPr>
            <w:tcW w:w="50" w:type="pct"/>
            <w:vAlign w:val="center"/>
            <w:hideMark/>
          </w:tcPr>
          <w:p w:rsidR="00000000" w:rsidRDefault="00E92DBE">
            <w:pPr>
              <w:ind w:hanging="360"/>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65436533"/>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20"/>
                <w:szCs w:val="20"/>
              </w:rPr>
              <w:t>RISK MANAGEMENT</w:t>
            </w:r>
          </w:p>
        </w:tc>
      </w:tr>
    </w:tbl>
    <w:p w:rsidR="00000000" w:rsidRDefault="00E92DBE">
      <w:pPr>
        <w:divId w:val="633607008"/>
        <w:rPr>
          <w:rFonts w:eastAsia="Times New Roman"/>
        </w:rPr>
      </w:pPr>
      <w:r>
        <w:rPr>
          <w:rFonts w:eastAsia="Times New Roman"/>
          <w:b/>
          <w:bCs/>
          <w:color w:val="000000"/>
          <w:sz w:val="20"/>
          <w:szCs w:val="20"/>
        </w:rPr>
        <w:t>Risk Management Framework</w:t>
      </w:r>
    </w:p>
    <w:p w:rsidR="00000000" w:rsidRDefault="00E92DBE">
      <w:pPr>
        <w:jc w:val="both"/>
        <w:divId w:val="1563516393"/>
        <w:rPr>
          <w:rFonts w:eastAsia="Times New Roman"/>
        </w:rPr>
      </w:pPr>
      <w:r>
        <w:rPr>
          <w:rFonts w:eastAsia="Times New Roman"/>
          <w:color w:val="000000"/>
          <w:sz w:val="20"/>
          <w:szCs w:val="20"/>
        </w:rPr>
        <w:t>Our Risk Management Framework (the “Framework”</w:t>
      </w:r>
      <w:r>
        <w:rPr>
          <w:rFonts w:eastAsia="Times New Roman"/>
          <w:color w:val="000000"/>
          <w:sz w:val="20"/>
          <w:szCs w:val="20"/>
        </w:rPr>
        <w:t>) sets consistent expectations for risk management across the Company. It also sets expectations for our “Three Lines of Defense” model, which defines the roles, responsibilities and accountabilities for taking and managing risk across the Company. Account</w:t>
      </w:r>
      <w:r>
        <w:rPr>
          <w:rFonts w:eastAsia="Times New Roman"/>
          <w:color w:val="000000"/>
          <w:sz w:val="20"/>
          <w:szCs w:val="20"/>
        </w:rPr>
        <w:t xml:space="preserve">ability for overseeing an effective Framework resides with our Board of Directors either directly or through its committees. </w:t>
      </w:r>
    </w:p>
    <w:p w:rsidR="00000000" w:rsidRDefault="00E92DBE">
      <w:pPr>
        <w:jc w:val="both"/>
        <w:divId w:val="1514108940"/>
        <w:rPr>
          <w:rFonts w:eastAsia="Times New Roman"/>
        </w:rPr>
      </w:pPr>
      <w:r>
        <w:rPr>
          <w:rFonts w:eastAsia="Times New Roman"/>
          <w:color w:val="000000"/>
          <w:sz w:val="20"/>
          <w:szCs w:val="20"/>
        </w:rPr>
        <w:t>The “First Line of Defense” consists of any line of business or function that is accountable for risk taking and is responsible fo</w:t>
      </w:r>
      <w:r>
        <w:rPr>
          <w:rFonts w:eastAsia="Times New Roman"/>
          <w:color w:val="000000"/>
          <w:sz w:val="20"/>
          <w:szCs w:val="20"/>
        </w:rPr>
        <w:t xml:space="preserve">r: (i) engaging in activities designed to generate revenue or reduce expenses; (ii) providing operational support or servicing to any business function for the delivery of products or services to customers; or (iii) providing technology services in direct </w:t>
      </w:r>
      <w:r>
        <w:rPr>
          <w:rFonts w:eastAsia="Times New Roman"/>
          <w:color w:val="000000"/>
          <w:sz w:val="20"/>
          <w:szCs w:val="20"/>
        </w:rPr>
        <w:t>support of first line business areas. Each line of business or first line function is responsible for managing the risks associated with their activities, including identifying, assessing, measuring, monitoring, controlling and reporting the risks within i</w:t>
      </w:r>
      <w:r>
        <w:rPr>
          <w:rFonts w:eastAsia="Times New Roman"/>
          <w:color w:val="000000"/>
          <w:sz w:val="20"/>
          <w:szCs w:val="20"/>
        </w:rPr>
        <w:t>ts business activities, consistent with the risk framework. The “Second Line of Defense” consists of two types of functions: Independent Risk Management (“IRM”) and Support Functions. IRM oversees risk-taking activities and assesses risks and issues indepe</w:t>
      </w:r>
      <w:r>
        <w:rPr>
          <w:rFonts w:eastAsia="Times New Roman"/>
          <w:color w:val="000000"/>
          <w:sz w:val="20"/>
          <w:szCs w:val="20"/>
        </w:rPr>
        <w:t xml:space="preserve">ndent from the first line of defense. Support Functions are centers of specialized expertise (e.g., Human Resources, Accounting, Legal) that provide support services to the Company. The “Third Line of Defense” is comprised of the Internal Audit and Credit </w:t>
      </w:r>
      <w:r>
        <w:rPr>
          <w:rFonts w:eastAsia="Times New Roman"/>
          <w:color w:val="000000"/>
          <w:sz w:val="20"/>
          <w:szCs w:val="20"/>
        </w:rPr>
        <w:t>Review functions. The third line provides independent and objective assurance to senior management and to the Board of Directors that the first and second lines of defense have systems and governance processes which are well-designed and working as intende</w:t>
      </w:r>
      <w:r>
        <w:rPr>
          <w:rFonts w:eastAsia="Times New Roman"/>
          <w:color w:val="000000"/>
          <w:sz w:val="20"/>
          <w:szCs w:val="20"/>
        </w:rPr>
        <w:t xml:space="preserve">d, and that the Framework is appropriate for our size, complexity and risk profile. </w:t>
      </w:r>
    </w:p>
    <w:p w:rsidR="00000000" w:rsidRDefault="00E92DBE">
      <w:pPr>
        <w:jc w:val="both"/>
        <w:divId w:val="460074803"/>
        <w:rPr>
          <w:rFonts w:eastAsia="Times New Roman"/>
        </w:rPr>
      </w:pPr>
      <w:r>
        <w:rPr>
          <w:rFonts w:eastAsia="Times New Roman"/>
          <w:color w:val="000000"/>
          <w:sz w:val="20"/>
          <w:szCs w:val="20"/>
        </w:rPr>
        <w:t xml:space="preserve">Our Framework consists of the following nine elements: </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7"/>
        <w:gridCol w:w="37"/>
        <w:gridCol w:w="37"/>
        <w:gridCol w:w="37"/>
        <w:gridCol w:w="46"/>
        <w:gridCol w:w="1903"/>
        <w:gridCol w:w="36"/>
        <w:gridCol w:w="36"/>
        <w:gridCol w:w="36"/>
        <w:gridCol w:w="36"/>
        <w:gridCol w:w="40"/>
        <w:gridCol w:w="1912"/>
        <w:gridCol w:w="36"/>
        <w:gridCol w:w="36"/>
        <w:gridCol w:w="36"/>
        <w:gridCol w:w="36"/>
        <w:gridCol w:w="43"/>
        <w:gridCol w:w="1909"/>
        <w:gridCol w:w="36"/>
      </w:tblGrid>
      <w:tr w:rsidR="00000000">
        <w:trPr>
          <w:divId w:val="1730768531"/>
        </w:trPr>
        <w:tc>
          <w:tcPr>
            <w:tcW w:w="50" w:type="pct"/>
            <w:vAlign w:val="center"/>
            <w:hideMark/>
          </w:tcPr>
          <w:p w:rsidR="00000000" w:rsidRDefault="00E92DBE">
            <w:pPr>
              <w:jc w:val="both"/>
              <w:rPr>
                <w:rFonts w:eastAsia="Times New Roman"/>
              </w:rPr>
            </w:pPr>
          </w:p>
        </w:tc>
        <w:tc>
          <w:tcPr>
            <w:tcW w:w="116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16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16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16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730768531"/>
        </w:trPr>
        <w:tc>
          <w:tcPr>
            <w:tcW w:w="0" w:type="auto"/>
            <w:gridSpan w:val="21"/>
            <w:shd w:val="clear" w:color="auto" w:fill="004977"/>
            <w:tcMar>
              <w:top w:w="30" w:type="dxa"/>
              <w:left w:w="20" w:type="dxa"/>
              <w:bottom w:w="30" w:type="dxa"/>
              <w:right w:w="20" w:type="dxa"/>
            </w:tcMar>
            <w:vAlign w:val="center"/>
            <w:hideMark/>
          </w:tcPr>
          <w:p w:rsidR="00000000" w:rsidRDefault="00E92DBE">
            <w:pPr>
              <w:jc w:val="center"/>
              <w:rPr>
                <w:rFonts w:eastAsia="Times New Roman"/>
              </w:rPr>
            </w:pPr>
          </w:p>
          <w:p w:rsidR="00000000" w:rsidRDefault="00E92DBE">
            <w:pPr>
              <w:jc w:val="center"/>
              <w:rPr>
                <w:rFonts w:eastAsia="Times New Roman"/>
              </w:rPr>
            </w:pPr>
            <w:r>
              <w:rPr>
                <w:rFonts w:eastAsia="Times New Roman"/>
                <w:b/>
                <w:bCs/>
                <w:color w:val="FFFFFF"/>
                <w:sz w:val="18"/>
                <w:szCs w:val="18"/>
              </w:rPr>
              <w:t> Governance and Accountability</w:t>
            </w:r>
          </w:p>
          <w:p w:rsidR="00000000" w:rsidRDefault="00E92DBE">
            <w:pPr>
              <w:jc w:val="center"/>
              <w:rPr>
                <w:rFonts w:eastAsia="Times New Roman"/>
              </w:rPr>
            </w:pPr>
          </w:p>
        </w:tc>
      </w:tr>
      <w:tr w:rsidR="00000000">
        <w:trPr>
          <w:divId w:val="1730768531"/>
          <w:trHeight w:val="60"/>
        </w:trPr>
        <w:tc>
          <w:tcPr>
            <w:tcW w:w="0" w:type="auto"/>
            <w:gridSpan w:val="21"/>
            <w:tcMar>
              <w:top w:w="0" w:type="dxa"/>
              <w:left w:w="20" w:type="dxa"/>
              <w:bottom w:w="0" w:type="dxa"/>
              <w:right w:w="20" w:type="dxa"/>
            </w:tcMar>
            <w:vAlign w:val="center"/>
            <w:hideMark/>
          </w:tcPr>
          <w:p w:rsidR="00000000" w:rsidRDefault="00E92DBE">
            <w:pPr>
              <w:jc w:val="center"/>
              <w:rPr>
                <w:rFonts w:eastAsia="Times New Roman"/>
              </w:rPr>
            </w:pPr>
          </w:p>
        </w:tc>
      </w:tr>
      <w:tr w:rsidR="00000000">
        <w:trPr>
          <w:divId w:val="1730768531"/>
        </w:trPr>
        <w:tc>
          <w:tcPr>
            <w:tcW w:w="0" w:type="auto"/>
            <w:gridSpan w:val="21"/>
            <w:shd w:val="clear" w:color="auto" w:fill="004977"/>
            <w:tcMar>
              <w:top w:w="30" w:type="dxa"/>
              <w:left w:w="20" w:type="dxa"/>
              <w:bottom w:w="30" w:type="dxa"/>
              <w:right w:w="20" w:type="dxa"/>
            </w:tcMar>
            <w:vAlign w:val="center"/>
            <w:hideMark/>
          </w:tcPr>
          <w:p w:rsidR="00000000" w:rsidRDefault="00E92DBE">
            <w:pPr>
              <w:jc w:val="center"/>
              <w:rPr>
                <w:rFonts w:eastAsia="Times New Roman"/>
              </w:rPr>
            </w:pPr>
          </w:p>
          <w:p w:rsidR="00000000" w:rsidRDefault="00E92DBE">
            <w:pPr>
              <w:jc w:val="center"/>
              <w:rPr>
                <w:rFonts w:eastAsia="Times New Roman"/>
              </w:rPr>
            </w:pPr>
            <w:r>
              <w:rPr>
                <w:rFonts w:eastAsia="Times New Roman"/>
                <w:b/>
                <w:bCs/>
                <w:color w:val="FFFFFF"/>
                <w:sz w:val="18"/>
                <w:szCs w:val="18"/>
              </w:rPr>
              <w:t>Strategy and Risk Alignment</w:t>
            </w:r>
          </w:p>
          <w:p w:rsidR="00000000" w:rsidRDefault="00E92DBE">
            <w:pPr>
              <w:jc w:val="center"/>
              <w:rPr>
                <w:rFonts w:eastAsia="Times New Roman"/>
              </w:rPr>
            </w:pPr>
          </w:p>
        </w:tc>
      </w:tr>
      <w:tr w:rsidR="00000000">
        <w:trPr>
          <w:divId w:val="1730768531"/>
          <w:trHeight w:val="6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30768531"/>
        </w:trPr>
        <w:tc>
          <w:tcPr>
            <w:tcW w:w="0" w:type="auto"/>
            <w:gridSpan w:val="3"/>
            <w:shd w:val="clear" w:color="auto" w:fill="004977"/>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sz w:val="18"/>
                <w:szCs w:val="18"/>
              </w:rPr>
              <w:br/>
            </w:r>
            <w:r>
              <w:rPr>
                <w:rFonts w:eastAsia="Times New Roman"/>
                <w:b/>
                <w:bCs/>
                <w:color w:val="FFFFFF"/>
                <w:sz w:val="18"/>
                <w:szCs w:val="18"/>
              </w:rPr>
              <w:t>Risk Identification</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E92DBE">
            <w:pPr>
              <w:jc w:val="center"/>
              <w:rPr>
                <w:rFonts w:eastAsia="Times New Roman"/>
              </w:rPr>
            </w:pPr>
          </w:p>
          <w:p w:rsidR="00000000" w:rsidRDefault="00E92DBE">
            <w:pPr>
              <w:jc w:val="center"/>
              <w:rPr>
                <w:rFonts w:eastAsia="Times New Roman"/>
              </w:rPr>
            </w:pPr>
            <w:r>
              <w:rPr>
                <w:rFonts w:eastAsia="Times New Roman"/>
                <w:b/>
                <w:bCs/>
                <w:color w:val="FFFFFF"/>
                <w:sz w:val="18"/>
                <w:szCs w:val="18"/>
              </w:rPr>
              <w:t>Assessment, Measurement</w:t>
            </w:r>
          </w:p>
          <w:p w:rsidR="00000000" w:rsidRDefault="00E92DBE">
            <w:pPr>
              <w:jc w:val="center"/>
              <w:rPr>
                <w:rFonts w:eastAsia="Times New Roman"/>
              </w:rPr>
            </w:pPr>
            <w:r>
              <w:rPr>
                <w:rFonts w:eastAsia="Times New Roman"/>
                <w:b/>
                <w:bCs/>
                <w:color w:val="FFFFFF"/>
                <w:sz w:val="18"/>
                <w:szCs w:val="18"/>
              </w:rPr>
              <w:t>and Response</w:t>
            </w:r>
          </w:p>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E92DBE">
            <w:pPr>
              <w:jc w:val="center"/>
              <w:rPr>
                <w:rFonts w:eastAsia="Times New Roman"/>
              </w:rPr>
            </w:pPr>
          </w:p>
          <w:p w:rsidR="00000000" w:rsidRDefault="00E92DBE">
            <w:pPr>
              <w:jc w:val="center"/>
              <w:rPr>
                <w:rFonts w:eastAsia="Times New Roman"/>
              </w:rPr>
            </w:pPr>
            <w:r>
              <w:rPr>
                <w:rFonts w:eastAsia="Times New Roman"/>
                <w:b/>
                <w:bCs/>
                <w:color w:val="FFFFFF"/>
                <w:sz w:val="18"/>
                <w:szCs w:val="18"/>
              </w:rPr>
              <w:t>Monitoring and Testing</w:t>
            </w:r>
          </w:p>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E92DBE">
            <w:pPr>
              <w:jc w:val="center"/>
              <w:rPr>
                <w:rFonts w:eastAsia="Times New Roman"/>
              </w:rPr>
            </w:pPr>
          </w:p>
          <w:p w:rsidR="00000000" w:rsidRDefault="00E92DBE">
            <w:pPr>
              <w:jc w:val="center"/>
              <w:rPr>
                <w:rFonts w:eastAsia="Times New Roman"/>
              </w:rPr>
            </w:pPr>
            <w:r>
              <w:rPr>
                <w:rFonts w:eastAsia="Times New Roman"/>
                <w:b/>
                <w:bCs/>
                <w:color w:val="FFFFFF"/>
                <w:sz w:val="18"/>
                <w:szCs w:val="18"/>
              </w:rPr>
              <w:t>Aggregation, Reporting and Escalation</w:t>
            </w:r>
          </w:p>
          <w:p w:rsidR="00000000" w:rsidRDefault="00E92DBE">
            <w:pPr>
              <w:jc w:val="center"/>
              <w:rPr>
                <w:rFonts w:eastAsia="Times New Roman"/>
              </w:rPr>
            </w:pPr>
          </w:p>
        </w:tc>
      </w:tr>
      <w:tr w:rsidR="00000000">
        <w:trPr>
          <w:divId w:val="1730768531"/>
          <w:trHeight w:val="6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30768531"/>
        </w:trPr>
        <w:tc>
          <w:tcPr>
            <w:tcW w:w="0" w:type="auto"/>
            <w:gridSpan w:val="21"/>
            <w:shd w:val="clear" w:color="auto" w:fill="004977"/>
            <w:tcMar>
              <w:top w:w="30" w:type="dxa"/>
              <w:left w:w="20" w:type="dxa"/>
              <w:bottom w:w="30" w:type="dxa"/>
              <w:right w:w="20" w:type="dxa"/>
            </w:tcMar>
            <w:vAlign w:val="center"/>
            <w:hideMark/>
          </w:tcPr>
          <w:p w:rsidR="00000000" w:rsidRDefault="00E92DBE">
            <w:pPr>
              <w:jc w:val="center"/>
              <w:rPr>
                <w:rFonts w:eastAsia="Times New Roman"/>
              </w:rPr>
            </w:pPr>
          </w:p>
          <w:p w:rsidR="00000000" w:rsidRDefault="00E92DBE">
            <w:pPr>
              <w:jc w:val="center"/>
              <w:rPr>
                <w:rFonts w:eastAsia="Times New Roman"/>
              </w:rPr>
            </w:pPr>
            <w:r>
              <w:rPr>
                <w:rFonts w:eastAsia="Times New Roman"/>
                <w:b/>
                <w:bCs/>
                <w:color w:val="FFFFFF"/>
                <w:sz w:val="18"/>
                <w:szCs w:val="18"/>
              </w:rPr>
              <w:t>Capital and Liquidity Management (including Stress Testing)</w:t>
            </w:r>
          </w:p>
          <w:p w:rsidR="00000000" w:rsidRDefault="00E92DBE">
            <w:pPr>
              <w:jc w:val="center"/>
              <w:rPr>
                <w:rFonts w:eastAsia="Times New Roman"/>
              </w:rPr>
            </w:pPr>
          </w:p>
        </w:tc>
      </w:tr>
      <w:tr w:rsidR="00000000">
        <w:trPr>
          <w:divId w:val="1730768531"/>
          <w:trHeight w:val="60"/>
        </w:trPr>
        <w:tc>
          <w:tcPr>
            <w:tcW w:w="0" w:type="auto"/>
            <w:gridSpan w:val="21"/>
            <w:tcMar>
              <w:top w:w="0" w:type="dxa"/>
              <w:left w:w="20" w:type="dxa"/>
              <w:bottom w:w="0" w:type="dxa"/>
              <w:right w:w="20" w:type="dxa"/>
            </w:tcMar>
            <w:vAlign w:val="center"/>
            <w:hideMark/>
          </w:tcPr>
          <w:p w:rsidR="00000000" w:rsidRDefault="00E92DBE">
            <w:pPr>
              <w:jc w:val="center"/>
              <w:rPr>
                <w:rFonts w:eastAsia="Times New Roman"/>
              </w:rPr>
            </w:pPr>
          </w:p>
        </w:tc>
      </w:tr>
      <w:tr w:rsidR="00000000">
        <w:trPr>
          <w:divId w:val="1730768531"/>
        </w:trPr>
        <w:tc>
          <w:tcPr>
            <w:tcW w:w="0" w:type="auto"/>
            <w:gridSpan w:val="21"/>
            <w:shd w:val="clear" w:color="auto" w:fill="004977"/>
            <w:tcMar>
              <w:top w:w="30" w:type="dxa"/>
              <w:left w:w="20" w:type="dxa"/>
              <w:bottom w:w="30" w:type="dxa"/>
              <w:right w:w="20" w:type="dxa"/>
            </w:tcMar>
            <w:vAlign w:val="center"/>
            <w:hideMark/>
          </w:tcPr>
          <w:p w:rsidR="00000000" w:rsidRDefault="00E92DBE">
            <w:pPr>
              <w:jc w:val="center"/>
              <w:rPr>
                <w:rFonts w:eastAsia="Times New Roman"/>
              </w:rPr>
            </w:pPr>
          </w:p>
          <w:p w:rsidR="00000000" w:rsidRDefault="00E92DBE">
            <w:pPr>
              <w:jc w:val="center"/>
              <w:rPr>
                <w:rFonts w:eastAsia="Times New Roman"/>
              </w:rPr>
            </w:pPr>
            <w:r>
              <w:rPr>
                <w:rFonts w:eastAsia="Times New Roman"/>
                <w:b/>
                <w:bCs/>
                <w:color w:val="FFFFFF"/>
                <w:sz w:val="18"/>
                <w:szCs w:val="18"/>
              </w:rPr>
              <w:t>Risk Data and Enabling Technology</w:t>
            </w:r>
          </w:p>
          <w:p w:rsidR="00000000" w:rsidRDefault="00E92DBE">
            <w:pPr>
              <w:jc w:val="center"/>
              <w:rPr>
                <w:rFonts w:eastAsia="Times New Roman"/>
              </w:rPr>
            </w:pPr>
          </w:p>
        </w:tc>
      </w:tr>
      <w:tr w:rsidR="00000000">
        <w:trPr>
          <w:divId w:val="1730768531"/>
          <w:trHeight w:val="60"/>
        </w:trPr>
        <w:tc>
          <w:tcPr>
            <w:tcW w:w="0" w:type="auto"/>
            <w:gridSpan w:val="21"/>
            <w:tcMar>
              <w:top w:w="0" w:type="dxa"/>
              <w:left w:w="20" w:type="dxa"/>
              <w:bottom w:w="0" w:type="dxa"/>
              <w:right w:w="20" w:type="dxa"/>
            </w:tcMar>
            <w:vAlign w:val="center"/>
            <w:hideMark/>
          </w:tcPr>
          <w:p w:rsidR="00000000" w:rsidRDefault="00E92DBE">
            <w:pPr>
              <w:jc w:val="center"/>
              <w:rPr>
                <w:rFonts w:eastAsia="Times New Roman"/>
              </w:rPr>
            </w:pPr>
          </w:p>
        </w:tc>
      </w:tr>
      <w:tr w:rsidR="00000000">
        <w:trPr>
          <w:divId w:val="1730768531"/>
        </w:trPr>
        <w:tc>
          <w:tcPr>
            <w:tcW w:w="0" w:type="auto"/>
            <w:gridSpan w:val="21"/>
            <w:shd w:val="clear" w:color="auto" w:fill="004977"/>
            <w:tcMar>
              <w:top w:w="30" w:type="dxa"/>
              <w:left w:w="20" w:type="dxa"/>
              <w:bottom w:w="30" w:type="dxa"/>
              <w:right w:w="20" w:type="dxa"/>
            </w:tcMar>
            <w:vAlign w:val="center"/>
            <w:hideMark/>
          </w:tcPr>
          <w:p w:rsidR="00000000" w:rsidRDefault="00E92DBE">
            <w:pPr>
              <w:jc w:val="center"/>
              <w:rPr>
                <w:rFonts w:eastAsia="Times New Roman"/>
              </w:rPr>
            </w:pPr>
          </w:p>
          <w:p w:rsidR="00000000" w:rsidRDefault="00E92DBE">
            <w:pPr>
              <w:jc w:val="center"/>
              <w:rPr>
                <w:rFonts w:eastAsia="Times New Roman"/>
              </w:rPr>
            </w:pPr>
            <w:r>
              <w:rPr>
                <w:rFonts w:eastAsia="Times New Roman"/>
                <w:b/>
                <w:bCs/>
                <w:color w:val="FFFFFF"/>
                <w:sz w:val="18"/>
                <w:szCs w:val="18"/>
              </w:rPr>
              <w:t>Culture and Talent Management</w:t>
            </w:r>
          </w:p>
          <w:p w:rsidR="00000000" w:rsidRDefault="00E92DBE">
            <w:pPr>
              <w:jc w:val="center"/>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34</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59" style="width:0;height:1.5pt" o:hralign="center" o:hrstd="t" o:hr="t" fillcolor="#a0a0a0" stroked="f"/>
        </w:pict>
      </w:r>
    </w:p>
    <w:p w:rsidR="00000000" w:rsidRDefault="00E92DBE">
      <w:pPr>
        <w:ind w:hanging="360"/>
        <w:jc w:val="both"/>
        <w:divId w:val="58577293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1386753480"/>
        <w:rPr>
          <w:rFonts w:eastAsia="Times New Roman"/>
        </w:rPr>
      </w:pPr>
      <w:r>
        <w:rPr>
          <w:rFonts w:eastAsia="Times New Roman"/>
          <w:color w:val="000000"/>
          <w:sz w:val="20"/>
          <w:szCs w:val="20"/>
        </w:rPr>
        <w:t>We provide additional discussion of our risk management principles, roles and responsibilities, framework and risk appetite under “MD&amp;A—</w:t>
      </w:r>
      <w:r>
        <w:rPr>
          <w:rFonts w:eastAsia="Times New Roman"/>
          <w:color w:val="000000"/>
          <w:sz w:val="20"/>
          <w:szCs w:val="20"/>
        </w:rPr>
        <w:t>Risk Management” in our 2020 Form 10-K.</w:t>
      </w:r>
    </w:p>
    <w:p w:rsidR="00000000" w:rsidRDefault="00E92DBE">
      <w:pPr>
        <w:divId w:val="1424490777"/>
        <w:rPr>
          <w:rFonts w:eastAsia="Times New Roman"/>
        </w:rPr>
      </w:pPr>
      <w:r>
        <w:rPr>
          <w:rFonts w:eastAsia="Times New Roman"/>
          <w:b/>
          <w:bCs/>
          <w:color w:val="000000"/>
          <w:sz w:val="20"/>
          <w:szCs w:val="20"/>
        </w:rPr>
        <w:t>Risk Categories</w:t>
      </w:r>
    </w:p>
    <w:p w:rsidR="00000000" w:rsidRDefault="00E92DBE">
      <w:pPr>
        <w:jc w:val="both"/>
        <w:divId w:val="289871436"/>
        <w:rPr>
          <w:rFonts w:eastAsia="Times New Roman"/>
        </w:rPr>
      </w:pPr>
      <w:r>
        <w:rPr>
          <w:rFonts w:eastAsia="Times New Roman"/>
          <w:color w:val="000000"/>
          <w:sz w:val="20"/>
          <w:szCs w:val="20"/>
        </w:rPr>
        <w:t>We apply our Framework to protect the Company from the major categories of risk that we are exposed to through our business activities. We have seven major categories of risk as noted below. We provid</w:t>
      </w:r>
      <w:r>
        <w:rPr>
          <w:rFonts w:eastAsia="Times New Roman"/>
          <w:color w:val="000000"/>
          <w:sz w:val="20"/>
          <w:szCs w:val="20"/>
        </w:rPr>
        <w:t>e a description of these categories and how we manage them under “MD&amp;A—Risk Management” in our 2020 Form 10-K.</w:t>
      </w:r>
    </w:p>
    <w:p w:rsidR="00000000" w:rsidRDefault="00E92DBE">
      <w:pPr>
        <w:ind w:hanging="360"/>
        <w:jc w:val="both"/>
        <w:divId w:val="1656031219"/>
        <w:rPr>
          <w:rFonts w:eastAsia="Times New Roman"/>
        </w:rPr>
      </w:pPr>
      <w:r>
        <w:rPr>
          <w:rFonts w:eastAsia="Times New Roman"/>
          <w:color w:val="000000"/>
          <w:sz w:val="20"/>
          <w:szCs w:val="20"/>
        </w:rPr>
        <w:t>•Compliance risk</w:t>
      </w:r>
    </w:p>
    <w:p w:rsidR="00000000" w:rsidRDefault="00E92DBE">
      <w:pPr>
        <w:ind w:hanging="360"/>
        <w:jc w:val="both"/>
        <w:divId w:val="201332042"/>
        <w:rPr>
          <w:rFonts w:eastAsia="Times New Roman"/>
        </w:rPr>
      </w:pPr>
      <w:r>
        <w:rPr>
          <w:rFonts w:eastAsia="Times New Roman"/>
          <w:color w:val="000000"/>
          <w:sz w:val="20"/>
          <w:szCs w:val="20"/>
        </w:rPr>
        <w:t>•Credit risk</w:t>
      </w:r>
    </w:p>
    <w:p w:rsidR="00000000" w:rsidRDefault="00E92DBE">
      <w:pPr>
        <w:ind w:hanging="360"/>
        <w:jc w:val="both"/>
        <w:divId w:val="1089044224"/>
        <w:rPr>
          <w:rFonts w:eastAsia="Times New Roman"/>
        </w:rPr>
      </w:pPr>
      <w:r>
        <w:rPr>
          <w:rFonts w:eastAsia="Times New Roman"/>
          <w:color w:val="000000"/>
          <w:sz w:val="20"/>
          <w:szCs w:val="20"/>
        </w:rPr>
        <w:t>•Liquidity risk</w:t>
      </w:r>
    </w:p>
    <w:p w:rsidR="00000000" w:rsidRDefault="00E92DBE">
      <w:pPr>
        <w:ind w:hanging="360"/>
        <w:jc w:val="both"/>
        <w:divId w:val="1299726898"/>
        <w:rPr>
          <w:rFonts w:eastAsia="Times New Roman"/>
        </w:rPr>
      </w:pPr>
      <w:r>
        <w:rPr>
          <w:rFonts w:eastAsia="Times New Roman"/>
          <w:color w:val="000000"/>
          <w:sz w:val="20"/>
          <w:szCs w:val="20"/>
        </w:rPr>
        <w:t>•Market risk</w:t>
      </w:r>
    </w:p>
    <w:p w:rsidR="00000000" w:rsidRDefault="00E92DBE">
      <w:pPr>
        <w:ind w:hanging="360"/>
        <w:jc w:val="both"/>
        <w:divId w:val="457529820"/>
        <w:rPr>
          <w:rFonts w:eastAsia="Times New Roman"/>
        </w:rPr>
      </w:pPr>
      <w:r>
        <w:rPr>
          <w:rFonts w:eastAsia="Times New Roman"/>
          <w:color w:val="000000"/>
          <w:sz w:val="20"/>
          <w:szCs w:val="20"/>
        </w:rPr>
        <w:t>•Operational risk</w:t>
      </w:r>
    </w:p>
    <w:p w:rsidR="00000000" w:rsidRDefault="00E92DBE">
      <w:pPr>
        <w:ind w:hanging="360"/>
        <w:jc w:val="both"/>
        <w:divId w:val="2144807259"/>
        <w:rPr>
          <w:rFonts w:eastAsia="Times New Roman"/>
        </w:rPr>
      </w:pPr>
      <w:r>
        <w:rPr>
          <w:rFonts w:eastAsia="Times New Roman"/>
          <w:color w:val="000000"/>
          <w:sz w:val="20"/>
          <w:szCs w:val="20"/>
        </w:rPr>
        <w:t>•Reputation risk</w:t>
      </w:r>
    </w:p>
    <w:p w:rsidR="00000000" w:rsidRDefault="00E92DBE">
      <w:pPr>
        <w:ind w:hanging="360"/>
        <w:jc w:val="both"/>
        <w:divId w:val="172719739"/>
        <w:rPr>
          <w:rFonts w:eastAsia="Times New Roman"/>
        </w:rPr>
      </w:pPr>
      <w:r>
        <w:rPr>
          <w:rFonts w:eastAsia="Times New Roman"/>
          <w:color w:val="000000"/>
          <w:sz w:val="20"/>
          <w:szCs w:val="20"/>
        </w:rPr>
        <w:t>•Strategic risk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82932793"/>
        </w:trPr>
        <w:tc>
          <w:tcPr>
            <w:tcW w:w="50" w:type="pct"/>
            <w:vAlign w:val="center"/>
            <w:hideMark/>
          </w:tcPr>
          <w:p w:rsidR="00000000" w:rsidRDefault="00E92DBE">
            <w:pPr>
              <w:ind w:hanging="360"/>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98293279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CREDIT RISK PROFILE</w:t>
            </w:r>
          </w:p>
        </w:tc>
      </w:tr>
    </w:tbl>
    <w:p w:rsidR="00000000" w:rsidRDefault="00E92DBE">
      <w:pPr>
        <w:jc w:val="both"/>
        <w:divId w:val="1710377410"/>
        <w:rPr>
          <w:rFonts w:eastAsia="Times New Roman"/>
        </w:rPr>
      </w:pPr>
      <w:r>
        <w:rPr>
          <w:rFonts w:eastAsia="Times New Roman"/>
          <w:color w:val="000000"/>
          <w:sz w:val="20"/>
          <w:szCs w:val="20"/>
        </w:rPr>
        <w:t>Our loan portfolio accounts for the substantial majority of our credit risk exposure. Our lending activities are governed under our credit policy and are subject to independent review and approval. Below we provide information about</w:t>
      </w:r>
      <w:r>
        <w:rPr>
          <w:rFonts w:eastAsia="Times New Roman"/>
          <w:color w:val="000000"/>
          <w:sz w:val="20"/>
          <w:szCs w:val="20"/>
        </w:rPr>
        <w:t xml:space="preserve"> the composition of our loan portfolio, key concentrations and credit performance metrics.</w:t>
      </w:r>
    </w:p>
    <w:p w:rsidR="00000000" w:rsidRDefault="00E92DBE">
      <w:pPr>
        <w:jc w:val="both"/>
        <w:divId w:val="917253527"/>
        <w:rPr>
          <w:rFonts w:eastAsia="Times New Roman"/>
        </w:rPr>
      </w:pPr>
      <w:r>
        <w:rPr>
          <w:rFonts w:eastAsia="Times New Roman"/>
          <w:color w:val="000000"/>
          <w:sz w:val="20"/>
          <w:szCs w:val="20"/>
        </w:rPr>
        <w:t>We also engage in certain non-lending activities that may give rise to ongoing credit and counterparty settlement risk, including purchasing securities for our inves</w:t>
      </w:r>
      <w:r>
        <w:rPr>
          <w:rFonts w:eastAsia="Times New Roman"/>
          <w:color w:val="000000"/>
          <w:sz w:val="20"/>
          <w:szCs w:val="20"/>
        </w:rPr>
        <w:t>tment securities portfolio, entering into derivative transactions to manage our market risk exposure and to accommodate customers, extending short-term advances on syndication activity including bridge financing transactions we have underwritten, depositin</w:t>
      </w:r>
      <w:r>
        <w:rPr>
          <w:rFonts w:eastAsia="Times New Roman"/>
          <w:color w:val="000000"/>
          <w:sz w:val="20"/>
          <w:szCs w:val="20"/>
        </w:rPr>
        <w:t>g certain operational cash balances in other financial institutions, executing certain foreign exchange transactions and extending customer overdrafts. We provide additional information related to our investment securities portfolio under “MD&amp;A—Consolidate</w:t>
      </w:r>
      <w:r>
        <w:rPr>
          <w:rFonts w:eastAsia="Times New Roman"/>
          <w:color w:val="000000"/>
          <w:sz w:val="20"/>
          <w:szCs w:val="20"/>
        </w:rPr>
        <w:t>d Balance Sheets Analysis—Investment Securities” and credit risk related to derivative transactions in “Note 8—Derivative Instruments and Hedging Activities.”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03044319"/>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2003044319"/>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2003044319"/>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35</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60" style="width:0;height:1.5pt" o:hralign="center" o:hrstd="t" o:hr="t" fillcolor="#a0a0a0" stroked="f"/>
        </w:pict>
      </w:r>
    </w:p>
    <w:p w:rsidR="00000000" w:rsidRDefault="00E92DBE">
      <w:pPr>
        <w:ind w:hanging="360"/>
        <w:jc w:val="both"/>
        <w:divId w:val="877357950"/>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335303551"/>
        <w:rPr>
          <w:rFonts w:eastAsia="Times New Roman"/>
        </w:rPr>
      </w:pPr>
      <w:r>
        <w:rPr>
          <w:rFonts w:eastAsia="Times New Roman"/>
          <w:b/>
          <w:bCs/>
          <w:color w:val="000000"/>
          <w:sz w:val="20"/>
          <w:szCs w:val="20"/>
        </w:rPr>
        <w:t>Portfolio Composition and Maturity Profile of Loans Held for Investment</w:t>
      </w:r>
    </w:p>
    <w:p w:rsidR="00000000" w:rsidRDefault="00E92DBE">
      <w:pPr>
        <w:jc w:val="both"/>
        <w:divId w:val="1659918504"/>
        <w:rPr>
          <w:rFonts w:eastAsia="Times New Roman"/>
        </w:rPr>
      </w:pPr>
      <w:r>
        <w:rPr>
          <w:rFonts w:eastAsia="Times New Roman"/>
          <w:color w:val="000000"/>
          <w:sz w:val="20"/>
          <w:szCs w:val="20"/>
        </w:rPr>
        <w:t>We provide a variety of lending products. Our primary products include credit cards, auto loans and commercial lending products. For information on our lending policies and procedures,</w:t>
      </w:r>
      <w:r>
        <w:rPr>
          <w:rFonts w:eastAsia="Times New Roman"/>
          <w:color w:val="000000"/>
          <w:sz w:val="20"/>
          <w:szCs w:val="20"/>
        </w:rPr>
        <w:t xml:space="preserve"> including our underwriting criteria for our primary loan products, see “MD&amp;A—Credit Risk Profile” in our 2020 Form 10-K.</w:t>
      </w:r>
    </w:p>
    <w:p w:rsidR="00000000" w:rsidRDefault="00E92DBE">
      <w:pPr>
        <w:jc w:val="both"/>
        <w:divId w:val="1128620819"/>
        <w:rPr>
          <w:rFonts w:eastAsia="Times New Roman"/>
        </w:rPr>
      </w:pPr>
      <w:r>
        <w:rPr>
          <w:rFonts w:eastAsia="Times New Roman"/>
          <w:color w:val="000000"/>
          <w:sz w:val="20"/>
          <w:szCs w:val="20"/>
        </w:rPr>
        <w:t>Our loan portfolio consists of loans held for investment, including loans held in our consolidated trusts, and loans held for sale. Th</w:t>
      </w:r>
      <w:r>
        <w:rPr>
          <w:rFonts w:eastAsia="Times New Roman"/>
          <w:color w:val="000000"/>
          <w:sz w:val="20"/>
          <w:szCs w:val="20"/>
        </w:rPr>
        <w:t xml:space="preserve">e information presented in this section excludes loans held for sale, which totaled $2.9 billion and $2.7 billion as of March 31, 2021 and December 31, 2020, respectively. </w:t>
      </w:r>
    </w:p>
    <w:p w:rsidR="00000000" w:rsidRDefault="00E92DBE">
      <w:pPr>
        <w:jc w:val="both"/>
        <w:divId w:val="1895891524"/>
        <w:rPr>
          <w:rFonts w:eastAsia="Times New Roman"/>
        </w:rPr>
      </w:pPr>
      <w:r>
        <w:rPr>
          <w:rFonts w:eastAsia="Times New Roman"/>
          <w:color w:val="000000"/>
          <w:sz w:val="20"/>
          <w:szCs w:val="20"/>
        </w:rPr>
        <w:t xml:space="preserve">Table 17 presents the composition of our portfolio of loans held for investment by </w:t>
      </w:r>
      <w:r>
        <w:rPr>
          <w:rFonts w:eastAsia="Times New Roman"/>
          <w:color w:val="000000"/>
          <w:sz w:val="20"/>
          <w:szCs w:val="20"/>
        </w:rPr>
        <w:t xml:space="preserve">portfolio segment as of March 31, 2021 and December 31, 2020. </w:t>
      </w:r>
    </w:p>
    <w:p w:rsidR="00000000" w:rsidRDefault="00E92DBE">
      <w:pPr>
        <w:divId w:val="1978993443"/>
        <w:rPr>
          <w:rFonts w:eastAsia="Times New Roman"/>
        </w:rPr>
      </w:pPr>
      <w:r>
        <w:rPr>
          <w:rFonts w:eastAsia="Times New Roman"/>
          <w:b/>
          <w:bCs/>
          <w:color w:val="000000"/>
          <w:sz w:val="18"/>
          <w:szCs w:val="18"/>
        </w:rPr>
        <w:t xml:space="preserve">Table 17: Portfolio Composition of Loans Held for Investment </w:t>
      </w:r>
    </w:p>
    <w:tbl>
      <w:tblPr>
        <w:tblW w:w="4992" w:type="pct"/>
        <w:tblCellMar>
          <w:top w:w="15" w:type="dxa"/>
          <w:left w:w="15" w:type="dxa"/>
          <w:bottom w:w="15" w:type="dxa"/>
          <w:right w:w="15" w:type="dxa"/>
        </w:tblCellMar>
        <w:tblLook w:val="04A0" w:firstRow="1" w:lastRow="0" w:firstColumn="1" w:lastColumn="0" w:noHBand="0" w:noVBand="1"/>
      </w:tblPr>
      <w:tblGrid>
        <w:gridCol w:w="39"/>
        <w:gridCol w:w="4757"/>
        <w:gridCol w:w="38"/>
        <w:gridCol w:w="36"/>
        <w:gridCol w:w="36"/>
        <w:gridCol w:w="36"/>
        <w:gridCol w:w="110"/>
        <w:gridCol w:w="630"/>
        <w:gridCol w:w="36"/>
        <w:gridCol w:w="36"/>
        <w:gridCol w:w="36"/>
        <w:gridCol w:w="36"/>
        <w:gridCol w:w="51"/>
        <w:gridCol w:w="482"/>
        <w:gridCol w:w="200"/>
        <w:gridCol w:w="36"/>
        <w:gridCol w:w="36"/>
        <w:gridCol w:w="36"/>
        <w:gridCol w:w="110"/>
        <w:gridCol w:w="630"/>
        <w:gridCol w:w="36"/>
        <w:gridCol w:w="36"/>
        <w:gridCol w:w="36"/>
        <w:gridCol w:w="36"/>
        <w:gridCol w:w="51"/>
        <w:gridCol w:w="485"/>
        <w:gridCol w:w="170"/>
        <w:gridCol w:w="36"/>
      </w:tblGrid>
      <w:tr w:rsidR="00000000">
        <w:trPr>
          <w:divId w:val="55786717"/>
        </w:trPr>
        <w:tc>
          <w:tcPr>
            <w:tcW w:w="50" w:type="pct"/>
            <w:vAlign w:val="center"/>
            <w:hideMark/>
          </w:tcPr>
          <w:p w:rsidR="00000000" w:rsidRDefault="00E92DBE">
            <w:pPr>
              <w:rPr>
                <w:rFonts w:eastAsia="Times New Roman"/>
              </w:rPr>
            </w:pPr>
          </w:p>
        </w:tc>
        <w:tc>
          <w:tcPr>
            <w:tcW w:w="292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55786717"/>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c>
          <w:tcPr>
            <w:tcW w:w="0" w:type="auto"/>
            <w:vAlign w:val="center"/>
            <w:hideMark/>
          </w:tcPr>
          <w:p w:rsidR="00000000" w:rsidRDefault="00E92DBE">
            <w:pPr>
              <w:jc w:val="center"/>
              <w:rPr>
                <w:rFonts w:eastAsia="Times New Roman"/>
              </w:rPr>
            </w:pPr>
          </w:p>
        </w:tc>
      </w:tr>
      <w:tr w:rsidR="00000000">
        <w:trPr>
          <w:divId w:val="55786717"/>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Total</w:t>
            </w:r>
          </w:p>
        </w:tc>
        <w:tc>
          <w:tcPr>
            <w:tcW w:w="0" w:type="auto"/>
            <w:vAlign w:val="center"/>
            <w:hideMark/>
          </w:tcPr>
          <w:p w:rsidR="00000000" w:rsidRDefault="00E92DBE">
            <w:pPr>
              <w:jc w:val="center"/>
              <w:rPr>
                <w:rFonts w:eastAsia="Times New Roman"/>
              </w:rPr>
            </w:pPr>
          </w:p>
        </w:tc>
      </w:tr>
      <w:tr w:rsidR="00000000">
        <w:trPr>
          <w:divId w:val="5578671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55786717"/>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91,099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98,504 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r>
      <w:tr w:rsidR="00000000">
        <w:trPr>
          <w:divId w:val="55786717"/>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8,028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8,452 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r>
      <w:tr w:rsidR="00000000">
        <w:trPr>
          <w:divId w:val="55786717"/>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99,127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106,956 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r>
      <w:tr w:rsidR="00000000">
        <w:trPr>
          <w:divId w:val="55786717"/>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55786717"/>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67,059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65,762 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r>
      <w:tr w:rsidR="00000000">
        <w:trPr>
          <w:divId w:val="55786717"/>
        </w:trPr>
        <w:tc>
          <w:tcPr>
            <w:tcW w:w="0" w:type="auto"/>
            <w:gridSpan w:val="3"/>
            <w:shd w:val="clear" w:color="auto" w:fill="CCEEFF"/>
            <w:tcMar>
              <w:top w:w="30" w:type="dxa"/>
              <w:left w:w="20" w:type="dxa"/>
              <w:bottom w:w="30" w:type="dxa"/>
              <w:right w:w="20" w:type="dxa"/>
            </w:tcMar>
            <w:vAlign w:val="center"/>
            <w:hideMark/>
          </w:tcPr>
          <w:p w:rsidR="00000000" w:rsidRDefault="00E92DBE">
            <w:pPr>
              <w:divId w:val="1176991319"/>
              <w:rPr>
                <w:rFonts w:eastAsia="Times New Roman"/>
              </w:rPr>
            </w:pPr>
            <w:r>
              <w:rPr>
                <w:rFonts w:eastAsia="Times New Roman"/>
                <w:color w:val="000000"/>
                <w:sz w:val="18"/>
                <w:szCs w:val="18"/>
              </w:rPr>
              <w:t>Retail bankin</w:t>
            </w:r>
            <w:r>
              <w:rPr>
                <w:rFonts w:eastAsia="Times New Roman"/>
                <w:color w:val="000000"/>
                <w:sz w:val="18"/>
                <w:szCs w:val="18"/>
              </w:rPr>
              <w:t>g</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3,126 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r>
      <w:tr w:rsidR="00000000">
        <w:trPr>
          <w:divId w:val="55786717"/>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70,202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68,888 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r>
      <w:tr w:rsidR="00000000">
        <w:trPr>
          <w:divId w:val="55786717"/>
        </w:trPr>
        <w:tc>
          <w:tcPr>
            <w:tcW w:w="0" w:type="auto"/>
            <w:gridSpan w:val="3"/>
            <w:shd w:val="clear" w:color="auto" w:fill="CCEEFF"/>
            <w:tcMar>
              <w:top w:w="30" w:type="dxa"/>
              <w:left w:w="20" w:type="dxa"/>
              <w:bottom w:w="30" w:type="dxa"/>
              <w:right w:w="20" w:type="dxa"/>
            </w:tcMar>
            <w:vAlign w:val="center"/>
            <w:hideMark/>
          </w:tcPr>
          <w:p w:rsidR="00000000" w:rsidRDefault="00E92DBE">
            <w:pPr>
              <w:divId w:val="546651296"/>
              <w:rPr>
                <w:rFonts w:eastAsia="Times New Roman"/>
              </w:rPr>
            </w:pPr>
            <w:r>
              <w:rPr>
                <w:rFonts w:eastAsia="Times New Roman"/>
                <w:b/>
                <w:bCs/>
                <w:color w:val="000000"/>
                <w:sz w:val="18"/>
                <w:szCs w:val="18"/>
              </w:rPr>
              <w:t>Commercial Banking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55786717"/>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30,008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30,681 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r>
      <w:tr w:rsidR="00000000">
        <w:trPr>
          <w:divId w:val="55786717"/>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43,794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45,099 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r>
      <w:tr w:rsidR="00000000">
        <w:trPr>
          <w:divId w:val="55786717"/>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55786717"/>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55786717"/>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73,802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75,780 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r>
      <w:tr w:rsidR="00000000">
        <w:trPr>
          <w:divId w:val="55786717"/>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243,131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251,624 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r>
    </w:tbl>
    <w:p w:rsidR="00000000" w:rsidRDefault="00E92DBE">
      <w:pPr>
        <w:divId w:val="303580979"/>
        <w:rPr>
          <w:rFonts w:eastAsia="Times New Roman"/>
        </w:rPr>
      </w:pPr>
      <w:r>
        <w:rPr>
          <w:rFonts w:eastAsia="Times New Roman"/>
          <w:color w:val="000000"/>
          <w:sz w:val="20"/>
          <w:szCs w:val="20"/>
        </w:rPr>
        <w:t>__________</w:t>
      </w:r>
    </w:p>
    <w:p w:rsidR="00000000" w:rsidRDefault="00E92DBE">
      <w:pPr>
        <w:ind w:hanging="360"/>
        <w:jc w:val="both"/>
        <w:divId w:val="45275139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PPP loans of $1.1 bill</w:t>
      </w:r>
      <w:r>
        <w:rPr>
          <w:rFonts w:eastAsia="Times New Roman"/>
          <w:color w:val="000000"/>
          <w:sz w:val="16"/>
          <w:szCs w:val="16"/>
        </w:rPr>
        <w:t>ion and $275 million in our retail and commercial loan portfolios, respectively, as of March 31, 2021, and $919 million and $238 million as of December 31, 2020, respectively. See “MD&amp;A—Credit Risk Profile—COVID-19 Customer Assistance Programs and Loan Mod</w:t>
      </w:r>
      <w:r>
        <w:rPr>
          <w:rFonts w:eastAsia="Times New Roman"/>
          <w:color w:val="000000"/>
          <w:sz w:val="16"/>
          <w:szCs w:val="16"/>
        </w:rPr>
        <w:t>ifications” for more information.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72670717"/>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772670717"/>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772670717"/>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36</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61" style="width:0;height:1.5pt" o:hralign="center" o:hrstd="t" o:hr="t" fillcolor="#a0a0a0" stroked="f"/>
        </w:pict>
      </w:r>
    </w:p>
    <w:p w:rsidR="00000000" w:rsidRDefault="00E92DBE">
      <w:pPr>
        <w:ind w:hanging="360"/>
        <w:jc w:val="both"/>
        <w:divId w:val="1033454811"/>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1353343191"/>
        <w:rPr>
          <w:rFonts w:eastAsia="Times New Roman"/>
        </w:rPr>
      </w:pPr>
      <w:r>
        <w:rPr>
          <w:rFonts w:eastAsia="Times New Roman"/>
          <w:b/>
          <w:bCs/>
          <w:color w:val="000000"/>
          <w:sz w:val="20"/>
          <w:szCs w:val="20"/>
        </w:rPr>
        <w:t>Geographic Composition</w:t>
      </w:r>
    </w:p>
    <w:p w:rsidR="00000000" w:rsidRDefault="00E92DBE">
      <w:pPr>
        <w:jc w:val="both"/>
        <w:divId w:val="1249001785"/>
        <w:rPr>
          <w:rFonts w:eastAsia="Times New Roman"/>
        </w:rPr>
      </w:pPr>
      <w:r>
        <w:rPr>
          <w:rFonts w:eastAsia="Times New Roman"/>
          <w:color w:val="000000"/>
          <w:sz w:val="20"/>
          <w:szCs w:val="20"/>
        </w:rPr>
        <w:t>We market our credit card products throughout the United States, Canada and the United Kingdom. Our credit card loan port</w:t>
      </w:r>
      <w:r>
        <w:rPr>
          <w:rFonts w:eastAsia="Times New Roman"/>
          <w:color w:val="000000"/>
          <w:sz w:val="20"/>
          <w:szCs w:val="20"/>
        </w:rPr>
        <w:t>folio is geographically diversified due to our product and marketing approach. The table below presents the geographic profile of our credit card loan portfolio as of March 31, 2021 and December 31, 2020.</w:t>
      </w:r>
    </w:p>
    <w:p w:rsidR="00000000" w:rsidRDefault="00E92DBE">
      <w:pPr>
        <w:divId w:val="1441799398"/>
        <w:rPr>
          <w:rFonts w:eastAsia="Times New Roman"/>
        </w:rPr>
      </w:pPr>
      <w:r>
        <w:rPr>
          <w:rFonts w:eastAsia="Times New Roman"/>
          <w:b/>
          <w:bCs/>
          <w:color w:val="000000"/>
          <w:sz w:val="18"/>
          <w:szCs w:val="18"/>
        </w:rPr>
        <w:t>Table 18: Credit Card Portfolio by Geographic Regio</w:t>
      </w:r>
      <w:r>
        <w:rPr>
          <w:rFonts w:eastAsia="Times New Roman"/>
          <w:b/>
          <w:bCs/>
          <w:color w:val="000000"/>
          <w:sz w:val="18"/>
          <w:szCs w:val="18"/>
        </w:rPr>
        <w:t xml:space="preserve">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78"/>
        <w:gridCol w:w="39"/>
        <w:gridCol w:w="36"/>
        <w:gridCol w:w="36"/>
        <w:gridCol w:w="36"/>
        <w:gridCol w:w="110"/>
        <w:gridCol w:w="572"/>
        <w:gridCol w:w="36"/>
        <w:gridCol w:w="36"/>
        <w:gridCol w:w="36"/>
        <w:gridCol w:w="36"/>
        <w:gridCol w:w="51"/>
        <w:gridCol w:w="547"/>
        <w:gridCol w:w="200"/>
        <w:gridCol w:w="36"/>
        <w:gridCol w:w="36"/>
        <w:gridCol w:w="36"/>
        <w:gridCol w:w="110"/>
        <w:gridCol w:w="630"/>
        <w:gridCol w:w="36"/>
        <w:gridCol w:w="36"/>
        <w:gridCol w:w="36"/>
        <w:gridCol w:w="36"/>
        <w:gridCol w:w="51"/>
        <w:gridCol w:w="491"/>
        <w:gridCol w:w="170"/>
      </w:tblGrid>
      <w:tr w:rsidR="00000000">
        <w:trPr>
          <w:divId w:val="305355004"/>
        </w:trPr>
        <w:tc>
          <w:tcPr>
            <w:tcW w:w="50" w:type="pct"/>
            <w:vAlign w:val="center"/>
            <w:hideMark/>
          </w:tcPr>
          <w:p w:rsidR="00000000" w:rsidRDefault="00E92DBE">
            <w:pPr>
              <w:rPr>
                <w:rFonts w:eastAsia="Times New Roman"/>
              </w:rPr>
            </w:pPr>
          </w:p>
        </w:tc>
        <w:tc>
          <w:tcPr>
            <w:tcW w:w="292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305355004"/>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30535500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Total</w:t>
            </w:r>
          </w:p>
        </w:tc>
      </w:tr>
      <w:tr w:rsidR="00000000">
        <w:trPr>
          <w:divId w:val="30535500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Domestic 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30535500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California</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9,256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9,943 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30535500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Texas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7,564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8,090 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Florida</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6,440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6,910 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New York</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5,824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6,327 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Pennsylvania</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3,810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4,158 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Illinois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3,806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4,149 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Ohio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3,645 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New Jersey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2,930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3,179 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Georgia</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3,046 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Michigan</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3,010 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42,555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46,047 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43.0 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domestic 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91,099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98,504 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International card businesses: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30535500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Canada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5,434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5,728 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United Kingdom</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2,724 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8,028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8,452 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0535500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99,127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106,956 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37</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62" style="width:0;height:1.5pt" o:hralign="center" o:hrstd="t" o:hr="t" fillcolor="#a0a0a0" stroked="f"/>
        </w:pict>
      </w:r>
    </w:p>
    <w:p w:rsidR="00000000" w:rsidRDefault="00E92DBE">
      <w:pPr>
        <w:ind w:hanging="360"/>
        <w:jc w:val="both"/>
        <w:divId w:val="391731256"/>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1983731648"/>
        <w:rPr>
          <w:rFonts w:eastAsia="Times New Roman"/>
        </w:rPr>
      </w:pPr>
      <w:r>
        <w:rPr>
          <w:rFonts w:eastAsia="Times New Roman"/>
          <w:color w:val="000000"/>
          <w:sz w:val="20"/>
          <w:szCs w:val="20"/>
        </w:rPr>
        <w:t>Our auto loan portfolio is geographically diversified in the United States due to our product and marketing approach. Retail banking includes sm</w:t>
      </w:r>
      <w:r>
        <w:rPr>
          <w:rFonts w:eastAsia="Times New Roman"/>
          <w:color w:val="000000"/>
          <w:sz w:val="20"/>
          <w:szCs w:val="20"/>
        </w:rPr>
        <w:t>all business loans and other consumer lending products originated through our branch network. The table below presents the geographic profile of our auto loan and retail banking portfolios as of March 31, 2021 and December 31, 2020.</w:t>
      </w:r>
    </w:p>
    <w:p w:rsidR="00000000" w:rsidRDefault="00E92DBE">
      <w:pPr>
        <w:divId w:val="2008552768"/>
        <w:rPr>
          <w:rFonts w:eastAsia="Times New Roman"/>
        </w:rPr>
      </w:pPr>
      <w:r>
        <w:rPr>
          <w:rFonts w:eastAsia="Times New Roman"/>
          <w:b/>
          <w:bCs/>
          <w:color w:val="000000"/>
          <w:sz w:val="18"/>
          <w:szCs w:val="18"/>
        </w:rPr>
        <w:t>Table 19: Consumer Bank</w:t>
      </w:r>
      <w:r>
        <w:rPr>
          <w:rFonts w:eastAsia="Times New Roman"/>
          <w:b/>
          <w:bCs/>
          <w:color w:val="000000"/>
          <w:sz w:val="18"/>
          <w:szCs w:val="18"/>
        </w:rPr>
        <w:t xml:space="preserve">ing Portfolio by Geographic Region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89"/>
        <w:gridCol w:w="39"/>
        <w:gridCol w:w="36"/>
        <w:gridCol w:w="36"/>
        <w:gridCol w:w="36"/>
        <w:gridCol w:w="110"/>
        <w:gridCol w:w="561"/>
        <w:gridCol w:w="36"/>
        <w:gridCol w:w="36"/>
        <w:gridCol w:w="36"/>
        <w:gridCol w:w="36"/>
        <w:gridCol w:w="51"/>
        <w:gridCol w:w="547"/>
        <w:gridCol w:w="200"/>
        <w:gridCol w:w="36"/>
        <w:gridCol w:w="36"/>
        <w:gridCol w:w="36"/>
        <w:gridCol w:w="110"/>
        <w:gridCol w:w="574"/>
        <w:gridCol w:w="36"/>
        <w:gridCol w:w="36"/>
        <w:gridCol w:w="36"/>
        <w:gridCol w:w="36"/>
        <w:gridCol w:w="51"/>
        <w:gridCol w:w="547"/>
        <w:gridCol w:w="170"/>
      </w:tblGrid>
      <w:tr w:rsidR="00000000">
        <w:trPr>
          <w:divId w:val="1780835138"/>
        </w:trPr>
        <w:tc>
          <w:tcPr>
            <w:tcW w:w="50" w:type="pct"/>
            <w:vAlign w:val="center"/>
            <w:hideMark/>
          </w:tcPr>
          <w:p w:rsidR="00000000" w:rsidRDefault="00E92DBE">
            <w:pPr>
              <w:rPr>
                <w:rFonts w:eastAsia="Times New Roman"/>
              </w:rPr>
            </w:pPr>
          </w:p>
        </w:tc>
        <w:tc>
          <w:tcPr>
            <w:tcW w:w="293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780835138"/>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1780835138"/>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Total</w:t>
            </w:r>
          </w:p>
        </w:tc>
      </w:tr>
      <w:tr w:rsidR="00000000">
        <w:trPr>
          <w:divId w:val="178083513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Auto:</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8083513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Texas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8,310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8,207 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178083513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California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7,775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7,573 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Florida</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5,699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5,544 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Georgia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2,989 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Ohio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2,770 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Pennsylvania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2,569 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Illinois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2,431 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North Carolina</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2,280 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32,003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31,399 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67,059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65,762 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8083513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New York</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1,081 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Louisiana</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634 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Texas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576 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Maryland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New Jersey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Virginia</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retail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513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70,202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68,888 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38</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63" style="width:0;height:1.5pt" o:hralign="center" o:hrstd="t" o:hr="t" fillcolor="#a0a0a0" stroked="f"/>
        </w:pict>
      </w:r>
    </w:p>
    <w:p w:rsidR="00000000" w:rsidRDefault="00E92DBE">
      <w:pPr>
        <w:ind w:hanging="360"/>
        <w:jc w:val="both"/>
        <w:divId w:val="184296441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1283726407"/>
        <w:rPr>
          <w:rFonts w:eastAsia="Times New Roman"/>
        </w:rPr>
      </w:pPr>
      <w:r>
        <w:rPr>
          <w:rFonts w:eastAsia="Times New Roman"/>
          <w:color w:val="000000"/>
          <w:sz w:val="20"/>
          <w:szCs w:val="20"/>
        </w:rPr>
        <w:t xml:space="preserve">We originate commercial and multifamily real estate loans in most regions of the United States. The table below presents the geographic profile </w:t>
      </w:r>
      <w:r>
        <w:rPr>
          <w:rFonts w:eastAsia="Times New Roman"/>
          <w:color w:val="000000"/>
          <w:sz w:val="20"/>
          <w:szCs w:val="20"/>
        </w:rPr>
        <w:t>of our commercial real estate portfolio of March 31, 2021 and December 31, 2020.</w:t>
      </w:r>
    </w:p>
    <w:p w:rsidR="00000000" w:rsidRDefault="00E92DBE">
      <w:pPr>
        <w:jc w:val="both"/>
        <w:divId w:val="1844586370"/>
        <w:rPr>
          <w:rFonts w:eastAsia="Times New Roman"/>
        </w:rPr>
      </w:pPr>
      <w:r>
        <w:rPr>
          <w:rFonts w:eastAsia="Times New Roman"/>
          <w:b/>
          <w:bCs/>
          <w:color w:val="000000"/>
          <w:sz w:val="18"/>
          <w:szCs w:val="18"/>
        </w:rPr>
        <w:t>Table 20: Commercial Real Estate Portfolio by Region</w:t>
      </w:r>
    </w:p>
    <w:tbl>
      <w:tblPr>
        <w:tblW w:w="5000" w:type="pct"/>
        <w:tblCellMar>
          <w:top w:w="15" w:type="dxa"/>
          <w:left w:w="15" w:type="dxa"/>
          <w:bottom w:w="15" w:type="dxa"/>
          <w:right w:w="15" w:type="dxa"/>
        </w:tblCellMar>
        <w:tblLook w:val="04A0" w:firstRow="1" w:lastRow="0" w:firstColumn="1" w:lastColumn="0" w:noHBand="0" w:noVBand="1"/>
      </w:tblPr>
      <w:tblGrid>
        <w:gridCol w:w="41"/>
        <w:gridCol w:w="4401"/>
        <w:gridCol w:w="36"/>
        <w:gridCol w:w="36"/>
        <w:gridCol w:w="36"/>
        <w:gridCol w:w="36"/>
        <w:gridCol w:w="110"/>
        <w:gridCol w:w="659"/>
        <w:gridCol w:w="36"/>
        <w:gridCol w:w="36"/>
        <w:gridCol w:w="36"/>
        <w:gridCol w:w="36"/>
        <w:gridCol w:w="54"/>
        <w:gridCol w:w="623"/>
        <w:gridCol w:w="200"/>
        <w:gridCol w:w="36"/>
        <w:gridCol w:w="36"/>
        <w:gridCol w:w="36"/>
        <w:gridCol w:w="110"/>
        <w:gridCol w:w="718"/>
        <w:gridCol w:w="36"/>
        <w:gridCol w:w="36"/>
        <w:gridCol w:w="36"/>
        <w:gridCol w:w="36"/>
        <w:gridCol w:w="54"/>
        <w:gridCol w:w="626"/>
        <w:gridCol w:w="170"/>
      </w:tblGrid>
      <w:tr w:rsidR="00000000">
        <w:trPr>
          <w:divId w:val="1476029780"/>
        </w:trPr>
        <w:tc>
          <w:tcPr>
            <w:tcW w:w="50" w:type="pct"/>
            <w:vAlign w:val="center"/>
            <w:hideMark/>
          </w:tcPr>
          <w:p w:rsidR="00000000" w:rsidRDefault="00E92DBE">
            <w:pPr>
              <w:jc w:val="both"/>
              <w:rPr>
                <w:rFonts w:eastAsia="Times New Roman"/>
              </w:rPr>
            </w:pPr>
          </w:p>
        </w:tc>
        <w:tc>
          <w:tcPr>
            <w:tcW w:w="270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47602978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602978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147602978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r>
      <w:tr w:rsidR="00000000">
        <w:trPr>
          <w:divId w:val="147602978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795022706"/>
              <w:rPr>
                <w:rFonts w:eastAsia="Times New Roman"/>
              </w:rPr>
            </w:pPr>
            <w:r>
              <w:rPr>
                <w:rFonts w:eastAsia="Times New Roman"/>
                <w:b/>
                <w:bCs/>
                <w:color w:val="000000"/>
                <w:sz w:val="18"/>
                <w:szCs w:val="18"/>
              </w:rPr>
              <w:t>Geographic concentration</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476029780"/>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Northeast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16,647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55.47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17,290 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56.35 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1476029780"/>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South</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4,016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3,806 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12.40 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476029780"/>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Pacific West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3,424 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11.16 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476029780"/>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Mid-Atlantic</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3,344 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10.90 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476029780"/>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Midwest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1,993 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476029780"/>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Mountain</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824 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47602978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30,008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30,681 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1476029780"/>
        </w:trPr>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6029780"/>
        </w:trPr>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476029780"/>
        </w:trPr>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476029780"/>
        </w:trPr>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476029780"/>
        </w:trPr>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476029780"/>
        </w:trPr>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476029780"/>
        </w:trPr>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bl>
    <w:p w:rsidR="00000000" w:rsidRDefault="00E92DBE">
      <w:pPr>
        <w:divId w:val="1693146178"/>
        <w:rPr>
          <w:rFonts w:eastAsia="Times New Roman"/>
        </w:rPr>
      </w:pPr>
      <w:r>
        <w:rPr>
          <w:rFonts w:eastAsia="Times New Roman"/>
          <w:color w:val="000000"/>
          <w:sz w:val="20"/>
          <w:szCs w:val="20"/>
        </w:rPr>
        <w:t>__________</w:t>
      </w:r>
    </w:p>
    <w:p w:rsidR="00000000" w:rsidRDefault="00E92DBE">
      <w:pPr>
        <w:ind w:hanging="360"/>
        <w:jc w:val="both"/>
        <w:divId w:val="203792561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Geographic concentration is generally determined by the location of the borrower’s business or the loc</w:t>
      </w:r>
      <w:r>
        <w:rPr>
          <w:rFonts w:eastAsia="Times New Roman"/>
          <w:color w:val="000000"/>
          <w:sz w:val="16"/>
          <w:szCs w:val="16"/>
        </w:rPr>
        <w:t>ation of the collateral associated with the loan. Northeast consists of CT, MA, ME, NH, NJ, NY, PA, RI and VT. South consists of AL, AR, FL, GA, KY, LA, MS, NC, OK, SC, TN and TX. Pacific West consists of: AK, CA, HI, OR and WA. Mid-Atlantic consists of DC</w:t>
      </w:r>
      <w:r>
        <w:rPr>
          <w:rFonts w:eastAsia="Times New Roman"/>
          <w:color w:val="000000"/>
          <w:sz w:val="16"/>
          <w:szCs w:val="16"/>
        </w:rPr>
        <w:t>, DE, MD, VA and WV. Midwest consists of: IA, IL, IN, KS, MI, MN, MO, ND, NE, OH, SD and WI. Mountain consists of: AZ, CO, ID, MT, NM, NV, UT and WY.</w:t>
      </w:r>
    </w:p>
    <w:p w:rsidR="00000000" w:rsidRDefault="00E92DBE">
      <w:pPr>
        <w:divId w:val="1389257111"/>
        <w:rPr>
          <w:rFonts w:eastAsia="Times New Roman"/>
        </w:rPr>
      </w:pPr>
      <w:r>
        <w:rPr>
          <w:rFonts w:eastAsia="Times New Roman"/>
          <w:b/>
          <w:bCs/>
          <w:color w:val="000000"/>
          <w:sz w:val="20"/>
          <w:szCs w:val="20"/>
        </w:rPr>
        <w:t>Commercial Loans by Industry</w:t>
      </w:r>
    </w:p>
    <w:p w:rsidR="00000000" w:rsidRDefault="00E92DBE">
      <w:pPr>
        <w:jc w:val="both"/>
        <w:divId w:val="1917743481"/>
        <w:rPr>
          <w:rFonts w:eastAsia="Times New Roman"/>
        </w:rPr>
      </w:pPr>
      <w:r>
        <w:rPr>
          <w:rFonts w:eastAsia="Times New Roman"/>
          <w:color w:val="000000"/>
          <w:sz w:val="20"/>
          <w:szCs w:val="20"/>
        </w:rPr>
        <w:t>Table 21 summarizes our commercial loans held for investment portfolio by industry classification as of March 31, 2021 and December 31, 2020. Industry classifications below are based on our interpretation of the North American Industry Classification Syste</w:t>
      </w:r>
      <w:r>
        <w:rPr>
          <w:rFonts w:eastAsia="Times New Roman"/>
          <w:color w:val="000000"/>
          <w:sz w:val="20"/>
          <w:szCs w:val="20"/>
        </w:rPr>
        <w:t xml:space="preserve">m codes as they pertain to each individual loan. </w:t>
      </w:r>
    </w:p>
    <w:p w:rsidR="00000000" w:rsidRDefault="00E92DBE">
      <w:pPr>
        <w:divId w:val="1300573032"/>
        <w:rPr>
          <w:rFonts w:eastAsia="Times New Roman"/>
        </w:rPr>
      </w:pPr>
      <w:r>
        <w:rPr>
          <w:rFonts w:eastAsia="Times New Roman"/>
          <w:b/>
          <w:bCs/>
          <w:color w:val="000000"/>
          <w:sz w:val="18"/>
          <w:szCs w:val="18"/>
        </w:rPr>
        <w:t>Table 21: Commercial Loans by Industry</w:t>
      </w:r>
    </w:p>
    <w:tbl>
      <w:tblPr>
        <w:tblW w:w="5000" w:type="pct"/>
        <w:tblCellMar>
          <w:top w:w="15" w:type="dxa"/>
          <w:left w:w="15" w:type="dxa"/>
          <w:bottom w:w="15" w:type="dxa"/>
          <w:right w:w="15" w:type="dxa"/>
        </w:tblCellMar>
        <w:tblLook w:val="04A0" w:firstRow="1" w:lastRow="0" w:firstColumn="1" w:lastColumn="0" w:noHBand="0" w:noVBand="1"/>
      </w:tblPr>
      <w:tblGrid>
        <w:gridCol w:w="39"/>
        <w:gridCol w:w="6243"/>
        <w:gridCol w:w="38"/>
        <w:gridCol w:w="36"/>
        <w:gridCol w:w="36"/>
        <w:gridCol w:w="36"/>
        <w:gridCol w:w="48"/>
        <w:gridCol w:w="626"/>
        <w:gridCol w:w="200"/>
        <w:gridCol w:w="36"/>
        <w:gridCol w:w="36"/>
        <w:gridCol w:w="36"/>
        <w:gridCol w:w="71"/>
        <w:gridCol w:w="655"/>
        <w:gridCol w:w="170"/>
      </w:tblGrid>
      <w:tr w:rsidR="00000000">
        <w:trPr>
          <w:divId w:val="497842386"/>
        </w:trPr>
        <w:tc>
          <w:tcPr>
            <w:tcW w:w="50" w:type="pct"/>
            <w:vAlign w:val="center"/>
            <w:hideMark/>
          </w:tcPr>
          <w:p w:rsidR="00000000" w:rsidRDefault="00E92DBE">
            <w:pPr>
              <w:rPr>
                <w:rFonts w:eastAsia="Times New Roman"/>
              </w:rPr>
            </w:pPr>
          </w:p>
        </w:tc>
        <w:tc>
          <w:tcPr>
            <w:tcW w:w="38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497842386"/>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(Percentage of portfolio)</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49784238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Industry Classification:</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49784238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Real estate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49784238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Finance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9784238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Healthcare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9784238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Business services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9784238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Educational services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9784238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Public administration</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9784238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Oil and gas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9784238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Retail trade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9784238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Construction and land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9784238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9784238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39</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64" style="width:0;height:1.5pt" o:hralign="center" o:hrstd="t" o:hr="t" fillcolor="#a0a0a0" stroked="f"/>
        </w:pict>
      </w:r>
    </w:p>
    <w:p w:rsidR="00000000" w:rsidRDefault="00E92DBE">
      <w:pPr>
        <w:ind w:hanging="360"/>
        <w:jc w:val="both"/>
        <w:divId w:val="798381982"/>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612440237"/>
        <w:rPr>
          <w:rFonts w:eastAsia="Times New Roman"/>
        </w:rPr>
      </w:pPr>
      <w:r>
        <w:rPr>
          <w:rFonts w:eastAsia="Times New Roman"/>
          <w:b/>
          <w:bCs/>
          <w:color w:val="000000"/>
          <w:sz w:val="20"/>
          <w:szCs w:val="20"/>
        </w:rPr>
        <w:t>Credit Risk Measurement</w:t>
      </w:r>
    </w:p>
    <w:p w:rsidR="00000000" w:rsidRDefault="00E92DBE">
      <w:pPr>
        <w:jc w:val="both"/>
        <w:divId w:val="580870492"/>
        <w:rPr>
          <w:rFonts w:eastAsia="Times New Roman"/>
        </w:rPr>
      </w:pPr>
      <w:r>
        <w:rPr>
          <w:rFonts w:eastAsia="Times New Roman"/>
          <w:color w:val="000000"/>
          <w:sz w:val="20"/>
          <w:szCs w:val="20"/>
        </w:rPr>
        <w:t>We closely monitor economic conditions and loan performance trends to assess and manage our exposure to credit risk. Tre</w:t>
      </w:r>
      <w:r>
        <w:rPr>
          <w:rFonts w:eastAsia="Times New Roman"/>
          <w:color w:val="000000"/>
          <w:sz w:val="20"/>
          <w:szCs w:val="20"/>
        </w:rPr>
        <w:t>nds in delinquency rates are the key credit quality indicator for our credit card and retail banking loan portfolios as changes in delinquency rates can provide an early warning of changes in potential future credit losses. The key indicator we monitor whe</w:t>
      </w:r>
      <w:r>
        <w:rPr>
          <w:rFonts w:eastAsia="Times New Roman"/>
          <w:color w:val="000000"/>
          <w:sz w:val="20"/>
          <w:szCs w:val="20"/>
        </w:rPr>
        <w:t xml:space="preserve">n assessing the credit quality and risk of our auto loan portfolio is borrower credit scores as they provide insight into borrower risk profiles, which give indications of potential future credit losses. The key credit quality indicator for our commercial </w:t>
      </w:r>
      <w:r>
        <w:rPr>
          <w:rFonts w:eastAsia="Times New Roman"/>
          <w:color w:val="000000"/>
          <w:sz w:val="20"/>
          <w:szCs w:val="20"/>
        </w:rPr>
        <w:t>loan portfolios is our internal risk ratings as we generally classify loans that have been delinquent for an extended period of time and other loans with significant risk of loss as nonperforming. In addition to these credit quality indicators, we also man</w:t>
      </w:r>
      <w:r>
        <w:rPr>
          <w:rFonts w:eastAsia="Times New Roman"/>
          <w:color w:val="000000"/>
          <w:sz w:val="20"/>
          <w:szCs w:val="20"/>
        </w:rPr>
        <w:t xml:space="preserve">age and monitor other credit quality metrics such as level of nonperforming loans and net charge-off rates. </w:t>
      </w:r>
    </w:p>
    <w:p w:rsidR="00000000" w:rsidRDefault="00E92DBE">
      <w:pPr>
        <w:jc w:val="both"/>
        <w:divId w:val="782502563"/>
        <w:rPr>
          <w:rFonts w:eastAsia="Times New Roman"/>
        </w:rPr>
      </w:pPr>
      <w:r>
        <w:rPr>
          <w:rFonts w:eastAsia="Times New Roman"/>
          <w:color w:val="000000"/>
          <w:sz w:val="20"/>
          <w:szCs w:val="20"/>
        </w:rPr>
        <w:t>We underwrite most consumer loans using proprietary models, which typically include credit bureau data, such as borrower credit scores, application</w:t>
      </w:r>
      <w:r>
        <w:rPr>
          <w:rFonts w:eastAsia="Times New Roman"/>
          <w:color w:val="000000"/>
          <w:sz w:val="20"/>
          <w:szCs w:val="20"/>
        </w:rPr>
        <w:t xml:space="preserve"> information and, where applicable, collateral and deal structure data. We continuously adjust our management of credit lines and collection strategies based on customer behavior and risk profile changes. We also use borrower credit scores for subprime cla</w:t>
      </w:r>
      <w:r>
        <w:rPr>
          <w:rFonts w:eastAsia="Times New Roman"/>
          <w:color w:val="000000"/>
          <w:sz w:val="20"/>
          <w:szCs w:val="20"/>
        </w:rPr>
        <w:t>ssification, for competitive benchmarking and, in some cases, to drive product segmentation decisions. </w:t>
      </w:r>
    </w:p>
    <w:p w:rsidR="00000000" w:rsidRDefault="00E92DBE">
      <w:pPr>
        <w:jc w:val="both"/>
        <w:divId w:val="594944484"/>
        <w:rPr>
          <w:rFonts w:eastAsia="Times New Roman"/>
        </w:rPr>
      </w:pPr>
      <w:r>
        <w:rPr>
          <w:rFonts w:eastAsia="Times New Roman"/>
          <w:color w:val="000000"/>
          <w:sz w:val="20"/>
          <w:szCs w:val="20"/>
        </w:rPr>
        <w:t>Table 22 provides details on the credit scores of our domestic credit card and auto loan portfolios as of March 31, 2021 and December 31, 2020.</w:t>
      </w:r>
    </w:p>
    <w:p w:rsidR="00000000" w:rsidRDefault="00E92DBE">
      <w:pPr>
        <w:divId w:val="1001785132"/>
        <w:rPr>
          <w:rFonts w:eastAsia="Times New Roman"/>
        </w:rPr>
      </w:pPr>
      <w:r>
        <w:rPr>
          <w:rFonts w:eastAsia="Times New Roman"/>
          <w:b/>
          <w:bCs/>
          <w:color w:val="000000"/>
          <w:sz w:val="18"/>
          <w:szCs w:val="18"/>
        </w:rPr>
        <w:t>Table 22</w:t>
      </w:r>
      <w:r>
        <w:rPr>
          <w:rFonts w:eastAsia="Times New Roman"/>
          <w:b/>
          <w:bCs/>
          <w:color w:val="000000"/>
          <w:sz w:val="18"/>
          <w:szCs w:val="18"/>
        </w:rPr>
        <w:t>: Credit Score Distribution</w:t>
      </w:r>
    </w:p>
    <w:tbl>
      <w:tblPr>
        <w:tblW w:w="4992" w:type="pct"/>
        <w:tblCellMar>
          <w:top w:w="15" w:type="dxa"/>
          <w:left w:w="15" w:type="dxa"/>
          <w:bottom w:w="15" w:type="dxa"/>
          <w:right w:w="15" w:type="dxa"/>
        </w:tblCellMar>
        <w:tblLook w:val="04A0" w:firstRow="1" w:lastRow="0" w:firstColumn="1" w:lastColumn="0" w:noHBand="0" w:noVBand="1"/>
      </w:tblPr>
      <w:tblGrid>
        <w:gridCol w:w="38"/>
        <w:gridCol w:w="6164"/>
        <w:gridCol w:w="37"/>
        <w:gridCol w:w="36"/>
        <w:gridCol w:w="36"/>
        <w:gridCol w:w="36"/>
        <w:gridCol w:w="48"/>
        <w:gridCol w:w="621"/>
        <w:gridCol w:w="200"/>
        <w:gridCol w:w="36"/>
        <w:gridCol w:w="36"/>
        <w:gridCol w:w="36"/>
        <w:gridCol w:w="70"/>
        <w:gridCol w:w="657"/>
        <w:gridCol w:w="170"/>
        <w:gridCol w:w="36"/>
        <w:gridCol w:w="36"/>
      </w:tblGrid>
      <w:tr w:rsidR="00000000">
        <w:trPr>
          <w:divId w:val="1629237698"/>
        </w:trPr>
        <w:tc>
          <w:tcPr>
            <w:tcW w:w="50" w:type="pct"/>
            <w:vAlign w:val="center"/>
            <w:hideMark/>
          </w:tcPr>
          <w:p w:rsidR="00000000" w:rsidRDefault="00E92DBE">
            <w:pPr>
              <w:rPr>
                <w:rFonts w:eastAsia="Times New Roman"/>
              </w:rPr>
            </w:pPr>
          </w:p>
        </w:tc>
        <w:tc>
          <w:tcPr>
            <w:tcW w:w="38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629237698"/>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(Percentage of portfolio)</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December 31, 2020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162923769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454910464"/>
              <w:rPr>
                <w:rFonts w:eastAsia="Times New Roman"/>
              </w:rPr>
            </w:pPr>
            <w:r>
              <w:rPr>
                <w:rFonts w:eastAsia="Times New Roman"/>
                <w:b/>
                <w:bCs/>
                <w:color w:val="000000"/>
                <w:sz w:val="18"/>
                <w:szCs w:val="18"/>
              </w:rPr>
              <w:t>Domestic credit card—Refreshed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62923769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162923769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660 or below</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62923769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1629237698"/>
        </w:trPr>
        <w:tc>
          <w:tcPr>
            <w:tcW w:w="0" w:type="auto"/>
            <w:gridSpan w:val="3"/>
            <w:shd w:val="clear" w:color="auto" w:fill="CCEEFF"/>
            <w:tcMar>
              <w:top w:w="30" w:type="dxa"/>
              <w:left w:w="20" w:type="dxa"/>
              <w:bottom w:w="30" w:type="dxa"/>
              <w:right w:w="20" w:type="dxa"/>
            </w:tcMar>
            <w:vAlign w:val="center"/>
            <w:hideMark/>
          </w:tcPr>
          <w:p w:rsidR="00000000" w:rsidRDefault="00E92DBE">
            <w:pPr>
              <w:divId w:val="952830355"/>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62923769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162923769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621 - 660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62923769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62923769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r>
    </w:tbl>
    <w:p w:rsidR="00000000" w:rsidRDefault="00E92DBE">
      <w:pPr>
        <w:divId w:val="1834560815"/>
        <w:rPr>
          <w:rFonts w:eastAsia="Times New Roman"/>
        </w:rPr>
      </w:pPr>
      <w:r>
        <w:rPr>
          <w:rFonts w:eastAsia="Times New Roman"/>
          <w:color w:val="000000"/>
          <w:sz w:val="20"/>
          <w:szCs w:val="20"/>
        </w:rPr>
        <w:t>__________</w:t>
      </w:r>
    </w:p>
    <w:p w:rsidR="00000000" w:rsidRDefault="00E92DBE">
      <w:pPr>
        <w:ind w:hanging="360"/>
        <w:jc w:val="both"/>
        <w:divId w:val="192703472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Percentages represent period-end loans held for investment in each credit score category. Domestic card credit scores generally represent FICO scores. These scores are obtained from one of the major credit bureaus at origination and are refreshed monthly t</w:t>
      </w:r>
      <w:r>
        <w:rPr>
          <w:rFonts w:eastAsia="Times New Roman"/>
          <w:color w:val="000000"/>
          <w:sz w:val="16"/>
          <w:szCs w:val="16"/>
        </w:rPr>
        <w:t>hereafter. We approximate non-FICO credit scores to comparable FICO scores for consistency purposes. Balances for which no credit score is available or the credit score is invalid are included in the 660 or below category.</w:t>
      </w:r>
    </w:p>
    <w:p w:rsidR="00000000" w:rsidRDefault="00E92DBE">
      <w:pPr>
        <w:ind w:hanging="360"/>
        <w:jc w:val="both"/>
        <w:divId w:val="75683212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Percentages represent period-e</w:t>
      </w:r>
      <w:r>
        <w:rPr>
          <w:rFonts w:eastAsia="Times New Roman"/>
          <w:color w:val="000000"/>
          <w:sz w:val="16"/>
          <w:szCs w:val="16"/>
        </w:rPr>
        <w:t>nd loans held for investment in each credit score category. Auto credit scores generally represent average FICO scores obtained from three credit bureaus at the time of application and are not refreshed thereafter. Balances for which no credit score is ava</w:t>
      </w:r>
      <w:r>
        <w:rPr>
          <w:rFonts w:eastAsia="Times New Roman"/>
          <w:color w:val="000000"/>
          <w:sz w:val="16"/>
          <w:szCs w:val="16"/>
        </w:rPr>
        <w:t>ilable or the credit score is invalid are included in the 620 or below category.</w:t>
      </w:r>
    </w:p>
    <w:p w:rsidR="00000000" w:rsidRDefault="00E92DBE">
      <w:pPr>
        <w:jc w:val="both"/>
        <w:divId w:val="182129279"/>
        <w:rPr>
          <w:rFonts w:eastAsia="Times New Roman"/>
        </w:rPr>
      </w:pPr>
      <w:r>
        <w:rPr>
          <w:rFonts w:eastAsia="Times New Roman"/>
          <w:color w:val="000000"/>
          <w:sz w:val="20"/>
          <w:szCs w:val="20"/>
        </w:rPr>
        <w:t xml:space="preserve">We present information in the section below on the credit performance of our loan portfolio, including the key metrics we use in tracking changes in the credit quality of our loan portfolio. See “Note 3—Loans” for additional credit quality information and </w:t>
      </w:r>
      <w:r>
        <w:rPr>
          <w:rFonts w:eastAsia="Times New Roman"/>
          <w:color w:val="000000"/>
          <w:sz w:val="20"/>
          <w:szCs w:val="20"/>
        </w:rPr>
        <w:t>see “Note 1—Summary of Significant Accounting Policies” in our 2020 Form 10-K for information on our accounting policies for delinquent and nonperforming loans, charge-offs and troubled debt restructurings (“TDRs”) for each of our loan categories.</w:t>
      </w:r>
    </w:p>
    <w:p w:rsidR="00000000" w:rsidRDefault="00E92DBE">
      <w:pPr>
        <w:divId w:val="376442291"/>
        <w:rPr>
          <w:rFonts w:eastAsia="Times New Roman"/>
        </w:rPr>
      </w:pPr>
      <w:r>
        <w:rPr>
          <w:rFonts w:eastAsia="Times New Roman"/>
          <w:b/>
          <w:bCs/>
          <w:i/>
          <w:iCs/>
          <w:color w:val="000000"/>
          <w:sz w:val="20"/>
          <w:szCs w:val="20"/>
        </w:rPr>
        <w:t>Delinque</w:t>
      </w:r>
      <w:r>
        <w:rPr>
          <w:rFonts w:eastAsia="Times New Roman"/>
          <w:b/>
          <w:bCs/>
          <w:i/>
          <w:iCs/>
          <w:color w:val="000000"/>
          <w:sz w:val="20"/>
          <w:szCs w:val="20"/>
        </w:rPr>
        <w:t>ncy Rates</w:t>
      </w:r>
    </w:p>
    <w:p w:rsidR="00000000" w:rsidRDefault="00E92DBE">
      <w:pPr>
        <w:jc w:val="both"/>
        <w:divId w:val="547306486"/>
        <w:rPr>
          <w:rFonts w:eastAsia="Times New Roman"/>
        </w:rPr>
      </w:pPr>
      <w:r>
        <w:rPr>
          <w:rFonts w:eastAsia="Times New Roman"/>
          <w:color w:val="000000"/>
          <w:sz w:val="20"/>
          <w:szCs w:val="20"/>
        </w:rPr>
        <w:t>We consider the entire balance of an account to be delinquent if the minimum required payment is not received by the customer’s due date, measured at each balance sheet date. Our 30+ day delinquency metrics include all loans held for investment t</w:t>
      </w:r>
      <w:r>
        <w:rPr>
          <w:rFonts w:eastAsia="Times New Roman"/>
          <w:color w:val="000000"/>
          <w:sz w:val="20"/>
          <w:szCs w:val="20"/>
        </w:rPr>
        <w:t>hat are 30 or more days past due, whereas our 30+ day performing delinquency metrics include loans that are 30 or more days past due but are currently classified as performing and accruing interest. The 30+ day delinquency and 30+ day performing delinquenc</w:t>
      </w:r>
      <w:r>
        <w:rPr>
          <w:rFonts w:eastAsia="Times New Roman"/>
          <w:color w:val="000000"/>
          <w:sz w:val="20"/>
          <w:szCs w:val="20"/>
        </w:rPr>
        <w:t>y metrics are the same for domestic credit card loans, as we continue to classify these loans as performing until the account is charged off, typically when the account is 180 days past due. See “Note 1—Summary of Significant Accounting Policies” in our 20</w:t>
      </w:r>
      <w:r>
        <w:rPr>
          <w:rFonts w:eastAsia="Times New Roman"/>
          <w:color w:val="000000"/>
          <w:sz w:val="20"/>
          <w:szCs w:val="20"/>
        </w:rPr>
        <w:t xml:space="preserve">20 Form 10-K for information on our policies for classifying loans as nonperforming for each of our loan categories. We provide additional information on our credit quality metrics in “MD&amp;A—Business Segment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64427204"/>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464427204"/>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464427204"/>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40</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65" style="width:0;height:1.5pt" o:hralign="center" o:hrstd="t" o:hr="t" fillcolor="#a0a0a0" stroked="f"/>
        </w:pict>
      </w:r>
    </w:p>
    <w:p w:rsidR="00000000" w:rsidRDefault="00E92DBE">
      <w:pPr>
        <w:ind w:hanging="360"/>
        <w:jc w:val="both"/>
        <w:divId w:val="2116171844"/>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1433089315"/>
        <w:rPr>
          <w:rFonts w:eastAsia="Times New Roman"/>
        </w:rPr>
      </w:pPr>
      <w:r>
        <w:rPr>
          <w:rFonts w:eastAsia="Times New Roman"/>
          <w:color w:val="000000"/>
          <w:sz w:val="20"/>
          <w:szCs w:val="20"/>
        </w:rPr>
        <w:t xml:space="preserve">Financial Performance.” </w:t>
      </w:r>
      <w:r>
        <w:rPr>
          <w:rFonts w:eastAsia="Times New Roman"/>
          <w:color w:val="000000"/>
          <w:sz w:val="20"/>
          <w:szCs w:val="20"/>
        </w:rPr>
        <w:t>Amounts include the impacts of COVID-19 customer assistance programs where applicable. See “MD&amp;A—Credit Risk Profile—COVID-19 Customer Assistance Programs and Loan Modifications” for more information</w:t>
      </w:r>
      <w:r>
        <w:rPr>
          <w:rFonts w:eastAsia="Times New Roman"/>
          <w:color w:val="000000"/>
          <w:sz w:val="16"/>
          <w:szCs w:val="16"/>
        </w:rPr>
        <w:t>.</w:t>
      </w:r>
    </w:p>
    <w:p w:rsidR="00000000" w:rsidRDefault="00E92DBE">
      <w:pPr>
        <w:jc w:val="both"/>
        <w:divId w:val="359665407"/>
        <w:rPr>
          <w:rFonts w:eastAsia="Times New Roman"/>
        </w:rPr>
      </w:pPr>
      <w:r>
        <w:rPr>
          <w:rFonts w:eastAsia="Times New Roman"/>
          <w:color w:val="000000"/>
          <w:sz w:val="20"/>
          <w:szCs w:val="20"/>
        </w:rPr>
        <w:t>Table 23 presents our 30+ day performing delinquency ra</w:t>
      </w:r>
      <w:r>
        <w:rPr>
          <w:rFonts w:eastAsia="Times New Roman"/>
          <w:color w:val="000000"/>
          <w:sz w:val="20"/>
          <w:szCs w:val="20"/>
        </w:rPr>
        <w:t>tes and 30+ day delinquency rates of our portfolio of loans held for investment, by portfolio segment, as of March 31, 2021 and December 31, 2020.</w:t>
      </w:r>
    </w:p>
    <w:p w:rsidR="00000000" w:rsidRDefault="00E92DBE">
      <w:pPr>
        <w:divId w:val="1680965058"/>
        <w:rPr>
          <w:rFonts w:eastAsia="Times New Roman"/>
        </w:rPr>
      </w:pPr>
      <w:r>
        <w:rPr>
          <w:rFonts w:eastAsia="Times New Roman"/>
          <w:b/>
          <w:bCs/>
          <w:color w:val="000000"/>
          <w:sz w:val="18"/>
          <w:szCs w:val="18"/>
        </w:rPr>
        <w:t>Table 23: 30+ Day Delinquencies</w:t>
      </w:r>
    </w:p>
    <w:tbl>
      <w:tblPr>
        <w:tblW w:w="4978" w:type="pct"/>
        <w:tblCellMar>
          <w:top w:w="15" w:type="dxa"/>
          <w:left w:w="15" w:type="dxa"/>
          <w:bottom w:w="15" w:type="dxa"/>
          <w:right w:w="15" w:type="dxa"/>
        </w:tblCellMar>
        <w:tblLook w:val="04A0" w:firstRow="1" w:lastRow="0" w:firstColumn="1" w:lastColumn="0" w:noHBand="0" w:noVBand="1"/>
      </w:tblPr>
      <w:tblGrid>
        <w:gridCol w:w="39"/>
        <w:gridCol w:w="2092"/>
        <w:gridCol w:w="38"/>
        <w:gridCol w:w="36"/>
        <w:gridCol w:w="36"/>
        <w:gridCol w:w="36"/>
        <w:gridCol w:w="112"/>
        <w:gridCol w:w="508"/>
        <w:gridCol w:w="38"/>
        <w:gridCol w:w="37"/>
        <w:gridCol w:w="36"/>
        <w:gridCol w:w="36"/>
        <w:gridCol w:w="67"/>
        <w:gridCol w:w="398"/>
        <w:gridCol w:w="200"/>
        <w:gridCol w:w="36"/>
        <w:gridCol w:w="36"/>
        <w:gridCol w:w="36"/>
        <w:gridCol w:w="112"/>
        <w:gridCol w:w="508"/>
        <w:gridCol w:w="38"/>
        <w:gridCol w:w="37"/>
        <w:gridCol w:w="36"/>
        <w:gridCol w:w="36"/>
        <w:gridCol w:w="67"/>
        <w:gridCol w:w="398"/>
        <w:gridCol w:w="200"/>
        <w:gridCol w:w="36"/>
        <w:gridCol w:w="36"/>
        <w:gridCol w:w="36"/>
        <w:gridCol w:w="112"/>
        <w:gridCol w:w="508"/>
        <w:gridCol w:w="38"/>
        <w:gridCol w:w="37"/>
        <w:gridCol w:w="36"/>
        <w:gridCol w:w="36"/>
        <w:gridCol w:w="67"/>
        <w:gridCol w:w="398"/>
        <w:gridCol w:w="170"/>
        <w:gridCol w:w="36"/>
        <w:gridCol w:w="36"/>
        <w:gridCol w:w="36"/>
        <w:gridCol w:w="112"/>
        <w:gridCol w:w="508"/>
        <w:gridCol w:w="38"/>
        <w:gridCol w:w="37"/>
        <w:gridCol w:w="36"/>
        <w:gridCol w:w="36"/>
        <w:gridCol w:w="67"/>
        <w:gridCol w:w="398"/>
        <w:gridCol w:w="170"/>
      </w:tblGrid>
      <w:tr w:rsidR="00000000">
        <w:trPr>
          <w:divId w:val="1268123526"/>
        </w:trPr>
        <w:tc>
          <w:tcPr>
            <w:tcW w:w="50" w:type="pct"/>
            <w:vAlign w:val="center"/>
            <w:hideMark/>
          </w:tcPr>
          <w:p w:rsidR="00000000" w:rsidRDefault="00E92DBE">
            <w:pPr>
              <w:rPr>
                <w:rFonts w:eastAsia="Times New Roman"/>
              </w:rPr>
            </w:pPr>
          </w:p>
        </w:tc>
        <w:tc>
          <w:tcPr>
            <w:tcW w:w="183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268123526"/>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1268123526"/>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30+ Day Delinquencies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30+ Day Delinquencies</w:t>
            </w:r>
          </w:p>
        </w:tc>
      </w:tr>
      <w:tr w:rsidR="00000000">
        <w:trPr>
          <w:divId w:val="1268123526"/>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126812352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E92DBE">
        <w:trPr>
          <w:divId w:val="126812352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2,388 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2,388 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126812352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2681235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2,249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26812352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26812352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3,140 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4.78 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3,381 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26812352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2681235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26812352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26812352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0.66 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26812352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0.19 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0.35 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268123526"/>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6812352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26812352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0.38 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0.66 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26812352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4,810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6,076 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856190135"/>
        <w:rPr>
          <w:rFonts w:eastAsia="Times New Roman"/>
        </w:rPr>
      </w:pPr>
      <w:r>
        <w:rPr>
          <w:rFonts w:eastAsia="Times New Roman"/>
          <w:color w:val="000000"/>
          <w:sz w:val="20"/>
          <w:szCs w:val="20"/>
        </w:rPr>
        <w:t>__________</w:t>
      </w:r>
    </w:p>
    <w:p w:rsidR="00000000" w:rsidRDefault="00E92DBE">
      <w:pPr>
        <w:ind w:hanging="360"/>
        <w:jc w:val="both"/>
        <w:divId w:val="128145253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Delinquency rates are calculated </w:t>
      </w:r>
      <w:r>
        <w:rPr>
          <w:rFonts w:eastAsia="Times New Roman"/>
          <w:color w:val="000000"/>
          <w:sz w:val="16"/>
          <w:szCs w:val="16"/>
        </w:rPr>
        <w:t>by dividing delinquency amounts by period-end loans held for investment for each specified loan category.</w:t>
      </w:r>
    </w:p>
    <w:p w:rsidR="00000000" w:rsidRDefault="00E92DBE">
      <w:pPr>
        <w:jc w:val="both"/>
        <w:divId w:val="1906647508"/>
        <w:rPr>
          <w:rFonts w:eastAsia="Times New Roman"/>
        </w:rPr>
      </w:pPr>
      <w:r>
        <w:rPr>
          <w:rFonts w:eastAsia="Times New Roman"/>
          <w:color w:val="000000"/>
          <w:sz w:val="20"/>
          <w:szCs w:val="20"/>
        </w:rPr>
        <w:t>Table 24 presents our 30+ day delinquent loans, by aging and geography, as of March 31, 2021 and December 31, 2020.</w:t>
      </w:r>
    </w:p>
    <w:p w:rsidR="00000000" w:rsidRDefault="00E92DBE">
      <w:pPr>
        <w:divId w:val="1477261940"/>
        <w:rPr>
          <w:rFonts w:eastAsia="Times New Roman"/>
        </w:rPr>
      </w:pPr>
      <w:r>
        <w:rPr>
          <w:rFonts w:eastAsia="Times New Roman"/>
          <w:b/>
          <w:bCs/>
          <w:color w:val="000000"/>
          <w:sz w:val="18"/>
          <w:szCs w:val="18"/>
        </w:rPr>
        <w:t>Table 24: Aging and Geography of 3</w:t>
      </w:r>
      <w:r>
        <w:rPr>
          <w:rFonts w:eastAsia="Times New Roman"/>
          <w:b/>
          <w:bCs/>
          <w:color w:val="000000"/>
          <w:sz w:val="18"/>
          <w:szCs w:val="18"/>
        </w:rPr>
        <w:t>0+ Day Delinquent Loans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9"/>
        <w:gridCol w:w="4449"/>
        <w:gridCol w:w="38"/>
        <w:gridCol w:w="36"/>
        <w:gridCol w:w="36"/>
        <w:gridCol w:w="36"/>
        <w:gridCol w:w="111"/>
        <w:gridCol w:w="658"/>
        <w:gridCol w:w="37"/>
        <w:gridCol w:w="36"/>
        <w:gridCol w:w="36"/>
        <w:gridCol w:w="36"/>
        <w:gridCol w:w="46"/>
        <w:gridCol w:w="635"/>
        <w:gridCol w:w="200"/>
        <w:gridCol w:w="36"/>
        <w:gridCol w:w="36"/>
        <w:gridCol w:w="36"/>
        <w:gridCol w:w="111"/>
        <w:gridCol w:w="659"/>
        <w:gridCol w:w="37"/>
        <w:gridCol w:w="36"/>
        <w:gridCol w:w="36"/>
        <w:gridCol w:w="36"/>
        <w:gridCol w:w="46"/>
        <w:gridCol w:w="638"/>
        <w:gridCol w:w="170"/>
      </w:tblGrid>
      <w:tr w:rsidR="00000000">
        <w:trPr>
          <w:divId w:val="2013794835"/>
        </w:trPr>
        <w:tc>
          <w:tcPr>
            <w:tcW w:w="50" w:type="pct"/>
            <w:vAlign w:val="center"/>
            <w:hideMark/>
          </w:tcPr>
          <w:p w:rsidR="00000000" w:rsidRDefault="00E92DBE">
            <w:pPr>
              <w:rPr>
                <w:rFonts w:eastAsia="Times New Roman"/>
              </w:rPr>
            </w:pPr>
          </w:p>
        </w:tc>
        <w:tc>
          <w:tcPr>
            <w:tcW w:w="27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2013794835"/>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2013794835"/>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201379483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Delinquency status: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2013794835"/>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30 – 59 days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3,330 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2013794835"/>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60 – 89 days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1,485 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0.59 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13794835"/>
        </w:trPr>
        <w:tc>
          <w:tcPr>
            <w:tcW w:w="0" w:type="auto"/>
            <w:gridSpan w:val="3"/>
            <w:shd w:val="clear" w:color="auto" w:fill="FFFFFF"/>
            <w:tcMar>
              <w:top w:w="30" w:type="dxa"/>
              <w:left w:w="20" w:type="dxa"/>
              <w:bottom w:w="30" w:type="dxa"/>
              <w:right w:w="20" w:type="dxa"/>
            </w:tcMar>
            <w:vAlign w:val="center"/>
            <w:hideMark/>
          </w:tcPr>
          <w:p w:rsidR="00000000" w:rsidRDefault="00E92DBE">
            <w:pPr>
              <w:divId w:val="43021370"/>
              <w:rPr>
                <w:rFonts w:eastAsia="Times New Roman"/>
              </w:rPr>
            </w:pPr>
            <w:r>
              <w:rPr>
                <w:rFonts w:eastAsia="Times New Roman"/>
                <w:color w:val="000000"/>
                <w:sz w:val="18"/>
                <w:szCs w:val="18"/>
                <w:u w:val="single"/>
              </w:rPr>
              <w:t>&gt;</w:t>
            </w:r>
            <w:r>
              <w:rPr>
                <w:rFonts w:eastAsia="Times New Roman"/>
                <w:color w:val="000000"/>
                <w:sz w:val="18"/>
                <w:szCs w:val="18"/>
              </w:rPr>
              <w:t xml:space="preserve"> 90 days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1,749 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0.70 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13794835"/>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4,810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2013794835"/>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Geographic region:</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2013794835"/>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Domestic</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4,601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6,330 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2013794835"/>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International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0.09 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13794835"/>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4,810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2013794835"/>
        </w:trPr>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2128354885"/>
        <w:rPr>
          <w:rFonts w:eastAsia="Times New Roman"/>
        </w:rPr>
      </w:pPr>
      <w:r>
        <w:rPr>
          <w:rFonts w:eastAsia="Times New Roman"/>
          <w:color w:val="000000"/>
          <w:sz w:val="20"/>
          <w:szCs w:val="20"/>
        </w:rPr>
        <w:t>__________</w:t>
      </w:r>
    </w:p>
    <w:p w:rsidR="00000000" w:rsidRDefault="00E92DBE">
      <w:pPr>
        <w:ind w:hanging="360"/>
        <w:jc w:val="both"/>
        <w:divId w:val="119789216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Delinquency rates are calculated by dividing delinquency amounts by total period-end loans held for investment.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99226453"/>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799226453"/>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799226453"/>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41</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66" style="width:0;height:1.5pt" o:hralign="center" o:hrstd="t" o:hr="t" fillcolor="#a0a0a0" stroked="f"/>
        </w:pict>
      </w:r>
    </w:p>
    <w:p w:rsidR="00000000" w:rsidRDefault="00E92DBE">
      <w:pPr>
        <w:ind w:hanging="360"/>
        <w:jc w:val="both"/>
        <w:divId w:val="1577592584"/>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784349218"/>
        <w:rPr>
          <w:rFonts w:eastAsia="Times New Roman"/>
        </w:rPr>
      </w:pPr>
      <w:r>
        <w:rPr>
          <w:rFonts w:eastAsia="Times New Roman"/>
          <w:color w:val="000000"/>
          <w:sz w:val="20"/>
          <w:szCs w:val="20"/>
        </w:rPr>
        <w:t>Table 25 summarizes loans that were 90+ days delinquent as to interest or principal, and still accruing interest as of March 31, 2021 and Decemb</w:t>
      </w:r>
      <w:r>
        <w:rPr>
          <w:rFonts w:eastAsia="Times New Roman"/>
          <w:color w:val="000000"/>
          <w:sz w:val="20"/>
          <w:szCs w:val="20"/>
        </w:rPr>
        <w:t>er 31, 2020. These loans consist primarily of credit card accounts between 90 days and 179 days past due. As permitted by regulatory guidance issued by the Federal Financial Institutions Examination Council, we continue to accrue interest and fees on domes</w:t>
      </w:r>
      <w:r>
        <w:rPr>
          <w:rFonts w:eastAsia="Times New Roman"/>
          <w:color w:val="000000"/>
          <w:sz w:val="20"/>
          <w:szCs w:val="20"/>
        </w:rPr>
        <w:t>tic credit card loans through the date of charge off, which is typically in the period the account becomes 180 days past due.</w:t>
      </w:r>
    </w:p>
    <w:p w:rsidR="00000000" w:rsidRDefault="00E92DBE">
      <w:pPr>
        <w:divId w:val="106632260"/>
        <w:rPr>
          <w:rFonts w:eastAsia="Times New Roman"/>
        </w:rPr>
      </w:pPr>
      <w:r>
        <w:rPr>
          <w:rFonts w:eastAsia="Times New Roman"/>
          <w:b/>
          <w:bCs/>
          <w:color w:val="000000"/>
          <w:sz w:val="18"/>
          <w:szCs w:val="18"/>
        </w:rPr>
        <w:t>Table 25: 90+ Day Delinquent Loans Accruing Interest</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448"/>
        <w:gridCol w:w="38"/>
        <w:gridCol w:w="36"/>
        <w:gridCol w:w="36"/>
        <w:gridCol w:w="36"/>
        <w:gridCol w:w="111"/>
        <w:gridCol w:w="658"/>
        <w:gridCol w:w="37"/>
        <w:gridCol w:w="36"/>
        <w:gridCol w:w="36"/>
        <w:gridCol w:w="36"/>
        <w:gridCol w:w="46"/>
        <w:gridCol w:w="635"/>
        <w:gridCol w:w="200"/>
        <w:gridCol w:w="36"/>
        <w:gridCol w:w="36"/>
        <w:gridCol w:w="36"/>
        <w:gridCol w:w="111"/>
        <w:gridCol w:w="659"/>
        <w:gridCol w:w="37"/>
        <w:gridCol w:w="36"/>
        <w:gridCol w:w="36"/>
        <w:gridCol w:w="36"/>
        <w:gridCol w:w="46"/>
        <w:gridCol w:w="638"/>
        <w:gridCol w:w="170"/>
      </w:tblGrid>
      <w:tr w:rsidR="00000000">
        <w:trPr>
          <w:divId w:val="352730538"/>
        </w:trPr>
        <w:tc>
          <w:tcPr>
            <w:tcW w:w="50" w:type="pct"/>
            <w:vAlign w:val="center"/>
            <w:hideMark/>
          </w:tcPr>
          <w:p w:rsidR="00000000" w:rsidRDefault="00E92DBE">
            <w:pPr>
              <w:rPr>
                <w:rFonts w:eastAsia="Times New Roman"/>
              </w:rPr>
            </w:pPr>
          </w:p>
        </w:tc>
        <w:tc>
          <w:tcPr>
            <w:tcW w:w="27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352730538"/>
        </w:trPr>
        <w:tc>
          <w:tcPr>
            <w:tcW w:w="0" w:type="auto"/>
            <w:gridSpan w:val="3"/>
            <w:tcMar>
              <w:top w:w="30" w:type="dxa"/>
              <w:left w:w="245"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9"/>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352730538"/>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35273053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Loan category: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35273053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1,251 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352730538"/>
        </w:trPr>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273053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0.07 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5273053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1,207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1,302 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0.52 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5273053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Geographic region:</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35273053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Domestic</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1,220 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0.50 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35273053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International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0.97 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5273053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1,207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0.52 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783811974"/>
        <w:rPr>
          <w:rFonts w:eastAsia="Times New Roman"/>
        </w:rPr>
      </w:pPr>
      <w:r>
        <w:rPr>
          <w:rFonts w:eastAsia="Times New Roman"/>
          <w:color w:val="000000"/>
          <w:sz w:val="20"/>
          <w:szCs w:val="20"/>
        </w:rPr>
        <w:t>__________</w:t>
      </w:r>
    </w:p>
    <w:p w:rsidR="00000000" w:rsidRDefault="00E92DBE">
      <w:pPr>
        <w:ind w:hanging="360"/>
        <w:jc w:val="both"/>
        <w:divId w:val="183456556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Delinquency rates are calculated by dividing delinquency amounts by period-end loans held for investment for each specified loan category.</w:t>
      </w:r>
    </w:p>
    <w:p w:rsidR="00000000" w:rsidRDefault="00E92DBE">
      <w:pPr>
        <w:divId w:val="639118834"/>
        <w:rPr>
          <w:rFonts w:eastAsia="Times New Roman"/>
        </w:rPr>
      </w:pPr>
      <w:r>
        <w:rPr>
          <w:rFonts w:eastAsia="Times New Roman"/>
          <w:b/>
          <w:bCs/>
          <w:i/>
          <w:iCs/>
          <w:color w:val="000000"/>
          <w:sz w:val="20"/>
          <w:szCs w:val="20"/>
        </w:rPr>
        <w:t>Nonperforming Loans and Nonperforming Assets</w:t>
      </w:r>
    </w:p>
    <w:p w:rsidR="00000000" w:rsidRDefault="00E92DBE">
      <w:pPr>
        <w:jc w:val="both"/>
        <w:divId w:val="983778290"/>
        <w:rPr>
          <w:rFonts w:eastAsia="Times New Roman"/>
        </w:rPr>
      </w:pPr>
      <w:r>
        <w:rPr>
          <w:rFonts w:eastAsia="Times New Roman"/>
          <w:color w:val="000000"/>
          <w:sz w:val="20"/>
          <w:szCs w:val="20"/>
        </w:rPr>
        <w:t>Nonperforming assets consist of nonperforming loans, repossessed asse</w:t>
      </w:r>
      <w:r>
        <w:rPr>
          <w:rFonts w:eastAsia="Times New Roman"/>
          <w:color w:val="000000"/>
          <w:sz w:val="20"/>
          <w:szCs w:val="20"/>
        </w:rPr>
        <w:t>ts and other foreclosed assets. Nonperforming loans include loans that have been placed on nonaccrual status. See “Note 1—Summary of Significant Accounting Policies” in our 2020 Form 10-K for information on our policies for classifying loans as nonperformi</w:t>
      </w:r>
      <w:r>
        <w:rPr>
          <w:rFonts w:eastAsia="Times New Roman"/>
          <w:color w:val="000000"/>
          <w:sz w:val="20"/>
          <w:szCs w:val="20"/>
        </w:rPr>
        <w:t>ng for each of our loan categories.</w:t>
      </w:r>
    </w:p>
    <w:p w:rsidR="00000000" w:rsidRDefault="00E92DBE">
      <w:pPr>
        <w:jc w:val="both"/>
        <w:divId w:val="1006321188"/>
        <w:rPr>
          <w:rFonts w:eastAsia="Times New Roman"/>
        </w:rPr>
      </w:pPr>
      <w:r>
        <w:rPr>
          <w:rFonts w:eastAsia="Times New Roman"/>
          <w:color w:val="000000"/>
          <w:sz w:val="20"/>
          <w:szCs w:val="20"/>
        </w:rPr>
        <w:t>Table 26 presents our nonperforming loans, by portfolio segment, and other nonperforming assets as of March 31, 2021 and December 31, 2020. We do not classify loans held for sale as nonperforming. We provide additional i</w:t>
      </w:r>
      <w:r>
        <w:rPr>
          <w:rFonts w:eastAsia="Times New Roman"/>
          <w:color w:val="000000"/>
          <w:sz w:val="20"/>
          <w:szCs w:val="20"/>
        </w:rPr>
        <w:t>nformation on our credit quality metrics in “MD&amp;A—Business Segment Financial Performance.”</w:t>
      </w:r>
    </w:p>
    <w:p w:rsidR="00000000" w:rsidRDefault="00E92DBE">
      <w:pPr>
        <w:divId w:val="295599729"/>
        <w:rPr>
          <w:rFonts w:eastAsia="Times New Roman"/>
        </w:rPr>
      </w:pPr>
      <w:r>
        <w:rPr>
          <w:rFonts w:eastAsia="Times New Roman"/>
          <w:b/>
          <w:bCs/>
          <w:color w:val="000000"/>
          <w:sz w:val="18"/>
          <w:szCs w:val="18"/>
        </w:rPr>
        <w:t>Table 26: Nonperforming Loans and Other Nonperforming Asset</w:t>
      </w:r>
      <w:r>
        <w:rPr>
          <w:rFonts w:eastAsia="Times New Roman"/>
          <w:b/>
          <w:bCs/>
          <w:color w:val="000000"/>
          <w:sz w:val="18"/>
          <w:szCs w:val="18"/>
        </w:rPr>
        <w:t>s</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646"/>
        <w:gridCol w:w="37"/>
        <w:gridCol w:w="36"/>
        <w:gridCol w:w="36"/>
        <w:gridCol w:w="36"/>
        <w:gridCol w:w="111"/>
        <w:gridCol w:w="608"/>
        <w:gridCol w:w="37"/>
        <w:gridCol w:w="36"/>
        <w:gridCol w:w="36"/>
        <w:gridCol w:w="36"/>
        <w:gridCol w:w="40"/>
        <w:gridCol w:w="592"/>
        <w:gridCol w:w="201"/>
        <w:gridCol w:w="36"/>
        <w:gridCol w:w="36"/>
        <w:gridCol w:w="36"/>
        <w:gridCol w:w="111"/>
        <w:gridCol w:w="610"/>
        <w:gridCol w:w="37"/>
        <w:gridCol w:w="36"/>
        <w:gridCol w:w="36"/>
        <w:gridCol w:w="36"/>
        <w:gridCol w:w="40"/>
        <w:gridCol w:w="596"/>
        <w:gridCol w:w="170"/>
      </w:tblGrid>
      <w:tr w:rsidR="00000000">
        <w:trPr>
          <w:divId w:val="737896606"/>
        </w:trPr>
        <w:tc>
          <w:tcPr>
            <w:tcW w:w="50" w:type="pct"/>
            <w:vAlign w:val="center"/>
            <w:hideMark/>
          </w:tcPr>
          <w:p w:rsidR="00000000" w:rsidRDefault="00E92DBE">
            <w:pPr>
              <w:rPr>
                <w:rFonts w:eastAsia="Times New Roman"/>
              </w:rPr>
            </w:pPr>
          </w:p>
        </w:tc>
        <w:tc>
          <w:tcPr>
            <w:tcW w:w="283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737896606"/>
        </w:trPr>
        <w:tc>
          <w:tcPr>
            <w:tcW w:w="0" w:type="auto"/>
            <w:gridSpan w:val="3"/>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737896606"/>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Rate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Rate</w:t>
            </w:r>
          </w:p>
        </w:tc>
      </w:tr>
      <w:tr w:rsidR="00000000">
        <w:trPr>
          <w:divId w:val="7378966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1701665949"/>
              <w:rPr>
                <w:rFonts w:eastAsia="Times New Roman"/>
              </w:rPr>
            </w:pPr>
            <w:r>
              <w:rPr>
                <w:rFonts w:eastAsia="Times New Roman"/>
                <w:b/>
                <w:bCs/>
                <w:color w:val="000000"/>
                <w:sz w:val="18"/>
                <w:szCs w:val="18"/>
              </w:rPr>
              <w:t>Nonperforming loans held for investment</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73789660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73789660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0.24 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73789660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0.02 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3789660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73789660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294 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0.45 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3789660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0.96 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3789660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0.47 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3789660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73789660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0.65 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3789660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37896606"/>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789660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789660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0.86 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37896606"/>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7896606"/>
        </w:trPr>
        <w:tc>
          <w:tcPr>
            <w:tcW w:w="0" w:type="auto"/>
            <w:gridSpan w:val="3"/>
            <w:shd w:val="clear" w:color="auto" w:fill="CCEEFF"/>
            <w:tcMar>
              <w:top w:w="30" w:type="dxa"/>
              <w:left w:w="20" w:type="dxa"/>
              <w:bottom w:w="30" w:type="dxa"/>
              <w:right w:w="20" w:type="dxa"/>
            </w:tcMar>
            <w:vAlign w:val="center"/>
            <w:hideMark/>
          </w:tcPr>
          <w:p w:rsidR="00000000" w:rsidRDefault="00E92DBE">
            <w:pPr>
              <w:divId w:val="237519166"/>
              <w:rPr>
                <w:rFonts w:eastAsia="Times New Roman"/>
              </w:rPr>
            </w:pPr>
            <w:r>
              <w:rPr>
                <w:rFonts w:eastAsia="Times New Roman"/>
                <w:color w:val="000000"/>
                <w:sz w:val="18"/>
                <w:szCs w:val="18"/>
              </w:rPr>
              <w:t>Total nonperforming loans held for investmen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0.40 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37896606"/>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789660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789660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37896606"/>
        </w:trPr>
        <w:tc>
          <w:tcPr>
            <w:tcW w:w="0" w:type="auto"/>
            <w:gridSpan w:val="3"/>
            <w:shd w:val="clear" w:color="auto" w:fill="FFFFFF"/>
            <w:tcMar>
              <w:top w:w="30" w:type="dxa"/>
              <w:left w:w="20" w:type="dxa"/>
              <w:bottom w:w="30" w:type="dxa"/>
              <w:right w:w="20" w:type="dxa"/>
            </w:tcMar>
            <w:vAlign w:val="center"/>
            <w:hideMark/>
          </w:tcPr>
          <w:p w:rsidR="00000000" w:rsidRDefault="00E92DBE">
            <w:pPr>
              <w:divId w:val="123891563"/>
              <w:rPr>
                <w:rFonts w:eastAsia="Times New Roman"/>
              </w:rPr>
            </w:pPr>
            <w:r>
              <w:rPr>
                <w:rFonts w:eastAsia="Times New Roman"/>
                <w:color w:val="000000"/>
                <w:sz w:val="18"/>
                <w:szCs w:val="18"/>
              </w:rPr>
              <w:t>Other nonperforming asset</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0.01 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3789660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nonperforming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0.41 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170874161"/>
        <w:rPr>
          <w:rFonts w:eastAsia="Times New Roman"/>
        </w:rPr>
      </w:pPr>
      <w:r>
        <w:rPr>
          <w:rFonts w:eastAsia="Times New Roman"/>
          <w:color w:val="000000"/>
          <w:sz w:val="20"/>
          <w:szCs w:val="20"/>
        </w:rPr>
        <w:t>__________</w:t>
      </w:r>
    </w:p>
    <w:p w:rsidR="00000000" w:rsidRDefault="00E92DBE">
      <w:pPr>
        <w:ind w:hanging="360"/>
        <w:jc w:val="both"/>
        <w:divId w:val="125968139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$1 million and $2 million in the first quarters of 2021 and 2020, respectively. Interest income foregone relat</w:t>
      </w:r>
      <w:r>
        <w:rPr>
          <w:rFonts w:eastAsia="Times New Roman"/>
          <w:color w:val="000000"/>
          <w:sz w:val="16"/>
          <w:szCs w:val="16"/>
        </w:rPr>
        <w:t xml:space="preserve">ed to nonperforming loans was $16 million and $24 million in the first quarters of 2021 and 2020, respectively. Foregone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20107903"/>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620107903"/>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620107903"/>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42</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67" style="width:0;height:1.5pt" o:hralign="center" o:hrstd="t" o:hr="t" fillcolor="#a0a0a0" stroked="f"/>
        </w:pict>
      </w:r>
    </w:p>
    <w:p w:rsidR="00000000" w:rsidRDefault="00E92DBE">
      <w:pPr>
        <w:ind w:hanging="360"/>
        <w:jc w:val="both"/>
        <w:divId w:val="1783646970"/>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195702815"/>
        <w:rPr>
          <w:rFonts w:eastAsia="Times New Roman"/>
        </w:rPr>
      </w:pPr>
      <w:r>
        <w:rPr>
          <w:rFonts w:eastAsia="Times New Roman"/>
          <w:color w:val="000000"/>
          <w:sz w:val="16"/>
          <w:szCs w:val="16"/>
        </w:rPr>
        <w:t>interest income represents the amount of interest income in excess of recognized interest income that would have been recorded during the period for nonperforming loans as of the end of the period had the loans performed according to their contractual term</w:t>
      </w:r>
      <w:r>
        <w:rPr>
          <w:rFonts w:eastAsia="Times New Roman"/>
          <w:color w:val="000000"/>
          <w:sz w:val="16"/>
          <w:szCs w:val="16"/>
        </w:rPr>
        <w:t>s.</w:t>
      </w:r>
    </w:p>
    <w:p w:rsidR="00000000" w:rsidRDefault="00E92DBE">
      <w:pPr>
        <w:ind w:hanging="360"/>
        <w:jc w:val="both"/>
        <w:divId w:val="85238131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loan rates are calculated based on nonperforming loans for each category divided by period-end total loans held for investment for each respective category.</w:t>
      </w:r>
    </w:p>
    <w:p w:rsidR="00000000" w:rsidRDefault="00E92DBE">
      <w:pPr>
        <w:ind w:hanging="360"/>
        <w:jc w:val="both"/>
        <w:divId w:val="906720542"/>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Excluding the impact of domestic credit card loans, nonperforming loans as a</w:t>
      </w:r>
      <w:r>
        <w:rPr>
          <w:rFonts w:eastAsia="Times New Roman"/>
          <w:color w:val="000000"/>
          <w:sz w:val="16"/>
          <w:szCs w:val="16"/>
        </w:rPr>
        <w:t xml:space="preserve"> percentage of total loans held for investment was 0.61% and 0.65% as of March 31, 2021 and December 31, 2020, respectively.</w:t>
      </w:r>
    </w:p>
    <w:p w:rsidR="00000000" w:rsidRDefault="00E92DBE">
      <w:pPr>
        <w:ind w:hanging="360"/>
        <w:jc w:val="both"/>
        <w:divId w:val="458455733"/>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The denominators used in calculating nonperforming asset rates consist of total loans held for investment and other nonperformin</w:t>
      </w:r>
      <w:r>
        <w:rPr>
          <w:rFonts w:eastAsia="Times New Roman"/>
          <w:color w:val="000000"/>
          <w:sz w:val="16"/>
          <w:szCs w:val="16"/>
        </w:rPr>
        <w:t xml:space="preserve">g assets. </w:t>
      </w:r>
    </w:p>
    <w:p w:rsidR="00000000" w:rsidRDefault="00E92DBE">
      <w:pPr>
        <w:divId w:val="668605680"/>
        <w:rPr>
          <w:rFonts w:eastAsia="Times New Roman"/>
        </w:rPr>
      </w:pPr>
      <w:r>
        <w:rPr>
          <w:rFonts w:eastAsia="Times New Roman"/>
          <w:b/>
          <w:bCs/>
          <w:i/>
          <w:iCs/>
          <w:color w:val="000000"/>
          <w:sz w:val="20"/>
          <w:szCs w:val="20"/>
        </w:rPr>
        <w:t>Net Charge-Offs</w:t>
      </w:r>
    </w:p>
    <w:p w:rsidR="00000000" w:rsidRDefault="00E92DBE">
      <w:pPr>
        <w:jc w:val="both"/>
        <w:divId w:val="549003685"/>
        <w:rPr>
          <w:rFonts w:eastAsia="Times New Roman"/>
        </w:rPr>
      </w:pPr>
      <w:r>
        <w:rPr>
          <w:rFonts w:eastAsia="Times New Roman"/>
          <w:color w:val="000000"/>
          <w:sz w:val="20"/>
          <w:szCs w:val="20"/>
        </w:rPr>
        <w:t>Net charge-offs consist of the amortized cost basis, excluding accrued interest, of loans held for investment that we determine to be uncollectible, net of recovered amounts. We charge off loans as a reduction to the allowance fo</w:t>
      </w:r>
      <w:r>
        <w:rPr>
          <w:rFonts w:eastAsia="Times New Roman"/>
          <w:color w:val="000000"/>
          <w:sz w:val="20"/>
          <w:szCs w:val="20"/>
        </w:rPr>
        <w:t xml:space="preserve">r credit losses when we determine the loan is uncollectible and record subsequent recoveries of previously charged off amounts as increases to the allowance for credit losses. Uncollectible finance charges and fees are reversed through revenue and certain </w:t>
      </w:r>
      <w:r>
        <w:rPr>
          <w:rFonts w:eastAsia="Times New Roman"/>
          <w:color w:val="000000"/>
          <w:sz w:val="20"/>
          <w:szCs w:val="20"/>
        </w:rPr>
        <w:t>fraud losses are recorded in other non-interest expense. Generally, costs to recover charged-off loans are recorded as collection expenses as incurred and included in our consolidated statements of income as a component of other non-interest expense. Our c</w:t>
      </w:r>
      <w:r>
        <w:rPr>
          <w:rFonts w:eastAsia="Times New Roman"/>
          <w:color w:val="000000"/>
          <w:sz w:val="20"/>
          <w:szCs w:val="20"/>
        </w:rPr>
        <w:t>harge-off policy for loans varies based on the loan type. See “Note 1—Summary of Significant Accounting Policies” in our 2020 Form 10-K for information on our charge-off policy for each of our loan categories.</w:t>
      </w:r>
    </w:p>
    <w:p w:rsidR="00000000" w:rsidRDefault="00E92DBE">
      <w:pPr>
        <w:jc w:val="both"/>
        <w:divId w:val="935746801"/>
        <w:rPr>
          <w:rFonts w:eastAsia="Times New Roman"/>
        </w:rPr>
      </w:pPr>
      <w:r>
        <w:rPr>
          <w:rFonts w:eastAsia="Times New Roman"/>
          <w:color w:val="000000"/>
          <w:sz w:val="20"/>
          <w:szCs w:val="20"/>
        </w:rPr>
        <w:t>Table 27 presents our net charge-off amounts a</w:t>
      </w:r>
      <w:r>
        <w:rPr>
          <w:rFonts w:eastAsia="Times New Roman"/>
          <w:color w:val="000000"/>
          <w:sz w:val="20"/>
          <w:szCs w:val="20"/>
        </w:rPr>
        <w:t>nd rates, by portfolio segment, in the first quarters of 2021 and 2020.</w:t>
      </w:r>
    </w:p>
    <w:p w:rsidR="00000000" w:rsidRDefault="00E92DBE">
      <w:pPr>
        <w:divId w:val="714081665"/>
        <w:rPr>
          <w:rFonts w:eastAsia="Times New Roman"/>
        </w:rPr>
      </w:pPr>
      <w:r>
        <w:rPr>
          <w:rFonts w:eastAsia="Times New Roman"/>
          <w:b/>
          <w:bCs/>
          <w:color w:val="000000"/>
          <w:sz w:val="18"/>
          <w:szCs w:val="18"/>
        </w:rPr>
        <w:t>Table 27: Net Charge-Offs</w:t>
      </w:r>
    </w:p>
    <w:tbl>
      <w:tblPr>
        <w:tblW w:w="5000" w:type="pct"/>
        <w:tblCellMar>
          <w:top w:w="15" w:type="dxa"/>
          <w:left w:w="15" w:type="dxa"/>
          <w:bottom w:w="15" w:type="dxa"/>
          <w:right w:w="15" w:type="dxa"/>
        </w:tblCellMar>
        <w:tblLook w:val="04A0" w:firstRow="1" w:lastRow="0" w:firstColumn="1" w:lastColumn="0" w:noHBand="0" w:noVBand="1"/>
      </w:tblPr>
      <w:tblGrid>
        <w:gridCol w:w="39"/>
        <w:gridCol w:w="3815"/>
        <w:gridCol w:w="38"/>
        <w:gridCol w:w="36"/>
        <w:gridCol w:w="36"/>
        <w:gridCol w:w="36"/>
        <w:gridCol w:w="110"/>
        <w:gridCol w:w="630"/>
        <w:gridCol w:w="36"/>
        <w:gridCol w:w="36"/>
        <w:gridCol w:w="36"/>
        <w:gridCol w:w="36"/>
        <w:gridCol w:w="59"/>
        <w:gridCol w:w="413"/>
        <w:gridCol w:w="200"/>
        <w:gridCol w:w="36"/>
        <w:gridCol w:w="36"/>
        <w:gridCol w:w="36"/>
        <w:gridCol w:w="110"/>
        <w:gridCol w:w="630"/>
        <w:gridCol w:w="36"/>
        <w:gridCol w:w="36"/>
        <w:gridCol w:w="36"/>
        <w:gridCol w:w="36"/>
        <w:gridCol w:w="59"/>
        <w:gridCol w:w="413"/>
        <w:gridCol w:w="17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913776882"/>
        </w:trPr>
        <w:tc>
          <w:tcPr>
            <w:tcW w:w="50" w:type="pct"/>
            <w:vAlign w:val="center"/>
            <w:hideMark/>
          </w:tcPr>
          <w:p w:rsidR="00000000" w:rsidRDefault="00E92DBE">
            <w:pPr>
              <w:rPr>
                <w:rFonts w:eastAsia="Times New Roman"/>
              </w:rPr>
            </w:pPr>
          </w:p>
        </w:tc>
        <w:tc>
          <w:tcPr>
            <w:tcW w:w="316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13776882"/>
        </w:trPr>
        <w:tc>
          <w:tcPr>
            <w:tcW w:w="0" w:type="auto"/>
            <w:gridSpan w:val="3"/>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13776882"/>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1,331 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4.68 </w:t>
            </w:r>
          </w:p>
        </w:tc>
        <w:tc>
          <w:tcPr>
            <w:tcW w:w="0" w:type="auto"/>
            <w:shd w:val="clear" w:color="auto" w:fill="FFFF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0.96 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0.57 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net charge-offs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740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91377688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Average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243,937</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262,889 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bl>
    <w:p w:rsidR="00000000" w:rsidRDefault="00E92DBE">
      <w:pPr>
        <w:divId w:val="1698503171"/>
        <w:rPr>
          <w:rFonts w:eastAsia="Times New Roman"/>
        </w:rPr>
      </w:pPr>
      <w:r>
        <w:rPr>
          <w:rFonts w:eastAsia="Times New Roman"/>
          <w:color w:val="000000"/>
          <w:sz w:val="20"/>
          <w:szCs w:val="20"/>
        </w:rPr>
        <w:t>__________</w:t>
      </w:r>
    </w:p>
    <w:p w:rsidR="00000000" w:rsidRDefault="00E92DBE">
      <w:pPr>
        <w:ind w:hanging="360"/>
        <w:jc w:val="both"/>
        <w:divId w:val="175551700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Net charge-off rates are calculated by dividing annu</w:t>
      </w:r>
      <w:r>
        <w:rPr>
          <w:rFonts w:eastAsia="Times New Roman"/>
          <w:color w:val="000000"/>
          <w:sz w:val="16"/>
          <w:szCs w:val="16"/>
        </w:rPr>
        <w:t>alized net charge-offs by average loans held for investment for the period for each loan category.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6552180"/>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46552180"/>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46552180"/>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43</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68" style="width:0;height:1.5pt" o:hralign="center" o:hrstd="t" o:hr="t" fillcolor="#a0a0a0" stroked="f"/>
        </w:pict>
      </w:r>
    </w:p>
    <w:p w:rsidR="00000000" w:rsidRDefault="00E92DBE">
      <w:pPr>
        <w:ind w:hanging="360"/>
        <w:jc w:val="both"/>
        <w:divId w:val="1666203163"/>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227886081"/>
        <w:rPr>
          <w:rFonts w:eastAsia="Times New Roman"/>
        </w:rPr>
      </w:pPr>
      <w:r>
        <w:rPr>
          <w:rFonts w:eastAsia="Times New Roman"/>
          <w:b/>
          <w:bCs/>
          <w:color w:val="000000"/>
          <w:sz w:val="20"/>
          <w:szCs w:val="20"/>
        </w:rPr>
        <w:t xml:space="preserve">COVID-19 Customer Assistance Programs and Loan Modifications </w:t>
      </w:r>
    </w:p>
    <w:p w:rsidR="00000000" w:rsidRDefault="00E92DBE">
      <w:pPr>
        <w:jc w:val="both"/>
        <w:divId w:val="1782994901"/>
        <w:rPr>
          <w:rFonts w:eastAsia="Times New Roman"/>
        </w:rPr>
      </w:pPr>
      <w:r>
        <w:rPr>
          <w:rFonts w:eastAsia="Times New Roman"/>
          <w:color w:val="000000"/>
          <w:sz w:val="20"/>
          <w:szCs w:val="20"/>
        </w:rPr>
        <w:t xml:space="preserve">As part of our response to the COVID-19 pandemic, we began offering programs to accommodate customer hardship across our lines of business in March 2020, with the largest program offerings to our auto and domestic credit card customers. </w:t>
      </w:r>
    </w:p>
    <w:p w:rsidR="00000000" w:rsidRDefault="00E92DBE">
      <w:pPr>
        <w:jc w:val="both"/>
        <w:divId w:val="410397076"/>
        <w:rPr>
          <w:rFonts w:eastAsia="Times New Roman"/>
        </w:rPr>
      </w:pPr>
      <w:r>
        <w:rPr>
          <w:rFonts w:eastAsia="Times New Roman"/>
          <w:color w:val="000000"/>
          <w:sz w:val="20"/>
          <w:szCs w:val="20"/>
        </w:rPr>
        <w:t>Within our Auto bu</w:t>
      </w:r>
      <w:r>
        <w:rPr>
          <w:rFonts w:eastAsia="Times New Roman"/>
          <w:color w:val="000000"/>
          <w:sz w:val="20"/>
          <w:szCs w:val="20"/>
        </w:rPr>
        <w:t>siness, our primary offering is a 1-2 month payment extension, with an option to renew (subject to a cap). The contractual term of the loan is extended by the length of the payment extension and the delinquency status is updated to reflect the revised term</w:t>
      </w:r>
      <w:r>
        <w:rPr>
          <w:rFonts w:eastAsia="Times New Roman"/>
          <w:color w:val="000000"/>
          <w:sz w:val="20"/>
          <w:szCs w:val="20"/>
        </w:rPr>
        <w:t xml:space="preserve">s of the loan. </w:t>
      </w:r>
    </w:p>
    <w:p w:rsidR="00000000" w:rsidRDefault="00E92DBE">
      <w:pPr>
        <w:jc w:val="both"/>
        <w:divId w:val="664867110"/>
        <w:rPr>
          <w:rFonts w:eastAsia="Times New Roman"/>
        </w:rPr>
      </w:pPr>
      <w:r>
        <w:rPr>
          <w:rFonts w:eastAsia="Times New Roman"/>
          <w:color w:val="000000"/>
          <w:sz w:val="20"/>
          <w:szCs w:val="20"/>
        </w:rPr>
        <w:t xml:space="preserve">Within our Domestic Card business, our primary offering is a one-month payment deferral, with the option to renew (subject to a cap). Delinquency status is generally frozen at the time of enrollment and then resumes upon exiting the program. </w:t>
      </w:r>
    </w:p>
    <w:p w:rsidR="00000000" w:rsidRDefault="00E92DBE">
      <w:pPr>
        <w:jc w:val="both"/>
        <w:divId w:val="1753117767"/>
        <w:rPr>
          <w:rFonts w:eastAsia="Times New Roman"/>
        </w:rPr>
      </w:pPr>
      <w:r>
        <w:rPr>
          <w:rFonts w:eastAsia="Times New Roman"/>
          <w:color w:val="000000"/>
          <w:sz w:val="20"/>
          <w:szCs w:val="20"/>
        </w:rPr>
        <w:t>Guidance issu</w:t>
      </w:r>
      <w:r>
        <w:rPr>
          <w:rFonts w:eastAsia="Times New Roman"/>
          <w:color w:val="000000"/>
          <w:sz w:val="20"/>
          <w:szCs w:val="20"/>
        </w:rPr>
        <w:t>ed by the Federal Banking Agencies and contained in the CARES Act provides banking organizations with TDR relief for loan modifications to current borrowers impacted by the COVID-19 pandemic. The majority of enrollments in our COVID-19 programs through Mar</w:t>
      </w:r>
      <w:r>
        <w:rPr>
          <w:rFonts w:eastAsia="Times New Roman"/>
          <w:color w:val="000000"/>
          <w:sz w:val="20"/>
          <w:szCs w:val="20"/>
        </w:rPr>
        <w:t>ch 31, 2021 would generally not have resulted in TDR classification under our existing policies as the concession granted was insignificant.</w:t>
      </w:r>
    </w:p>
    <w:p w:rsidR="00000000" w:rsidRDefault="00E92DBE">
      <w:pPr>
        <w:jc w:val="both"/>
        <w:divId w:val="1756130076"/>
        <w:rPr>
          <w:rFonts w:eastAsia="Times New Roman"/>
        </w:rPr>
      </w:pPr>
      <w:r>
        <w:rPr>
          <w:rFonts w:eastAsia="Times New Roman"/>
          <w:color w:val="000000"/>
          <w:sz w:val="20"/>
          <w:szCs w:val="20"/>
        </w:rPr>
        <w:t>We consider the impact of all loan modifications, including those offered via our COVID-19 programs, when estimatin</w:t>
      </w:r>
      <w:r>
        <w:rPr>
          <w:rFonts w:eastAsia="Times New Roman"/>
          <w:color w:val="000000"/>
          <w:sz w:val="20"/>
          <w:szCs w:val="20"/>
        </w:rPr>
        <w:t xml:space="preserve">g the credit quality of our loan portfolio and establishing allowance levels. </w:t>
      </w:r>
    </w:p>
    <w:p w:rsidR="00000000" w:rsidRDefault="00E92DBE">
      <w:pPr>
        <w:jc w:val="both"/>
        <w:divId w:val="647056718"/>
        <w:rPr>
          <w:rFonts w:eastAsia="Times New Roman"/>
        </w:rPr>
      </w:pPr>
      <w:r>
        <w:rPr>
          <w:rFonts w:eastAsia="Times New Roman"/>
          <w:color w:val="000000"/>
          <w:sz w:val="20"/>
          <w:szCs w:val="20"/>
        </w:rPr>
        <w:t>Table 28 presents cumulative and active enrollment information for our Auto and Domestic Card customer accommodation programs.</w:t>
      </w:r>
    </w:p>
    <w:p w:rsidR="00000000" w:rsidRDefault="00E92DBE">
      <w:pPr>
        <w:divId w:val="1217470829"/>
        <w:rPr>
          <w:rFonts w:eastAsia="Times New Roman"/>
        </w:rPr>
      </w:pPr>
      <w:r>
        <w:rPr>
          <w:rFonts w:eastAsia="Times New Roman"/>
          <w:b/>
          <w:bCs/>
          <w:color w:val="000000"/>
          <w:sz w:val="18"/>
          <w:szCs w:val="18"/>
        </w:rPr>
        <w:t>Table 28: COVID-19 Customer Assistance Program Enr</w:t>
      </w:r>
      <w:r>
        <w:rPr>
          <w:rFonts w:eastAsia="Times New Roman"/>
          <w:b/>
          <w:bCs/>
          <w:color w:val="000000"/>
          <w:sz w:val="18"/>
          <w:szCs w:val="18"/>
        </w:rPr>
        <w:t>ollments in Auto and Domestic Credit Card</w:t>
      </w:r>
    </w:p>
    <w:tbl>
      <w:tblPr>
        <w:tblW w:w="5000" w:type="pct"/>
        <w:tblCellMar>
          <w:top w:w="15" w:type="dxa"/>
          <w:left w:w="15" w:type="dxa"/>
          <w:bottom w:w="15" w:type="dxa"/>
          <w:right w:w="15" w:type="dxa"/>
        </w:tblCellMar>
        <w:tblLook w:val="04A0" w:firstRow="1" w:lastRow="0" w:firstColumn="1" w:lastColumn="0" w:noHBand="0" w:noVBand="1"/>
      </w:tblPr>
      <w:tblGrid>
        <w:gridCol w:w="45"/>
        <w:gridCol w:w="1197"/>
        <w:gridCol w:w="36"/>
        <w:gridCol w:w="36"/>
        <w:gridCol w:w="36"/>
        <w:gridCol w:w="36"/>
        <w:gridCol w:w="36"/>
        <w:gridCol w:w="592"/>
        <w:gridCol w:w="36"/>
        <w:gridCol w:w="36"/>
        <w:gridCol w:w="36"/>
        <w:gridCol w:w="36"/>
        <w:gridCol w:w="36"/>
        <w:gridCol w:w="36"/>
        <w:gridCol w:w="36"/>
        <w:gridCol w:w="36"/>
        <w:gridCol w:w="816"/>
        <w:gridCol w:w="36"/>
        <w:gridCol w:w="36"/>
        <w:gridCol w:w="36"/>
        <w:gridCol w:w="36"/>
        <w:gridCol w:w="45"/>
        <w:gridCol w:w="841"/>
        <w:gridCol w:w="36"/>
        <w:gridCol w:w="36"/>
        <w:gridCol w:w="36"/>
        <w:gridCol w:w="36"/>
        <w:gridCol w:w="45"/>
        <w:gridCol w:w="841"/>
        <w:gridCol w:w="36"/>
        <w:gridCol w:w="36"/>
        <w:gridCol w:w="36"/>
        <w:gridCol w:w="36"/>
        <w:gridCol w:w="45"/>
        <w:gridCol w:w="841"/>
        <w:gridCol w:w="36"/>
        <w:gridCol w:w="36"/>
        <w:gridCol w:w="36"/>
        <w:gridCol w:w="36"/>
        <w:gridCol w:w="45"/>
        <w:gridCol w:w="841"/>
        <w:gridCol w:w="36"/>
        <w:gridCol w:w="36"/>
        <w:gridCol w:w="36"/>
        <w:gridCol w:w="36"/>
        <w:gridCol w:w="46"/>
        <w:gridCol w:w="842"/>
        <w:gridCol w:w="36"/>
      </w:tblGrid>
      <w:tr w:rsidR="00000000">
        <w:tc>
          <w:tcPr>
            <w:tcW w:w="50" w:type="pct"/>
            <w:vAlign w:val="center"/>
            <w:hideMark/>
          </w:tcPr>
          <w:p w:rsidR="00000000" w:rsidRDefault="00E92DBE">
            <w:pPr>
              <w:rPr>
                <w:rFonts w:eastAsia="Times New Roman"/>
              </w:rPr>
            </w:pPr>
          </w:p>
        </w:tc>
        <w:tc>
          <w:tcPr>
            <w:tcW w:w="75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295448748"/>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42"/>
        <w:gridCol w:w="684"/>
        <w:gridCol w:w="37"/>
        <w:gridCol w:w="36"/>
        <w:gridCol w:w="36"/>
        <w:gridCol w:w="36"/>
        <w:gridCol w:w="110"/>
        <w:gridCol w:w="540"/>
        <w:gridCol w:w="36"/>
        <w:gridCol w:w="36"/>
        <w:gridCol w:w="36"/>
        <w:gridCol w:w="36"/>
        <w:gridCol w:w="811"/>
        <w:gridCol w:w="46"/>
        <w:gridCol w:w="916"/>
        <w:gridCol w:w="88"/>
        <w:gridCol w:w="621"/>
        <w:gridCol w:w="200"/>
        <w:gridCol w:w="70"/>
        <w:gridCol w:w="266"/>
        <w:gridCol w:w="70"/>
        <w:gridCol w:w="111"/>
        <w:gridCol w:w="520"/>
        <w:gridCol w:w="36"/>
        <w:gridCol w:w="127"/>
        <w:gridCol w:w="480"/>
        <w:gridCol w:w="126"/>
        <w:gridCol w:w="50"/>
        <w:gridCol w:w="351"/>
        <w:gridCol w:w="200"/>
        <w:gridCol w:w="109"/>
        <w:gridCol w:w="561"/>
        <w:gridCol w:w="108"/>
        <w:gridCol w:w="111"/>
        <w:gridCol w:w="558"/>
        <w:gridCol w:w="36"/>
        <w:gridCol w:w="64"/>
        <w:gridCol w:w="242"/>
        <w:gridCol w:w="63"/>
        <w:gridCol w:w="111"/>
        <w:gridCol w:w="558"/>
        <w:gridCol w:w="36"/>
        <w:gridCol w:w="36"/>
        <w:gridCol w:w="36"/>
        <w:gridCol w:w="36"/>
        <w:gridCol w:w="111"/>
        <w:gridCol w:w="558"/>
        <w:gridCol w:w="36"/>
      </w:tblGrid>
      <w:tr w:rsidR="00000000">
        <w:trPr>
          <w:divId w:val="295448748"/>
        </w:trPr>
        <w:tc>
          <w:tcPr>
            <w:tcW w:w="50" w:type="pct"/>
            <w:vAlign w:val="center"/>
            <w:hideMark/>
          </w:tcPr>
          <w:p w:rsidR="00000000" w:rsidRDefault="00E92DBE">
            <w:pPr>
              <w:jc w:val="both"/>
              <w:rPr>
                <w:rFonts w:eastAsia="Times New Roman"/>
              </w:rPr>
            </w:pPr>
          </w:p>
        </w:tc>
        <w:tc>
          <w:tcPr>
            <w:tcW w:w="81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9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9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9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29544874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9544874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95448748"/>
          <w:trHeight w:val="240"/>
        </w:trPr>
        <w:tc>
          <w:tcPr>
            <w:tcW w:w="0" w:type="auto"/>
            <w:gridSpan w:val="3"/>
            <w:vMerge w:val="restart"/>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c>
          <w:tcPr>
            <w:tcW w:w="0" w:type="auto"/>
            <w:gridSpan w:val="3"/>
            <w:tcBorders>
              <w:bottom w:val="single" w:sz="8" w:space="0" w:color="FFFFFF"/>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September 30, 2020</w:t>
            </w:r>
          </w:p>
        </w:tc>
        <w:tc>
          <w:tcPr>
            <w:tcW w:w="0" w:type="auto"/>
            <w:gridSpan w:val="3"/>
            <w:tcBorders>
              <w:bottom w:val="single" w:sz="8" w:space="0" w:color="FFFFFF"/>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June 30, 2020</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95448748"/>
          <w:trHeight w:val="400"/>
        </w:trPr>
        <w:tc>
          <w:tcPr>
            <w:tcW w:w="0" w:type="auto"/>
            <w:gridSpan w:val="3"/>
            <w:vMerge/>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Cumulative Enrollments</w:t>
            </w:r>
          </w:p>
        </w:tc>
        <w:tc>
          <w:tcPr>
            <w:tcW w:w="0" w:type="auto"/>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Active Enrollment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Active Enrollment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95448748"/>
          <w:trHeight w:val="400"/>
        </w:trPr>
        <w:tc>
          <w:tcPr>
            <w:tcW w:w="0" w:type="auto"/>
            <w:gridSpan w:val="3"/>
            <w:vMerge/>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Curren</w:t>
            </w:r>
            <w:r>
              <w:rPr>
                <w:rFonts w:eastAsia="Times New Roman"/>
                <w:b/>
                <w:bCs/>
                <w:color w:val="000000"/>
                <w:sz w:val="16"/>
                <w:szCs w:val="16"/>
              </w:rPr>
              <w:t>t</w:t>
            </w:r>
            <w:r>
              <w:rPr>
                <w:rFonts w:eastAsia="Times New Roman"/>
                <w:b/>
                <w:bCs/>
                <w:color w:val="000000"/>
                <w:sz w:val="10"/>
                <w:szCs w:val="10"/>
              </w:rPr>
              <w:t>(2</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Loan Class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r>
      <w:tr w:rsidR="00E92DBE">
        <w:trPr>
          <w:divId w:val="29544874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12,640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893 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95448748"/>
        </w:trPr>
        <w:tc>
          <w:tcPr>
            <w:tcW w:w="0" w:type="auto"/>
            <w:gridSpan w:val="3"/>
            <w:shd w:val="clear" w:color="auto" w:fill="FFFFFF"/>
            <w:tcMar>
              <w:top w:w="30" w:type="dxa"/>
              <w:left w:w="20" w:type="dxa"/>
              <w:bottom w:w="30" w:type="dxa"/>
              <w:right w:w="20" w:type="dxa"/>
            </w:tcMar>
            <w:vAlign w:val="center"/>
            <w:hideMark/>
          </w:tcPr>
          <w:p w:rsidR="00000000" w:rsidRDefault="00E92DBE">
            <w:pPr>
              <w:divId w:val="1342048854"/>
              <w:rPr>
                <w:rFonts w:eastAsia="Times New Roman"/>
              </w:rPr>
            </w:pPr>
            <w:r>
              <w:rPr>
                <w:rFonts w:eastAsia="Times New Roman"/>
                <w:color w:val="000000"/>
                <w:sz w:val="18"/>
                <w:szCs w:val="18"/>
              </w:rPr>
              <w:t>Domestic credit car</w:t>
            </w:r>
            <w:r>
              <w:rPr>
                <w:rFonts w:eastAsia="Times New Roman"/>
                <w:color w:val="000000"/>
                <w:sz w:val="18"/>
                <w:szCs w:val="18"/>
              </w:rPr>
              <w:t>d</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3,892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&lt;0.1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360 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29544874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16,532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380" w:type="dxa"/>
              <w:bottom w:w="0" w:type="dxa"/>
              <w:right w:w="20" w:type="dxa"/>
            </w:tcMar>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1004476674"/>
        <w:rPr>
          <w:rFonts w:eastAsia="Times New Roman"/>
        </w:rPr>
      </w:pPr>
      <w:r>
        <w:rPr>
          <w:rFonts w:eastAsia="Times New Roman"/>
          <w:color w:val="000000"/>
          <w:sz w:val="20"/>
          <w:szCs w:val="20"/>
        </w:rPr>
        <w:t>__________</w:t>
      </w:r>
    </w:p>
    <w:p w:rsidR="00000000" w:rsidRDefault="00E92DBE">
      <w:pPr>
        <w:ind w:hanging="360"/>
        <w:jc w:val="both"/>
        <w:divId w:val="192652456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Defined</w:t>
      </w:r>
      <w:r>
        <w:rPr>
          <w:rFonts w:eastAsia="Times New Roman"/>
          <w:color w:val="000000"/>
          <w:sz w:val="16"/>
          <w:szCs w:val="16"/>
        </w:rPr>
        <w:t xml:space="preserve"> as customers who have been approved to skip their upcoming payment and have not made that payment.</w:t>
      </w:r>
    </w:p>
    <w:p w:rsidR="00000000" w:rsidRDefault="00E92DBE">
      <w:pPr>
        <w:ind w:hanging="360"/>
        <w:jc w:val="both"/>
        <w:divId w:val="140286731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Current is defined as less than 30 days past due.</w:t>
      </w:r>
    </w:p>
    <w:p w:rsidR="00000000" w:rsidRDefault="00E92DBE">
      <w:pPr>
        <w:ind w:hanging="360"/>
        <w:jc w:val="both"/>
        <w:divId w:val="18992349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Does not include certain retail partnership portfolios.</w:t>
      </w:r>
    </w:p>
    <w:p w:rsidR="00000000" w:rsidRDefault="00E92DBE">
      <w:pPr>
        <w:divId w:val="1739282276"/>
        <w:rPr>
          <w:rFonts w:eastAsia="Times New Roman"/>
        </w:rPr>
      </w:pPr>
      <w:r>
        <w:rPr>
          <w:rFonts w:eastAsia="Times New Roman"/>
          <w:b/>
          <w:bCs/>
          <w:i/>
          <w:iCs/>
          <w:color w:val="000000"/>
          <w:sz w:val="20"/>
          <w:szCs w:val="20"/>
        </w:rPr>
        <w:t>Temporary Payment Reduction Programs</w:t>
      </w:r>
    </w:p>
    <w:p w:rsidR="00000000" w:rsidRDefault="00E92DBE">
      <w:pPr>
        <w:jc w:val="both"/>
        <w:divId w:val="870843633"/>
        <w:rPr>
          <w:rFonts w:eastAsia="Times New Roman"/>
        </w:rPr>
      </w:pPr>
      <w:r>
        <w:rPr>
          <w:rFonts w:eastAsia="Times New Roman"/>
          <w:color w:val="000000"/>
          <w:sz w:val="20"/>
          <w:szCs w:val="20"/>
        </w:rPr>
        <w:t xml:space="preserve">In addition to the above programs, we also offer temporary payment reduction programs to our auto and domestic credit card customers ranging from 6-9 months. As of March 31, 2021, less than 0.1% of accounts were enrolled in these programs.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26729847"/>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426729847"/>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426729847"/>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44</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69" style="width:0;height:1.5pt" o:hralign="center" o:hrstd="t" o:hr="t" fillcolor="#a0a0a0" stroked="f"/>
        </w:pict>
      </w:r>
    </w:p>
    <w:p w:rsidR="00000000" w:rsidRDefault="00E92DBE">
      <w:pPr>
        <w:ind w:hanging="360"/>
        <w:jc w:val="both"/>
        <w:divId w:val="1464233181"/>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1477457546"/>
        <w:rPr>
          <w:rFonts w:eastAsia="Times New Roman"/>
        </w:rPr>
      </w:pPr>
      <w:r>
        <w:rPr>
          <w:rFonts w:eastAsia="Times New Roman"/>
          <w:b/>
          <w:bCs/>
          <w:color w:val="000000"/>
          <w:sz w:val="20"/>
          <w:szCs w:val="20"/>
        </w:rPr>
        <w:t>Troubled Debt Restructurings</w:t>
      </w:r>
    </w:p>
    <w:p w:rsidR="00000000" w:rsidRDefault="00E92DBE">
      <w:pPr>
        <w:jc w:val="both"/>
        <w:divId w:val="1683900494"/>
        <w:rPr>
          <w:rFonts w:eastAsia="Times New Roman"/>
        </w:rPr>
      </w:pPr>
      <w:r>
        <w:rPr>
          <w:rFonts w:eastAsia="Times New Roman"/>
          <w:color w:val="000000"/>
          <w:sz w:val="20"/>
          <w:szCs w:val="20"/>
        </w:rPr>
        <w:t>As part of our loss mitigation efforts, we may provide short-term (three to twelve months) or long-term (greater th</w:t>
      </w:r>
      <w:r>
        <w:rPr>
          <w:rFonts w:eastAsia="Times New Roman"/>
          <w:color w:val="000000"/>
          <w:sz w:val="20"/>
          <w:szCs w:val="20"/>
        </w:rPr>
        <w:t>an twelve months) modifications to a borrower experiencing financial difficulty to improve long-term collectability of the loan and to avoid the need for repossession or foreclosure of collateral.</w:t>
      </w:r>
    </w:p>
    <w:p w:rsidR="00000000" w:rsidRDefault="00E92DBE">
      <w:pPr>
        <w:jc w:val="both"/>
        <w:divId w:val="53088671"/>
        <w:rPr>
          <w:rFonts w:eastAsia="Times New Roman"/>
        </w:rPr>
      </w:pPr>
      <w:r>
        <w:rPr>
          <w:rFonts w:eastAsia="Times New Roman"/>
          <w:color w:val="000000"/>
          <w:sz w:val="20"/>
          <w:szCs w:val="20"/>
        </w:rPr>
        <w:t>Table 29 presents our amortized cost of loans modified in T</w:t>
      </w:r>
      <w:r>
        <w:rPr>
          <w:rFonts w:eastAsia="Times New Roman"/>
          <w:color w:val="000000"/>
          <w:sz w:val="20"/>
          <w:szCs w:val="20"/>
        </w:rPr>
        <w:t>DRs as of March 31, 2021 and December 31, 2020, which excludes loan modifications that do not meet the definition of a TDR and loans that received relief under the guidance issued by the Federal Banking Agencies and contained in the CARES Act in response t</w:t>
      </w:r>
      <w:r>
        <w:rPr>
          <w:rFonts w:eastAsia="Times New Roman"/>
          <w:color w:val="000000"/>
          <w:sz w:val="20"/>
          <w:szCs w:val="20"/>
        </w:rPr>
        <w:t>o the COVID-19 pandemic.</w:t>
      </w:r>
    </w:p>
    <w:p w:rsidR="00000000" w:rsidRDefault="00E92DBE">
      <w:pPr>
        <w:divId w:val="163474499"/>
        <w:rPr>
          <w:rFonts w:eastAsia="Times New Roman"/>
        </w:rPr>
      </w:pPr>
      <w:r>
        <w:rPr>
          <w:rFonts w:eastAsia="Times New Roman"/>
          <w:b/>
          <w:bCs/>
          <w:color w:val="000000"/>
          <w:sz w:val="18"/>
          <w:szCs w:val="18"/>
        </w:rPr>
        <w:t>Table 29: Troubled Debt Restructurings</w:t>
      </w:r>
    </w:p>
    <w:tbl>
      <w:tblPr>
        <w:tblW w:w="4992" w:type="pct"/>
        <w:tblCellMar>
          <w:top w:w="15" w:type="dxa"/>
          <w:left w:w="15" w:type="dxa"/>
          <w:bottom w:w="15" w:type="dxa"/>
          <w:right w:w="15" w:type="dxa"/>
        </w:tblCellMar>
        <w:tblLook w:val="04A0" w:firstRow="1" w:lastRow="0" w:firstColumn="1" w:lastColumn="0" w:noHBand="0" w:noVBand="1"/>
      </w:tblPr>
      <w:tblGrid>
        <w:gridCol w:w="41"/>
        <w:gridCol w:w="4090"/>
        <w:gridCol w:w="39"/>
        <w:gridCol w:w="36"/>
        <w:gridCol w:w="36"/>
        <w:gridCol w:w="36"/>
        <w:gridCol w:w="111"/>
        <w:gridCol w:w="538"/>
        <w:gridCol w:w="37"/>
        <w:gridCol w:w="36"/>
        <w:gridCol w:w="36"/>
        <w:gridCol w:w="36"/>
        <w:gridCol w:w="94"/>
        <w:gridCol w:w="880"/>
        <w:gridCol w:w="200"/>
        <w:gridCol w:w="36"/>
        <w:gridCol w:w="36"/>
        <w:gridCol w:w="36"/>
        <w:gridCol w:w="111"/>
        <w:gridCol w:w="539"/>
        <w:gridCol w:w="37"/>
        <w:gridCol w:w="36"/>
        <w:gridCol w:w="36"/>
        <w:gridCol w:w="36"/>
        <w:gridCol w:w="94"/>
        <w:gridCol w:w="880"/>
        <w:gridCol w:w="170"/>
      </w:tblGrid>
      <w:tr w:rsidR="00000000">
        <w:trPr>
          <w:divId w:val="924151270"/>
        </w:trPr>
        <w:tc>
          <w:tcPr>
            <w:tcW w:w="50" w:type="pct"/>
            <w:vAlign w:val="center"/>
            <w:hideMark/>
          </w:tcPr>
          <w:p w:rsidR="00000000" w:rsidRDefault="00E92DBE">
            <w:pPr>
              <w:rPr>
                <w:rFonts w:eastAsia="Times New Roman"/>
              </w:rPr>
            </w:pPr>
          </w:p>
        </w:tc>
        <w:tc>
          <w:tcPr>
            <w:tcW w:w="269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924151270"/>
        </w:trPr>
        <w:tc>
          <w:tcPr>
            <w:tcW w:w="0" w:type="auto"/>
            <w:gridSpan w:val="3"/>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9"/>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92415127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Total Modifications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w:t>
            </w:r>
            <w:r>
              <w:rPr>
                <w:rFonts w:eastAsia="Times New Roman"/>
                <w:b/>
                <w:bCs/>
                <w:color w:val="000000"/>
                <w:sz w:val="16"/>
                <w:szCs w:val="16"/>
              </w:rPr>
              <w:t>of Total Modifications</w:t>
            </w:r>
          </w:p>
        </w:tc>
      </w:tr>
      <w:tr w:rsidR="00000000">
        <w:trPr>
          <w:divId w:val="92415127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924151270"/>
        </w:trPr>
        <w:tc>
          <w:tcPr>
            <w:tcW w:w="0" w:type="auto"/>
            <w:gridSpan w:val="3"/>
            <w:shd w:val="clear" w:color="auto" w:fill="FFFFFF"/>
            <w:tcMar>
              <w:top w:w="30" w:type="dxa"/>
              <w:left w:w="245" w:type="dxa"/>
              <w:bottom w:w="30" w:type="dxa"/>
              <w:right w:w="20" w:type="dxa"/>
            </w:tcMar>
            <w:vAlign w:val="bottom"/>
            <w:hideMark/>
          </w:tcPr>
          <w:p w:rsidR="00000000" w:rsidRDefault="00E92DBE">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924151270"/>
        </w:trPr>
        <w:tc>
          <w:tcPr>
            <w:tcW w:w="0" w:type="auto"/>
            <w:gridSpan w:val="3"/>
            <w:shd w:val="clear" w:color="auto" w:fill="CCEEFF"/>
            <w:tcMar>
              <w:top w:w="30" w:type="dxa"/>
              <w:left w:w="245" w:type="dxa"/>
              <w:bottom w:w="30" w:type="dxa"/>
              <w:right w:w="20" w:type="dxa"/>
            </w:tcMar>
            <w:vAlign w:val="bottom"/>
            <w:hideMark/>
          </w:tcPr>
          <w:p w:rsidR="00000000" w:rsidRDefault="00E92DBE">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b/>
                <w:bCs/>
                <w:color w:val="000000"/>
                <w:sz w:val="18"/>
                <w:szCs w:val="18"/>
              </w:rPr>
              <w:t>10.7</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924151270"/>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695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E92DBE">
            <w:pPr>
              <w:jc w:val="right"/>
              <w:rPr>
                <w:rFonts w:eastAsia="Times New Roman"/>
              </w:rPr>
            </w:pPr>
            <w:r>
              <w:rPr>
                <w:rFonts w:eastAsia="Times New Roman"/>
                <w:b/>
                <w:bCs/>
                <w:color w:val="000000"/>
                <w:sz w:val="18"/>
                <w:szCs w:val="18"/>
              </w:rPr>
              <w:t>34.7</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728 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92415127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924151270"/>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29.5 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924151270"/>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92415127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92415127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653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92415127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92415127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Status of TDRs: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924151270"/>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Performing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1,718 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82.4 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924151270"/>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Nonperforming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366 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92415127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bl>
    <w:p w:rsidR="00000000" w:rsidRDefault="00E92DBE">
      <w:pPr>
        <w:jc w:val="both"/>
        <w:divId w:val="1078668511"/>
        <w:rPr>
          <w:rFonts w:eastAsia="Times New Roman"/>
        </w:rPr>
      </w:pPr>
      <w:r>
        <w:rPr>
          <w:rFonts w:eastAsia="Times New Roman"/>
          <w:color w:val="000000"/>
          <w:sz w:val="20"/>
          <w:szCs w:val="20"/>
        </w:rPr>
        <w:t>In our Credit Card business, the majority of our credit card loans modified in TDRs involve reducing the interest rate on the account and placing the customer on a fixed payment plan not exceeding 60 months. The effective interest rate in effect imm</w:t>
      </w:r>
      <w:r>
        <w:rPr>
          <w:rFonts w:eastAsia="Times New Roman"/>
          <w:color w:val="000000"/>
          <w:sz w:val="20"/>
          <w:szCs w:val="20"/>
        </w:rPr>
        <w:t>ediately prior to the loan modification is used as the effective interest rate for purposes of measuring impairment using the present value of expected cash flows. If the customer does not comply with the modified payment terms, then the credit card loan a</w:t>
      </w:r>
      <w:r>
        <w:rPr>
          <w:rFonts w:eastAsia="Times New Roman"/>
          <w:color w:val="000000"/>
          <w:sz w:val="20"/>
          <w:szCs w:val="20"/>
        </w:rPr>
        <w:t>greement may revert to its original payment terms, generally resulting in any loan outstanding reflected in the appropriate delinquency category and charged off in accordance with our standard charge-off policy.</w:t>
      </w:r>
    </w:p>
    <w:p w:rsidR="00000000" w:rsidRDefault="00E92DBE">
      <w:pPr>
        <w:jc w:val="both"/>
        <w:divId w:val="1983192392"/>
        <w:rPr>
          <w:rFonts w:eastAsia="Times New Roman"/>
        </w:rPr>
      </w:pPr>
      <w:r>
        <w:rPr>
          <w:rFonts w:eastAsia="Times New Roman"/>
          <w:color w:val="000000"/>
          <w:sz w:val="20"/>
          <w:szCs w:val="20"/>
        </w:rPr>
        <w:t>In our Consumer Banking business, the majori</w:t>
      </w:r>
      <w:r>
        <w:rPr>
          <w:rFonts w:eastAsia="Times New Roman"/>
          <w:color w:val="000000"/>
          <w:sz w:val="20"/>
          <w:szCs w:val="20"/>
        </w:rPr>
        <w:t>ty of our loans modified in TDRs receive an extension, an interest rate reduction or principal reduction, or a combination of these concessions. In addition, TDRs also occur in connection with bankruptcy of the borrower. In certain bankruptcy discharges, t</w:t>
      </w:r>
      <w:r>
        <w:rPr>
          <w:rFonts w:eastAsia="Times New Roman"/>
          <w:color w:val="000000"/>
          <w:sz w:val="20"/>
          <w:szCs w:val="20"/>
        </w:rPr>
        <w:t>he loan is written down to the collateral value and the charged off amount is reported as principal reduction. Impairment is determined using the present value of expected cash flows or a collateral evaluation for certain auto loans where the collateral va</w:t>
      </w:r>
      <w:r>
        <w:rPr>
          <w:rFonts w:eastAsia="Times New Roman"/>
          <w:color w:val="000000"/>
          <w:sz w:val="20"/>
          <w:szCs w:val="20"/>
        </w:rPr>
        <w:t>lue is lower than the amortized cost.</w:t>
      </w:r>
    </w:p>
    <w:p w:rsidR="00000000" w:rsidRDefault="00E92DBE">
      <w:pPr>
        <w:jc w:val="both"/>
        <w:divId w:val="1424302257"/>
        <w:rPr>
          <w:rFonts w:eastAsia="Times New Roman"/>
        </w:rPr>
      </w:pPr>
      <w:r>
        <w:rPr>
          <w:rFonts w:eastAsia="Times New Roman"/>
          <w:color w:val="000000"/>
          <w:sz w:val="20"/>
          <w:szCs w:val="20"/>
        </w:rPr>
        <w:t>In our Commercial Banking business, the majority of loans modified in TDRs receive an extension, with a portion of these loans receiving an interest rate reduction or a gross balance reduction. The impairment on modifi</w:t>
      </w:r>
      <w:r>
        <w:rPr>
          <w:rFonts w:eastAsia="Times New Roman"/>
          <w:color w:val="000000"/>
          <w:sz w:val="20"/>
          <w:szCs w:val="20"/>
        </w:rPr>
        <w:t>ed commercial loans is generally determined based on the underlying collateral value.</w:t>
      </w:r>
    </w:p>
    <w:p w:rsidR="00000000" w:rsidRDefault="00E92DBE">
      <w:pPr>
        <w:jc w:val="both"/>
        <w:divId w:val="1181815923"/>
        <w:rPr>
          <w:rFonts w:eastAsia="Times New Roman"/>
        </w:rPr>
      </w:pPr>
      <w:r>
        <w:rPr>
          <w:rFonts w:eastAsia="Times New Roman"/>
          <w:color w:val="000000"/>
          <w:sz w:val="20"/>
          <w:szCs w:val="20"/>
        </w:rPr>
        <w:t>We provide additional information on modified loans accounted for as TDRs, including the performance of those loans subsequent to modification, in “Note 3—Loans.”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1658384"/>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21658384"/>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21658384"/>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45</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70" style="width:0;height:1.5pt" o:hralign="center" o:hrstd="t" o:hr="t" fillcolor="#a0a0a0" stroked="f"/>
        </w:pict>
      </w:r>
    </w:p>
    <w:p w:rsidR="00000000" w:rsidRDefault="00E92DBE">
      <w:pPr>
        <w:ind w:hanging="360"/>
        <w:jc w:val="both"/>
        <w:divId w:val="804391406"/>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1128355619"/>
        <w:rPr>
          <w:rFonts w:eastAsia="Times New Roman"/>
        </w:rPr>
      </w:pPr>
      <w:r>
        <w:rPr>
          <w:rFonts w:eastAsia="Times New Roman"/>
          <w:b/>
          <w:bCs/>
          <w:color w:val="000000"/>
          <w:sz w:val="20"/>
          <w:szCs w:val="20"/>
        </w:rPr>
        <w:t>Allowance for Credit Losses and Reserve for Unfunded Lending Commitments</w:t>
      </w:r>
    </w:p>
    <w:p w:rsidR="00000000" w:rsidRDefault="00E92DBE">
      <w:pPr>
        <w:jc w:val="both"/>
        <w:divId w:val="119569015"/>
        <w:rPr>
          <w:rFonts w:eastAsia="Times New Roman"/>
        </w:rPr>
      </w:pPr>
      <w:r>
        <w:rPr>
          <w:rFonts w:eastAsia="Times New Roman"/>
          <w:color w:val="000000"/>
          <w:sz w:val="20"/>
          <w:szCs w:val="20"/>
        </w:rPr>
        <w:t>Our allowance for credit losses represents management’s current estimat</w:t>
      </w:r>
      <w:r>
        <w:rPr>
          <w:rFonts w:eastAsia="Times New Roman"/>
          <w:color w:val="000000"/>
          <w:sz w:val="20"/>
          <w:szCs w:val="20"/>
        </w:rPr>
        <w:t>e of expected credit losses over the contractual terms of our loans held for investment as of each balance sheet date. Expected recoveries of amounts previously charged off or expected to be charged off are recognized within the allowance. We also estimate</w:t>
      </w:r>
      <w:r>
        <w:rPr>
          <w:rFonts w:eastAsia="Times New Roman"/>
          <w:color w:val="000000"/>
          <w:sz w:val="20"/>
          <w:szCs w:val="20"/>
        </w:rPr>
        <w:t xml:space="preserve"> expected credit losses related to unfunded lending commitments that are not unconditionally cancellable. The provision for losses on unfunded lending commitments is included in the provision for credit losses in our consolidated statements of income and t</w:t>
      </w:r>
      <w:r>
        <w:rPr>
          <w:rFonts w:eastAsia="Times New Roman"/>
          <w:color w:val="000000"/>
          <w:sz w:val="20"/>
          <w:szCs w:val="20"/>
        </w:rPr>
        <w:t>he related reserve for unfunded lending commitments is included in other liabilities on our consolidated balance sheets. We provide additional information on the methodologies and key assumptions used in determining our allowance for credit losses in “Note</w:t>
      </w:r>
      <w:r>
        <w:rPr>
          <w:rFonts w:eastAsia="Times New Roman"/>
          <w:color w:val="000000"/>
          <w:sz w:val="20"/>
          <w:szCs w:val="20"/>
        </w:rPr>
        <w:t xml:space="preserve"> 1—Summary of Significant Accounting Policies” in our 2020 Form 10-K. </w:t>
      </w:r>
    </w:p>
    <w:p w:rsidR="00000000" w:rsidRDefault="00E92DBE">
      <w:pPr>
        <w:jc w:val="both"/>
        <w:divId w:val="1619989653"/>
        <w:rPr>
          <w:rFonts w:eastAsia="Times New Roman"/>
        </w:rPr>
      </w:pPr>
      <w:r>
        <w:rPr>
          <w:rFonts w:eastAsia="Times New Roman"/>
          <w:color w:val="000000"/>
          <w:sz w:val="20"/>
          <w:szCs w:val="20"/>
        </w:rPr>
        <w:t>Table 30 presents changes in our allowance for credit losses and reserve for unfunded lending commitments for the first quarters of 2021 and 2020, and details by portfolio segment for t</w:t>
      </w:r>
      <w:r>
        <w:rPr>
          <w:rFonts w:eastAsia="Times New Roman"/>
          <w:color w:val="000000"/>
          <w:sz w:val="20"/>
          <w:szCs w:val="20"/>
        </w:rPr>
        <w:t xml:space="preserve">he provision for credit losses, charge-offs and recoveries. </w:t>
      </w:r>
    </w:p>
    <w:p w:rsidR="00000000" w:rsidRDefault="00E92DBE">
      <w:pPr>
        <w:divId w:val="834610206"/>
        <w:rPr>
          <w:rFonts w:eastAsia="Times New Roman"/>
        </w:rPr>
      </w:pPr>
      <w:r>
        <w:rPr>
          <w:rFonts w:eastAsia="Times New Roman"/>
          <w:b/>
          <w:bCs/>
          <w:color w:val="000000"/>
          <w:sz w:val="18"/>
          <w:szCs w:val="18"/>
        </w:rPr>
        <w:t>Table 30: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2041"/>
        <w:gridCol w:w="39"/>
        <w:gridCol w:w="36"/>
        <w:gridCol w:w="36"/>
        <w:gridCol w:w="36"/>
        <w:gridCol w:w="100"/>
        <w:gridCol w:w="480"/>
        <w:gridCol w:w="36"/>
        <w:gridCol w:w="36"/>
        <w:gridCol w:w="36"/>
        <w:gridCol w:w="36"/>
        <w:gridCol w:w="101"/>
        <w:gridCol w:w="674"/>
        <w:gridCol w:w="36"/>
        <w:gridCol w:w="36"/>
        <w:gridCol w:w="36"/>
        <w:gridCol w:w="36"/>
        <w:gridCol w:w="100"/>
        <w:gridCol w:w="48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30"/>
        <w:gridCol w:w="36"/>
        <w:gridCol w:w="36"/>
        <w:gridCol w:w="36"/>
        <w:gridCol w:w="36"/>
        <w:gridCol w:w="36"/>
        <w:gridCol w:w="36"/>
        <w:gridCol w:w="36"/>
        <w:gridCol w:w="36"/>
        <w:gridCol w:w="100"/>
        <w:gridCol w:w="480"/>
        <w:gridCol w:w="36"/>
      </w:tblGrid>
      <w:tr w:rsidR="00000000">
        <w:trPr>
          <w:divId w:val="1905948203"/>
        </w:trPr>
        <w:tc>
          <w:tcPr>
            <w:tcW w:w="50" w:type="pct"/>
            <w:vAlign w:val="center"/>
            <w:hideMark/>
          </w:tcPr>
          <w:p w:rsidR="00000000" w:rsidRDefault="00E92DBE">
            <w:pPr>
              <w:rPr>
                <w:rFonts w:eastAsia="Times New Roman"/>
              </w:rPr>
            </w:pPr>
          </w:p>
        </w:tc>
        <w:tc>
          <w:tcPr>
            <w:tcW w:w="191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6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1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5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905948203"/>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3"/>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3"/>
                <w:szCs w:val="13"/>
              </w:rPr>
              <w:t>Three Months Ended March 31, 2021</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905948203"/>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905948203"/>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Total</w:t>
            </w:r>
          </w:p>
        </w:tc>
      </w:tr>
      <w:tr w:rsidR="00000000">
        <w:trPr>
          <w:divId w:val="1905948203"/>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E92DBE">
        <w:trPr>
          <w:divId w:val="1905948203"/>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10,650 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541 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11,191 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2,615 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2,715 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1,658 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15,564 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905948203"/>
        </w:trPr>
        <w:tc>
          <w:tcPr>
            <w:tcW w:w="0" w:type="auto"/>
            <w:gridSpan w:val="3"/>
            <w:shd w:val="clear" w:color="auto" w:fill="CCEEFF"/>
            <w:tcMar>
              <w:top w:w="30" w:type="dxa"/>
              <w:left w:w="20" w:type="dxa"/>
              <w:bottom w:w="30" w:type="dxa"/>
              <w:right w:w="20" w:type="dxa"/>
            </w:tcMar>
            <w:vAlign w:val="bottom"/>
            <w:hideMark/>
          </w:tcPr>
          <w:p w:rsidR="00000000" w:rsidRDefault="00E92DBE">
            <w:pPr>
              <w:divId w:val="376904409"/>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(904)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(89)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(993)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(324)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(342)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(1,354)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905948203"/>
        </w:trPr>
        <w:tc>
          <w:tcPr>
            <w:tcW w:w="0" w:type="auto"/>
            <w:gridSpan w:val="3"/>
            <w:shd w:val="clear" w:color="auto" w:fill="FFFFFF"/>
            <w:tcMar>
              <w:top w:w="30" w:type="dxa"/>
              <w:left w:w="20" w:type="dxa"/>
              <w:bottom w:w="30" w:type="dxa"/>
              <w:right w:w="20" w:type="dxa"/>
            </w:tcMar>
            <w:vAlign w:val="bottom"/>
            <w:hideMark/>
          </w:tcPr>
          <w:p w:rsidR="00000000" w:rsidRDefault="00E92DBE">
            <w:pPr>
              <w:divId w:val="85468096"/>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317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360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246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251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905948203"/>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(587)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905948203"/>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(491)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(492)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(132)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(126)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(195)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(813)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905948203"/>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(1,078)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(1,125)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(210)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(211)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(1,553)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905948203"/>
        </w:trPr>
        <w:tc>
          <w:tcPr>
            <w:tcW w:w="0" w:type="auto"/>
            <w:gridSpan w:val="3"/>
            <w:shd w:val="clear" w:color="auto" w:fill="FFFFFF"/>
            <w:tcMar>
              <w:top w:w="30" w:type="dxa"/>
              <w:left w:w="20" w:type="dxa"/>
              <w:bottom w:w="30" w:type="dxa"/>
              <w:right w:w="20" w:type="dxa"/>
            </w:tcMar>
            <w:vAlign w:val="bottom"/>
            <w:hideMark/>
          </w:tcPr>
          <w:p w:rsidR="00000000" w:rsidRDefault="00E92DBE">
            <w:pPr>
              <w:divId w:val="561909563"/>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905948203"/>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9,572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500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10,072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2,405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93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2,498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1,447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14,017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05948203"/>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E92DBE">
        <w:trPr>
          <w:divId w:val="1905948203"/>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905948203"/>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05948203"/>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E92DBE">
        <w:trPr>
          <w:divId w:val="1905948203"/>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187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187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905948203"/>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Combined allowance and reserve as of March 31, 2021</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9,572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5"/>
                <w:szCs w:val="15"/>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5"/>
                <w:szCs w:val="15"/>
              </w:rPr>
              <w:t>10,072</w:t>
            </w:r>
            <w:r>
              <w:rPr>
                <w:rFonts w:eastAsia="Times New Roman"/>
                <w:color w:val="000000"/>
                <w:sz w:val="15"/>
                <w:szCs w:val="15"/>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2,405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93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2,498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1,634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14,204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05948203"/>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0594820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46</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71" style="width:0;height:1.5pt" o:hralign="center" o:hrstd="t" o:hr="t" fillcolor="#a0a0a0" stroked="f"/>
        </w:pict>
      </w:r>
    </w:p>
    <w:p w:rsidR="00000000" w:rsidRDefault="00E92DBE">
      <w:pPr>
        <w:ind w:hanging="360"/>
        <w:jc w:val="both"/>
        <w:divId w:val="2009212675"/>
        <w:rPr>
          <w:rFonts w:eastAsia="Times New Roman"/>
        </w:rPr>
      </w:pPr>
      <w:hyperlink w:anchor="ic1109d5aa548447c8224139b1ab22bde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2064"/>
        <w:gridCol w:w="38"/>
        <w:gridCol w:w="36"/>
        <w:gridCol w:w="36"/>
        <w:gridCol w:w="36"/>
        <w:gridCol w:w="101"/>
        <w:gridCol w:w="458"/>
        <w:gridCol w:w="36"/>
        <w:gridCol w:w="36"/>
        <w:gridCol w:w="36"/>
        <w:gridCol w:w="36"/>
        <w:gridCol w:w="101"/>
        <w:gridCol w:w="674"/>
        <w:gridCol w:w="36"/>
        <w:gridCol w:w="36"/>
        <w:gridCol w:w="36"/>
        <w:gridCol w:w="36"/>
        <w:gridCol w:w="100"/>
        <w:gridCol w:w="48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30"/>
        <w:gridCol w:w="36"/>
        <w:gridCol w:w="36"/>
        <w:gridCol w:w="36"/>
        <w:gridCol w:w="36"/>
        <w:gridCol w:w="36"/>
        <w:gridCol w:w="36"/>
        <w:gridCol w:w="36"/>
        <w:gridCol w:w="36"/>
        <w:gridCol w:w="100"/>
        <w:gridCol w:w="480"/>
        <w:gridCol w:w="36"/>
      </w:tblGrid>
      <w:tr w:rsidR="00000000">
        <w:trPr>
          <w:divId w:val="1349867627"/>
        </w:trPr>
        <w:tc>
          <w:tcPr>
            <w:tcW w:w="50" w:type="pct"/>
            <w:vAlign w:val="center"/>
            <w:hideMark/>
          </w:tcPr>
          <w:p w:rsidR="00000000" w:rsidRDefault="00E92DBE">
            <w:pPr>
              <w:ind w:hanging="360"/>
              <w:jc w:val="both"/>
              <w:rPr>
                <w:rFonts w:eastAsia="Times New Roman"/>
              </w:rPr>
            </w:pPr>
          </w:p>
        </w:tc>
        <w:tc>
          <w:tcPr>
            <w:tcW w:w="190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6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1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5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349867627"/>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Three Months Ended March 31, 2020</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349867627"/>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49867627"/>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3"/>
                <w:szCs w:val="13"/>
              </w:rPr>
              <w:t>Total</w:t>
            </w:r>
          </w:p>
        </w:tc>
      </w:tr>
      <w:tr w:rsidR="00000000">
        <w:trPr>
          <w:divId w:val="134986762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E92DBE">
        <w:trPr>
          <w:divId w:val="1349867627"/>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4,997 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398 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5,395 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984 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1,038 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775 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7,208 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2,237 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2,241 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477 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502 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102 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2,845 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FFFFFF"/>
            <w:tcMar>
              <w:top w:w="30" w:type="dxa"/>
              <w:left w:w="20" w:type="dxa"/>
              <w:bottom w:w="30" w:type="dxa"/>
              <w:right w:w="20" w:type="dxa"/>
            </w:tcMar>
            <w:vAlign w:val="bottom"/>
            <w:hideMark/>
          </w:tcPr>
          <w:p w:rsidR="00000000" w:rsidRDefault="00E92DBE">
            <w:pPr>
              <w:divId w:val="1419711705"/>
              <w:rPr>
                <w:rFonts w:eastAsia="Times New Roman"/>
              </w:rPr>
            </w:pPr>
            <w:r>
              <w:rPr>
                <w:rFonts w:eastAsia="Times New Roman"/>
                <w:color w:val="000000"/>
                <w:sz w:val="16"/>
                <w:szCs w:val="16"/>
              </w:rPr>
              <w:t>Finance charge and fee reserve reclassificatio</w:t>
            </w:r>
            <w:r>
              <w:rPr>
                <w:rFonts w:eastAsia="Times New Roman"/>
                <w:color w:val="000000"/>
                <w:sz w:val="16"/>
                <w:szCs w:val="16"/>
              </w:rPr>
              <w:t>n</w:t>
            </w:r>
            <w:r>
              <w:rPr>
                <w:rFonts w:eastAsia="Times New Roman"/>
                <w:color w:val="000000"/>
                <w:sz w:val="10"/>
                <w:szCs w:val="10"/>
              </w:rPr>
              <w:t>(3</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439 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462 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462 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Balance as of January 1, 2020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7,673 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8,098 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1,461 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1,540 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877 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10,515 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FFFFFF"/>
            <w:tcMar>
              <w:top w:w="30" w:type="dxa"/>
              <w:left w:w="200" w:type="dxa"/>
              <w:bottom w:w="30" w:type="dxa"/>
              <w:right w:w="20" w:type="dxa"/>
            </w:tcMar>
            <w:vAlign w:val="bottom"/>
            <w:hideMark/>
          </w:tcPr>
          <w:p w:rsidR="00000000" w:rsidRDefault="00E92DBE">
            <w:pPr>
              <w:rPr>
                <w:rFonts w:eastAsia="Times New Roman"/>
              </w:rPr>
            </w:pPr>
            <w:r>
              <w:rPr>
                <w:rFonts w:eastAsia="Times New Roman"/>
                <w:color w:val="000000"/>
                <w:sz w:val="16"/>
                <w:szCs w:val="16"/>
              </w:rPr>
              <w:t>Charge-offs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(1,715)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(1,849)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(476)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(496)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(112)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(2,457)</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CCEEFF"/>
            <w:tcMar>
              <w:top w:w="30" w:type="dxa"/>
              <w:left w:w="20" w:type="dxa"/>
              <w:bottom w:w="30" w:type="dxa"/>
              <w:right w:w="20" w:type="dxa"/>
            </w:tcMar>
            <w:vAlign w:val="bottom"/>
            <w:hideMark/>
          </w:tcPr>
          <w:p w:rsidR="00000000" w:rsidRDefault="00E92DBE">
            <w:pPr>
              <w:divId w:val="1177771164"/>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384 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413 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246 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250 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666 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(105)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(1,436)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(230)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(246)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(109)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(1,791)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3,464 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238 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3,702 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827 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860 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805 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5,367 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Allowance build (release) for credit losses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2,133 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2,266 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3,576 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CCEEFF"/>
            <w:tcMar>
              <w:top w:w="30" w:type="dxa"/>
              <w:left w:w="20" w:type="dxa"/>
              <w:bottom w:w="30" w:type="dxa"/>
              <w:right w:w="20" w:type="dxa"/>
            </w:tcMar>
            <w:vAlign w:val="bottom"/>
            <w:hideMark/>
          </w:tcPr>
          <w:p w:rsidR="00000000" w:rsidRDefault="00E92DBE">
            <w:pPr>
              <w:divId w:val="1955867929"/>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Balance as of March 31, 2020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9,806 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10,346 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2,058 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2,154 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1,573 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14,073 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49867627"/>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Reserve for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E92DBE">
        <w:trPr>
          <w:divId w:val="1349867627"/>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Balance as of January 1, 2020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349867627"/>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E92DBE">
        <w:trPr>
          <w:divId w:val="1349867627"/>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Balance as of March 31, 2020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223 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223 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349867627"/>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Combined allowance and reserve as of March 31, 2020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9,806 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10,346 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2,058 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2,154 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1,796 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14,296 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737283645"/>
        <w:rPr>
          <w:rFonts w:eastAsia="Times New Roman"/>
        </w:rPr>
      </w:pPr>
      <w:r>
        <w:rPr>
          <w:rFonts w:eastAsia="Times New Roman"/>
          <w:color w:val="000000"/>
          <w:sz w:val="20"/>
          <w:szCs w:val="20"/>
        </w:rPr>
        <w:t>__________</w:t>
      </w:r>
    </w:p>
    <w:p w:rsidR="00000000" w:rsidRDefault="00E92DBE">
      <w:pPr>
        <w:ind w:hanging="360"/>
        <w:jc w:val="both"/>
        <w:divId w:val="92950789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collection strategies, which are based on c</w:t>
      </w:r>
      <w:r>
        <w:rPr>
          <w:rFonts w:eastAsia="Times New Roman"/>
          <w:color w:val="000000"/>
          <w:sz w:val="16"/>
          <w:szCs w:val="16"/>
        </w:rPr>
        <w:t>ustomer behavior and risk profile and include direct customer communications, repossession of collateral, the periodic sale of charged off loans as well as additional strategies, such as litigation.</w:t>
      </w:r>
    </w:p>
    <w:p w:rsidR="00000000" w:rsidRDefault="00E92DBE">
      <w:pPr>
        <w:ind w:hanging="360"/>
        <w:jc w:val="both"/>
        <w:divId w:val="163054582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foreign currency translation adjustments.</w:t>
      </w:r>
    </w:p>
    <w:p w:rsidR="00000000" w:rsidRDefault="00E92DBE">
      <w:pPr>
        <w:ind w:hanging="360"/>
        <w:jc w:val="both"/>
        <w:divId w:val="5409044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Concurrent with our adoption of the CECL standard in the first quarter of 2020, we reclassified our finance charge and fee reserve to our allowance for credit losses, with a corresponding increase to </w:t>
      </w:r>
      <w:r>
        <w:rPr>
          <w:rFonts w:eastAsia="Times New Roman"/>
          <w:color w:val="000000"/>
          <w:sz w:val="16"/>
          <w:szCs w:val="16"/>
        </w:rPr>
        <w:t>credit card loans held for investment.</w:t>
      </w:r>
    </w:p>
    <w:p w:rsidR="00000000" w:rsidRDefault="00E92DBE">
      <w:pPr>
        <w:ind w:hanging="360"/>
        <w:jc w:val="both"/>
        <w:divId w:val="833302034"/>
        <w:rPr>
          <w:rFonts w:eastAsia="Times New Roman"/>
        </w:rPr>
      </w:pPr>
    </w:p>
    <w:p w:rsidR="00000000" w:rsidRDefault="00E92DBE">
      <w:pPr>
        <w:jc w:val="both"/>
        <w:divId w:val="1876305644"/>
        <w:rPr>
          <w:rFonts w:eastAsia="Times New Roman"/>
        </w:rPr>
      </w:pPr>
      <w:r>
        <w:rPr>
          <w:rFonts w:eastAsia="Times New Roman"/>
          <w:color w:val="000000"/>
          <w:sz w:val="20"/>
          <w:szCs w:val="20"/>
        </w:rPr>
        <w:t>Allowance coverage ratios are calculated based on the allowance for credit losses for each specified portfolio segment divided by period-end loans held for investment within the specified loan category, as defined b</w:t>
      </w:r>
      <w:r>
        <w:rPr>
          <w:rFonts w:eastAsia="Times New Roman"/>
          <w:color w:val="000000"/>
          <w:sz w:val="20"/>
          <w:szCs w:val="20"/>
        </w:rPr>
        <w:t xml:space="preserve">elow. Table 31 presents the allowance coverage ratios as of March 31, 2021 and December 31, 2020. </w:t>
      </w:r>
    </w:p>
    <w:p w:rsidR="00000000" w:rsidRDefault="00E92DBE">
      <w:pPr>
        <w:divId w:val="840511291"/>
        <w:rPr>
          <w:rFonts w:eastAsia="Times New Roman"/>
        </w:rPr>
      </w:pPr>
      <w:r>
        <w:rPr>
          <w:rFonts w:eastAsia="Times New Roman"/>
          <w:b/>
          <w:bCs/>
          <w:color w:val="000000"/>
          <w:sz w:val="18"/>
          <w:szCs w:val="18"/>
        </w:rPr>
        <w:t>Table 31: Allowance Coverage Ratios for Specified Loan Category</w:t>
      </w:r>
    </w:p>
    <w:tbl>
      <w:tblPr>
        <w:tblW w:w="4985" w:type="pct"/>
        <w:tblCellMar>
          <w:top w:w="15" w:type="dxa"/>
          <w:left w:w="15" w:type="dxa"/>
          <w:bottom w:w="15" w:type="dxa"/>
          <w:right w:w="15" w:type="dxa"/>
        </w:tblCellMar>
        <w:tblLook w:val="04A0" w:firstRow="1" w:lastRow="0" w:firstColumn="1" w:lastColumn="0" w:noHBand="0" w:noVBand="1"/>
      </w:tblPr>
      <w:tblGrid>
        <w:gridCol w:w="39"/>
        <w:gridCol w:w="2540"/>
        <w:gridCol w:w="38"/>
        <w:gridCol w:w="36"/>
        <w:gridCol w:w="36"/>
        <w:gridCol w:w="36"/>
        <w:gridCol w:w="111"/>
        <w:gridCol w:w="658"/>
        <w:gridCol w:w="36"/>
        <w:gridCol w:w="36"/>
        <w:gridCol w:w="36"/>
        <w:gridCol w:w="36"/>
        <w:gridCol w:w="111"/>
        <w:gridCol w:w="627"/>
        <w:gridCol w:w="36"/>
        <w:gridCol w:w="36"/>
        <w:gridCol w:w="36"/>
        <w:gridCol w:w="36"/>
        <w:gridCol w:w="86"/>
        <w:gridCol w:w="658"/>
        <w:gridCol w:w="200"/>
        <w:gridCol w:w="36"/>
        <w:gridCol w:w="36"/>
        <w:gridCol w:w="36"/>
        <w:gridCol w:w="111"/>
        <w:gridCol w:w="658"/>
        <w:gridCol w:w="36"/>
        <w:gridCol w:w="36"/>
        <w:gridCol w:w="36"/>
        <w:gridCol w:w="36"/>
        <w:gridCol w:w="111"/>
        <w:gridCol w:w="627"/>
        <w:gridCol w:w="36"/>
        <w:gridCol w:w="36"/>
        <w:gridCol w:w="36"/>
        <w:gridCol w:w="36"/>
        <w:gridCol w:w="86"/>
        <w:gridCol w:w="658"/>
        <w:gridCol w:w="170"/>
      </w:tblGrid>
      <w:tr w:rsidR="00000000">
        <w:trPr>
          <w:divId w:val="1947347777"/>
        </w:trPr>
        <w:tc>
          <w:tcPr>
            <w:tcW w:w="50" w:type="pct"/>
            <w:vAlign w:val="center"/>
            <w:hideMark/>
          </w:tcPr>
          <w:p w:rsidR="00000000" w:rsidRDefault="00E92DBE">
            <w:pPr>
              <w:rPr>
                <w:rFonts w:eastAsia="Times New Roman"/>
              </w:rPr>
            </w:pPr>
          </w:p>
        </w:tc>
        <w:tc>
          <w:tcPr>
            <w:tcW w:w="208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8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947347777"/>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1947347777"/>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Allowance Coverage Ratio</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Allowance Coverage Ratio</w:t>
            </w:r>
          </w:p>
        </w:tc>
      </w:tr>
      <w:tr w:rsidR="00000000">
        <w:trPr>
          <w:divId w:val="19473477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10,072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447.79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11,191 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426.80 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r>
      <w:tr w:rsidR="00000000">
        <w:trPr>
          <w:divId w:val="1947347777"/>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109.42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3,443 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78.85 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47347777"/>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212.08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1,658 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254.97 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47347777"/>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14,017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243,131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15,564 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251,624 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6.19 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33697879"/>
        <w:rPr>
          <w:rFonts w:eastAsia="Times New Roman"/>
        </w:rPr>
      </w:pPr>
      <w:r>
        <w:rPr>
          <w:rFonts w:eastAsia="Times New Roman"/>
          <w:color w:val="000000"/>
          <w:sz w:val="20"/>
          <w:szCs w:val="20"/>
        </w:rPr>
        <w:t>__________</w:t>
      </w:r>
    </w:p>
    <w:p w:rsidR="00000000" w:rsidRDefault="00E92DBE">
      <w:pPr>
        <w:ind w:hanging="360"/>
        <w:jc w:val="both"/>
        <w:divId w:val="36078186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Represents period-end 30+ day delinquent loans for our credit card and consumer banking loan portfolios, nonperforming loans for our commercial </w:t>
      </w:r>
      <w:r>
        <w:rPr>
          <w:rFonts w:eastAsia="Times New Roman"/>
          <w:color w:val="000000"/>
          <w:sz w:val="16"/>
          <w:szCs w:val="16"/>
          <w:shd w:val="clear" w:color="auto" w:fill="FFFFFF"/>
        </w:rPr>
        <w:t>banking loan portfolio and total loans h</w:t>
      </w:r>
      <w:r>
        <w:rPr>
          <w:rFonts w:eastAsia="Times New Roman"/>
          <w:color w:val="000000"/>
          <w:sz w:val="16"/>
          <w:szCs w:val="16"/>
          <w:shd w:val="clear" w:color="auto" w:fill="FFFFFF"/>
        </w:rPr>
        <w:t>eld for investment for the total ratio.</w:t>
      </w:r>
    </w:p>
    <w:p w:rsidR="00000000" w:rsidRDefault="00E92DBE">
      <w:pPr>
        <w:jc w:val="both"/>
        <w:divId w:val="1850557424"/>
        <w:rPr>
          <w:rFonts w:eastAsia="Times New Roman"/>
        </w:rPr>
      </w:pPr>
      <w:r>
        <w:rPr>
          <w:rFonts w:eastAsia="Times New Roman"/>
          <w:color w:val="000000"/>
          <w:sz w:val="20"/>
          <w:szCs w:val="20"/>
          <w:shd w:val="clear" w:color="auto" w:fill="FFFFFF"/>
        </w:rPr>
        <w:t xml:space="preserve">Our allowance for credit </w:t>
      </w:r>
      <w:r>
        <w:rPr>
          <w:rFonts w:eastAsia="Times New Roman"/>
          <w:color w:val="000000"/>
          <w:sz w:val="20"/>
          <w:szCs w:val="20"/>
        </w:rPr>
        <w:t>losses decreased by $1.5 billion to $14.0 billion, and our allowance coverage ratio decreased by 42 basis points to 5.77% as of March 31, 2021</w:t>
      </w:r>
      <w:r>
        <w:rPr>
          <w:rFonts w:eastAsia="Times New Roman"/>
          <w:color w:val="000000"/>
          <w:sz w:val="20"/>
          <w:szCs w:val="20"/>
          <w:shd w:val="clear" w:color="auto" w:fill="FFFFFF"/>
        </w:rPr>
        <w:t xml:space="preserve"> fro</w:t>
      </w:r>
      <w:r>
        <w:rPr>
          <w:rFonts w:eastAsia="Times New Roman"/>
          <w:color w:val="000000"/>
          <w:sz w:val="20"/>
          <w:szCs w:val="20"/>
        </w:rPr>
        <w:t xml:space="preserve">m December 31, 2020, driven by strong credit </w:t>
      </w:r>
      <w:r>
        <w:rPr>
          <w:rFonts w:eastAsia="Times New Roman"/>
          <w:color w:val="000000"/>
          <w:sz w:val="20"/>
          <w:szCs w:val="20"/>
        </w:rPr>
        <w:t>performance and an improved economic outlook.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2968409"/>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32968409"/>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32968409"/>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47</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72" style="width:0;height:1.5pt" o:hralign="center" o:hrstd="t" o:hr="t" fillcolor="#a0a0a0" stroked="f"/>
        </w:pict>
      </w:r>
    </w:p>
    <w:p w:rsidR="00000000" w:rsidRDefault="00E92DBE">
      <w:pPr>
        <w:ind w:hanging="360"/>
        <w:jc w:val="both"/>
        <w:divId w:val="1252199808"/>
        <w:rPr>
          <w:rFonts w:eastAsia="Times New Roman"/>
        </w:rPr>
      </w:pPr>
      <w:hyperlink w:anchor="ic1109d5aa548447c8224139b1ab22bde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411127775"/>
        </w:trPr>
        <w:tc>
          <w:tcPr>
            <w:tcW w:w="50" w:type="pct"/>
            <w:vAlign w:val="center"/>
            <w:hideMark/>
          </w:tcPr>
          <w:p w:rsidR="00000000" w:rsidRDefault="00E92DBE">
            <w:pPr>
              <w:ind w:hanging="360"/>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41112777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LIQUIDITY RISK PROFILE</w:t>
            </w:r>
          </w:p>
        </w:tc>
      </w:tr>
    </w:tbl>
    <w:p w:rsidR="00000000" w:rsidRDefault="00E92DBE">
      <w:pPr>
        <w:jc w:val="both"/>
        <w:divId w:val="959847776"/>
        <w:rPr>
          <w:rFonts w:eastAsia="Times New Roman"/>
        </w:rPr>
      </w:pPr>
      <w:r>
        <w:rPr>
          <w:rFonts w:eastAsia="Times New Roman"/>
          <w:color w:val="000000"/>
          <w:sz w:val="20"/>
          <w:szCs w:val="20"/>
        </w:rPr>
        <w:t>We have established liquidity practices that are intended to ensure that we have sufficient asset-based liquidity to cover our funding requirements and maintain adequate reserves to withstand the potential impact of deposit attrition or diminished liquidit</w:t>
      </w:r>
      <w:r>
        <w:rPr>
          <w:rFonts w:eastAsia="Times New Roman"/>
          <w:color w:val="000000"/>
          <w:sz w:val="20"/>
          <w:szCs w:val="20"/>
        </w:rPr>
        <w:t xml:space="preserve">y in the funding markets. In addition to our cash and cash equivalents, we maintain reserves in the form of investment securities and certain loans that are either readily-marketable or pledgeable. </w:t>
      </w:r>
    </w:p>
    <w:p w:rsidR="00000000" w:rsidRDefault="00E92DBE">
      <w:pPr>
        <w:jc w:val="both"/>
        <w:divId w:val="1770538722"/>
        <w:rPr>
          <w:rFonts w:eastAsia="Times New Roman"/>
        </w:rPr>
      </w:pPr>
      <w:r>
        <w:rPr>
          <w:rFonts w:eastAsia="Times New Roman"/>
          <w:color w:val="000000"/>
          <w:sz w:val="20"/>
          <w:szCs w:val="20"/>
        </w:rPr>
        <w:t xml:space="preserve">Table 32 below presents the composition of our liquidity </w:t>
      </w:r>
      <w:r>
        <w:rPr>
          <w:rFonts w:eastAsia="Times New Roman"/>
          <w:color w:val="000000"/>
          <w:sz w:val="20"/>
          <w:szCs w:val="20"/>
        </w:rPr>
        <w:t>reserves as of March 31, 2021 and December 31, 2020.</w:t>
      </w:r>
    </w:p>
    <w:p w:rsidR="00000000" w:rsidRDefault="00E92DBE">
      <w:pPr>
        <w:divId w:val="2000038954"/>
        <w:rPr>
          <w:rFonts w:eastAsia="Times New Roman"/>
        </w:rPr>
      </w:pPr>
      <w:r>
        <w:rPr>
          <w:rFonts w:eastAsia="Times New Roman"/>
          <w:b/>
          <w:bCs/>
          <w:color w:val="000000"/>
          <w:sz w:val="18"/>
          <w:szCs w:val="18"/>
        </w:rPr>
        <w:t>Table 32: Liquidity Reserves</w:t>
      </w:r>
    </w:p>
    <w:tbl>
      <w:tblPr>
        <w:tblW w:w="5000" w:type="pct"/>
        <w:tblCellMar>
          <w:top w:w="15" w:type="dxa"/>
          <w:left w:w="15" w:type="dxa"/>
          <w:bottom w:w="15" w:type="dxa"/>
          <w:right w:w="15" w:type="dxa"/>
        </w:tblCellMar>
        <w:tblLook w:val="04A0" w:firstRow="1" w:lastRow="0" w:firstColumn="1" w:lastColumn="0" w:noHBand="0" w:noVBand="1"/>
      </w:tblPr>
      <w:tblGrid>
        <w:gridCol w:w="42"/>
        <w:gridCol w:w="5557"/>
        <w:gridCol w:w="37"/>
        <w:gridCol w:w="36"/>
        <w:gridCol w:w="36"/>
        <w:gridCol w:w="36"/>
        <w:gridCol w:w="110"/>
        <w:gridCol w:w="1081"/>
        <w:gridCol w:w="36"/>
        <w:gridCol w:w="36"/>
        <w:gridCol w:w="36"/>
        <w:gridCol w:w="36"/>
        <w:gridCol w:w="110"/>
        <w:gridCol w:w="1081"/>
        <w:gridCol w:w="36"/>
      </w:tblGrid>
      <w:tr w:rsidR="00000000">
        <w:trPr>
          <w:divId w:val="1928882823"/>
        </w:trPr>
        <w:tc>
          <w:tcPr>
            <w:tcW w:w="50" w:type="pct"/>
            <w:vAlign w:val="center"/>
            <w:hideMark/>
          </w:tcPr>
          <w:p w:rsidR="00000000" w:rsidRDefault="00E92DBE">
            <w:pPr>
              <w:rPr>
                <w:rFonts w:eastAsia="Times New Roman"/>
              </w:rPr>
            </w:pPr>
          </w:p>
        </w:tc>
        <w:tc>
          <w:tcPr>
            <w:tcW w:w="33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9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9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928882823"/>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192888282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50,495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40,509 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28882823"/>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28882823"/>
        </w:trPr>
        <w:tc>
          <w:tcPr>
            <w:tcW w:w="0" w:type="auto"/>
            <w:gridSpan w:val="3"/>
            <w:shd w:val="clear" w:color="auto" w:fill="FFFFFF"/>
            <w:tcMar>
              <w:top w:w="30" w:type="dxa"/>
              <w:left w:w="20" w:type="dxa"/>
              <w:bottom w:w="30" w:type="dxa"/>
              <w:right w:w="20" w:type="dxa"/>
            </w:tcMar>
            <w:vAlign w:val="center"/>
            <w:hideMark/>
          </w:tcPr>
          <w:p w:rsidR="00000000" w:rsidRDefault="00E92DBE">
            <w:pPr>
              <w:jc w:val="both"/>
              <w:rPr>
                <w:rFonts w:eastAsia="Times New Roman"/>
              </w:rPr>
            </w:pPr>
            <w:r>
              <w:rPr>
                <w:rFonts w:eastAsia="Times New Roman"/>
                <w:color w:val="000000"/>
                <w:sz w:val="18"/>
                <w:szCs w:val="18"/>
              </w:rPr>
              <w:t>Investment securities available for sale, at fair value</w:t>
            </w:r>
          </w:p>
        </w:tc>
        <w:tc>
          <w:tcPr>
            <w:tcW w:w="0" w:type="auto"/>
            <w:gridSpan w:val="3"/>
            <w:shd w:val="clear" w:color="auto" w:fill="FFFFFF"/>
            <w:tcMar>
              <w:top w:w="0" w:type="dxa"/>
              <w:left w:w="20" w:type="dxa"/>
              <w:bottom w:w="0" w:type="dxa"/>
              <w:right w:w="20" w:type="dxa"/>
            </w:tcMar>
            <w:vAlign w:val="center"/>
            <w:hideMark/>
          </w:tcPr>
          <w:p w:rsidR="00000000" w:rsidRDefault="00E92DBE">
            <w:pPr>
              <w:jc w:val="both"/>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99,165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100,445 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28882823"/>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2888282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28882823"/>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FHLB borrowing capacity secured by loans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9,303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10,162 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28882823"/>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Outstanding FHLB advances and letters of credit secured by loans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28882823"/>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Investment securities encumbered for Public Funds and others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(7,722)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(7,052)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28882823"/>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liquidity reserves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151,183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143,992 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jc w:val="both"/>
        <w:divId w:val="1621107003"/>
        <w:rPr>
          <w:rFonts w:eastAsia="Times New Roman"/>
        </w:rPr>
      </w:pPr>
      <w:r>
        <w:rPr>
          <w:rFonts w:eastAsia="Times New Roman"/>
          <w:color w:val="000000"/>
          <w:sz w:val="20"/>
          <w:szCs w:val="20"/>
        </w:rPr>
        <w:t>Our liquidity reserves increased by $7.2 billion to $151.2 billion as of March 31, 2021 from December 31, 2020 primarily driven by increases in our cash balances from deposit growth. See “MD&amp;A—Risk Management” in our 2020 Form 10-K for additional informati</w:t>
      </w:r>
      <w:r>
        <w:rPr>
          <w:rFonts w:eastAsia="Times New Roman"/>
          <w:color w:val="000000"/>
          <w:sz w:val="20"/>
          <w:szCs w:val="20"/>
        </w:rPr>
        <w:t>on on our management of liquidity risk.</w:t>
      </w:r>
    </w:p>
    <w:p w:rsidR="00000000" w:rsidRDefault="00E92DBE">
      <w:pPr>
        <w:divId w:val="1907063938"/>
        <w:rPr>
          <w:rFonts w:eastAsia="Times New Roman"/>
        </w:rPr>
      </w:pPr>
      <w:r>
        <w:rPr>
          <w:rFonts w:eastAsia="Times New Roman"/>
          <w:b/>
          <w:bCs/>
          <w:color w:val="000000"/>
          <w:sz w:val="20"/>
          <w:szCs w:val="20"/>
        </w:rPr>
        <w:t>Liquidity Coverage Ratio</w:t>
      </w:r>
    </w:p>
    <w:p w:rsidR="00000000" w:rsidRDefault="00E92DBE">
      <w:pPr>
        <w:jc w:val="both"/>
        <w:divId w:val="688872983"/>
        <w:rPr>
          <w:rFonts w:eastAsia="Times New Roman"/>
        </w:rPr>
      </w:pPr>
      <w:r>
        <w:rPr>
          <w:rFonts w:eastAsia="Times New Roman"/>
          <w:color w:val="000000"/>
          <w:sz w:val="20"/>
          <w:szCs w:val="20"/>
        </w:rPr>
        <w:t>We are subject to the liquidity coverage ratio (“LCR”) standard as implemented by the Federal Reserve and OCC (the “LCR Rule”</w:t>
      </w:r>
      <w:r>
        <w:rPr>
          <w:rFonts w:eastAsia="Times New Roman"/>
          <w:color w:val="000000"/>
          <w:sz w:val="20"/>
          <w:szCs w:val="20"/>
        </w:rPr>
        <w:t>). The LCR Rule requires us to calculate our LCR daily. It also requires the Company to publicly disclose, on a quarterly basis, its LCR, certain related quantitative liquidity metrics, and a qualitative discussion of its LCR. Our average LCR during the fi</w:t>
      </w:r>
      <w:r>
        <w:rPr>
          <w:rFonts w:eastAsia="Times New Roman"/>
          <w:color w:val="000000"/>
          <w:sz w:val="20"/>
          <w:szCs w:val="20"/>
        </w:rPr>
        <w:t xml:space="preserve">rst quarter of 2021 was 139%, which exceeded the LCR Rule requirement of 100%. The calculation and the underlying components are based on our interpretations, expectations and assumptions of relevant regulations, as well as interpretations provided by our </w:t>
      </w:r>
      <w:r>
        <w:rPr>
          <w:rFonts w:eastAsia="Times New Roman"/>
          <w:color w:val="000000"/>
          <w:sz w:val="20"/>
          <w:szCs w:val="20"/>
        </w:rPr>
        <w:t>regulators, and are subject to change based on changes to future regulations and interpretations. See “Part I—Item 1. Business—Supervision and Regulation” in our 2020 Form 10-K for additional information.</w:t>
      </w:r>
    </w:p>
    <w:p w:rsidR="00000000" w:rsidRDefault="00E92DBE">
      <w:pPr>
        <w:divId w:val="1125655356"/>
        <w:rPr>
          <w:rFonts w:eastAsia="Times New Roman"/>
        </w:rPr>
      </w:pPr>
      <w:r>
        <w:rPr>
          <w:rFonts w:eastAsia="Times New Roman"/>
          <w:b/>
          <w:bCs/>
          <w:color w:val="000000"/>
          <w:sz w:val="20"/>
          <w:szCs w:val="20"/>
        </w:rPr>
        <w:t>Borrowing Capacity</w:t>
      </w:r>
    </w:p>
    <w:p w:rsidR="00000000" w:rsidRDefault="00E92DBE">
      <w:pPr>
        <w:jc w:val="both"/>
        <w:divId w:val="1043559796"/>
        <w:rPr>
          <w:rFonts w:eastAsia="Times New Roman"/>
        </w:rPr>
      </w:pPr>
      <w:r>
        <w:rPr>
          <w:rFonts w:eastAsia="Times New Roman"/>
          <w:color w:val="000000"/>
          <w:sz w:val="20"/>
          <w:szCs w:val="20"/>
        </w:rPr>
        <w:t>We maintain a shelf registration</w:t>
      </w:r>
      <w:r>
        <w:rPr>
          <w:rFonts w:eastAsia="Times New Roman"/>
          <w:color w:val="000000"/>
          <w:sz w:val="20"/>
          <w:szCs w:val="20"/>
        </w:rPr>
        <w:t xml:space="preserve"> with the SEC so that we may periodically offer and sell an indeterminate aggregate amount of senior or subordinated debt securities, preferred stock, depositary shares, common stock, purchase contracts, warrants and units. There is no limit under this she</w:t>
      </w:r>
      <w:r>
        <w:rPr>
          <w:rFonts w:eastAsia="Times New Roman"/>
          <w:color w:val="000000"/>
          <w:sz w:val="20"/>
          <w:szCs w:val="20"/>
        </w:rPr>
        <w:t>lf registration to the amount or number of such securities that we may offer and sell, subject to market conditions. In addition, we also maintain a shelf registration that allows us to periodically offer and sell up to $25 billion of securitized debt obli</w:t>
      </w:r>
      <w:r>
        <w:rPr>
          <w:rFonts w:eastAsia="Times New Roman"/>
          <w:color w:val="000000"/>
          <w:sz w:val="20"/>
          <w:szCs w:val="20"/>
        </w:rPr>
        <w:t>gations from our credit card loan securitization trust and a shelf registration that allows us to periodically offer and sell up to $20 billion from our auto loan securitization trusts.</w:t>
      </w:r>
    </w:p>
    <w:p w:rsidR="00000000" w:rsidRDefault="00E92DBE">
      <w:pPr>
        <w:jc w:val="both"/>
        <w:divId w:val="536431867"/>
        <w:rPr>
          <w:rFonts w:eastAsia="Times New Roman"/>
        </w:rPr>
      </w:pPr>
      <w:r>
        <w:rPr>
          <w:rFonts w:eastAsia="Times New Roman"/>
          <w:color w:val="000000"/>
          <w:sz w:val="20"/>
          <w:szCs w:val="20"/>
        </w:rPr>
        <w:t>In addition to our issuance capacity under the shelf registration stat</w:t>
      </w:r>
      <w:r>
        <w:rPr>
          <w:rFonts w:eastAsia="Times New Roman"/>
          <w:color w:val="000000"/>
          <w:sz w:val="20"/>
          <w:szCs w:val="20"/>
        </w:rPr>
        <w:t xml:space="preserve">ements, we also have access to FHLB advances and the Federal Reserve Discount Window. The ability to borrow utilizing these sources is based on membership status and the amount is dependent upon the Banks’ ability to post collateral. As of March 31, 2021, </w:t>
      </w:r>
      <w:r>
        <w:rPr>
          <w:rFonts w:eastAsia="Times New Roman"/>
          <w:color w:val="000000"/>
          <w:sz w:val="20"/>
          <w:szCs w:val="20"/>
        </w:rPr>
        <w:t>we pledged both loans and securities to the FHLB to secure a maximum borrowing capacity of $18.4 billion, of which $58 million was used. Our FHLB membership is supported by our investment in FHLB stock of $32 million and $30 million as of March 31, 2021 an</w:t>
      </w:r>
      <w:r>
        <w:rPr>
          <w:rFonts w:eastAsia="Times New Roman"/>
          <w:color w:val="000000"/>
          <w:sz w:val="20"/>
          <w:szCs w:val="20"/>
        </w:rPr>
        <w:t>d December 31, 2020, respectively, which was determined in part based on our outstanding advances. As of March 31, 2021, we pledged loans to secure a borrowing capacity of $22.9 billion under the Federal Reserve Discount Window. Our membership with the Fed</w:t>
      </w:r>
      <w:r>
        <w:rPr>
          <w:rFonts w:eastAsia="Times New Roman"/>
          <w:color w:val="000000"/>
          <w:sz w:val="20"/>
          <w:szCs w:val="20"/>
        </w:rPr>
        <w:t>eral Reserve is supported by our investment in Federal Reserve stock, which totaled $1.3 billion as of both March 31, 2021 and December 31,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66453944"/>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866453944"/>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866453944"/>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48</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73" style="width:0;height:1.5pt" o:hralign="center" o:hrstd="t" o:hr="t" fillcolor="#a0a0a0" stroked="f"/>
        </w:pict>
      </w:r>
    </w:p>
    <w:p w:rsidR="00000000" w:rsidRDefault="00E92DBE">
      <w:pPr>
        <w:ind w:hanging="360"/>
        <w:jc w:val="both"/>
        <w:divId w:val="90591633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1129008394"/>
        <w:rPr>
          <w:rFonts w:eastAsia="Times New Roman"/>
        </w:rPr>
      </w:pPr>
      <w:r>
        <w:rPr>
          <w:rFonts w:eastAsia="Times New Roman"/>
          <w:b/>
          <w:bCs/>
          <w:color w:val="000000"/>
          <w:sz w:val="20"/>
          <w:szCs w:val="20"/>
        </w:rPr>
        <w:t>Funding</w:t>
      </w:r>
    </w:p>
    <w:p w:rsidR="00000000" w:rsidRDefault="00E92DBE">
      <w:pPr>
        <w:jc w:val="both"/>
        <w:divId w:val="622468025"/>
        <w:rPr>
          <w:rFonts w:eastAsia="Times New Roman"/>
        </w:rPr>
      </w:pPr>
      <w:r>
        <w:rPr>
          <w:rFonts w:eastAsia="Times New Roman"/>
          <w:color w:val="000000"/>
          <w:sz w:val="20"/>
          <w:szCs w:val="20"/>
        </w:rPr>
        <w:t>Our primary source of funding comes from deposits, as they are a stable and relatively low cost source of funding. In addition to deposi</w:t>
      </w:r>
      <w:r>
        <w:rPr>
          <w:rFonts w:eastAsia="Times New Roman"/>
          <w:color w:val="000000"/>
          <w:sz w:val="20"/>
          <w:szCs w:val="20"/>
        </w:rPr>
        <w:t>ts, we raise funding through the issuance of senior and subordinated notes and securitized debt obligations, federal funds purchased, securities loaned or sold under agreements to repurchase and FHLB advances secured by certain portions of our loan and sec</w:t>
      </w:r>
      <w:r>
        <w:rPr>
          <w:rFonts w:eastAsia="Times New Roman"/>
          <w:color w:val="000000"/>
          <w:sz w:val="20"/>
          <w:szCs w:val="20"/>
        </w:rPr>
        <w:t>urities portfolios. A key objective in our use of these markets is to maintain access to a diversified mix of wholesale funding sources. See “MD&amp;A—Consolidated Balance Sheets Analysis—Funding Sources Composition” for additional information on our primary s</w:t>
      </w:r>
      <w:r>
        <w:rPr>
          <w:rFonts w:eastAsia="Times New Roman"/>
          <w:color w:val="000000"/>
          <w:sz w:val="20"/>
          <w:szCs w:val="20"/>
        </w:rPr>
        <w:t>ources of funding.</w:t>
      </w:r>
    </w:p>
    <w:p w:rsidR="00000000" w:rsidRDefault="00E92DBE">
      <w:pPr>
        <w:divId w:val="671882000"/>
        <w:rPr>
          <w:rFonts w:eastAsia="Times New Roman"/>
        </w:rPr>
      </w:pPr>
      <w:r>
        <w:rPr>
          <w:rFonts w:eastAsia="Times New Roman"/>
          <w:b/>
          <w:bCs/>
          <w:i/>
          <w:iCs/>
          <w:color w:val="000000"/>
          <w:sz w:val="20"/>
          <w:szCs w:val="20"/>
        </w:rPr>
        <w:t>Deposits</w:t>
      </w:r>
    </w:p>
    <w:p w:rsidR="00000000" w:rsidRDefault="00E92DBE">
      <w:pPr>
        <w:jc w:val="both"/>
        <w:divId w:val="1310016648"/>
        <w:rPr>
          <w:rFonts w:eastAsia="Times New Roman"/>
        </w:rPr>
      </w:pPr>
      <w:r>
        <w:rPr>
          <w:rFonts w:eastAsia="Times New Roman"/>
          <w:color w:val="000000"/>
          <w:sz w:val="20"/>
          <w:szCs w:val="20"/>
        </w:rPr>
        <w:t>Table 33 provides a comparison of average balances, interest expense and average deposit interest rates for the three months ended March 31, 2021 and 2020.</w:t>
      </w:r>
    </w:p>
    <w:p w:rsidR="00000000" w:rsidRDefault="00E92DBE">
      <w:pPr>
        <w:divId w:val="638458130"/>
        <w:rPr>
          <w:rFonts w:eastAsia="Times New Roman"/>
        </w:rPr>
      </w:pPr>
      <w:r>
        <w:rPr>
          <w:rFonts w:eastAsia="Times New Roman"/>
          <w:b/>
          <w:bCs/>
          <w:color w:val="000000"/>
          <w:sz w:val="18"/>
          <w:szCs w:val="18"/>
        </w:rPr>
        <w:t>Table 33: Deposits Composition and Average Deposit Interest Rates</w:t>
      </w:r>
    </w:p>
    <w:tbl>
      <w:tblPr>
        <w:tblW w:w="4985" w:type="pct"/>
        <w:tblCellMar>
          <w:top w:w="15" w:type="dxa"/>
          <w:left w:w="15" w:type="dxa"/>
          <w:bottom w:w="15" w:type="dxa"/>
          <w:right w:w="15" w:type="dxa"/>
        </w:tblCellMar>
        <w:tblLook w:val="04A0" w:firstRow="1" w:lastRow="0" w:firstColumn="1" w:lastColumn="0" w:noHBand="0" w:noVBand="1"/>
      </w:tblPr>
      <w:tblGrid>
        <w:gridCol w:w="56"/>
        <w:gridCol w:w="2848"/>
        <w:gridCol w:w="36"/>
        <w:gridCol w:w="36"/>
        <w:gridCol w:w="36"/>
        <w:gridCol w:w="36"/>
        <w:gridCol w:w="36"/>
        <w:gridCol w:w="708"/>
        <w:gridCol w:w="36"/>
        <w:gridCol w:w="36"/>
        <w:gridCol w:w="36"/>
        <w:gridCol w:w="36"/>
        <w:gridCol w:w="36"/>
        <w:gridCol w:w="709"/>
        <w:gridCol w:w="36"/>
        <w:gridCol w:w="36"/>
        <w:gridCol w:w="36"/>
        <w:gridCol w:w="36"/>
        <w:gridCol w:w="38"/>
        <w:gridCol w:w="709"/>
        <w:gridCol w:w="36"/>
        <w:gridCol w:w="36"/>
        <w:gridCol w:w="36"/>
        <w:gridCol w:w="36"/>
        <w:gridCol w:w="38"/>
        <w:gridCol w:w="709"/>
        <w:gridCol w:w="36"/>
        <w:gridCol w:w="36"/>
        <w:gridCol w:w="36"/>
        <w:gridCol w:w="36"/>
        <w:gridCol w:w="38"/>
        <w:gridCol w:w="709"/>
        <w:gridCol w:w="36"/>
        <w:gridCol w:w="36"/>
        <w:gridCol w:w="36"/>
        <w:gridCol w:w="36"/>
        <w:gridCol w:w="38"/>
        <w:gridCol w:w="709"/>
        <w:gridCol w:w="36"/>
      </w:tblGrid>
      <w:tr w:rsidR="00000000">
        <w:trPr>
          <w:divId w:val="1384716441"/>
        </w:trPr>
        <w:tc>
          <w:tcPr>
            <w:tcW w:w="50" w:type="pct"/>
            <w:vAlign w:val="center"/>
            <w:hideMark/>
          </w:tcPr>
          <w:p w:rsidR="00000000" w:rsidRDefault="00E92DBE">
            <w:pPr>
              <w:rPr>
                <w:rFonts w:eastAsia="Times New Roman"/>
              </w:rPr>
            </w:pPr>
          </w:p>
        </w:tc>
        <w:tc>
          <w:tcPr>
            <w:tcW w:w="173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384716441"/>
          <w:trHeight w:val="60"/>
        </w:trPr>
        <w:tc>
          <w:tcPr>
            <w:tcW w:w="0" w:type="auto"/>
            <w:gridSpan w:val="39"/>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8471644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38471644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38471644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8471644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8471644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8471644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8471644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8471644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8471644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8471644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895"/>
        <w:gridCol w:w="144"/>
        <w:gridCol w:w="144"/>
        <w:gridCol w:w="144"/>
        <w:gridCol w:w="144"/>
        <w:gridCol w:w="144"/>
        <w:gridCol w:w="734"/>
        <w:gridCol w:w="144"/>
        <w:gridCol w:w="144"/>
        <w:gridCol w:w="144"/>
        <w:gridCol w:w="144"/>
        <w:gridCol w:w="144"/>
        <w:gridCol w:w="734"/>
        <w:gridCol w:w="144"/>
        <w:gridCol w:w="144"/>
        <w:gridCol w:w="144"/>
        <w:gridCol w:w="144"/>
        <w:gridCol w:w="144"/>
        <w:gridCol w:w="734"/>
        <w:gridCol w:w="144"/>
        <w:gridCol w:w="144"/>
        <w:gridCol w:w="144"/>
        <w:gridCol w:w="144"/>
        <w:gridCol w:w="144"/>
        <w:gridCol w:w="734"/>
        <w:gridCol w:w="144"/>
        <w:gridCol w:w="144"/>
        <w:gridCol w:w="144"/>
        <w:gridCol w:w="144"/>
        <w:gridCol w:w="144"/>
        <w:gridCol w:w="734"/>
        <w:gridCol w:w="144"/>
        <w:gridCol w:w="144"/>
        <w:gridCol w:w="144"/>
        <w:gridCol w:w="144"/>
        <w:gridCol w:w="144"/>
        <w:gridCol w:w="734"/>
        <w:gridCol w:w="144"/>
        <w:gridCol w:w="160"/>
        <w:gridCol w:w="160"/>
        <w:gridCol w:w="160"/>
        <w:gridCol w:w="480"/>
        <w:gridCol w:w="480"/>
        <w:gridCol w:w="480"/>
        <w:gridCol w:w="480"/>
        <w:gridCol w:w="480"/>
        <w:gridCol w:w="480"/>
        <w:gridCol w:w="480"/>
        <w:gridCol w:w="480"/>
        <w:gridCol w:w="480"/>
        <w:gridCol w:w="480"/>
        <w:gridCol w:w="480"/>
        <w:gridCol w:w="480"/>
        <w:gridCol w:w="480"/>
        <w:gridCol w:w="480"/>
        <w:gridCol w:w="480"/>
      </w:tblGrid>
      <w:tr w:rsidR="00000000">
        <w:tc>
          <w:tcPr>
            <w:tcW w:w="50" w:type="pct"/>
            <w:vAlign w:val="center"/>
            <w:hideMark/>
          </w:tcPr>
          <w:p w:rsidR="00000000" w:rsidRDefault="00E92DBE">
            <w:pPr>
              <w:rPr>
                <w:rFonts w:eastAsia="Times New Roman"/>
              </w:rPr>
            </w:pPr>
          </w:p>
        </w:tc>
        <w:tc>
          <w:tcPr>
            <w:tcW w:w="17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Interest</w:t>
            </w:r>
            <w:r>
              <w:rPr>
                <w:rFonts w:eastAsia="Times New Roman"/>
                <w:b/>
                <w:bCs/>
                <w:color w:val="000000"/>
                <w:sz w:val="16"/>
                <w:szCs w:val="16"/>
              </w:rPr>
              <w:br/>
            </w:r>
            <w:r>
              <w:rPr>
                <w:rFonts w:eastAsia="Times New Roman"/>
                <w:b/>
                <w:bCs/>
                <w:color w:val="000000"/>
                <w:sz w:val="16"/>
                <w:szCs w:val="16"/>
              </w:rP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w:t>
            </w:r>
            <w:r>
              <w:rPr>
                <w:rFonts w:eastAsia="Times New Roman"/>
                <w:b/>
                <w:bCs/>
                <w:color w:val="000000"/>
                <w:sz w:val="16"/>
                <w:szCs w:val="16"/>
              </w:rPr>
              <w:br/>
              <w:t>Interest Rate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w:t>
            </w:r>
            <w:r>
              <w:rPr>
                <w:rFonts w:eastAsia="Times New Roman"/>
                <w:b/>
                <w:bCs/>
                <w:color w:val="000000"/>
                <w:sz w:val="16"/>
                <w:szCs w:val="16"/>
              </w:rPr>
              <w:br/>
              <w:t>Interest Rate</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819734555"/>
              <w:rPr>
                <w:rFonts w:eastAsia="Times New Roman"/>
              </w:rPr>
            </w:pPr>
            <w:r>
              <w:rPr>
                <w:rFonts w:eastAsia="Times New Roman"/>
                <w:color w:val="000000"/>
                <w:sz w:val="18"/>
                <w:szCs w:val="18"/>
              </w:rPr>
              <w:t>Interest-bearing checking account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42,115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0.18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34,363 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3"/>
            <w:vAlign w:val="center"/>
            <w:hideMark/>
          </w:tcPr>
          <w:p w:rsidR="00000000" w:rsidRDefault="00E92DBE">
            <w:pP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divId w:val="471678237"/>
              <w:rPr>
                <w:rFonts w:eastAsia="Times New Roman"/>
              </w:rPr>
            </w:pPr>
            <w:r>
              <w:rPr>
                <w:rFonts w:eastAsia="Times New Roman"/>
                <w:color w:val="000000"/>
                <w:sz w:val="18"/>
                <w:szCs w:val="18"/>
              </w:rPr>
              <w:t>Saving deposit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201,674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162,062 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426 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Time deposits less than $100,000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19,848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27,208 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157 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interest-bearing core 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263,637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223,633 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Time deposits of $100,000 or more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9,721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17,482 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95 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273,358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241,115 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236281053"/>
        <w:rPr>
          <w:rFonts w:eastAsia="Times New Roman"/>
        </w:rPr>
      </w:pPr>
      <w:r>
        <w:rPr>
          <w:rFonts w:eastAsia="Times New Roman"/>
          <w:color w:val="000000"/>
          <w:sz w:val="20"/>
          <w:szCs w:val="20"/>
        </w:rPr>
        <w:t>__________</w:t>
      </w:r>
    </w:p>
    <w:p w:rsidR="00000000" w:rsidRDefault="00E92DBE">
      <w:pPr>
        <w:ind w:hanging="360"/>
        <w:jc w:val="both"/>
        <w:divId w:val="88791197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negotiable order of withdrawal accounts.</w:t>
      </w:r>
    </w:p>
    <w:p w:rsidR="00000000" w:rsidRDefault="00E92DBE">
      <w:pPr>
        <w:ind w:hanging="360"/>
        <w:jc w:val="both"/>
        <w:divId w:val="1820997182"/>
        <w:rPr>
          <w:rFonts w:eastAsia="Times New Roman"/>
        </w:rPr>
      </w:pPr>
      <w:r>
        <w:rPr>
          <w:rFonts w:eastAsia="Times New Roman"/>
          <w:color w:val="000000"/>
          <w:sz w:val="10"/>
          <w:szCs w:val="10"/>
        </w:rPr>
        <w:t>(</w:t>
      </w: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money market deposit accounts.</w:t>
      </w:r>
    </w:p>
    <w:p w:rsidR="00000000" w:rsidRDefault="00E92DBE">
      <w:pPr>
        <w:jc w:val="both"/>
        <w:divId w:val="1939673497"/>
        <w:rPr>
          <w:rFonts w:eastAsia="Times New Roman"/>
        </w:rPr>
      </w:pPr>
      <w:r>
        <w:rPr>
          <w:rFonts w:eastAsia="Times New Roman"/>
          <w:color w:val="000000"/>
          <w:sz w:val="20"/>
          <w:szCs w:val="20"/>
        </w:rPr>
        <w:t>The FDIC limits the acceptance of brokered deposits to well-capitalized insured depository institutions and, with a waiver from the FDIC, to adequately-capitalized institutions. COBNA and CONA were well-capitalized</w:t>
      </w:r>
      <w:r>
        <w:rPr>
          <w:rFonts w:eastAsia="Times New Roman"/>
          <w:color w:val="000000"/>
          <w:sz w:val="20"/>
          <w:szCs w:val="20"/>
        </w:rPr>
        <w:t>, as defined under the federal banking regulatory guidelines, as of March 31, 2021 and December 31, 2020, respectively. See “Part I—Item 1. Business—Supervision and Regulation” in our 2020 Form 10-K for additional information. We provide additional informa</w:t>
      </w:r>
      <w:r>
        <w:rPr>
          <w:rFonts w:eastAsia="Times New Roman"/>
          <w:color w:val="000000"/>
          <w:sz w:val="20"/>
          <w:szCs w:val="20"/>
        </w:rPr>
        <w:t>tion on the composition of deposits in “MD&amp;A—Consolidated Balance Sheets Analysis—Funding Sources Composition” and in “Note 7—Deposits and Borrowings.”</w:t>
      </w:r>
    </w:p>
    <w:tbl>
      <w:tblPr>
        <w:tblW w:w="4985" w:type="pct"/>
        <w:tblCellMar>
          <w:top w:w="15" w:type="dxa"/>
          <w:left w:w="15" w:type="dxa"/>
          <w:bottom w:w="15" w:type="dxa"/>
          <w:right w:w="15" w:type="dxa"/>
        </w:tblCellMar>
        <w:tblLook w:val="04A0" w:firstRow="1" w:lastRow="0" w:firstColumn="1" w:lastColumn="0" w:noHBand="0" w:noVBand="1"/>
      </w:tblPr>
      <w:tblGrid>
        <w:gridCol w:w="56"/>
        <w:gridCol w:w="2848"/>
        <w:gridCol w:w="36"/>
        <w:gridCol w:w="36"/>
        <w:gridCol w:w="36"/>
        <w:gridCol w:w="36"/>
        <w:gridCol w:w="36"/>
        <w:gridCol w:w="708"/>
        <w:gridCol w:w="36"/>
        <w:gridCol w:w="36"/>
        <w:gridCol w:w="36"/>
        <w:gridCol w:w="36"/>
        <w:gridCol w:w="36"/>
        <w:gridCol w:w="709"/>
        <w:gridCol w:w="36"/>
        <w:gridCol w:w="36"/>
        <w:gridCol w:w="36"/>
        <w:gridCol w:w="36"/>
        <w:gridCol w:w="38"/>
        <w:gridCol w:w="709"/>
        <w:gridCol w:w="36"/>
        <w:gridCol w:w="36"/>
        <w:gridCol w:w="36"/>
        <w:gridCol w:w="36"/>
        <w:gridCol w:w="38"/>
        <w:gridCol w:w="709"/>
        <w:gridCol w:w="36"/>
        <w:gridCol w:w="36"/>
        <w:gridCol w:w="36"/>
        <w:gridCol w:w="36"/>
        <w:gridCol w:w="38"/>
        <w:gridCol w:w="709"/>
        <w:gridCol w:w="36"/>
        <w:gridCol w:w="36"/>
        <w:gridCol w:w="36"/>
        <w:gridCol w:w="36"/>
        <w:gridCol w:w="38"/>
        <w:gridCol w:w="709"/>
        <w:gridCol w:w="36"/>
      </w:tblGrid>
      <w:tr w:rsidR="00000000">
        <w:tc>
          <w:tcPr>
            <w:tcW w:w="50" w:type="pct"/>
            <w:vAlign w:val="center"/>
            <w:hideMark/>
          </w:tcPr>
          <w:p w:rsidR="00000000" w:rsidRDefault="00E92DBE">
            <w:pPr>
              <w:jc w:val="both"/>
              <w:rPr>
                <w:rFonts w:eastAsia="Times New Roman"/>
              </w:rPr>
            </w:pPr>
          </w:p>
        </w:tc>
        <w:tc>
          <w:tcPr>
            <w:tcW w:w="173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404761924"/>
        <w:rPr>
          <w:rFonts w:eastAsia="Times New Roman"/>
        </w:rPr>
      </w:pPr>
      <w:r>
        <w:rPr>
          <w:rFonts w:eastAsia="Times New Roman"/>
          <w:b/>
          <w:bCs/>
          <w:i/>
          <w:iCs/>
          <w:color w:val="000000"/>
          <w:sz w:val="20"/>
          <w:szCs w:val="20"/>
        </w:rPr>
        <w:t>Short-Term Borrowings and Long-Term Debt</w:t>
      </w:r>
    </w:p>
    <w:p w:rsidR="00000000" w:rsidRDefault="00E92DBE">
      <w:pPr>
        <w:jc w:val="both"/>
        <w:divId w:val="784278298"/>
        <w:rPr>
          <w:rFonts w:eastAsia="Times New Roman"/>
        </w:rPr>
      </w:pPr>
      <w:r>
        <w:rPr>
          <w:rFonts w:eastAsia="Times New Roman"/>
          <w:color w:val="000000"/>
          <w:sz w:val="20"/>
          <w:szCs w:val="20"/>
        </w:rPr>
        <w:t>We access the capital markets to meet our funding needs through the issuance of senior and subordinated notes, securitized debt obligations and federal funds purchased and securities loaned or sold under agreements to repurchase. In addition, we may utiliz</w:t>
      </w:r>
      <w:r>
        <w:rPr>
          <w:rFonts w:eastAsia="Times New Roman"/>
          <w:color w:val="000000"/>
          <w:sz w:val="20"/>
          <w:szCs w:val="20"/>
        </w:rPr>
        <w:t xml:space="preserve">e short-term and long-term FHLB advances secured by certain of our investment securities, multifamily real estate loans and commercial real estate loans. </w:t>
      </w:r>
    </w:p>
    <w:p w:rsidR="00000000" w:rsidRDefault="00E92DBE">
      <w:pPr>
        <w:jc w:val="both"/>
        <w:divId w:val="681663339"/>
        <w:rPr>
          <w:rFonts w:eastAsia="Times New Roman"/>
        </w:rPr>
      </w:pPr>
      <w:r>
        <w:rPr>
          <w:rFonts w:eastAsia="Times New Roman"/>
          <w:color w:val="000000"/>
          <w:sz w:val="20"/>
          <w:szCs w:val="20"/>
        </w:rPr>
        <w:t>Our short-term borrowings include those borrowings with an original contractual maturity of one year or less and do not include the current portion of long-term debt. The short-term borrowings, which consist of federal funds purchased, securities loaned or</w:t>
      </w:r>
      <w:r>
        <w:rPr>
          <w:rFonts w:eastAsia="Times New Roman"/>
          <w:color w:val="000000"/>
          <w:sz w:val="20"/>
          <w:szCs w:val="20"/>
        </w:rPr>
        <w:t xml:space="preserve"> sold under agreements to repurchase, increased by $174 million to $842 million as of March 31, 2021 from December 31, 2020 driven by an increase in repurchase agreements.</w:t>
      </w:r>
    </w:p>
    <w:p w:rsidR="00000000" w:rsidRDefault="00E92DBE">
      <w:pPr>
        <w:jc w:val="both"/>
        <w:divId w:val="726689019"/>
        <w:rPr>
          <w:rFonts w:eastAsia="Times New Roman"/>
        </w:rPr>
      </w:pPr>
      <w:r>
        <w:rPr>
          <w:rFonts w:eastAsia="Times New Roman"/>
          <w:color w:val="000000"/>
          <w:sz w:val="20"/>
          <w:szCs w:val="20"/>
        </w:rPr>
        <w:t>Our long-term debt, which primarily consists of securitized debt obligations and sen</w:t>
      </w:r>
      <w:r>
        <w:rPr>
          <w:rFonts w:eastAsia="Times New Roman"/>
          <w:color w:val="000000"/>
          <w:sz w:val="20"/>
          <w:szCs w:val="20"/>
        </w:rPr>
        <w:t>ior and subordinated notes, decreased by $2.3 billion to $37.6 billion as of March 31, 2021 from December 31, 2020 primarily driven by the repurchase of a portion of our senior unsecured debt and paydowns in our auto securitization program. We provide more</w:t>
      </w:r>
      <w:r>
        <w:rPr>
          <w:rFonts w:eastAsia="Times New Roman"/>
          <w:color w:val="000000"/>
          <w:sz w:val="20"/>
          <w:szCs w:val="20"/>
        </w:rPr>
        <w:t xml:space="preserve"> information on our securitization activity in “Note 5—Variable Interest Entities and Securitizations.”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13173035"/>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613173035"/>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613173035"/>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49</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74" style="width:0;height:1.5pt" o:hralign="center" o:hrstd="t" o:hr="t" fillcolor="#a0a0a0" stroked="f"/>
        </w:pict>
      </w:r>
    </w:p>
    <w:p w:rsidR="00000000" w:rsidRDefault="00E92DBE">
      <w:pPr>
        <w:ind w:hanging="360"/>
        <w:jc w:val="both"/>
        <w:divId w:val="1024476032"/>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74712450"/>
        <w:rPr>
          <w:rFonts w:eastAsia="Times New Roman"/>
        </w:rPr>
      </w:pPr>
      <w:r>
        <w:rPr>
          <w:rFonts w:eastAsia="Times New Roman"/>
          <w:color w:val="000000"/>
          <w:sz w:val="20"/>
          <w:szCs w:val="20"/>
        </w:rPr>
        <w:t>The following table summarizes issuances of securitized debt obligations, senior and subordinated notes and their respective maturities or redem</w:t>
      </w:r>
      <w:r>
        <w:rPr>
          <w:rFonts w:eastAsia="Times New Roman"/>
          <w:color w:val="000000"/>
          <w:sz w:val="20"/>
          <w:szCs w:val="20"/>
        </w:rPr>
        <w:t>ptions for the three months ended March 31, 2021 and 2020. We did not have any such issuances for the three months ended March 31, 2021.</w:t>
      </w:r>
    </w:p>
    <w:p w:rsidR="00000000" w:rsidRDefault="00E92DBE">
      <w:pPr>
        <w:divId w:val="1674455586"/>
        <w:rPr>
          <w:rFonts w:eastAsia="Times New Roman"/>
        </w:rPr>
      </w:pPr>
      <w:r>
        <w:rPr>
          <w:rFonts w:eastAsia="Times New Roman"/>
          <w:b/>
          <w:bCs/>
          <w:color w:val="000000"/>
          <w:sz w:val="18"/>
          <w:szCs w:val="18"/>
        </w:rPr>
        <w:t>Table 34: Long-Term Funding</w:t>
      </w:r>
    </w:p>
    <w:tbl>
      <w:tblPr>
        <w:tblW w:w="4992" w:type="pct"/>
        <w:tblCellMar>
          <w:top w:w="15" w:type="dxa"/>
          <w:left w:w="15" w:type="dxa"/>
          <w:bottom w:w="15" w:type="dxa"/>
          <w:right w:w="15" w:type="dxa"/>
        </w:tblCellMar>
        <w:tblLook w:val="04A0" w:firstRow="1" w:lastRow="0" w:firstColumn="1" w:lastColumn="0" w:noHBand="0" w:noVBand="1"/>
      </w:tblPr>
      <w:tblGrid>
        <w:gridCol w:w="57"/>
        <w:gridCol w:w="3857"/>
        <w:gridCol w:w="36"/>
        <w:gridCol w:w="36"/>
        <w:gridCol w:w="36"/>
        <w:gridCol w:w="36"/>
        <w:gridCol w:w="38"/>
        <w:gridCol w:w="903"/>
        <w:gridCol w:w="36"/>
        <w:gridCol w:w="36"/>
        <w:gridCol w:w="36"/>
        <w:gridCol w:w="36"/>
        <w:gridCol w:w="38"/>
        <w:gridCol w:w="903"/>
        <w:gridCol w:w="36"/>
        <w:gridCol w:w="36"/>
        <w:gridCol w:w="36"/>
        <w:gridCol w:w="36"/>
        <w:gridCol w:w="38"/>
        <w:gridCol w:w="903"/>
        <w:gridCol w:w="36"/>
        <w:gridCol w:w="36"/>
        <w:gridCol w:w="36"/>
        <w:gridCol w:w="36"/>
        <w:gridCol w:w="39"/>
        <w:gridCol w:w="905"/>
        <w:gridCol w:w="36"/>
      </w:tblGrid>
      <w:tr w:rsidR="00000000">
        <w:trPr>
          <w:divId w:val="1502240202"/>
        </w:trPr>
        <w:tc>
          <w:tcPr>
            <w:tcW w:w="50" w:type="pct"/>
            <w:vAlign w:val="center"/>
            <w:hideMark/>
          </w:tcPr>
          <w:p w:rsidR="00000000" w:rsidRDefault="00E92DBE">
            <w:pPr>
              <w:rPr>
                <w:rFonts w:eastAsia="Times New Roman"/>
              </w:rPr>
            </w:pPr>
          </w:p>
        </w:tc>
        <w:tc>
          <w:tcPr>
            <w:tcW w:w="233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5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5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5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6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502240202"/>
          <w:trHeight w:val="60"/>
        </w:trPr>
        <w:tc>
          <w:tcPr>
            <w:tcW w:w="0" w:type="auto"/>
            <w:gridSpan w:val="27"/>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50224020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50224020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50224020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0224020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0224020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0224020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0224020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327"/>
        <w:gridCol w:w="144"/>
        <w:gridCol w:w="144"/>
        <w:gridCol w:w="144"/>
        <w:gridCol w:w="144"/>
        <w:gridCol w:w="144"/>
        <w:gridCol w:w="818"/>
        <w:gridCol w:w="144"/>
        <w:gridCol w:w="144"/>
        <w:gridCol w:w="144"/>
        <w:gridCol w:w="144"/>
        <w:gridCol w:w="144"/>
        <w:gridCol w:w="818"/>
        <w:gridCol w:w="144"/>
        <w:gridCol w:w="480"/>
        <w:gridCol w:w="1440"/>
        <w:gridCol w:w="144"/>
        <w:gridCol w:w="144"/>
        <w:gridCol w:w="144"/>
        <w:gridCol w:w="144"/>
        <w:gridCol w:w="818"/>
        <w:gridCol w:w="144"/>
        <w:gridCol w:w="144"/>
        <w:gridCol w:w="144"/>
        <w:gridCol w:w="144"/>
        <w:gridCol w:w="144"/>
        <w:gridCol w:w="818"/>
        <w:gridCol w:w="144"/>
        <w:gridCol w:w="160"/>
        <w:gridCol w:w="160"/>
        <w:gridCol w:w="160"/>
        <w:gridCol w:w="480"/>
        <w:gridCol w:w="480"/>
        <w:gridCol w:w="480"/>
      </w:tblGrid>
      <w:tr w:rsidR="00000000">
        <w:tc>
          <w:tcPr>
            <w:tcW w:w="50" w:type="pct"/>
            <w:vAlign w:val="center"/>
            <w:hideMark/>
          </w:tcPr>
          <w:p w:rsidR="00000000" w:rsidRDefault="00E92DBE">
            <w:pPr>
              <w:rPr>
                <w:rFonts w:eastAsia="Times New Roman"/>
              </w:rPr>
            </w:pPr>
          </w:p>
        </w:tc>
        <w:tc>
          <w:tcPr>
            <w:tcW w:w="26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Issuances</w:t>
            </w:r>
          </w:p>
        </w:tc>
        <w:tc>
          <w:tcPr>
            <w:tcW w:w="0" w:type="auto"/>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Maturities/Redemptions</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2020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3,250 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2014717223"/>
        <w:rPr>
          <w:rFonts w:eastAsia="Times New Roman"/>
        </w:rPr>
      </w:pPr>
      <w:r>
        <w:rPr>
          <w:rFonts w:eastAsia="Times New Roman"/>
          <w:b/>
          <w:bCs/>
          <w:color w:val="000000"/>
          <w:sz w:val="20"/>
          <w:szCs w:val="20"/>
        </w:rPr>
        <w:t>Credit Ratings</w:t>
      </w:r>
    </w:p>
    <w:p w:rsidR="00000000" w:rsidRDefault="00E92DBE">
      <w:pPr>
        <w:jc w:val="both"/>
        <w:divId w:val="1588416884"/>
        <w:rPr>
          <w:rFonts w:eastAsia="Times New Roman"/>
        </w:rPr>
      </w:pPr>
      <w:r>
        <w:rPr>
          <w:rFonts w:eastAsia="Times New Roman"/>
          <w:color w:val="000000"/>
          <w:sz w:val="20"/>
          <w:szCs w:val="20"/>
        </w:rPr>
        <w:t>Our credit ratings impact our ability to access capi</w:t>
      </w:r>
      <w:r>
        <w:rPr>
          <w:rFonts w:eastAsia="Times New Roman"/>
          <w:color w:val="000000"/>
          <w:sz w:val="20"/>
          <w:szCs w:val="20"/>
        </w:rPr>
        <w:t>tal markets and our borrowing costs. Rating agencies base their ratings on numerous factors, including liquidity, capital adequacy, asset quality, quality of earnings and the probability of systemic support. Significant changes in these factors could resul</w:t>
      </w:r>
      <w:r>
        <w:rPr>
          <w:rFonts w:eastAsia="Times New Roman"/>
          <w:color w:val="000000"/>
          <w:sz w:val="20"/>
          <w:szCs w:val="20"/>
        </w:rPr>
        <w:t>t in different ratings.</w:t>
      </w:r>
    </w:p>
    <w:p w:rsidR="00000000" w:rsidRDefault="00E92DBE">
      <w:pPr>
        <w:jc w:val="both"/>
        <w:divId w:val="1910581249"/>
        <w:rPr>
          <w:rFonts w:eastAsia="Times New Roman"/>
        </w:rPr>
      </w:pPr>
      <w:r>
        <w:rPr>
          <w:rFonts w:eastAsia="Times New Roman"/>
          <w:color w:val="000000"/>
          <w:sz w:val="20"/>
          <w:szCs w:val="20"/>
        </w:rPr>
        <w:t>Table 35 provides a summary of the credit ratings for the senior unsecured long-term debt of Capital One Financial Corporation, COBNA and CONA as of March 31, 2021 and December 31, 2020.</w:t>
      </w:r>
    </w:p>
    <w:p w:rsidR="00000000" w:rsidRDefault="00E92DBE">
      <w:pPr>
        <w:divId w:val="816648164"/>
        <w:rPr>
          <w:rFonts w:eastAsia="Times New Roman"/>
        </w:rPr>
      </w:pPr>
      <w:r>
        <w:rPr>
          <w:rFonts w:eastAsia="Times New Roman"/>
          <w:b/>
          <w:bCs/>
          <w:color w:val="000000"/>
          <w:sz w:val="18"/>
          <w:szCs w:val="18"/>
        </w:rPr>
        <w:t>Table 35: Senior Unsecured Long-Term Debt Cre</w:t>
      </w:r>
      <w:r>
        <w:rPr>
          <w:rFonts w:eastAsia="Times New Roman"/>
          <w:b/>
          <w:bCs/>
          <w:color w:val="000000"/>
          <w:sz w:val="18"/>
          <w:szCs w:val="18"/>
        </w:rPr>
        <w:t>dit Ratings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2930"/>
        <w:gridCol w:w="36"/>
        <w:gridCol w:w="36"/>
        <w:gridCol w:w="36"/>
        <w:gridCol w:w="36"/>
        <w:gridCol w:w="92"/>
        <w:gridCol w:w="793"/>
        <w:gridCol w:w="36"/>
        <w:gridCol w:w="36"/>
        <w:gridCol w:w="36"/>
        <w:gridCol w:w="36"/>
        <w:gridCol w:w="64"/>
        <w:gridCol w:w="583"/>
        <w:gridCol w:w="36"/>
        <w:gridCol w:w="36"/>
        <w:gridCol w:w="36"/>
        <w:gridCol w:w="36"/>
        <w:gridCol w:w="53"/>
        <w:gridCol w:w="631"/>
        <w:gridCol w:w="36"/>
        <w:gridCol w:w="36"/>
        <w:gridCol w:w="36"/>
        <w:gridCol w:w="36"/>
        <w:gridCol w:w="92"/>
        <w:gridCol w:w="793"/>
        <w:gridCol w:w="37"/>
        <w:gridCol w:w="37"/>
        <w:gridCol w:w="37"/>
        <w:gridCol w:w="37"/>
        <w:gridCol w:w="64"/>
        <w:gridCol w:w="583"/>
        <w:gridCol w:w="36"/>
        <w:gridCol w:w="36"/>
        <w:gridCol w:w="36"/>
        <w:gridCol w:w="36"/>
        <w:gridCol w:w="53"/>
        <w:gridCol w:w="632"/>
        <w:gridCol w:w="36"/>
      </w:tblGrid>
      <w:tr w:rsidR="00000000">
        <w:trPr>
          <w:divId w:val="459037666"/>
        </w:trPr>
        <w:tc>
          <w:tcPr>
            <w:tcW w:w="50" w:type="pct"/>
            <w:vAlign w:val="center"/>
            <w:hideMark/>
          </w:tcPr>
          <w:p w:rsidR="00000000" w:rsidRDefault="00E92DBE">
            <w:pPr>
              <w:rPr>
                <w:rFonts w:eastAsia="Times New Roman"/>
              </w:rPr>
            </w:pPr>
          </w:p>
        </w:tc>
        <w:tc>
          <w:tcPr>
            <w:tcW w:w="178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459037666"/>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459037666"/>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Capital One</w:t>
            </w:r>
            <w:r>
              <w:rPr>
                <w:rFonts w:eastAsia="Times New Roman"/>
                <w:b/>
                <w:bCs/>
                <w:color w:val="000000"/>
                <w:sz w:val="16"/>
                <w:szCs w:val="16"/>
              </w:rPr>
              <w:br/>
              <w:t>Financial</w:t>
            </w:r>
            <w:r>
              <w:rPr>
                <w:rFonts w:eastAsia="Times New Roman"/>
                <w:b/>
                <w:bCs/>
                <w:color w:val="000000"/>
                <w:sz w:val="16"/>
                <w:szCs w:val="16"/>
              </w:rPr>
              <w:br/>
              <w:t>Corporation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COBNA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CONA</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Capital One</w:t>
            </w:r>
            <w:r>
              <w:rPr>
                <w:rFonts w:eastAsia="Times New Roman"/>
                <w:b/>
                <w:bCs/>
                <w:color w:val="000000"/>
                <w:sz w:val="16"/>
                <w:szCs w:val="16"/>
              </w:rPr>
              <w:br/>
              <w:t>Financial</w:t>
            </w:r>
            <w:r>
              <w:rPr>
                <w:rFonts w:eastAsia="Times New Roman"/>
                <w:b/>
                <w:bCs/>
                <w:color w:val="000000"/>
                <w:sz w:val="16"/>
                <w:szCs w:val="16"/>
              </w:rPr>
              <w:br/>
              <w:t>Corporation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COBNA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CONA</w:t>
            </w:r>
          </w:p>
        </w:tc>
      </w:tr>
      <w:tr w:rsidR="00000000">
        <w:trPr>
          <w:divId w:val="45903766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Moody’s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Baa1</w:t>
            </w:r>
          </w:p>
        </w:tc>
      </w:tr>
      <w:tr w:rsidR="00000000">
        <w:trPr>
          <w:divId w:val="45903766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S&amp;P</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BBB+</w:t>
            </w:r>
          </w:p>
        </w:tc>
      </w:tr>
      <w:tr w:rsidR="00000000">
        <w:trPr>
          <w:divId w:val="45903766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Fitch</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A-</w:t>
            </w:r>
          </w:p>
        </w:tc>
      </w:tr>
    </w:tbl>
    <w:p w:rsidR="00000000" w:rsidRDefault="00E92DBE">
      <w:pPr>
        <w:jc w:val="both"/>
        <w:divId w:val="572088373"/>
        <w:rPr>
          <w:rFonts w:eastAsia="Times New Roman"/>
        </w:rPr>
      </w:pPr>
      <w:r>
        <w:rPr>
          <w:rFonts w:eastAsia="Times New Roman"/>
          <w:color w:val="000000"/>
          <w:sz w:val="20"/>
          <w:szCs w:val="20"/>
        </w:rPr>
        <w:t>As of April 26, 2021, Moody’s Investors Service (“Moody’s”) and Fitch Ratings (“Fitch”) have our credit ratings on a negative outlook while Standard &amp; Poor’s (“S&amp;P”) has our credit ratings on a stable outlook.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424889111"/>
        </w:trPr>
        <w:tc>
          <w:tcPr>
            <w:tcW w:w="50" w:type="pct"/>
            <w:vAlign w:val="center"/>
            <w:hideMark/>
          </w:tcPr>
          <w:p w:rsidR="00000000" w:rsidRDefault="00E92DBE">
            <w:pPr>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42488911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MARKET RISK PROFILE</w:t>
            </w:r>
          </w:p>
        </w:tc>
      </w:tr>
    </w:tbl>
    <w:p w:rsidR="00000000" w:rsidRDefault="00E92DBE">
      <w:pPr>
        <w:jc w:val="both"/>
        <w:divId w:val="1269661249"/>
        <w:rPr>
          <w:rFonts w:eastAsia="Times New Roman"/>
        </w:rPr>
      </w:pPr>
      <w:r>
        <w:rPr>
          <w:rFonts w:eastAsia="Times New Roman"/>
          <w:color w:val="000000"/>
          <w:sz w:val="20"/>
          <w:szCs w:val="20"/>
        </w:rPr>
        <w:t>Market risk is the risk of economic loss in the value of our financial instruments due to changes in market factors. Our primary market risk exposures include interest rate risk, foreign exchange risk and commodity pricing risk. We are exposed to market ri</w:t>
      </w:r>
      <w:r>
        <w:rPr>
          <w:rFonts w:eastAsia="Times New Roman"/>
          <w:color w:val="000000"/>
          <w:sz w:val="20"/>
          <w:szCs w:val="20"/>
        </w:rPr>
        <w:t>sk primarily from the following operations and activities:</w:t>
      </w:r>
    </w:p>
    <w:p w:rsidR="00000000" w:rsidRDefault="00E92DBE">
      <w:pPr>
        <w:ind w:hanging="360"/>
        <w:jc w:val="both"/>
        <w:divId w:val="519899250"/>
        <w:rPr>
          <w:rFonts w:eastAsia="Times New Roman"/>
        </w:rPr>
      </w:pPr>
      <w:r>
        <w:rPr>
          <w:rFonts w:eastAsia="Times New Roman"/>
          <w:color w:val="000000"/>
          <w:sz w:val="20"/>
          <w:szCs w:val="20"/>
        </w:rPr>
        <w:t>•Traditional banking activities of deposit gathering and lending;</w:t>
      </w:r>
    </w:p>
    <w:p w:rsidR="00000000" w:rsidRDefault="00E92DBE">
      <w:pPr>
        <w:ind w:hanging="360"/>
        <w:jc w:val="both"/>
        <w:divId w:val="348457393"/>
        <w:rPr>
          <w:rFonts w:eastAsia="Times New Roman"/>
        </w:rPr>
      </w:pPr>
      <w:r>
        <w:rPr>
          <w:rFonts w:eastAsia="Times New Roman"/>
          <w:color w:val="000000"/>
          <w:sz w:val="20"/>
          <w:szCs w:val="20"/>
        </w:rPr>
        <w:t>•Asset/liability management activities including the management of investment securities, short-term and long-term borrowings and d</w:t>
      </w:r>
      <w:r>
        <w:rPr>
          <w:rFonts w:eastAsia="Times New Roman"/>
          <w:color w:val="000000"/>
          <w:sz w:val="20"/>
          <w:szCs w:val="20"/>
        </w:rPr>
        <w:t>erivatives;</w:t>
      </w:r>
    </w:p>
    <w:p w:rsidR="00000000" w:rsidRDefault="00E92DBE">
      <w:pPr>
        <w:ind w:hanging="360"/>
        <w:jc w:val="both"/>
        <w:divId w:val="1306201506"/>
        <w:rPr>
          <w:rFonts w:eastAsia="Times New Roman"/>
        </w:rPr>
      </w:pPr>
      <w:r>
        <w:rPr>
          <w:rFonts w:eastAsia="Times New Roman"/>
          <w:color w:val="000000"/>
          <w:sz w:val="20"/>
          <w:szCs w:val="20"/>
        </w:rPr>
        <w:t>•Foreign operations in the U.K. and Canada within our Credit Card business; and</w:t>
      </w:r>
    </w:p>
    <w:p w:rsidR="00000000" w:rsidRDefault="00E92DBE">
      <w:pPr>
        <w:ind w:hanging="360"/>
        <w:jc w:val="both"/>
        <w:divId w:val="389425589"/>
        <w:rPr>
          <w:rFonts w:eastAsia="Times New Roman"/>
        </w:rPr>
      </w:pPr>
      <w:r>
        <w:rPr>
          <w:rFonts w:eastAsia="Times New Roman"/>
          <w:color w:val="000000"/>
          <w:sz w:val="20"/>
          <w:szCs w:val="20"/>
        </w:rPr>
        <w:t>•Customer accommodation activities within our Commercial Banking business.</w:t>
      </w:r>
    </w:p>
    <w:p w:rsidR="00000000" w:rsidRDefault="00E92DBE">
      <w:pPr>
        <w:jc w:val="both"/>
        <w:divId w:val="238829684"/>
        <w:rPr>
          <w:rFonts w:eastAsia="Times New Roman"/>
        </w:rPr>
      </w:pPr>
      <w:r>
        <w:rPr>
          <w:rFonts w:eastAsia="Times New Roman"/>
          <w:color w:val="000000"/>
          <w:sz w:val="20"/>
          <w:szCs w:val="20"/>
        </w:rPr>
        <w:t>We have enterprise-wide risk management policies and limits, approved by our Board of Dir</w:t>
      </w:r>
      <w:r>
        <w:rPr>
          <w:rFonts w:eastAsia="Times New Roman"/>
          <w:color w:val="000000"/>
          <w:sz w:val="20"/>
          <w:szCs w:val="20"/>
        </w:rPr>
        <w:t>ectors, which govern our market risk management activities. Our objective is to manage our exposure to market risk in accordance with these policies and limits based on prevailing market conditions and long-term expectations. We provide additional informat</w:t>
      </w:r>
      <w:r>
        <w:rPr>
          <w:rFonts w:eastAsia="Times New Roman"/>
          <w:color w:val="000000"/>
          <w:sz w:val="20"/>
          <w:szCs w:val="20"/>
        </w:rPr>
        <w:t>ion below about our primary sources of market risk, our market risk management strategies and the measures that we use to evaluate these exposures.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47091901"/>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847091901"/>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847091901"/>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50</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75" style="width:0;height:1.5pt" o:hralign="center" o:hrstd="t" o:hr="t" fillcolor="#a0a0a0" stroked="f"/>
        </w:pict>
      </w:r>
    </w:p>
    <w:p w:rsidR="00000000" w:rsidRDefault="00E92DBE">
      <w:pPr>
        <w:ind w:hanging="360"/>
        <w:jc w:val="both"/>
        <w:divId w:val="1620603647"/>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1234043774"/>
        <w:rPr>
          <w:rFonts w:eastAsia="Times New Roman"/>
        </w:rPr>
      </w:pPr>
      <w:r>
        <w:rPr>
          <w:rFonts w:eastAsia="Times New Roman"/>
          <w:b/>
          <w:bCs/>
          <w:color w:val="000000"/>
          <w:sz w:val="20"/>
          <w:szCs w:val="20"/>
        </w:rPr>
        <w:t>Interest Rate Risk</w:t>
      </w:r>
    </w:p>
    <w:p w:rsidR="00000000" w:rsidRDefault="00E92DBE">
      <w:pPr>
        <w:jc w:val="both"/>
        <w:divId w:val="2059435106"/>
        <w:rPr>
          <w:rFonts w:eastAsia="Times New Roman"/>
        </w:rPr>
      </w:pPr>
      <w:r>
        <w:rPr>
          <w:rFonts w:eastAsia="Times New Roman"/>
          <w:color w:val="000000"/>
          <w:sz w:val="20"/>
          <w:szCs w:val="20"/>
        </w:rPr>
        <w:t>Interest rate risk represents exposure to financial instruments whose values vary with the level or volatility of interest ra</w:t>
      </w:r>
      <w:r>
        <w:rPr>
          <w:rFonts w:eastAsia="Times New Roman"/>
          <w:color w:val="000000"/>
          <w:sz w:val="20"/>
          <w:szCs w:val="20"/>
        </w:rPr>
        <w:t>tes. We are exposed to interest rate risk primarily from the differences in the timing between the maturities or re-pricing of assets and liabilities. We manage our interest rate risk primarily by entering into interest rate swaps and other derivative inst</w:t>
      </w:r>
      <w:r>
        <w:rPr>
          <w:rFonts w:eastAsia="Times New Roman"/>
          <w:color w:val="000000"/>
          <w:sz w:val="20"/>
          <w:szCs w:val="20"/>
        </w:rPr>
        <w:t xml:space="preserve">ruments, including caps, floors, options, futures and forward contracts. </w:t>
      </w:r>
    </w:p>
    <w:p w:rsidR="00000000" w:rsidRDefault="00E92DBE">
      <w:pPr>
        <w:jc w:val="both"/>
        <w:divId w:val="1673337947"/>
        <w:rPr>
          <w:rFonts w:eastAsia="Times New Roman"/>
        </w:rPr>
      </w:pPr>
      <w:r>
        <w:rPr>
          <w:rFonts w:eastAsia="Times New Roman"/>
          <w:color w:val="000000"/>
          <w:sz w:val="20"/>
          <w:szCs w:val="20"/>
        </w:rPr>
        <w:t xml:space="preserve">We use various industry standard market risk measurement techniques and analyses to measure, assess and manage the impact of changes in interest rates on our net interest income and </w:t>
      </w:r>
      <w:r>
        <w:rPr>
          <w:rFonts w:eastAsia="Times New Roman"/>
          <w:color w:val="000000"/>
          <w:sz w:val="20"/>
          <w:szCs w:val="20"/>
        </w:rPr>
        <w:t>our economic value of equity and changes in foreign exchange rates on our non-dollar-denominated funding and non-dollar equity investments in foreign operations.</w:t>
      </w:r>
    </w:p>
    <w:p w:rsidR="00000000" w:rsidRDefault="00E92DBE">
      <w:pPr>
        <w:divId w:val="1474718742"/>
        <w:rPr>
          <w:rFonts w:eastAsia="Times New Roman"/>
        </w:rPr>
      </w:pPr>
      <w:r>
        <w:rPr>
          <w:rFonts w:eastAsia="Times New Roman"/>
          <w:b/>
          <w:bCs/>
          <w:i/>
          <w:iCs/>
          <w:color w:val="000000"/>
          <w:sz w:val="20"/>
          <w:szCs w:val="20"/>
        </w:rPr>
        <w:t>Net Interest Income Sensitivity</w:t>
      </w:r>
    </w:p>
    <w:p w:rsidR="00000000" w:rsidRDefault="00E92DBE">
      <w:pPr>
        <w:jc w:val="both"/>
        <w:divId w:val="598802481"/>
        <w:rPr>
          <w:rFonts w:eastAsia="Times New Roman"/>
        </w:rPr>
      </w:pPr>
      <w:r>
        <w:rPr>
          <w:rFonts w:eastAsia="Times New Roman"/>
          <w:color w:val="000000"/>
          <w:sz w:val="20"/>
          <w:szCs w:val="20"/>
        </w:rPr>
        <w:t>Our net interest income sensitivity measure estimates the impact on our projected 12-month baseline interest rate-sensitive revenue resulting from movements in interest rates. Interest rate-sensitive revenue consists of net interest income and certain comp</w:t>
      </w:r>
      <w:r>
        <w:rPr>
          <w:rFonts w:eastAsia="Times New Roman"/>
          <w:color w:val="000000"/>
          <w:sz w:val="20"/>
          <w:szCs w:val="20"/>
        </w:rPr>
        <w:t>onents of other non-interest income significantly impacted by movements in interest rates, including changes in the fair value of freestanding interest rate derivatives. In addition to our existing assets and liabilities, we incorporate expected future bus</w:t>
      </w:r>
      <w:r>
        <w:rPr>
          <w:rFonts w:eastAsia="Times New Roman"/>
          <w:color w:val="000000"/>
          <w:sz w:val="20"/>
          <w:szCs w:val="20"/>
        </w:rPr>
        <w:t>iness growth assumptions, such as loan and deposit growth and pricing, and plans for projected changes in our funding mix in our baseline forecast. In measuring the sensitivity of interest rate movements on our projected interest rate-sensitive revenue, we</w:t>
      </w:r>
      <w:r>
        <w:rPr>
          <w:rFonts w:eastAsia="Times New Roman"/>
          <w:color w:val="000000"/>
          <w:sz w:val="20"/>
          <w:szCs w:val="20"/>
        </w:rPr>
        <w:t xml:space="preserve"> assume a hypothetical instantaneous parallel shift in the level of interest rates detailed in Table 36 below. At the current level of interest rates, our interest rate sensitive revenue is expected to increase in higher rate scenarios and decrease modestl</w:t>
      </w:r>
      <w:r>
        <w:rPr>
          <w:rFonts w:eastAsia="Times New Roman"/>
          <w:color w:val="000000"/>
          <w:sz w:val="20"/>
          <w:szCs w:val="20"/>
        </w:rPr>
        <w:t xml:space="preserve">y in lower rate scenarios. Our current sensitivity to upward shocks has decreased as compared to December 31, 2020, mainly due to the increase in long-term interest rates. </w:t>
      </w:r>
    </w:p>
    <w:p w:rsidR="00000000" w:rsidRDefault="00E92DBE">
      <w:pPr>
        <w:divId w:val="1721052337"/>
        <w:rPr>
          <w:rFonts w:eastAsia="Times New Roman"/>
        </w:rPr>
      </w:pPr>
      <w:r>
        <w:rPr>
          <w:rFonts w:eastAsia="Times New Roman"/>
          <w:b/>
          <w:bCs/>
          <w:i/>
          <w:iCs/>
          <w:color w:val="000000"/>
          <w:sz w:val="20"/>
          <w:szCs w:val="20"/>
        </w:rPr>
        <w:t>Economic Value of Equity</w:t>
      </w:r>
    </w:p>
    <w:p w:rsidR="00000000" w:rsidRDefault="00E92DBE">
      <w:pPr>
        <w:jc w:val="both"/>
        <w:divId w:val="461268866"/>
        <w:rPr>
          <w:rFonts w:eastAsia="Times New Roman"/>
        </w:rPr>
      </w:pPr>
      <w:r>
        <w:rPr>
          <w:rFonts w:eastAsia="Times New Roman"/>
          <w:color w:val="000000"/>
          <w:sz w:val="20"/>
          <w:szCs w:val="20"/>
        </w:rPr>
        <w:t>Our economic value of equity sensitivity measure estimates</w:t>
      </w:r>
      <w:r>
        <w:rPr>
          <w:rFonts w:eastAsia="Times New Roman"/>
          <w:color w:val="000000"/>
          <w:sz w:val="20"/>
          <w:szCs w:val="20"/>
        </w:rPr>
        <w:t xml:space="preserve"> the impact on the net present value of our assets and liabilities, including derivative exposures, resulting from movements in interest rates. Our economic value of equity sensitivity measure is calculated based on our existing assets and liabilities, inc</w:t>
      </w:r>
      <w:r>
        <w:rPr>
          <w:rFonts w:eastAsia="Times New Roman"/>
          <w:color w:val="000000"/>
          <w:sz w:val="20"/>
          <w:szCs w:val="20"/>
        </w:rPr>
        <w:t>luding derivatives, and does not incorporate business growth assumptions or projected balance sheet changes. Key assumptions used in the calculation include projecting rate sensitive prepayments for mortgage securities, loans and other assets, term structu</w:t>
      </w:r>
      <w:r>
        <w:rPr>
          <w:rFonts w:eastAsia="Times New Roman"/>
          <w:color w:val="000000"/>
          <w:sz w:val="20"/>
          <w:szCs w:val="20"/>
        </w:rPr>
        <w:t>re modeling of interest rates, discount spreads, and deposit volume and pricing assumptions. In measuring the sensitivity of interest rate movements on our economic value of equity, we assume a hypothetical instantaneous parallel shift in the level of inte</w:t>
      </w:r>
      <w:r>
        <w:rPr>
          <w:rFonts w:eastAsia="Times New Roman"/>
          <w:color w:val="000000"/>
          <w:sz w:val="20"/>
          <w:szCs w:val="20"/>
        </w:rPr>
        <w:t>rest rates detailed in Table 36 below. Our current economic value of equity sensitivity profile demonstrates that our economic value of equity increasing in moderately higher interest rate scenarios (+50 and +100 bps), while decreasing in a more extreme hi</w:t>
      </w:r>
      <w:r>
        <w:rPr>
          <w:rFonts w:eastAsia="Times New Roman"/>
          <w:color w:val="000000"/>
          <w:sz w:val="20"/>
          <w:szCs w:val="20"/>
        </w:rPr>
        <w:t>gher interest rate scenario (+200 bps) and a lower interest rate scenario (-50 bps). Similar to the changes in net interest income sensitivity, our current economic value of equity sensitivity to upward shocks has also decreased as compared to December 31,</w:t>
      </w:r>
      <w:r>
        <w:rPr>
          <w:rFonts w:eastAsia="Times New Roman"/>
          <w:color w:val="000000"/>
          <w:sz w:val="20"/>
          <w:szCs w:val="20"/>
        </w:rPr>
        <w:t xml:space="preserve"> 2020 mainly due to the increase in long term interest rates. </w:t>
      </w:r>
    </w:p>
    <w:p w:rsidR="00000000" w:rsidRDefault="00E92DBE">
      <w:pPr>
        <w:jc w:val="both"/>
        <w:divId w:val="2050496128"/>
        <w:rPr>
          <w:rFonts w:eastAsia="Times New Roman"/>
        </w:rPr>
      </w:pPr>
      <w:r>
        <w:rPr>
          <w:rFonts w:eastAsia="Times New Roman"/>
          <w:color w:val="000000"/>
          <w:sz w:val="20"/>
          <w:szCs w:val="20"/>
        </w:rPr>
        <w:t>Table 36 shows the estimated percentage impact on our projected baseline net interest income and economic value of equity calculated under the methodology described above as of March 31, 2021 a</w:t>
      </w:r>
      <w:r>
        <w:rPr>
          <w:rFonts w:eastAsia="Times New Roman"/>
          <w:color w:val="000000"/>
          <w:sz w:val="20"/>
          <w:szCs w:val="20"/>
        </w:rPr>
        <w:t>nd December 31, 2020. In instances where an interest rate scenario would result in a rate less than 0%, we assume a rate of 0% for that scenario. This assumption applies only to jurisdictions that do not have negative policy rates. In jurisdictions that ha</w:t>
      </w:r>
      <w:r>
        <w:rPr>
          <w:rFonts w:eastAsia="Times New Roman"/>
          <w:color w:val="000000"/>
          <w:sz w:val="20"/>
          <w:szCs w:val="20"/>
        </w:rPr>
        <w:t>ve negative policy rates, we do not floor interest rates at 0%.</w:t>
      </w:r>
    </w:p>
    <w:p w:rsidR="00000000" w:rsidRDefault="00E92DBE">
      <w:pPr>
        <w:jc w:val="both"/>
        <w:divId w:val="120189364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97879864"/>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997879864"/>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997879864"/>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51</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76" style="width:0;height:1.5pt" o:hralign="center" o:hrstd="t" o:hr="t" fillcolor="#a0a0a0" stroked="f"/>
        </w:pict>
      </w:r>
    </w:p>
    <w:p w:rsidR="00000000" w:rsidRDefault="00E92DBE">
      <w:pPr>
        <w:ind w:hanging="360"/>
        <w:jc w:val="both"/>
        <w:divId w:val="430205932"/>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488132990"/>
        <w:rPr>
          <w:rFonts w:eastAsia="Times New Roman"/>
        </w:rPr>
      </w:pPr>
      <w:r>
        <w:rPr>
          <w:rFonts w:eastAsia="Times New Roman"/>
          <w:b/>
          <w:bCs/>
          <w:color w:val="000000"/>
          <w:sz w:val="18"/>
          <w:szCs w:val="18"/>
        </w:rPr>
        <w:t>Table 36: Interest Rate Sensitivity Analysis</w:t>
      </w:r>
    </w:p>
    <w:tbl>
      <w:tblPr>
        <w:tblW w:w="4992" w:type="pct"/>
        <w:tblCellMar>
          <w:top w:w="15" w:type="dxa"/>
          <w:left w:w="15" w:type="dxa"/>
          <w:bottom w:w="15" w:type="dxa"/>
          <w:right w:w="15" w:type="dxa"/>
        </w:tblCellMar>
        <w:tblLook w:val="04A0" w:firstRow="1" w:lastRow="0" w:firstColumn="1" w:lastColumn="0" w:noHBand="0" w:noVBand="1"/>
      </w:tblPr>
      <w:tblGrid>
        <w:gridCol w:w="37"/>
        <w:gridCol w:w="6219"/>
        <w:gridCol w:w="36"/>
        <w:gridCol w:w="36"/>
        <w:gridCol w:w="36"/>
        <w:gridCol w:w="36"/>
        <w:gridCol w:w="48"/>
        <w:gridCol w:w="640"/>
        <w:gridCol w:w="200"/>
        <w:gridCol w:w="36"/>
        <w:gridCol w:w="36"/>
        <w:gridCol w:w="36"/>
        <w:gridCol w:w="69"/>
        <w:gridCol w:w="658"/>
        <w:gridCol w:w="170"/>
      </w:tblGrid>
      <w:tr w:rsidR="00000000">
        <w:trPr>
          <w:divId w:val="146551421"/>
        </w:trPr>
        <w:tc>
          <w:tcPr>
            <w:tcW w:w="50" w:type="pct"/>
            <w:vAlign w:val="center"/>
            <w:hideMark/>
          </w:tcPr>
          <w:p w:rsidR="00000000" w:rsidRDefault="00E92DBE">
            <w:pPr>
              <w:rPr>
                <w:rFonts w:eastAsia="Times New Roman"/>
              </w:rPr>
            </w:pPr>
          </w:p>
        </w:tc>
        <w:tc>
          <w:tcPr>
            <w:tcW w:w="380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46551421"/>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14655142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Estimated impact on projected baseline net 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46551421"/>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+200 basis points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center"/>
            <w:hideMark/>
          </w:tcPr>
          <w:p w:rsidR="00000000" w:rsidRDefault="00E92DBE">
            <w:pPr>
              <w:rPr>
                <w:rFonts w:eastAsia="Times New Roman"/>
              </w:rPr>
            </w:pPr>
            <w:r>
              <w:rPr>
                <w:rFonts w:eastAsia="Times New Roman"/>
                <w:color w:val="000000"/>
                <w:sz w:val="18"/>
                <w:szCs w:val="18"/>
              </w:rPr>
              <w:t>%</w:t>
            </w:r>
          </w:p>
        </w:tc>
      </w:tr>
      <w:tr w:rsidR="00000000">
        <w:trPr>
          <w:divId w:val="146551421"/>
        </w:trPr>
        <w:tc>
          <w:tcPr>
            <w:tcW w:w="0" w:type="auto"/>
            <w:gridSpan w:val="3"/>
            <w:vAlign w:val="center"/>
            <w:hideMark/>
          </w:tcPr>
          <w:p w:rsidR="00000000" w:rsidRDefault="00E92DBE">
            <w:pP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6551421"/>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+100 basis points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46551421"/>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+50 basis points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46551421"/>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–50 basis points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46551421"/>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655142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655142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655142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Estimated impact on economic value of equity: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46551421"/>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+200 basis points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46551421"/>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6551421"/>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+100 basis points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46551421"/>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+50 basis points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46551421"/>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–50 basis points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46551421"/>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655142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655142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jc w:val="both"/>
        <w:divId w:val="1808159141"/>
        <w:rPr>
          <w:rFonts w:eastAsia="Times New Roman"/>
        </w:rPr>
      </w:pPr>
      <w:r>
        <w:rPr>
          <w:rFonts w:eastAsia="Times New Roman"/>
          <w:color w:val="000000"/>
          <w:sz w:val="20"/>
          <w:szCs w:val="20"/>
        </w:rPr>
        <w:t>In addition to these industry standard measures, we also consider the potential impact of alternative interest rate scenarios, such as stressed rate shocks as well as steepening and flattening yield curve scenarios in our internal interest rate risk manage</w:t>
      </w:r>
      <w:r>
        <w:rPr>
          <w:rFonts w:eastAsia="Times New Roman"/>
          <w:color w:val="000000"/>
          <w:sz w:val="20"/>
          <w:szCs w:val="20"/>
        </w:rPr>
        <w:t>ment decisions.</w:t>
      </w:r>
    </w:p>
    <w:p w:rsidR="00000000" w:rsidRDefault="00E92DBE">
      <w:pPr>
        <w:divId w:val="918637502"/>
        <w:rPr>
          <w:rFonts w:eastAsia="Times New Roman"/>
        </w:rPr>
      </w:pPr>
      <w:r>
        <w:rPr>
          <w:rFonts w:eastAsia="Times New Roman"/>
          <w:b/>
          <w:bCs/>
          <w:i/>
          <w:iCs/>
          <w:color w:val="000000"/>
          <w:sz w:val="20"/>
          <w:szCs w:val="20"/>
        </w:rPr>
        <w:t>Limitations of Market Risk Measures</w:t>
      </w:r>
    </w:p>
    <w:p w:rsidR="00000000" w:rsidRDefault="00E92DBE">
      <w:pPr>
        <w:jc w:val="both"/>
        <w:divId w:val="1596865745"/>
        <w:rPr>
          <w:rFonts w:eastAsia="Times New Roman"/>
        </w:rPr>
      </w:pPr>
      <w:r>
        <w:rPr>
          <w:rFonts w:eastAsia="Times New Roman"/>
          <w:color w:val="000000"/>
          <w:sz w:val="20"/>
          <w:szCs w:val="20"/>
        </w:rPr>
        <w:t>The interest rate risk models that we use in deriving these measures incorporate contractual information, internally-developed assumptions and proprietary modeling methodologies, which project borrower an</w:t>
      </w:r>
      <w:r>
        <w:rPr>
          <w:rFonts w:eastAsia="Times New Roman"/>
          <w:color w:val="000000"/>
          <w:sz w:val="20"/>
          <w:szCs w:val="20"/>
        </w:rPr>
        <w:t>d depositor behavior patterns in certain interest rate environments. Other market inputs, such as interest rates, market prices and interest rate volatility, are also critical components of our interest rate risk measures. We regularly evaluate, update and</w:t>
      </w:r>
      <w:r>
        <w:rPr>
          <w:rFonts w:eastAsia="Times New Roman"/>
          <w:color w:val="000000"/>
          <w:sz w:val="20"/>
          <w:szCs w:val="20"/>
        </w:rPr>
        <w:t xml:space="preserve"> enhance these assumptions, models and analytical tools as we believe appropriate to reflect our best assessment of the market environment and the expected behavior patterns of our existing assets and liabilities.</w:t>
      </w:r>
    </w:p>
    <w:p w:rsidR="00000000" w:rsidRDefault="00E92DBE">
      <w:pPr>
        <w:jc w:val="both"/>
        <w:divId w:val="725179474"/>
        <w:rPr>
          <w:rFonts w:eastAsia="Times New Roman"/>
        </w:rPr>
      </w:pPr>
      <w:r>
        <w:rPr>
          <w:rFonts w:eastAsia="Times New Roman"/>
          <w:color w:val="000000"/>
          <w:sz w:val="20"/>
          <w:szCs w:val="20"/>
        </w:rPr>
        <w:t>There are inherent limitations in any meth</w:t>
      </w:r>
      <w:r>
        <w:rPr>
          <w:rFonts w:eastAsia="Times New Roman"/>
          <w:color w:val="000000"/>
          <w:sz w:val="20"/>
          <w:szCs w:val="20"/>
        </w:rPr>
        <w:t>odology used to estimate the exposure to changes in market interest rates. The sensitivity analysis described above contemplates only certain movements in interest rates and is performed at a particular point in time based on the existing balance sheet and</w:t>
      </w:r>
      <w:r>
        <w:rPr>
          <w:rFonts w:eastAsia="Times New Roman"/>
          <w:color w:val="000000"/>
          <w:sz w:val="20"/>
          <w:szCs w:val="20"/>
        </w:rPr>
        <w:t>, in some cases, expected future business growth and funding mix assumptions. The strategic actions that management may take to manage our balance sheet may differ significantly from our projections, which could cause our actual earnings and economic value</w:t>
      </w:r>
      <w:r>
        <w:rPr>
          <w:rFonts w:eastAsia="Times New Roman"/>
          <w:color w:val="000000"/>
          <w:sz w:val="20"/>
          <w:szCs w:val="20"/>
        </w:rPr>
        <w:t xml:space="preserve"> of equity sensitivities to differ substantially from the above sensitivity analysis.</w:t>
      </w:r>
    </w:p>
    <w:p w:rsidR="00000000" w:rsidRDefault="00E92DBE">
      <w:pPr>
        <w:jc w:val="both"/>
        <w:divId w:val="1377004820"/>
        <w:rPr>
          <w:rFonts w:eastAsia="Times New Roman"/>
        </w:rPr>
      </w:pPr>
      <w:r>
        <w:rPr>
          <w:rFonts w:eastAsia="Times New Roman"/>
          <w:color w:val="000000"/>
          <w:sz w:val="20"/>
          <w:szCs w:val="20"/>
        </w:rPr>
        <w:t xml:space="preserve">For further information on our interest rate exposures, see “Note 8—Derivative Instruments and Hedging Activities.” </w:t>
      </w:r>
    </w:p>
    <w:p w:rsidR="00000000" w:rsidRDefault="00E92DBE">
      <w:pPr>
        <w:divId w:val="911233227"/>
        <w:rPr>
          <w:rFonts w:eastAsia="Times New Roman"/>
        </w:rPr>
      </w:pPr>
      <w:r>
        <w:rPr>
          <w:rFonts w:eastAsia="Times New Roman"/>
          <w:b/>
          <w:bCs/>
          <w:color w:val="000000"/>
          <w:sz w:val="20"/>
          <w:szCs w:val="20"/>
        </w:rPr>
        <w:t>Foreign Exchange Risk</w:t>
      </w:r>
    </w:p>
    <w:p w:rsidR="00000000" w:rsidRDefault="00E92DBE">
      <w:pPr>
        <w:jc w:val="both"/>
        <w:divId w:val="591205165"/>
        <w:rPr>
          <w:rFonts w:eastAsia="Times New Roman"/>
        </w:rPr>
      </w:pPr>
      <w:r>
        <w:rPr>
          <w:rFonts w:eastAsia="Times New Roman"/>
          <w:color w:val="000000"/>
          <w:sz w:val="20"/>
          <w:szCs w:val="20"/>
        </w:rPr>
        <w:t>Foreign exchange risk represents exposure to changes in the values of current holdings and future cash flows denominated in other currencies. We are exposed to foreign exchange risk primarily from the intercompany funding denominated in pound sterling (“GB</w:t>
      </w:r>
      <w:r>
        <w:rPr>
          <w:rFonts w:eastAsia="Times New Roman"/>
          <w:color w:val="000000"/>
          <w:sz w:val="20"/>
          <w:szCs w:val="20"/>
        </w:rPr>
        <w:t xml:space="preserve">P”) and the Canadian dollar (“CAD”) that we provide to our businesses in the U.K. and Canada and net equity investments in those businesses. We are also exposed to foreign exchange risk due to changes in the dollar-denominated value of future earnings and </w:t>
      </w:r>
      <w:r>
        <w:rPr>
          <w:rFonts w:eastAsia="Times New Roman"/>
          <w:color w:val="000000"/>
          <w:sz w:val="20"/>
          <w:szCs w:val="20"/>
        </w:rPr>
        <w:t>cash flows from our foreign operations and from our Euro (“EUR”)-denominated borrowings.</w:t>
      </w:r>
    </w:p>
    <w:p w:rsidR="00000000" w:rsidRDefault="00E92DBE">
      <w:pPr>
        <w:jc w:val="both"/>
        <w:divId w:val="1009403733"/>
        <w:rPr>
          <w:rFonts w:eastAsia="Times New Roman"/>
        </w:rPr>
      </w:pPr>
      <w:r>
        <w:rPr>
          <w:rFonts w:eastAsia="Times New Roman"/>
          <w:color w:val="000000"/>
          <w:sz w:val="20"/>
          <w:szCs w:val="20"/>
        </w:rPr>
        <w:t>Our non-dollar denominated intercompany funding and EUR-denominated borrowings expose our earnings to foreign exchange transaction risk. We manage these transaction ri</w:t>
      </w:r>
      <w:r>
        <w:rPr>
          <w:rFonts w:eastAsia="Times New Roman"/>
          <w:color w:val="000000"/>
          <w:sz w:val="20"/>
          <w:szCs w:val="20"/>
        </w:rPr>
        <w:t>sks by using forward foreign currency derivatives and cross-currency swaps to hedge our exposures. We measure our foreign exchange transaction risk exposures by applying a 1% U.S. dollar appreciation shock against the value of the non-dollar denominated in</w:t>
      </w:r>
      <w:r>
        <w:rPr>
          <w:rFonts w:eastAsia="Times New Roman"/>
          <w:color w:val="000000"/>
          <w:sz w:val="20"/>
          <w:szCs w:val="20"/>
        </w:rPr>
        <w:t>tercompany funding and EUR-denominated borrowings and their related hedges, which shows the impact to our earnings from foreign exchange risk. Our intercompany funding outstanding was 210 million GBP and 320 million GBP as of March 31, 2021 and December 31</w:t>
      </w:r>
      <w:r>
        <w:rPr>
          <w:rFonts w:eastAsia="Times New Roman"/>
          <w:color w:val="000000"/>
          <w:sz w:val="20"/>
          <w:szCs w:val="20"/>
        </w:rPr>
        <w:t>, 2020, respectively, and 4.8 billion CAD and 5.3 billion CAD as of March 31, 2021 and December 31, 2020, respectively. Our EUR-denominated borrowings outstanding were 1.3 billion EUR as of both March 31, 2021 and December 31,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45112615"/>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645112615"/>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645112615"/>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52</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77" style="width:0;height:1.5pt" o:hralign="center" o:hrstd="t" o:hr="t" fillcolor="#a0a0a0" stroked="f"/>
        </w:pict>
      </w:r>
    </w:p>
    <w:p w:rsidR="00000000" w:rsidRDefault="00E92DBE">
      <w:pPr>
        <w:ind w:hanging="360"/>
        <w:jc w:val="both"/>
        <w:divId w:val="1183739317"/>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238056506"/>
        <w:rPr>
          <w:rFonts w:eastAsia="Times New Roman"/>
        </w:rPr>
      </w:pPr>
      <w:r>
        <w:rPr>
          <w:rFonts w:eastAsia="Times New Roman"/>
          <w:color w:val="000000"/>
          <w:sz w:val="20"/>
          <w:szCs w:val="20"/>
        </w:rPr>
        <w:t>Our non-dollar equity investments in foreign operations expose our balance sheet to translation risk in AOCI and our capital ratios. We manage o</w:t>
      </w:r>
      <w:r>
        <w:rPr>
          <w:rFonts w:eastAsia="Times New Roman"/>
          <w:color w:val="000000"/>
          <w:sz w:val="20"/>
          <w:szCs w:val="20"/>
        </w:rPr>
        <w:t xml:space="preserve">ur AOCI exposure by entering into foreign currency derivatives designated as net investment hedges. We measure these exposures by applying a 30% U.S. dollar appreciation shock, which we believe approximates a significant adverse shock over a one-year time </w:t>
      </w:r>
      <w:r>
        <w:rPr>
          <w:rFonts w:eastAsia="Times New Roman"/>
          <w:color w:val="000000"/>
          <w:sz w:val="20"/>
          <w:szCs w:val="20"/>
        </w:rPr>
        <w:t>horizon, against the value of the equity invested in our foreign operations net of related net investment hedges where applicable. Our gross equity exposures in our U.K. and Canadian operations were 1.7 billion GBP as of both March 31, 2021 and December 31</w:t>
      </w:r>
      <w:r>
        <w:rPr>
          <w:rFonts w:eastAsia="Times New Roman"/>
          <w:color w:val="000000"/>
          <w:sz w:val="20"/>
          <w:szCs w:val="20"/>
        </w:rPr>
        <w:t>, 2020 and 1.6 billion CAD and 1.5 billion CAD as of March 31, 2021 and December 31, 2020, respectively.</w:t>
      </w:r>
    </w:p>
    <w:p w:rsidR="00000000" w:rsidRDefault="00E92DBE">
      <w:pPr>
        <w:jc w:val="both"/>
        <w:divId w:val="215901421"/>
        <w:rPr>
          <w:rFonts w:eastAsia="Times New Roman"/>
        </w:rPr>
      </w:pPr>
      <w:r>
        <w:rPr>
          <w:rFonts w:eastAsia="Times New Roman"/>
          <w:color w:val="000000"/>
          <w:sz w:val="20"/>
          <w:szCs w:val="20"/>
        </w:rPr>
        <w:t>As a result of our derivative management activities, we believe our net exposure to foreign exchange risk is minimal.</w:t>
      </w:r>
    </w:p>
    <w:p w:rsidR="00000000" w:rsidRDefault="00E92DBE">
      <w:pPr>
        <w:divId w:val="2114595887"/>
        <w:rPr>
          <w:rFonts w:eastAsia="Times New Roman"/>
        </w:rPr>
      </w:pPr>
      <w:r>
        <w:rPr>
          <w:rFonts w:eastAsia="Times New Roman"/>
          <w:b/>
          <w:bCs/>
          <w:color w:val="000000"/>
          <w:sz w:val="20"/>
          <w:szCs w:val="20"/>
        </w:rPr>
        <w:t>Risk related to Customer Accommod</w:t>
      </w:r>
      <w:r>
        <w:rPr>
          <w:rFonts w:eastAsia="Times New Roman"/>
          <w:b/>
          <w:bCs/>
          <w:color w:val="000000"/>
          <w:sz w:val="20"/>
          <w:szCs w:val="20"/>
        </w:rPr>
        <w:t xml:space="preserve">ation Derivatives </w:t>
      </w:r>
    </w:p>
    <w:p w:rsidR="00000000" w:rsidRDefault="00E92DBE">
      <w:pPr>
        <w:jc w:val="both"/>
        <w:divId w:val="421995570"/>
        <w:rPr>
          <w:rFonts w:eastAsia="Times New Roman"/>
        </w:rPr>
      </w:pPr>
      <w:r>
        <w:rPr>
          <w:rFonts w:eastAsia="Times New Roman"/>
          <w:color w:val="000000"/>
          <w:sz w:val="20"/>
          <w:szCs w:val="20"/>
        </w:rPr>
        <w:t>We offer interest rate, commodity and foreign currency derivatives as an accommodation to our customers within our Commercial Banking business. We offset the majority of the market risk of these customer accommodation derivatives by entering into offsettin</w:t>
      </w:r>
      <w:r>
        <w:rPr>
          <w:rFonts w:eastAsia="Times New Roman"/>
          <w:color w:val="000000"/>
          <w:sz w:val="20"/>
          <w:szCs w:val="20"/>
        </w:rPr>
        <w:t>g derivatives transactions with other counterparties. We use value-at-risk (“VaR”) as the primary method to measure the market risk in our customer accommodation derivative activities on a daily basis. VaR is a statistical risk measure used to estimate the</w:t>
      </w:r>
      <w:r>
        <w:rPr>
          <w:rFonts w:eastAsia="Times New Roman"/>
          <w:color w:val="000000"/>
          <w:sz w:val="20"/>
          <w:szCs w:val="20"/>
        </w:rPr>
        <w:t xml:space="preserve"> potential loss from movements observed in the recent market environment. We employ a historical simulation approach using the most recent 500 business days and use a 99 percent confidence level and a holding period of one business day. As a result of offs</w:t>
      </w:r>
      <w:r>
        <w:rPr>
          <w:rFonts w:eastAsia="Times New Roman"/>
          <w:color w:val="000000"/>
          <w:sz w:val="20"/>
          <w:szCs w:val="20"/>
        </w:rPr>
        <w:t>etting our customer exposures with other counterparties, we believe that our net exposure to market risk in our customer accommodation derivatives is minimal. For further information on our risk related to customer accommodation derivatives, see “Note 8—De</w:t>
      </w:r>
      <w:r>
        <w:rPr>
          <w:rFonts w:eastAsia="Times New Roman"/>
          <w:color w:val="000000"/>
          <w:sz w:val="20"/>
          <w:szCs w:val="20"/>
        </w:rPr>
        <w:t>rivative Instruments and Hedging Activities.”</w:t>
      </w:r>
    </w:p>
    <w:p w:rsidR="00000000" w:rsidRDefault="00E92DBE">
      <w:pPr>
        <w:divId w:val="897202431"/>
        <w:rPr>
          <w:rFonts w:eastAsia="Times New Roman"/>
        </w:rPr>
      </w:pPr>
      <w:r>
        <w:rPr>
          <w:rFonts w:eastAsia="Times New Roman"/>
          <w:b/>
          <w:bCs/>
          <w:color w:val="000000"/>
          <w:sz w:val="20"/>
          <w:szCs w:val="20"/>
        </w:rPr>
        <w:t>London Interbank Offered Rate (“LIBOR”) Transition</w:t>
      </w:r>
    </w:p>
    <w:p w:rsidR="00000000" w:rsidRDefault="00E92DBE">
      <w:pPr>
        <w:jc w:val="both"/>
        <w:divId w:val="831214766"/>
        <w:rPr>
          <w:rFonts w:eastAsia="Times New Roman"/>
        </w:rPr>
      </w:pPr>
      <w:r>
        <w:rPr>
          <w:rFonts w:eastAsia="Times New Roman"/>
          <w:color w:val="000000"/>
          <w:sz w:val="20"/>
          <w:szCs w:val="20"/>
        </w:rPr>
        <w:t>On July 27, 2017, the U.K. Financial Conduct Authority (“FCA”), the regulator for the administration of LIBOR, announced that LIBOR would be transitioned as an</w:t>
      </w:r>
      <w:r>
        <w:rPr>
          <w:rFonts w:eastAsia="Times New Roman"/>
          <w:color w:val="000000"/>
          <w:sz w:val="20"/>
          <w:szCs w:val="20"/>
        </w:rPr>
        <w:t xml:space="preserve"> interest rate benchmark and that it will no longer compel banks to contribute LIBOR data beyond December 31, 2021. In the U.S., the Federal Reserve Board and the Federal Reserve Bank of New York established the Alternative Reference Rates Committee (“ARRC</w:t>
      </w:r>
      <w:r>
        <w:rPr>
          <w:rFonts w:eastAsia="Times New Roman"/>
          <w:color w:val="000000"/>
          <w:sz w:val="20"/>
          <w:szCs w:val="20"/>
        </w:rPr>
        <w:t xml:space="preserve">”), a group of private market participants and ex-officio members representing banking and financial sector regulators. The ARRC has recommended Secured Overnight Financing Rate (“SOFR”) as the preferred alternative rate for certain U.S. dollar derivative </w:t>
      </w:r>
      <w:r>
        <w:rPr>
          <w:rFonts w:eastAsia="Times New Roman"/>
          <w:color w:val="000000"/>
          <w:sz w:val="20"/>
          <w:szCs w:val="20"/>
        </w:rPr>
        <w:t>and cash instruments. While the ARRC has recommended SOFR as the replacement rate for LIBOR, some markets participants have begun using alternate rates featuring a credit-sensitive element. We are continuing to evaluate the different LIBOR alternatives and</w:t>
      </w:r>
      <w:r>
        <w:rPr>
          <w:rFonts w:eastAsia="Times New Roman"/>
          <w:color w:val="000000"/>
          <w:sz w:val="20"/>
          <w:szCs w:val="20"/>
        </w:rPr>
        <w:t xml:space="preserve"> how their progression will impact our transition efforts. </w:t>
      </w:r>
    </w:p>
    <w:p w:rsidR="00000000" w:rsidRDefault="00E92DBE">
      <w:pPr>
        <w:jc w:val="both"/>
        <w:divId w:val="1036587981"/>
        <w:rPr>
          <w:rFonts w:eastAsia="Times New Roman"/>
        </w:rPr>
      </w:pPr>
      <w:r>
        <w:rPr>
          <w:rFonts w:eastAsia="Times New Roman"/>
          <w:color w:val="000000"/>
          <w:sz w:val="20"/>
          <w:szCs w:val="20"/>
        </w:rPr>
        <w:t>On March 5, 2021, the ICE Benchmark Administration (“IBA”), the administrator of LIBOR, confirmed its intention to cease publication of the 1-week and 2-month USD LIBOR settings immediately follow</w:t>
      </w:r>
      <w:r>
        <w:rPr>
          <w:rFonts w:eastAsia="Times New Roman"/>
          <w:color w:val="000000"/>
          <w:sz w:val="20"/>
          <w:szCs w:val="20"/>
        </w:rPr>
        <w:t>ing the LIBOR publication on December 31, 2021, and the remaining USD LIBOR tenors (overnight 1, 3, 6, and 12 months) immediately following the LIBOR publication on June 30, 2023. The continuation of USD LIBOR as a representative rate into mid-2023 will al</w:t>
      </w:r>
      <w:r>
        <w:rPr>
          <w:rFonts w:eastAsia="Times New Roman"/>
          <w:color w:val="000000"/>
          <w:sz w:val="20"/>
          <w:szCs w:val="20"/>
        </w:rPr>
        <w:t>low many legacy USD LIBOR contracts to mature prior to cessation. Following IBA’s announcement, the FCA formally announced the future permanent cessation and loss of representativeness of LIBOR benchmarks.</w:t>
      </w:r>
    </w:p>
    <w:p w:rsidR="00000000" w:rsidRDefault="00E92DBE">
      <w:pPr>
        <w:jc w:val="both"/>
        <w:divId w:val="489096830"/>
        <w:rPr>
          <w:rFonts w:eastAsia="Times New Roman"/>
        </w:rPr>
      </w:pPr>
      <w:r>
        <w:rPr>
          <w:rFonts w:eastAsia="Times New Roman"/>
          <w:color w:val="000000"/>
          <w:sz w:val="20"/>
          <w:szCs w:val="20"/>
        </w:rPr>
        <w:t>We have exposures to LIBOR, including loans, deriv</w:t>
      </w:r>
      <w:r>
        <w:rPr>
          <w:rFonts w:eastAsia="Times New Roman"/>
          <w:color w:val="000000"/>
          <w:sz w:val="20"/>
          <w:szCs w:val="20"/>
        </w:rPr>
        <w:t>ative contracts, unsecured debt, securitizations, vendor agreements and other instruments with attributes that are either directly or indirectly dependent on LIBOR. To facilitate an orderly transition from LIBOR, we have established a company-wide, cross-f</w:t>
      </w:r>
      <w:r>
        <w:rPr>
          <w:rFonts w:eastAsia="Times New Roman"/>
          <w:color w:val="000000"/>
          <w:sz w:val="20"/>
          <w:szCs w:val="20"/>
        </w:rPr>
        <w:t xml:space="preserve">unctional initiative to oversee and manage our transition away from LIBOR and other Interbank Offered Rates (“IBORs”) to alternative reference rates. </w:t>
      </w:r>
    </w:p>
    <w:p w:rsidR="00000000" w:rsidRDefault="00E92DBE">
      <w:pPr>
        <w:jc w:val="both"/>
        <w:divId w:val="177547027"/>
        <w:rPr>
          <w:rFonts w:eastAsia="Times New Roman"/>
        </w:rPr>
      </w:pPr>
      <w:r>
        <w:rPr>
          <w:rFonts w:eastAsia="Times New Roman"/>
          <w:color w:val="000000"/>
          <w:sz w:val="20"/>
          <w:szCs w:val="20"/>
        </w:rPr>
        <w:t>We have made progress on our transition efforts as we continue to insert LIBOR transition language (“fall</w:t>
      </w:r>
      <w:r>
        <w:rPr>
          <w:rFonts w:eastAsia="Times New Roman"/>
          <w:color w:val="000000"/>
          <w:sz w:val="20"/>
          <w:szCs w:val="20"/>
        </w:rPr>
        <w:t>back language”) in new and existing lending contracts as well as fallback language in derivatives contracts and agreements that adheres to the International Swaps and Derivatives Association (“ISDA”) fallback protocol.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68848482"/>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768848482"/>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768848482"/>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53</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78" style="width:0;height:1.5pt" o:hralign="center" o:hrstd="t" o:hr="t" fillcolor="#a0a0a0" stroked="f"/>
        </w:pict>
      </w:r>
    </w:p>
    <w:p w:rsidR="00000000" w:rsidRDefault="00E92DBE">
      <w:pPr>
        <w:ind w:hanging="360"/>
        <w:jc w:val="both"/>
        <w:divId w:val="1477065336"/>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1564485484"/>
        <w:rPr>
          <w:rFonts w:eastAsia="Times New Roman"/>
        </w:rPr>
      </w:pPr>
      <w:r>
        <w:rPr>
          <w:rFonts w:eastAsia="Times New Roman"/>
          <w:color w:val="000000"/>
          <w:sz w:val="20"/>
          <w:szCs w:val="20"/>
        </w:rPr>
        <w:t>We also continue to focus our transition efforts on:</w:t>
      </w:r>
    </w:p>
    <w:p w:rsidR="00000000" w:rsidRDefault="00E92DBE">
      <w:pPr>
        <w:ind w:hanging="360"/>
        <w:divId w:val="1952545187"/>
        <w:rPr>
          <w:rFonts w:eastAsia="Times New Roman"/>
        </w:rPr>
      </w:pPr>
      <w:r>
        <w:rPr>
          <w:rFonts w:eastAsia="Times New Roman"/>
          <w:color w:val="000000"/>
          <w:sz w:val="20"/>
          <w:szCs w:val="20"/>
        </w:rPr>
        <w:t xml:space="preserve">•monitoring market developments related to SOFR and other LIBOR replacement indexes; </w:t>
      </w:r>
    </w:p>
    <w:p w:rsidR="00000000" w:rsidRDefault="00E92DBE">
      <w:pPr>
        <w:ind w:hanging="360"/>
        <w:divId w:val="81950610"/>
        <w:rPr>
          <w:rFonts w:eastAsia="Times New Roman"/>
        </w:rPr>
      </w:pPr>
      <w:r>
        <w:rPr>
          <w:rFonts w:eastAsia="Times New Roman"/>
          <w:color w:val="000000"/>
          <w:sz w:val="20"/>
          <w:szCs w:val="20"/>
        </w:rPr>
        <w:t>•orig</w:t>
      </w:r>
      <w:r>
        <w:rPr>
          <w:rFonts w:eastAsia="Times New Roman"/>
          <w:color w:val="000000"/>
          <w:sz w:val="20"/>
          <w:szCs w:val="20"/>
        </w:rPr>
        <w:t>inating SOFR-based loans and transacting in SOFR-linked instruments;</w:t>
      </w:r>
    </w:p>
    <w:p w:rsidR="00000000" w:rsidRDefault="00E92DBE">
      <w:pPr>
        <w:ind w:hanging="360"/>
        <w:divId w:val="1216086610"/>
        <w:rPr>
          <w:rFonts w:eastAsia="Times New Roman"/>
        </w:rPr>
      </w:pPr>
      <w:r>
        <w:rPr>
          <w:rFonts w:eastAsia="Times New Roman"/>
          <w:color w:val="000000"/>
          <w:sz w:val="20"/>
          <w:szCs w:val="20"/>
        </w:rPr>
        <w:t>•reviewing existing legal contracts and agreements and assessing fallback language impacts;</w:t>
      </w:r>
    </w:p>
    <w:p w:rsidR="00000000" w:rsidRDefault="00E92DBE">
      <w:pPr>
        <w:ind w:hanging="360"/>
        <w:divId w:val="505630110"/>
        <w:rPr>
          <w:rFonts w:eastAsia="Times New Roman"/>
        </w:rPr>
      </w:pPr>
      <w:r>
        <w:rPr>
          <w:rFonts w:eastAsia="Times New Roman"/>
          <w:color w:val="000000"/>
          <w:sz w:val="20"/>
          <w:szCs w:val="20"/>
        </w:rPr>
        <w:t>•</w:t>
      </w:r>
      <w:r>
        <w:rPr>
          <w:rFonts w:eastAsia="Times New Roman"/>
          <w:color w:val="000000"/>
          <w:sz w:val="20"/>
          <w:szCs w:val="20"/>
        </w:rPr>
        <w:t>monitoring and reducing our inventory of LIBOR exposures;</w:t>
      </w:r>
    </w:p>
    <w:p w:rsidR="00000000" w:rsidRDefault="00E92DBE">
      <w:pPr>
        <w:ind w:hanging="360"/>
        <w:divId w:val="1287085982"/>
        <w:rPr>
          <w:rFonts w:eastAsia="Times New Roman"/>
        </w:rPr>
      </w:pPr>
      <w:r>
        <w:rPr>
          <w:rFonts w:eastAsia="Times New Roman"/>
          <w:color w:val="000000"/>
          <w:sz w:val="20"/>
          <w:szCs w:val="20"/>
        </w:rPr>
        <w:t>•building internal operational readiness and risk management processes, including exposure reporting;</w:t>
      </w:r>
    </w:p>
    <w:p w:rsidR="00000000" w:rsidRDefault="00E92DBE">
      <w:pPr>
        <w:ind w:hanging="360"/>
        <w:divId w:val="1355300868"/>
        <w:rPr>
          <w:rFonts w:eastAsia="Times New Roman"/>
        </w:rPr>
      </w:pPr>
      <w:r>
        <w:rPr>
          <w:rFonts w:eastAsia="Times New Roman"/>
          <w:color w:val="000000"/>
          <w:sz w:val="20"/>
          <w:szCs w:val="20"/>
        </w:rPr>
        <w:t>•implementing necessary updates to our infrastructure including systems, models, valuation tools</w:t>
      </w:r>
      <w:r>
        <w:rPr>
          <w:rFonts w:eastAsia="Times New Roman"/>
          <w:color w:val="000000"/>
          <w:sz w:val="20"/>
          <w:szCs w:val="20"/>
        </w:rPr>
        <w:t xml:space="preserve"> and processes;</w:t>
      </w:r>
    </w:p>
    <w:p w:rsidR="00000000" w:rsidRDefault="00E92DBE">
      <w:pPr>
        <w:ind w:hanging="360"/>
        <w:divId w:val="2022510206"/>
        <w:rPr>
          <w:rFonts w:eastAsia="Times New Roman"/>
        </w:rPr>
      </w:pPr>
      <w:r>
        <w:rPr>
          <w:rFonts w:eastAsia="Times New Roman"/>
          <w:color w:val="000000"/>
          <w:sz w:val="20"/>
          <w:szCs w:val="20"/>
        </w:rPr>
        <w:t xml:space="preserve">•engaging with our clients, industry working groups, and regulators; and </w:t>
      </w:r>
    </w:p>
    <w:p w:rsidR="00000000" w:rsidRDefault="00E92DBE">
      <w:pPr>
        <w:ind w:hanging="360"/>
        <w:divId w:val="2052921956"/>
        <w:rPr>
          <w:rFonts w:eastAsia="Times New Roman"/>
        </w:rPr>
      </w:pPr>
      <w:r>
        <w:rPr>
          <w:rFonts w:eastAsia="Times New Roman"/>
          <w:color w:val="000000"/>
          <w:sz w:val="20"/>
          <w:szCs w:val="20"/>
        </w:rPr>
        <w:t>•monitoring developments associated with LIBOR alternatives and industry practices related to LIBOR-indexed instruments.</w:t>
      </w:r>
    </w:p>
    <w:p w:rsidR="00000000" w:rsidRDefault="00E92DBE">
      <w:pPr>
        <w:jc w:val="both"/>
        <w:divId w:val="174156565"/>
        <w:rPr>
          <w:rFonts w:eastAsia="Times New Roman"/>
        </w:rPr>
      </w:pPr>
      <w:r>
        <w:rPr>
          <w:rFonts w:eastAsia="Times New Roman"/>
          <w:color w:val="000000"/>
          <w:sz w:val="20"/>
          <w:szCs w:val="20"/>
        </w:rPr>
        <w:t>For a further discussion of the various risks</w:t>
      </w:r>
      <w:r>
        <w:rPr>
          <w:rFonts w:eastAsia="Times New Roman"/>
          <w:color w:val="000000"/>
          <w:sz w:val="20"/>
          <w:szCs w:val="20"/>
        </w:rPr>
        <w:t xml:space="preserve"> we face in connection with the expected replacement of LIBOR on our operations, see “Part I—Item 1A. Risk Factors—</w:t>
      </w:r>
      <w:r>
        <w:rPr>
          <w:rFonts w:eastAsia="Times New Roman"/>
          <w:i/>
          <w:iCs/>
          <w:color w:val="000000"/>
          <w:sz w:val="20"/>
          <w:szCs w:val="20"/>
        </w:rPr>
        <w:t>Uncertainty regarding, and transition away from, LIBOR may adversely affect our business</w:t>
      </w:r>
      <w:r>
        <w:rPr>
          <w:rFonts w:eastAsia="Times New Roman"/>
          <w:color w:val="000000"/>
          <w:sz w:val="20"/>
          <w:szCs w:val="20"/>
        </w:rPr>
        <w:t>” in our 2020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36427699"/>
        </w:trPr>
        <w:tc>
          <w:tcPr>
            <w:tcW w:w="50" w:type="pct"/>
            <w:vAlign w:val="center"/>
            <w:hideMark/>
          </w:tcPr>
          <w:p w:rsidR="00000000" w:rsidRDefault="00E92DBE">
            <w:pPr>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33642769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SUPERVISION AND REGULATION</w:t>
            </w:r>
          </w:p>
        </w:tc>
      </w:tr>
    </w:tbl>
    <w:p w:rsidR="00000000" w:rsidRDefault="00E92DBE">
      <w:pPr>
        <w:divId w:val="1273899269"/>
        <w:rPr>
          <w:rFonts w:eastAsia="Times New Roman"/>
        </w:rPr>
      </w:pPr>
      <w:r>
        <w:rPr>
          <w:rFonts w:eastAsia="Times New Roman"/>
          <w:b/>
          <w:bCs/>
          <w:color w:val="000000"/>
          <w:sz w:val="20"/>
          <w:szCs w:val="20"/>
        </w:rPr>
        <w:t>Dividends and Stock Repurchases Update</w:t>
      </w:r>
    </w:p>
    <w:p w:rsidR="00000000" w:rsidRDefault="00E92DBE">
      <w:pPr>
        <w:jc w:val="both"/>
        <w:divId w:val="782459924"/>
        <w:rPr>
          <w:rFonts w:eastAsia="Times New Roman"/>
        </w:rPr>
      </w:pPr>
      <w:r>
        <w:rPr>
          <w:rFonts w:eastAsia="Times New Roman"/>
          <w:color w:val="000000"/>
          <w:sz w:val="20"/>
          <w:szCs w:val="20"/>
        </w:rPr>
        <w:t>In March 2021, the Federal Reserve extended the temporary capital distribution restrictions in place during the first quarter of 2021 for all CCAR participating BHCs through the second q</w:t>
      </w:r>
      <w:r>
        <w:rPr>
          <w:rFonts w:eastAsia="Times New Roman"/>
          <w:color w:val="000000"/>
          <w:sz w:val="20"/>
          <w:szCs w:val="20"/>
        </w:rPr>
        <w:t>uarter of 2021. In particular, for the second quarter of 2021, the aggregate amount of common stock dividend payments and share repurchases shall not exceed an amount equal to the average net income earned across the four preceding calendar quarters. In ad</w:t>
      </w:r>
      <w:r>
        <w:rPr>
          <w:rFonts w:eastAsia="Times New Roman"/>
          <w:color w:val="000000"/>
          <w:sz w:val="20"/>
          <w:szCs w:val="20"/>
        </w:rPr>
        <w:t>dition, common stock dividend payments for the second quarter of 2021 continue to be capped at the amount paid in the second quarter of 2020.</w:t>
      </w:r>
    </w:p>
    <w:p w:rsidR="00000000" w:rsidRDefault="00E92DBE">
      <w:pPr>
        <w:jc w:val="both"/>
        <w:divId w:val="122889152"/>
        <w:rPr>
          <w:rFonts w:eastAsia="Times New Roman"/>
        </w:rPr>
      </w:pPr>
      <w:r>
        <w:rPr>
          <w:rFonts w:eastAsia="Times New Roman"/>
          <w:color w:val="000000"/>
          <w:sz w:val="20"/>
          <w:szCs w:val="20"/>
        </w:rPr>
        <w:t>If a participating BHC remains above all of its minimum risk-based capital requirements in its 2021 supervisory st</w:t>
      </w:r>
      <w:r>
        <w:rPr>
          <w:rFonts w:eastAsia="Times New Roman"/>
          <w:color w:val="000000"/>
          <w:sz w:val="20"/>
          <w:szCs w:val="20"/>
        </w:rPr>
        <w:t>ress test, these temporary capital distribution restrictions will no longer apply to such BHC after the second quarter of 2021, and the normal restrictions under the stress capital buffer framework will apply instead. For any participating BHC that falls b</w:t>
      </w:r>
      <w:r>
        <w:rPr>
          <w:rFonts w:eastAsia="Times New Roman"/>
          <w:color w:val="000000"/>
          <w:sz w:val="20"/>
          <w:szCs w:val="20"/>
        </w:rPr>
        <w:t>elow any of its minimum risk-based capital requirements in its 2021 supervisory stress test, these temporary capital distribution restrictions will continue to apply for such BHC through the end of the third quarter of 2021.</w:t>
      </w:r>
    </w:p>
    <w:p w:rsidR="00000000" w:rsidRDefault="00E92DBE">
      <w:pPr>
        <w:divId w:val="2100366857"/>
        <w:rPr>
          <w:rFonts w:eastAsia="Times New Roman"/>
        </w:rPr>
      </w:pPr>
      <w:r>
        <w:rPr>
          <w:rFonts w:eastAsia="Times New Roman"/>
          <w:b/>
          <w:bCs/>
          <w:color w:val="000000"/>
          <w:sz w:val="20"/>
          <w:szCs w:val="20"/>
        </w:rPr>
        <w:t>Temporary Exclusions for Supple</w:t>
      </w:r>
      <w:r>
        <w:rPr>
          <w:rFonts w:eastAsia="Times New Roman"/>
          <w:b/>
          <w:bCs/>
          <w:color w:val="000000"/>
          <w:sz w:val="20"/>
          <w:szCs w:val="20"/>
        </w:rPr>
        <w:t>mentary Leverage Ratio</w:t>
      </w:r>
    </w:p>
    <w:p w:rsidR="00000000" w:rsidRDefault="00E92DBE">
      <w:pPr>
        <w:jc w:val="both"/>
        <w:divId w:val="2134053527"/>
        <w:rPr>
          <w:rFonts w:eastAsia="Times New Roman"/>
        </w:rPr>
      </w:pPr>
      <w:r>
        <w:rPr>
          <w:rFonts w:eastAsia="Times New Roman"/>
          <w:color w:val="000000"/>
          <w:sz w:val="20"/>
          <w:szCs w:val="20"/>
        </w:rPr>
        <w:t xml:space="preserve">The temporary exclusions of U.S. Treasury securities and deposits at Federal Reserve Banks from the supplementary leverage ratio denominator for BHCs, as well as depository institutions that elected to make such exclusions, remained </w:t>
      </w:r>
      <w:r>
        <w:rPr>
          <w:rFonts w:eastAsia="Times New Roman"/>
          <w:color w:val="000000"/>
          <w:sz w:val="20"/>
          <w:szCs w:val="20"/>
        </w:rPr>
        <w:t xml:space="preserve">in effect through March 31, 2021 and expired as scheduled thereafter. These temporary exclusions were made to provide flexibility for banking organizations to provide credit to households and businesses in light of the COVID-19 pandemic. </w:t>
      </w:r>
    </w:p>
    <w:p w:rsidR="00000000" w:rsidRDefault="00E92DBE">
      <w:pPr>
        <w:divId w:val="1083644266"/>
        <w:rPr>
          <w:rFonts w:eastAsia="Times New Roman"/>
        </w:rPr>
      </w:pPr>
      <w:r>
        <w:rPr>
          <w:rFonts w:eastAsia="Times New Roman"/>
          <w:b/>
          <w:bCs/>
          <w:color w:val="000000"/>
          <w:sz w:val="20"/>
          <w:szCs w:val="20"/>
        </w:rPr>
        <w:t>COVID-19 Activiti</w:t>
      </w:r>
      <w:r>
        <w:rPr>
          <w:rFonts w:eastAsia="Times New Roman"/>
          <w:b/>
          <w:bCs/>
          <w:color w:val="000000"/>
          <w:sz w:val="20"/>
          <w:szCs w:val="20"/>
        </w:rPr>
        <w:t>es</w:t>
      </w:r>
    </w:p>
    <w:p w:rsidR="00000000" w:rsidRDefault="00E92DBE">
      <w:pPr>
        <w:jc w:val="both"/>
        <w:divId w:val="2050103275"/>
        <w:rPr>
          <w:rFonts w:eastAsia="Times New Roman"/>
        </w:rPr>
      </w:pPr>
      <w:r>
        <w:rPr>
          <w:rFonts w:eastAsia="Times New Roman"/>
          <w:color w:val="000000"/>
          <w:sz w:val="20"/>
          <w:szCs w:val="20"/>
        </w:rPr>
        <w:t xml:space="preserve">The PPP has been expanded and extended by recent legislation. The American Rescue Plan Act of 2021, which was enacted on March 11, 2021, provides additional funding to the PPP and expands eligibility for PPP loans. In addition, the PPP Extension Act of </w:t>
      </w:r>
      <w:r>
        <w:rPr>
          <w:rFonts w:eastAsia="Times New Roman"/>
          <w:color w:val="000000"/>
          <w:sz w:val="20"/>
          <w:szCs w:val="20"/>
        </w:rPr>
        <w:t xml:space="preserve">2021, which was enacted on March 30, 2021, extends the PPP application deadline to May 31, 2021 and extends authorization of the PPP through June 30, 2021 to provide the Small Business Administration additional time to process applications received by the </w:t>
      </w:r>
      <w:r>
        <w:rPr>
          <w:rFonts w:eastAsia="Times New Roman"/>
          <w:color w:val="000000"/>
          <w:sz w:val="20"/>
          <w:szCs w:val="20"/>
        </w:rPr>
        <w:t>application deadline.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03410769"/>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403410769"/>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403410769"/>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54</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79" style="width:0;height:1.5pt" o:hralign="center" o:hrstd="t" o:hr="t" fillcolor="#a0a0a0" stroked="f"/>
        </w:pict>
      </w:r>
    </w:p>
    <w:p w:rsidR="00000000" w:rsidRDefault="00E92DBE">
      <w:pPr>
        <w:ind w:hanging="360"/>
        <w:jc w:val="both"/>
        <w:divId w:val="177818495"/>
        <w:rPr>
          <w:rFonts w:eastAsia="Times New Roman"/>
        </w:rPr>
      </w:pPr>
      <w:hyperlink w:anchor="ic1109d5aa548447c8224139b1ab22bde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74423408"/>
        </w:trPr>
        <w:tc>
          <w:tcPr>
            <w:tcW w:w="50" w:type="pct"/>
            <w:vAlign w:val="center"/>
            <w:hideMark/>
          </w:tcPr>
          <w:p w:rsidR="00000000" w:rsidRDefault="00E92DBE">
            <w:pPr>
              <w:ind w:hanging="360"/>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87442340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FORWARD-LOOKING STATEMENTS</w:t>
            </w:r>
          </w:p>
        </w:tc>
      </w:tr>
    </w:tbl>
    <w:p w:rsidR="00000000" w:rsidRDefault="00E92DBE">
      <w:pPr>
        <w:jc w:val="both"/>
        <w:divId w:val="1472557050"/>
        <w:rPr>
          <w:rFonts w:eastAsia="Times New Roman"/>
        </w:rPr>
      </w:pPr>
      <w:r>
        <w:rPr>
          <w:rFonts w:eastAsia="Times New Roman"/>
          <w:color w:val="000000"/>
          <w:sz w:val="20"/>
          <w:szCs w:val="20"/>
        </w:rPr>
        <w:t>From time to time, we have made and will make forward-looking statements, including those that discuss, among other things, strategies, goals, outlook or other non-historical matters; projections, revenues, income, returns, expenses, capital measures, capi</w:t>
      </w:r>
      <w:r>
        <w:rPr>
          <w:rFonts w:eastAsia="Times New Roman"/>
          <w:color w:val="000000"/>
          <w:sz w:val="20"/>
          <w:szCs w:val="20"/>
        </w:rPr>
        <w:t>tal allocation plans, accruals for claims in litigation and for other claims against us; earnings per share, efficiency ratio, operating efficiency ratio, or other financial measures for us; future financial and operating results; our plans, objectives, ex</w:t>
      </w:r>
      <w:r>
        <w:rPr>
          <w:rFonts w:eastAsia="Times New Roman"/>
          <w:color w:val="000000"/>
          <w:sz w:val="20"/>
          <w:szCs w:val="20"/>
        </w:rPr>
        <w:t>pectations and intentions; and the assumptions that underlie these matters.</w:t>
      </w:r>
    </w:p>
    <w:p w:rsidR="00000000" w:rsidRDefault="00E92DBE">
      <w:pPr>
        <w:jc w:val="both"/>
        <w:divId w:val="1955554127"/>
        <w:rPr>
          <w:rFonts w:eastAsia="Times New Roman"/>
        </w:rPr>
      </w:pPr>
      <w:r>
        <w:rPr>
          <w:rFonts w:eastAsia="Times New Roman"/>
          <w:color w:val="000000"/>
          <w:sz w:val="20"/>
          <w:szCs w:val="20"/>
        </w:rPr>
        <w:t>To the extent that any such information is forward-looking, it is intended to fit within the safe harbor for forward-looking information provided by the Private Securities Litigati</w:t>
      </w:r>
      <w:r>
        <w:rPr>
          <w:rFonts w:eastAsia="Times New Roman"/>
          <w:color w:val="000000"/>
          <w:sz w:val="20"/>
          <w:szCs w:val="20"/>
        </w:rPr>
        <w:t>on Reform Act of 1995.</w:t>
      </w:r>
    </w:p>
    <w:p w:rsidR="00000000" w:rsidRDefault="00E92DBE">
      <w:pPr>
        <w:jc w:val="both"/>
        <w:divId w:val="1723409188"/>
        <w:rPr>
          <w:rFonts w:eastAsia="Times New Roman"/>
        </w:rPr>
      </w:pPr>
      <w:r>
        <w:rPr>
          <w:rFonts w:eastAsia="Times New Roman"/>
          <w:color w:val="000000"/>
          <w:sz w:val="20"/>
          <w:szCs w:val="20"/>
        </w:rPr>
        <w:t>Forward-looking statements often use words such as “will,” “anticipate,” “target,” “expect,” “estimate,” “intend,” “plan,” “goal,” “believe,” “forecast,” “outlook” or other words of similar meaning. Any forward-looking statements mad</w:t>
      </w:r>
      <w:r>
        <w:rPr>
          <w:rFonts w:eastAsia="Times New Roman"/>
          <w:color w:val="000000"/>
          <w:sz w:val="20"/>
          <w:szCs w:val="20"/>
        </w:rPr>
        <w:t>e by us or on our behalf speak only as of the date they are made or as of the date indicated, and we do not undertake any obligation to update forward-looking statements as a result of new information, future events or otherwise. For additional information</w:t>
      </w:r>
      <w:r>
        <w:rPr>
          <w:rFonts w:eastAsia="Times New Roman"/>
          <w:color w:val="000000"/>
          <w:sz w:val="20"/>
          <w:szCs w:val="20"/>
        </w:rPr>
        <w:t xml:space="preserve"> on factors that could materially influence forward-looking statements included in this Report, see the risk factors set forth under “Part I—Item 1A. Risk Factors” in this report. You should carefully consider the factors discussed above, and in our Risk F</w:t>
      </w:r>
      <w:r>
        <w:rPr>
          <w:rFonts w:eastAsia="Times New Roman"/>
          <w:color w:val="000000"/>
          <w:sz w:val="20"/>
          <w:szCs w:val="20"/>
        </w:rPr>
        <w:t>actors or other disclosure, in evaluating these forward-looking statements.</w:t>
      </w:r>
    </w:p>
    <w:p w:rsidR="00000000" w:rsidRDefault="00E92DBE">
      <w:pPr>
        <w:jc w:val="both"/>
        <w:divId w:val="593704245"/>
        <w:rPr>
          <w:rFonts w:eastAsia="Times New Roman"/>
        </w:rPr>
      </w:pPr>
      <w:r>
        <w:rPr>
          <w:rFonts w:eastAsia="Times New Roman"/>
          <w:color w:val="000000"/>
          <w:sz w:val="20"/>
          <w:szCs w:val="20"/>
        </w:rPr>
        <w:t>Numerous factors could cause our actual results to differ materially from those described in such forward-looking statements, including, among other things:</w:t>
      </w:r>
    </w:p>
    <w:p w:rsidR="00000000" w:rsidRDefault="00E92DBE">
      <w:pPr>
        <w:ind w:hanging="360"/>
        <w:jc w:val="both"/>
        <w:divId w:val="1264536532"/>
        <w:rPr>
          <w:rFonts w:eastAsia="Times New Roman"/>
        </w:rPr>
      </w:pPr>
      <w:r>
        <w:rPr>
          <w:rFonts w:eastAsia="Times New Roman"/>
          <w:color w:val="000000"/>
          <w:sz w:val="20"/>
          <w:szCs w:val="20"/>
        </w:rPr>
        <w:t>•</w:t>
      </w:r>
      <w:r>
        <w:rPr>
          <w:rFonts w:eastAsia="Times New Roman"/>
          <w:color w:val="000000"/>
          <w:sz w:val="20"/>
          <w:szCs w:val="20"/>
        </w:rPr>
        <w:t>the impact of the COVID-19 pandemic and related public health measures on our business, financial condition and results of operations, including the increased estimation and forecast uncertainty as a result of the pandemic on our estimates of lifetime expe</w:t>
      </w:r>
      <w:r>
        <w:rPr>
          <w:rFonts w:eastAsia="Times New Roman"/>
          <w:color w:val="000000"/>
          <w:sz w:val="20"/>
          <w:szCs w:val="20"/>
        </w:rPr>
        <w:t>cted credit losses in our loan portfolios required in computing our allowance for credit losses;</w:t>
      </w:r>
    </w:p>
    <w:p w:rsidR="00000000" w:rsidRDefault="00E92DBE">
      <w:pPr>
        <w:ind w:hanging="360"/>
        <w:jc w:val="both"/>
        <w:divId w:val="575287104"/>
        <w:rPr>
          <w:rFonts w:eastAsia="Times New Roman"/>
        </w:rPr>
      </w:pPr>
      <w:r>
        <w:rPr>
          <w:rFonts w:eastAsia="Times New Roman"/>
          <w:color w:val="000000"/>
          <w:sz w:val="20"/>
          <w:szCs w:val="20"/>
        </w:rPr>
        <w:t>•general economic and business conditions in our local markets, including conditions affecting employment levels, interest rates, tariffs, collateral values, c</w:t>
      </w:r>
      <w:r>
        <w:rPr>
          <w:rFonts w:eastAsia="Times New Roman"/>
          <w:color w:val="000000"/>
          <w:sz w:val="20"/>
          <w:szCs w:val="20"/>
        </w:rPr>
        <w:t>onsumer income, creditworthiness and confidence, spending and savings that may affect consumer bankruptcies, defaults, charge-offs and deposit activity;</w:t>
      </w:r>
    </w:p>
    <w:p w:rsidR="00000000" w:rsidRDefault="00E92DBE">
      <w:pPr>
        <w:ind w:hanging="360"/>
        <w:jc w:val="both"/>
        <w:divId w:val="1373577483"/>
        <w:rPr>
          <w:rFonts w:eastAsia="Times New Roman"/>
        </w:rPr>
      </w:pPr>
      <w:r>
        <w:rPr>
          <w:rFonts w:eastAsia="Times New Roman"/>
          <w:color w:val="000000"/>
          <w:sz w:val="20"/>
          <w:szCs w:val="20"/>
        </w:rPr>
        <w:t>•an increase or decrease in credit losses, or increased delinquencies, including increases due to a wor</w:t>
      </w:r>
      <w:r>
        <w:rPr>
          <w:rFonts w:eastAsia="Times New Roman"/>
          <w:color w:val="000000"/>
          <w:sz w:val="20"/>
          <w:szCs w:val="20"/>
        </w:rPr>
        <w:t>sening of general economic conditions in the credit environment, and the impact of inaccurate estimates or inadequate reserves;</w:t>
      </w:r>
    </w:p>
    <w:p w:rsidR="00000000" w:rsidRDefault="00E92DBE">
      <w:pPr>
        <w:ind w:hanging="360"/>
        <w:jc w:val="both"/>
        <w:divId w:val="584845956"/>
        <w:rPr>
          <w:rFonts w:eastAsia="Times New Roman"/>
        </w:rPr>
      </w:pPr>
      <w:r>
        <w:rPr>
          <w:rFonts w:eastAsia="Times New Roman"/>
          <w:color w:val="000000"/>
          <w:sz w:val="20"/>
          <w:szCs w:val="20"/>
        </w:rPr>
        <w:t>•compliance with new and existing laws, regulations and regulatory expectations including the implementation of a regulatory ref</w:t>
      </w:r>
      <w:r>
        <w:rPr>
          <w:rFonts w:eastAsia="Times New Roman"/>
          <w:color w:val="000000"/>
          <w:sz w:val="20"/>
          <w:szCs w:val="20"/>
        </w:rPr>
        <w:t>orm agenda;</w:t>
      </w:r>
    </w:p>
    <w:p w:rsidR="00000000" w:rsidRDefault="00E92DBE">
      <w:pPr>
        <w:ind w:hanging="360"/>
        <w:jc w:val="both"/>
        <w:divId w:val="58941737"/>
        <w:rPr>
          <w:rFonts w:eastAsia="Times New Roman"/>
        </w:rPr>
      </w:pPr>
      <w:r>
        <w:rPr>
          <w:rFonts w:eastAsia="Times New Roman"/>
          <w:color w:val="000000"/>
          <w:sz w:val="20"/>
          <w:szCs w:val="20"/>
        </w:rPr>
        <w:t>•our ability to manage adequate capital or liquidity levels, which could have a negative impact on our financial results and our ability to return capital to our stockholders;</w:t>
      </w:r>
    </w:p>
    <w:p w:rsidR="00000000" w:rsidRDefault="00E92DBE">
      <w:pPr>
        <w:ind w:hanging="360"/>
        <w:jc w:val="both"/>
        <w:divId w:val="1989896005"/>
        <w:rPr>
          <w:rFonts w:eastAsia="Times New Roman"/>
        </w:rPr>
      </w:pPr>
      <w:r>
        <w:rPr>
          <w:rFonts w:eastAsia="Times New Roman"/>
          <w:color w:val="000000"/>
          <w:sz w:val="20"/>
          <w:szCs w:val="20"/>
        </w:rPr>
        <w:t>•the extensive use, reliability, disruption, and accuracy of the mod</w:t>
      </w:r>
      <w:r>
        <w:rPr>
          <w:rFonts w:eastAsia="Times New Roman"/>
          <w:color w:val="000000"/>
          <w:sz w:val="20"/>
          <w:szCs w:val="20"/>
        </w:rPr>
        <w:t>els and data we rely on;</w:t>
      </w:r>
    </w:p>
    <w:p w:rsidR="00000000" w:rsidRDefault="00E92DBE">
      <w:pPr>
        <w:ind w:hanging="360"/>
        <w:jc w:val="both"/>
        <w:divId w:val="1444957434"/>
        <w:rPr>
          <w:rFonts w:eastAsia="Times New Roman"/>
        </w:rPr>
      </w:pPr>
      <w:r>
        <w:rPr>
          <w:rFonts w:eastAsia="Times New Roman"/>
          <w:color w:val="000000"/>
          <w:sz w:val="20"/>
          <w:szCs w:val="20"/>
        </w:rPr>
        <w:t xml:space="preserve">•increased costs, reductions in revenue, reputational damage, legal liability and business disruptions that can result from data protection or privacy incidents or the theft, loss or misuse of information, including as a result of </w:t>
      </w:r>
      <w:r>
        <w:rPr>
          <w:rFonts w:eastAsia="Times New Roman"/>
          <w:color w:val="000000"/>
          <w:sz w:val="20"/>
          <w:szCs w:val="20"/>
        </w:rPr>
        <w:t>a cyber-attack;</w:t>
      </w:r>
    </w:p>
    <w:p w:rsidR="00000000" w:rsidRDefault="00E92DBE">
      <w:pPr>
        <w:ind w:hanging="360"/>
        <w:jc w:val="both"/>
        <w:divId w:val="982806726"/>
        <w:rPr>
          <w:rFonts w:eastAsia="Times New Roman"/>
        </w:rPr>
      </w:pPr>
      <w:r>
        <w:rPr>
          <w:rFonts w:eastAsia="Times New Roman"/>
          <w:color w:val="000000"/>
          <w:sz w:val="20"/>
          <w:szCs w:val="20"/>
        </w:rPr>
        <w:t>•developments, changes or actions relating to any litigation, governmental investigation or regulatory enforcement action or matter involving us;</w:t>
      </w:r>
    </w:p>
    <w:p w:rsidR="00000000" w:rsidRDefault="00E92DBE">
      <w:pPr>
        <w:ind w:hanging="360"/>
        <w:jc w:val="both"/>
        <w:divId w:val="306982064"/>
        <w:rPr>
          <w:rFonts w:eastAsia="Times New Roman"/>
        </w:rPr>
      </w:pPr>
      <w:r>
        <w:rPr>
          <w:rFonts w:eastAsia="Times New Roman"/>
          <w:color w:val="000000"/>
          <w:sz w:val="20"/>
          <w:szCs w:val="20"/>
        </w:rPr>
        <w:t>•the amount and rate of deposit growth and changes in deposit costs;</w:t>
      </w:r>
    </w:p>
    <w:p w:rsidR="00000000" w:rsidRDefault="00E92DBE">
      <w:pPr>
        <w:ind w:hanging="360"/>
        <w:jc w:val="both"/>
        <w:divId w:val="1743333323"/>
        <w:rPr>
          <w:rFonts w:eastAsia="Times New Roman"/>
        </w:rPr>
      </w:pPr>
      <w:r>
        <w:rPr>
          <w:rFonts w:eastAsia="Times New Roman"/>
          <w:color w:val="000000"/>
          <w:sz w:val="20"/>
          <w:szCs w:val="20"/>
        </w:rPr>
        <w:t>•our ability to execute o</w:t>
      </w:r>
      <w:r>
        <w:rPr>
          <w:rFonts w:eastAsia="Times New Roman"/>
          <w:color w:val="000000"/>
          <w:sz w:val="20"/>
          <w:szCs w:val="20"/>
        </w:rPr>
        <w:t>n our strategic and operational plans;</w:t>
      </w:r>
    </w:p>
    <w:p w:rsidR="00000000" w:rsidRDefault="00E92DBE">
      <w:pPr>
        <w:ind w:hanging="360"/>
        <w:jc w:val="both"/>
        <w:divId w:val="900365599"/>
        <w:rPr>
          <w:rFonts w:eastAsia="Times New Roman"/>
        </w:rPr>
      </w:pPr>
      <w:r>
        <w:rPr>
          <w:rFonts w:eastAsia="Times New Roman"/>
          <w:color w:val="000000"/>
          <w:sz w:val="20"/>
          <w:szCs w:val="20"/>
        </w:rPr>
        <w:t>•our response to competitive pressures;</w:t>
      </w:r>
    </w:p>
    <w:p w:rsidR="00000000" w:rsidRDefault="00E92DBE">
      <w:pPr>
        <w:ind w:hanging="360"/>
        <w:jc w:val="both"/>
        <w:divId w:val="1004433339"/>
        <w:rPr>
          <w:rFonts w:eastAsia="Times New Roman"/>
        </w:rPr>
      </w:pPr>
      <w:r>
        <w:rPr>
          <w:rFonts w:eastAsia="Times New Roman"/>
          <w:color w:val="000000"/>
          <w:sz w:val="20"/>
          <w:szCs w:val="20"/>
        </w:rPr>
        <w:t>•our business, financial condition and results of operations may be adversely affected by merchants’ increasing focus on the fees charged by credit card networks and by legislat</w:t>
      </w:r>
      <w:r>
        <w:rPr>
          <w:rFonts w:eastAsia="Times New Roman"/>
          <w:color w:val="000000"/>
          <w:sz w:val="20"/>
          <w:szCs w:val="20"/>
        </w:rPr>
        <w:t>ion and regulation impacting such fees;</w:t>
      </w:r>
    </w:p>
    <w:p w:rsidR="00000000" w:rsidRDefault="00E92DBE">
      <w:pPr>
        <w:ind w:hanging="360"/>
        <w:jc w:val="both"/>
        <w:divId w:val="296910509"/>
        <w:rPr>
          <w:rFonts w:eastAsia="Times New Roman"/>
        </w:rPr>
      </w:pPr>
      <w:r>
        <w:rPr>
          <w:rFonts w:eastAsia="Times New Roman"/>
          <w:color w:val="000000"/>
          <w:sz w:val="20"/>
          <w:szCs w:val="20"/>
        </w:rPr>
        <w:t>•our success in integrating acquired businesses and loan portfolios, and our ability to realize anticipated benefits from announced transactions and strategic partnerships;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69855927"/>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769855927"/>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769855927"/>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55</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80" style="width:0;height:1.5pt" o:hralign="center" o:hrstd="t" o:hr="t" fillcolor="#a0a0a0" stroked="f"/>
        </w:pict>
      </w:r>
    </w:p>
    <w:p w:rsidR="00000000" w:rsidRDefault="00E92DBE">
      <w:pPr>
        <w:ind w:hanging="360"/>
        <w:jc w:val="both"/>
        <w:divId w:val="1605188346"/>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ind w:hanging="360"/>
        <w:jc w:val="both"/>
        <w:divId w:val="119421280"/>
        <w:rPr>
          <w:rFonts w:eastAsia="Times New Roman"/>
        </w:rPr>
      </w:pPr>
      <w:r>
        <w:rPr>
          <w:rFonts w:eastAsia="Times New Roman"/>
          <w:color w:val="000000"/>
          <w:sz w:val="20"/>
          <w:szCs w:val="20"/>
        </w:rPr>
        <w:t>•our ability to maintain a compliance, operational, technology and organizational infrastructure suitable for the nature of our business;</w:t>
      </w:r>
    </w:p>
    <w:p w:rsidR="00000000" w:rsidRDefault="00E92DBE">
      <w:pPr>
        <w:ind w:hanging="360"/>
        <w:jc w:val="both"/>
        <w:divId w:val="921330959"/>
        <w:rPr>
          <w:rFonts w:eastAsia="Times New Roman"/>
        </w:rPr>
      </w:pPr>
      <w:r>
        <w:rPr>
          <w:rFonts w:eastAsia="Times New Roman"/>
          <w:color w:val="000000"/>
          <w:sz w:val="20"/>
          <w:szCs w:val="20"/>
        </w:rPr>
        <w:t>•the s</w:t>
      </w:r>
      <w:r>
        <w:rPr>
          <w:rFonts w:eastAsia="Times New Roman"/>
          <w:color w:val="000000"/>
          <w:sz w:val="20"/>
          <w:szCs w:val="20"/>
        </w:rPr>
        <w:t>uccess of our marketing efforts in attracting and retaining customers;</w:t>
      </w:r>
    </w:p>
    <w:p w:rsidR="00000000" w:rsidRDefault="00E92DBE">
      <w:pPr>
        <w:ind w:hanging="360"/>
        <w:jc w:val="both"/>
        <w:divId w:val="374350208"/>
        <w:rPr>
          <w:rFonts w:eastAsia="Times New Roman"/>
        </w:rPr>
      </w:pPr>
      <w:r>
        <w:rPr>
          <w:rFonts w:eastAsia="Times New Roman"/>
          <w:color w:val="000000"/>
          <w:sz w:val="20"/>
          <w:szCs w:val="20"/>
        </w:rPr>
        <w:t>•our risk management strategies;</w:t>
      </w:r>
    </w:p>
    <w:p w:rsidR="00000000" w:rsidRDefault="00E92DBE">
      <w:pPr>
        <w:ind w:hanging="360"/>
        <w:jc w:val="both"/>
        <w:divId w:val="810682397"/>
        <w:rPr>
          <w:rFonts w:eastAsia="Times New Roman"/>
        </w:rPr>
      </w:pPr>
      <w:r>
        <w:rPr>
          <w:rFonts w:eastAsia="Times New Roman"/>
          <w:color w:val="000000"/>
          <w:sz w:val="20"/>
          <w:szCs w:val="20"/>
        </w:rPr>
        <w:t>•changes in the reputation of, or expectations regarding, the financial services industry or us with respect to practices, products or financial conditi</w:t>
      </w:r>
      <w:r>
        <w:rPr>
          <w:rFonts w:eastAsia="Times New Roman"/>
          <w:color w:val="000000"/>
          <w:sz w:val="20"/>
          <w:szCs w:val="20"/>
        </w:rPr>
        <w:t>on;</w:t>
      </w:r>
    </w:p>
    <w:p w:rsidR="00000000" w:rsidRDefault="00E92DBE">
      <w:pPr>
        <w:ind w:hanging="360"/>
        <w:jc w:val="both"/>
        <w:divId w:val="1260060754"/>
        <w:rPr>
          <w:rFonts w:eastAsia="Times New Roman"/>
        </w:rPr>
      </w:pPr>
      <w:r>
        <w:rPr>
          <w:rFonts w:eastAsia="Times New Roman"/>
          <w:color w:val="000000"/>
          <w:sz w:val="20"/>
          <w:szCs w:val="20"/>
        </w:rPr>
        <w:t>•increases or decreases in interest rates and uncertainty with respect to the interest rate environment, including the possibility of a prolonged low-interest rate environment or of negative interest rates</w:t>
      </w:r>
      <w:r>
        <w:rPr>
          <w:rFonts w:eastAsia="Times New Roman"/>
          <w:color w:val="000000"/>
          <w:sz w:val="20"/>
          <w:szCs w:val="20"/>
        </w:rPr>
        <w:t>;</w:t>
      </w:r>
    </w:p>
    <w:p w:rsidR="00000000" w:rsidRDefault="00E92DBE">
      <w:pPr>
        <w:ind w:hanging="360"/>
        <w:jc w:val="both"/>
        <w:divId w:val="1544756710"/>
        <w:rPr>
          <w:rFonts w:eastAsia="Times New Roman"/>
        </w:rPr>
      </w:pPr>
      <w:r>
        <w:rPr>
          <w:rFonts w:eastAsia="Times New Roman"/>
          <w:color w:val="000000"/>
          <w:sz w:val="20"/>
          <w:szCs w:val="20"/>
        </w:rPr>
        <w:t>•uncertainty regarding, and transition away f</w:t>
      </w:r>
      <w:r>
        <w:rPr>
          <w:rFonts w:eastAsia="Times New Roman"/>
          <w:color w:val="000000"/>
          <w:sz w:val="20"/>
          <w:szCs w:val="20"/>
        </w:rPr>
        <w:t>rom, the London Interbank Offering Rate;</w:t>
      </w:r>
    </w:p>
    <w:p w:rsidR="00000000" w:rsidRDefault="00E92DBE">
      <w:pPr>
        <w:ind w:hanging="360"/>
        <w:jc w:val="both"/>
        <w:divId w:val="517430581"/>
        <w:rPr>
          <w:rFonts w:eastAsia="Times New Roman"/>
        </w:rPr>
      </w:pPr>
      <w:r>
        <w:rPr>
          <w:rFonts w:eastAsia="Times New Roman"/>
          <w:color w:val="000000"/>
          <w:sz w:val="20"/>
          <w:szCs w:val="20"/>
        </w:rPr>
        <w:t>•our ability to attract, retain and motivate skilled employees;</w:t>
      </w:r>
    </w:p>
    <w:p w:rsidR="00000000" w:rsidRDefault="00E92DBE">
      <w:pPr>
        <w:ind w:hanging="360"/>
        <w:jc w:val="both"/>
        <w:divId w:val="1264993184"/>
        <w:rPr>
          <w:rFonts w:eastAsia="Times New Roman"/>
        </w:rPr>
      </w:pPr>
      <w:r>
        <w:rPr>
          <w:rFonts w:eastAsia="Times New Roman"/>
          <w:color w:val="000000"/>
          <w:sz w:val="20"/>
          <w:szCs w:val="20"/>
        </w:rPr>
        <w:t>•our assumptions or estimates in our financial statements;</w:t>
      </w:r>
    </w:p>
    <w:p w:rsidR="00000000" w:rsidRDefault="00E92DBE">
      <w:pPr>
        <w:ind w:hanging="360"/>
        <w:jc w:val="both"/>
        <w:divId w:val="1749769904"/>
        <w:rPr>
          <w:rFonts w:eastAsia="Times New Roman"/>
        </w:rPr>
      </w:pPr>
      <w:r>
        <w:rPr>
          <w:rFonts w:eastAsia="Times New Roman"/>
          <w:color w:val="000000"/>
          <w:sz w:val="20"/>
          <w:szCs w:val="20"/>
        </w:rPr>
        <w:t>•limitations on our ability to receive dividends from our subsidiaries;</w:t>
      </w:r>
    </w:p>
    <w:p w:rsidR="00000000" w:rsidRDefault="00E92DBE">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soundness of ot</w:t>
      </w:r>
      <w:r>
        <w:rPr>
          <w:rFonts w:eastAsia="Times New Roman"/>
          <w:color w:val="000000"/>
          <w:sz w:val="20"/>
          <w:szCs w:val="20"/>
        </w:rPr>
        <w:t xml:space="preserve">her financial institutions and other third parties; and </w:t>
      </w:r>
    </w:p>
    <w:p w:rsidR="00000000" w:rsidRDefault="00E92DBE">
      <w:pPr>
        <w:ind w:hanging="360"/>
        <w:jc w:val="both"/>
        <w:divId w:val="437722904"/>
        <w:rPr>
          <w:rFonts w:eastAsia="Times New Roman"/>
        </w:rPr>
      </w:pPr>
      <w:r>
        <w:rPr>
          <w:rFonts w:eastAsia="Times New Roman"/>
          <w:color w:val="000000"/>
          <w:sz w:val="20"/>
          <w:szCs w:val="20"/>
        </w:rPr>
        <w:t>•other risk factors identified from time to time in our public disclosures, including in the reports that we file with the SEC.</w:t>
      </w:r>
    </w:p>
    <w:p w:rsidR="00000000" w:rsidRDefault="00E92DBE">
      <w:pPr>
        <w:jc w:val="both"/>
        <w:divId w:val="1619296254"/>
        <w:rPr>
          <w:rFonts w:eastAsia="Times New Roman"/>
        </w:rPr>
      </w:pPr>
      <w:r>
        <w:rPr>
          <w:rFonts w:eastAsia="Times New Roman"/>
          <w:color w:val="000000"/>
          <w:sz w:val="20"/>
          <w:szCs w:val="20"/>
        </w:rPr>
        <w:t>We expect that the effects of the COVID-19 pandemic will heighten the r</w:t>
      </w:r>
      <w:r>
        <w:rPr>
          <w:rFonts w:eastAsia="Times New Roman"/>
          <w:color w:val="000000"/>
          <w:sz w:val="20"/>
          <w:szCs w:val="20"/>
        </w:rPr>
        <w:t>isks associated with many of these factors.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86157772"/>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286157772"/>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286157772"/>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56</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81" style="width:0;height:1.5pt" o:hralign="center" o:hrstd="t" o:hr="t" fillcolor="#a0a0a0" stroked="f"/>
        </w:pict>
      </w:r>
    </w:p>
    <w:p w:rsidR="00000000" w:rsidRDefault="00E92DBE">
      <w:pPr>
        <w:ind w:hanging="360"/>
        <w:jc w:val="both"/>
        <w:divId w:val="986594708"/>
        <w:rPr>
          <w:rFonts w:eastAsia="Times New Roman"/>
        </w:rPr>
      </w:pPr>
      <w:hyperlink w:anchor="ic1109d5aa548447c8224139b1ab22bde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2059781"/>
        </w:trPr>
        <w:tc>
          <w:tcPr>
            <w:tcW w:w="50" w:type="pct"/>
            <w:vAlign w:val="center"/>
            <w:hideMark/>
          </w:tcPr>
          <w:p w:rsidR="00000000" w:rsidRDefault="00E92DBE">
            <w:pPr>
              <w:ind w:hanging="360"/>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8205978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SUPPLEMENTAL TABLE</w:t>
            </w:r>
          </w:p>
        </w:tc>
      </w:tr>
    </w:tbl>
    <w:p w:rsidR="00000000" w:rsidRDefault="00E92DBE">
      <w:pPr>
        <w:divId w:val="1654482280"/>
        <w:rPr>
          <w:rFonts w:eastAsia="Times New Roman"/>
        </w:rPr>
      </w:pPr>
      <w:r>
        <w:rPr>
          <w:rFonts w:eastAsia="Times New Roman"/>
          <w:b/>
          <w:bCs/>
          <w:color w:val="000000"/>
          <w:sz w:val="20"/>
          <w:szCs w:val="20"/>
        </w:rPr>
        <w:t>Reconciliation of Non-GAAP Measures</w:t>
      </w:r>
    </w:p>
    <w:p w:rsidR="00000000" w:rsidRDefault="00E92DBE">
      <w:pPr>
        <w:jc w:val="both"/>
        <w:divId w:val="1731731303"/>
        <w:rPr>
          <w:rFonts w:eastAsia="Times New Roman"/>
        </w:rPr>
      </w:pPr>
      <w:r>
        <w:rPr>
          <w:rFonts w:eastAsia="Times New Roman"/>
          <w:color w:val="000000"/>
          <w:sz w:val="20"/>
          <w:szCs w:val="20"/>
        </w:rPr>
        <w:t xml:space="preserve">The following non-GAAP measures consist of TCE, tangible assets and metrics computed using these amounts, which include tangible book value per common share, return on average tangible assets, return on average TCE and TCE ratio. We consider these metrics </w:t>
      </w:r>
      <w:r>
        <w:rPr>
          <w:rFonts w:eastAsia="Times New Roman"/>
          <w:color w:val="000000"/>
          <w:sz w:val="20"/>
          <w:szCs w:val="20"/>
        </w:rPr>
        <w:t>to be key financial performance measures that management uses in assessing capital adequacy and the level of returns generated. While these non-GAAP measures are widely used by investors, analysts and bank regulatory agencies to assess the capital position</w:t>
      </w:r>
      <w:r>
        <w:rPr>
          <w:rFonts w:eastAsia="Times New Roman"/>
          <w:color w:val="000000"/>
          <w:sz w:val="20"/>
          <w:szCs w:val="20"/>
        </w:rPr>
        <w:t xml:space="preserve"> of financial services companies, they may not be comparable to similarly-titled measures reported by other companies. The following table presents reconciliations of these non-GAAP measures to the applicable amounts measured in accordance with GAAP.</w:t>
      </w:r>
    </w:p>
    <w:p w:rsidR="00000000" w:rsidRDefault="00E92DBE">
      <w:pPr>
        <w:divId w:val="1190535394"/>
        <w:rPr>
          <w:rFonts w:eastAsia="Times New Roman"/>
        </w:rPr>
      </w:pPr>
      <w:r>
        <w:rPr>
          <w:rFonts w:eastAsia="Times New Roman"/>
          <w:b/>
          <w:bCs/>
          <w:color w:val="000000"/>
          <w:sz w:val="18"/>
          <w:szCs w:val="18"/>
        </w:rPr>
        <w:t>Table</w:t>
      </w:r>
      <w:r>
        <w:rPr>
          <w:rFonts w:eastAsia="Times New Roman"/>
          <w:b/>
          <w:bCs/>
          <w:color w:val="000000"/>
          <w:sz w:val="18"/>
          <w:szCs w:val="18"/>
        </w:rPr>
        <w:t xml:space="preserve"> A—Reconciliation of Non-GAAP Measures</w:t>
      </w:r>
    </w:p>
    <w:tbl>
      <w:tblPr>
        <w:tblW w:w="5000" w:type="pct"/>
        <w:tblCellMar>
          <w:top w:w="15" w:type="dxa"/>
          <w:left w:w="15" w:type="dxa"/>
          <w:bottom w:w="15" w:type="dxa"/>
          <w:right w:w="15" w:type="dxa"/>
        </w:tblCellMar>
        <w:tblLook w:val="04A0" w:firstRow="1" w:lastRow="0" w:firstColumn="1" w:lastColumn="0" w:noHBand="0" w:noVBand="1"/>
      </w:tblPr>
      <w:tblGrid>
        <w:gridCol w:w="40"/>
        <w:gridCol w:w="5399"/>
        <w:gridCol w:w="39"/>
        <w:gridCol w:w="36"/>
        <w:gridCol w:w="36"/>
        <w:gridCol w:w="36"/>
        <w:gridCol w:w="110"/>
        <w:gridCol w:w="903"/>
        <w:gridCol w:w="200"/>
        <w:gridCol w:w="36"/>
        <w:gridCol w:w="36"/>
        <w:gridCol w:w="36"/>
        <w:gridCol w:w="110"/>
        <w:gridCol w:w="903"/>
        <w:gridCol w:w="170"/>
        <w:gridCol w:w="36"/>
        <w:gridCol w:w="36"/>
        <w:gridCol w:w="36"/>
        <w:gridCol w:w="36"/>
        <w:gridCol w:w="36"/>
        <w:gridCol w:w="36"/>
      </w:tblGrid>
      <w:tr w:rsidR="00000000">
        <w:trPr>
          <w:divId w:val="956982869"/>
        </w:trPr>
        <w:tc>
          <w:tcPr>
            <w:tcW w:w="50" w:type="pct"/>
            <w:vAlign w:val="center"/>
            <w:hideMark/>
          </w:tcPr>
          <w:p w:rsidR="00000000" w:rsidRDefault="00E92DBE">
            <w:pPr>
              <w:rPr>
                <w:rFonts w:eastAsia="Times New Roman"/>
              </w:rPr>
            </w:pPr>
          </w:p>
        </w:tc>
        <w:tc>
          <w:tcPr>
            <w:tcW w:w="342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Tangible Common Equity (Period-End):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61,188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60,204 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CCEEFF"/>
            <w:tcMar>
              <w:top w:w="30" w:type="dxa"/>
              <w:left w:w="20" w:type="dxa"/>
              <w:bottom w:w="30" w:type="dxa"/>
              <w:right w:w="20" w:type="dxa"/>
            </w:tcMar>
            <w:vAlign w:val="center"/>
            <w:hideMark/>
          </w:tcPr>
          <w:p w:rsidR="00000000" w:rsidRDefault="00E92DBE">
            <w:pPr>
              <w:divId w:val="415980748"/>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(14,789)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(14,809)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Noncumulative perpetual preferred stock</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(4,847)</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(4,847)</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Tangible common equity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41,552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40,548 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Tangible Common Equity (Quarterly Average):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60,623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59,389 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FFFFFF"/>
            <w:tcMar>
              <w:top w:w="30" w:type="dxa"/>
              <w:left w:w="20" w:type="dxa"/>
              <w:bottom w:w="30" w:type="dxa"/>
              <w:right w:w="20" w:type="dxa"/>
            </w:tcMar>
            <w:vAlign w:val="center"/>
            <w:hideMark/>
          </w:tcPr>
          <w:p w:rsidR="00000000" w:rsidRDefault="00E92DBE">
            <w:pPr>
              <w:divId w:val="618217493"/>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(14,807)</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(14,824)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Noncumulative perpetual preferred stock</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(4,847)</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(5,168)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Tangible common equity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40,969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39,397 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Tangible Assets (Period-End):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425,175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421,602 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CCEEFF"/>
            <w:tcMar>
              <w:top w:w="30" w:type="dxa"/>
              <w:left w:w="20" w:type="dxa"/>
              <w:bottom w:w="30" w:type="dxa"/>
              <w:right w:w="20" w:type="dxa"/>
            </w:tcMar>
            <w:vAlign w:val="center"/>
            <w:hideMark/>
          </w:tcPr>
          <w:p w:rsidR="00000000" w:rsidRDefault="00E92DBE">
            <w:pPr>
              <w:divId w:val="2085487501"/>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(14,789)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(14,809)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Tangible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410,386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406,793 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Tangible Assets (Quarterly Average):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421,808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420,011 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CCEEFF"/>
            <w:tcMar>
              <w:top w:w="30" w:type="dxa"/>
              <w:left w:w="20" w:type="dxa"/>
              <w:bottom w:w="30" w:type="dxa"/>
              <w:right w:w="20" w:type="dxa"/>
            </w:tcMar>
            <w:vAlign w:val="center"/>
            <w:hideMark/>
          </w:tcPr>
          <w:p w:rsidR="00000000" w:rsidRDefault="00E92DBE">
            <w:pPr>
              <w:divId w:val="1069303718"/>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(14,807)</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(14,824)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Tangible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407,001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405,187 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Non-GAAP Ratio:</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56982869"/>
        </w:trPr>
        <w:tc>
          <w:tcPr>
            <w:tcW w:w="0" w:type="auto"/>
            <w:gridSpan w:val="3"/>
            <w:shd w:val="clear" w:color="auto" w:fill="FFFFFF"/>
            <w:tcMar>
              <w:top w:w="30" w:type="dxa"/>
              <w:left w:w="20" w:type="dxa"/>
              <w:bottom w:w="30" w:type="dxa"/>
              <w:right w:w="20" w:type="dxa"/>
            </w:tcMar>
            <w:vAlign w:val="center"/>
            <w:hideMark/>
          </w:tcPr>
          <w:p w:rsidR="00000000" w:rsidRDefault="00E92DBE">
            <w:pPr>
              <w:divId w:val="1323965299"/>
              <w:rPr>
                <w:rFonts w:eastAsia="Times New Roman"/>
              </w:rPr>
            </w:pPr>
            <w:r>
              <w:rPr>
                <w:rFonts w:eastAsia="Times New Roman"/>
                <w:color w:val="000000"/>
                <w:sz w:val="18"/>
                <w:szCs w:val="18"/>
              </w:rPr>
              <w:t>Tangible common equity (“TCE”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bl>
    <w:p w:rsidR="00000000" w:rsidRDefault="00E92DBE">
      <w:pPr>
        <w:divId w:val="1734309485"/>
        <w:rPr>
          <w:rFonts w:eastAsia="Times New Roman"/>
        </w:rPr>
      </w:pPr>
      <w:r>
        <w:rPr>
          <w:rFonts w:eastAsia="Times New Roman"/>
          <w:color w:val="000000"/>
          <w:sz w:val="20"/>
          <w:szCs w:val="20"/>
        </w:rPr>
        <w:t>__________</w:t>
      </w:r>
    </w:p>
    <w:p w:rsidR="00000000" w:rsidRDefault="00E92DBE">
      <w:pPr>
        <w:ind w:hanging="360"/>
        <w:jc w:val="both"/>
        <w:divId w:val="172949651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impact of related deferred taxes.</w:t>
      </w:r>
    </w:p>
    <w:p w:rsidR="00000000" w:rsidRDefault="00E92DBE">
      <w:pPr>
        <w:ind w:hanging="360"/>
        <w:jc w:val="both"/>
        <w:divId w:val="5420748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TCE ratio is a non-GAAP measure calculated based on TCE divided by tangible assets.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18017605"/>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418017605"/>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418017605"/>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57</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82" style="width:0;height:1.5pt" o:hralign="center" o:hrstd="t" o:hr="t" fillcolor="#a0a0a0" stroked="f"/>
        </w:pict>
      </w:r>
    </w:p>
    <w:p w:rsidR="00000000" w:rsidRDefault="00E92DBE">
      <w:pPr>
        <w:ind w:hanging="360"/>
        <w:jc w:val="both"/>
        <w:divId w:val="758721187"/>
        <w:rPr>
          <w:rFonts w:eastAsia="Times New Roman"/>
        </w:rPr>
      </w:pPr>
      <w:hyperlink w:anchor="ic1109d5aa548447c8224139b1ab22bde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648485386"/>
        </w:trPr>
        <w:tc>
          <w:tcPr>
            <w:tcW w:w="50" w:type="pct"/>
            <w:vAlign w:val="center"/>
            <w:hideMark/>
          </w:tcPr>
          <w:p w:rsidR="00000000" w:rsidRDefault="00E92DBE">
            <w:pPr>
              <w:ind w:hanging="360"/>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64848538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Glossary and Acronyms</w:t>
            </w:r>
          </w:p>
        </w:tc>
      </w:tr>
    </w:tbl>
    <w:p w:rsidR="00000000" w:rsidRDefault="00E92DBE">
      <w:pPr>
        <w:jc w:val="both"/>
        <w:divId w:val="1922711171"/>
        <w:rPr>
          <w:rFonts w:eastAsia="Times New Roman"/>
        </w:rPr>
      </w:pPr>
      <w:r>
        <w:rPr>
          <w:rFonts w:eastAsia="Times New Roman"/>
          <w:b/>
          <w:bCs/>
          <w:color w:val="000000"/>
          <w:sz w:val="20"/>
          <w:szCs w:val="20"/>
        </w:rPr>
        <w:t>Amortized cost:</w:t>
      </w:r>
      <w:r>
        <w:rPr>
          <w:rFonts w:eastAsia="Times New Roman"/>
          <w:color w:val="000000"/>
          <w:sz w:val="20"/>
          <w:szCs w:val="20"/>
        </w:rPr>
        <w:t xml:space="preserve"> </w:t>
      </w:r>
      <w:r>
        <w:rPr>
          <w:rFonts w:eastAsia="Times New Roman"/>
          <w:color w:val="000000"/>
          <w:sz w:val="20"/>
          <w:szCs w:val="20"/>
        </w:rPr>
        <w:t xml:space="preserve">The amount at which a financing receivable or investment is originated or acquired, adjusted for applicable accrued interest, accretion, or amortization of premium, discount, and net deferred fees or costs, collection of cash, write-offs, foreign exchange </w:t>
      </w:r>
      <w:r>
        <w:rPr>
          <w:rFonts w:eastAsia="Times New Roman"/>
          <w:color w:val="000000"/>
          <w:sz w:val="20"/>
          <w:szCs w:val="20"/>
        </w:rPr>
        <w:t>and fair value hedge accounting adjustments.</w:t>
      </w:r>
    </w:p>
    <w:p w:rsidR="00000000" w:rsidRDefault="00E92DBE">
      <w:pPr>
        <w:jc w:val="both"/>
        <w:divId w:val="1211770144"/>
        <w:rPr>
          <w:rFonts w:eastAsia="Times New Roman"/>
        </w:rPr>
      </w:pPr>
      <w:r>
        <w:rPr>
          <w:rFonts w:eastAsia="Times New Roman"/>
          <w:b/>
          <w:bCs/>
          <w:color w:val="000000"/>
          <w:sz w:val="20"/>
          <w:szCs w:val="20"/>
        </w:rPr>
        <w:t xml:space="preserve">Annual Report: </w:t>
      </w:r>
      <w:r>
        <w:rPr>
          <w:rFonts w:eastAsia="Times New Roman"/>
          <w:color w:val="000000"/>
          <w:sz w:val="20"/>
          <w:szCs w:val="20"/>
        </w:rPr>
        <w:t xml:space="preserve">References to our “2020 Form 10-K” or “2020 Annual Report” are to our Annual Report on Form 10-K for the fiscal year ended December 31, 2020. </w:t>
      </w:r>
    </w:p>
    <w:p w:rsidR="00000000" w:rsidRDefault="00E92DBE">
      <w:pPr>
        <w:jc w:val="both"/>
        <w:divId w:val="1300266835"/>
        <w:rPr>
          <w:rFonts w:eastAsia="Times New Roman"/>
        </w:rPr>
      </w:pPr>
      <w:r>
        <w:rPr>
          <w:rFonts w:eastAsia="Times New Roman"/>
          <w:b/>
          <w:bCs/>
          <w:color w:val="000000"/>
          <w:sz w:val="20"/>
          <w:szCs w:val="20"/>
        </w:rPr>
        <w:t xml:space="preserve">Banks: </w:t>
      </w:r>
      <w:r>
        <w:rPr>
          <w:rFonts w:eastAsia="Times New Roman"/>
          <w:color w:val="000000"/>
          <w:sz w:val="20"/>
          <w:szCs w:val="20"/>
        </w:rPr>
        <w:t>Refers to COBNA and CONA.</w:t>
      </w:r>
    </w:p>
    <w:p w:rsidR="00000000" w:rsidRDefault="00E92DBE">
      <w:pPr>
        <w:jc w:val="both"/>
        <w:divId w:val="998073922"/>
        <w:rPr>
          <w:rFonts w:eastAsia="Times New Roman"/>
        </w:rPr>
      </w:pPr>
      <w:r>
        <w:rPr>
          <w:rFonts w:eastAsia="Times New Roman"/>
          <w:b/>
          <w:bCs/>
          <w:color w:val="000000"/>
          <w:sz w:val="20"/>
          <w:szCs w:val="20"/>
        </w:rPr>
        <w:t>Basel Committee:</w:t>
      </w:r>
      <w:r>
        <w:rPr>
          <w:rFonts w:eastAsia="Times New Roman"/>
          <w:color w:val="000000"/>
          <w:sz w:val="20"/>
          <w:szCs w:val="20"/>
        </w:rPr>
        <w:t xml:space="preserve"> The</w:t>
      </w:r>
      <w:r>
        <w:rPr>
          <w:rFonts w:eastAsia="Times New Roman"/>
          <w:color w:val="000000"/>
          <w:sz w:val="20"/>
          <w:szCs w:val="20"/>
        </w:rPr>
        <w:t xml:space="preserve"> Basel Committee on Banking Supervision.</w:t>
      </w:r>
    </w:p>
    <w:p w:rsidR="00000000" w:rsidRDefault="00E92DBE">
      <w:pPr>
        <w:jc w:val="both"/>
        <w:divId w:val="236285447"/>
        <w:rPr>
          <w:rFonts w:eastAsia="Times New Roman"/>
        </w:rPr>
      </w:pPr>
      <w:r>
        <w:rPr>
          <w:rFonts w:eastAsia="Times New Roman"/>
          <w:b/>
          <w:bCs/>
          <w:color w:val="000000"/>
          <w:sz w:val="20"/>
          <w:szCs w:val="20"/>
        </w:rPr>
        <w:t xml:space="preserve">Basel III Advanced Approaches: </w:t>
      </w:r>
      <w:r>
        <w:rPr>
          <w:rFonts w:eastAsia="Times New Roman"/>
          <w:color w:val="000000"/>
          <w:sz w:val="20"/>
          <w:szCs w:val="20"/>
        </w:rPr>
        <w:t>Following the Tailoring Rule, the Basel III Advanced Approaches was mandatory for Category I and II institutions. Category III institutions, such as us, are no longer subject to the Ba</w:t>
      </w:r>
      <w:r>
        <w:rPr>
          <w:rFonts w:eastAsia="Times New Roman"/>
          <w:color w:val="000000"/>
          <w:sz w:val="20"/>
          <w:szCs w:val="20"/>
        </w:rPr>
        <w:t>sel III Advanced Approaches framework effective January 1, 2020.</w:t>
      </w:r>
    </w:p>
    <w:p w:rsidR="00000000" w:rsidRDefault="00E92DBE">
      <w:pPr>
        <w:jc w:val="both"/>
        <w:divId w:val="926839105"/>
        <w:rPr>
          <w:rFonts w:eastAsia="Times New Roman"/>
        </w:rPr>
      </w:pPr>
      <w:r>
        <w:rPr>
          <w:rFonts w:eastAsia="Times New Roman"/>
          <w:b/>
          <w:bCs/>
          <w:color w:val="000000"/>
          <w:sz w:val="20"/>
          <w:szCs w:val="20"/>
        </w:rPr>
        <w:t>Basel III Capital Rules:</w:t>
      </w:r>
      <w:r>
        <w:rPr>
          <w:rFonts w:eastAsia="Times New Roman"/>
          <w:color w:val="000000"/>
          <w:sz w:val="20"/>
          <w:szCs w:val="20"/>
        </w:rPr>
        <w:t xml:space="preserve"> The regulatory capital requirements established by the Federal Banking Agencies in July 2013 to implement the Basel III capital framework developed by the Basel Commi</w:t>
      </w:r>
      <w:r>
        <w:rPr>
          <w:rFonts w:eastAsia="Times New Roman"/>
          <w:color w:val="000000"/>
          <w:sz w:val="20"/>
          <w:szCs w:val="20"/>
        </w:rPr>
        <w:t>ttee as well as certain Dodd-Frank Act and other capital provisions.</w:t>
      </w:r>
    </w:p>
    <w:p w:rsidR="00000000" w:rsidRDefault="00E92DBE">
      <w:pPr>
        <w:jc w:val="both"/>
        <w:divId w:val="106580788"/>
        <w:rPr>
          <w:rFonts w:eastAsia="Times New Roman"/>
        </w:rPr>
      </w:pPr>
      <w:r>
        <w:rPr>
          <w:rFonts w:eastAsia="Times New Roman"/>
          <w:b/>
          <w:bCs/>
          <w:color w:val="000000"/>
          <w:sz w:val="20"/>
          <w:szCs w:val="20"/>
        </w:rPr>
        <w:t xml:space="preserve">Basel III Standardized Approach: </w:t>
      </w:r>
      <w:r>
        <w:rPr>
          <w:rFonts w:eastAsia="Times New Roman"/>
          <w:color w:val="000000"/>
          <w:sz w:val="20"/>
          <w:szCs w:val="20"/>
        </w:rPr>
        <w:t>The Basel III Capital Rules modified Basel I to create the Basel III Standardized Approach.</w:t>
      </w:r>
    </w:p>
    <w:p w:rsidR="00000000" w:rsidRDefault="00E92DBE">
      <w:pPr>
        <w:jc w:val="both"/>
        <w:divId w:val="532310283"/>
        <w:rPr>
          <w:rFonts w:eastAsia="Times New Roman"/>
        </w:rPr>
      </w:pPr>
      <w:r>
        <w:rPr>
          <w:rFonts w:eastAsia="Times New Roman"/>
          <w:b/>
          <w:bCs/>
          <w:color w:val="000000"/>
          <w:sz w:val="20"/>
          <w:szCs w:val="20"/>
        </w:rPr>
        <w:t xml:space="preserve">Capital One </w:t>
      </w:r>
      <w:r>
        <w:rPr>
          <w:rFonts w:eastAsia="Times New Roman"/>
          <w:color w:val="000000"/>
          <w:sz w:val="20"/>
          <w:szCs w:val="20"/>
        </w:rPr>
        <w:t xml:space="preserve">or the </w:t>
      </w:r>
      <w:r>
        <w:rPr>
          <w:rFonts w:eastAsia="Times New Roman"/>
          <w:b/>
          <w:bCs/>
          <w:color w:val="000000"/>
          <w:sz w:val="20"/>
          <w:szCs w:val="20"/>
        </w:rPr>
        <w:t>Company:</w:t>
      </w:r>
      <w:r>
        <w:rPr>
          <w:rFonts w:eastAsia="Times New Roman"/>
          <w:color w:val="000000"/>
          <w:sz w:val="20"/>
          <w:szCs w:val="20"/>
        </w:rPr>
        <w:t xml:space="preserve"> Capital One Financial Corporation </w:t>
      </w:r>
      <w:r>
        <w:rPr>
          <w:rFonts w:eastAsia="Times New Roman"/>
          <w:color w:val="000000"/>
          <w:sz w:val="20"/>
          <w:szCs w:val="20"/>
        </w:rPr>
        <w:t>and its subsidiaries.</w:t>
      </w:r>
    </w:p>
    <w:p w:rsidR="00000000" w:rsidRDefault="00E92DBE">
      <w:pPr>
        <w:jc w:val="both"/>
        <w:divId w:val="1704288806"/>
        <w:rPr>
          <w:rFonts w:eastAsia="Times New Roman"/>
        </w:rPr>
      </w:pPr>
      <w:r>
        <w:rPr>
          <w:rFonts w:eastAsia="Times New Roman"/>
          <w:b/>
          <w:bCs/>
          <w:color w:val="000000"/>
          <w:sz w:val="20"/>
          <w:szCs w:val="20"/>
        </w:rPr>
        <w:t>The Coronavirus Aid, Relief, and Economic Security Act (“CARES Act”):</w:t>
      </w:r>
      <w:r>
        <w:rPr>
          <w:rFonts w:eastAsia="Times New Roman"/>
          <w:color w:val="000000"/>
          <w:sz w:val="20"/>
          <w:szCs w:val="20"/>
        </w:rPr>
        <w:t xml:space="preserve"> Legislation signed into law on March 27, 2020. This law, among other things, authorized a number of lending programs to support the flow of credit to consumers and </w:t>
      </w:r>
      <w:r>
        <w:rPr>
          <w:rFonts w:eastAsia="Times New Roman"/>
          <w:color w:val="000000"/>
          <w:sz w:val="20"/>
          <w:szCs w:val="20"/>
        </w:rPr>
        <w:t>businesses and gave the banking organizations an option to temporarily suspend the determination of certain qualified loans modified as a result of COVID-19 as being TDRs, which was extended by the Consolidated Appropriations Act 2021.</w:t>
      </w:r>
    </w:p>
    <w:p w:rsidR="00000000" w:rsidRDefault="00E92DBE">
      <w:pPr>
        <w:jc w:val="both"/>
        <w:divId w:val="1669822808"/>
        <w:rPr>
          <w:rFonts w:eastAsia="Times New Roman"/>
        </w:rPr>
      </w:pPr>
      <w:r>
        <w:rPr>
          <w:rFonts w:eastAsia="Times New Roman"/>
          <w:b/>
          <w:bCs/>
          <w:color w:val="000000"/>
          <w:sz w:val="20"/>
          <w:szCs w:val="20"/>
        </w:rPr>
        <w:t xml:space="preserve">Carrying value </w:t>
      </w:r>
      <w:r>
        <w:rPr>
          <w:rFonts w:eastAsia="Times New Roman"/>
          <w:color w:val="000000"/>
          <w:sz w:val="20"/>
          <w:szCs w:val="20"/>
        </w:rPr>
        <w:t>(with</w:t>
      </w:r>
      <w:r>
        <w:rPr>
          <w:rFonts w:eastAsia="Times New Roman"/>
          <w:color w:val="000000"/>
          <w:sz w:val="20"/>
          <w:szCs w:val="20"/>
        </w:rPr>
        <w:t xml:space="preserve"> respect to loans)</w:t>
      </w:r>
      <w:r>
        <w:rPr>
          <w:rFonts w:eastAsia="Times New Roman"/>
          <w:b/>
          <w:bCs/>
          <w:color w:val="000000"/>
          <w:sz w:val="20"/>
          <w:szCs w:val="20"/>
        </w:rPr>
        <w:t>:</w:t>
      </w:r>
      <w:r>
        <w:rPr>
          <w:rFonts w:eastAsia="Times New Roman"/>
          <w:color w:val="000000"/>
          <w:sz w:val="20"/>
          <w:szCs w:val="20"/>
        </w:rPr>
        <w:t xml:space="preserve"> The amount at which a loan is recorded on the consolidated balance sheets. For loans recorded at amortized cost, carrying value is the unpaid principal balance net of unamortized deferred loan origination fees and costs, and unamortized</w:t>
      </w:r>
      <w:r>
        <w:rPr>
          <w:rFonts w:eastAsia="Times New Roman"/>
          <w:color w:val="000000"/>
          <w:sz w:val="20"/>
          <w:szCs w:val="20"/>
        </w:rPr>
        <w:t xml:space="preserve"> purchase premium or discount. For loans that are or have been on nonaccrual status, the carrying value is also reduced by any net charge-offs that have been recorded and the amount of interest payments applied as a reduction of principal under the cost re</w:t>
      </w:r>
      <w:r>
        <w:rPr>
          <w:rFonts w:eastAsia="Times New Roman"/>
          <w:color w:val="000000"/>
          <w:sz w:val="20"/>
          <w:szCs w:val="20"/>
        </w:rPr>
        <w:t xml:space="preserve">covery method. For credit card loans, the carrying value also includes interest that has been billed to the customer, net of any related reserves. Loans held for sale are recorded at either fair value (if we elect the fair value option) or at the lower of </w:t>
      </w:r>
      <w:r>
        <w:rPr>
          <w:rFonts w:eastAsia="Times New Roman"/>
          <w:color w:val="000000"/>
          <w:sz w:val="20"/>
          <w:szCs w:val="20"/>
        </w:rPr>
        <w:t>cost or fair value.</w:t>
      </w:r>
    </w:p>
    <w:p w:rsidR="00000000" w:rsidRDefault="00E92DBE">
      <w:pPr>
        <w:jc w:val="both"/>
        <w:divId w:val="1585645000"/>
        <w:rPr>
          <w:rFonts w:eastAsia="Times New Roman"/>
        </w:rPr>
      </w:pPr>
      <w:r>
        <w:rPr>
          <w:rFonts w:eastAsia="Times New Roman"/>
          <w:b/>
          <w:bCs/>
          <w:color w:val="000000"/>
          <w:sz w:val="20"/>
          <w:szCs w:val="20"/>
        </w:rPr>
        <w:t>CECL:</w:t>
      </w:r>
      <w:r>
        <w:rPr>
          <w:rFonts w:eastAsia="Times New Roman"/>
          <w:color w:val="000000"/>
          <w:sz w:val="20"/>
          <w:szCs w:val="20"/>
        </w:rPr>
        <w:t xml:space="preserve"> In June 2016, the Financial Accounting Standards Board (“FASB”) issued Accounting Standards Update (“ASU”) No. 2016-13, Financial Instruments—Credit Losses (Topic 326): </w:t>
      </w:r>
      <w:r>
        <w:rPr>
          <w:rFonts w:eastAsia="Times New Roman"/>
          <w:i/>
          <w:iCs/>
          <w:color w:val="000000"/>
          <w:sz w:val="20"/>
          <w:szCs w:val="20"/>
        </w:rPr>
        <w:t>Measurement of Credit Losses on Financial Instruments</w:t>
      </w:r>
      <w:r>
        <w:rPr>
          <w:rFonts w:eastAsia="Times New Roman"/>
          <w:color w:val="000000"/>
          <w:sz w:val="20"/>
          <w:szCs w:val="20"/>
        </w:rPr>
        <w:t>. This A</w:t>
      </w:r>
      <w:r>
        <w:rPr>
          <w:rFonts w:eastAsia="Times New Roman"/>
          <w:color w:val="000000"/>
          <w:sz w:val="20"/>
          <w:szCs w:val="20"/>
        </w:rPr>
        <w:t>SU requires an impairment model (known as the current expected credit loss (“CECL”) model) that is based on expected rather than incurred losses, with an anticipated result of more timely loss recognition. This guidance was effective for us on January 1, 2</w:t>
      </w:r>
      <w:r>
        <w:rPr>
          <w:rFonts w:eastAsia="Times New Roman"/>
          <w:color w:val="000000"/>
          <w:sz w:val="20"/>
          <w:szCs w:val="20"/>
        </w:rPr>
        <w:t xml:space="preserve">020. </w:t>
      </w:r>
    </w:p>
    <w:p w:rsidR="00000000" w:rsidRDefault="00E92DBE">
      <w:pPr>
        <w:jc w:val="both"/>
        <w:divId w:val="1230966272"/>
        <w:rPr>
          <w:rFonts w:eastAsia="Times New Roman"/>
        </w:rPr>
      </w:pPr>
      <w:r>
        <w:rPr>
          <w:rFonts w:eastAsia="Times New Roman"/>
          <w:b/>
          <w:bCs/>
          <w:color w:val="000000"/>
          <w:sz w:val="20"/>
          <w:szCs w:val="20"/>
        </w:rPr>
        <w:t>COBNA:</w:t>
      </w:r>
      <w:r>
        <w:rPr>
          <w:rFonts w:eastAsia="Times New Roman"/>
          <w:color w:val="000000"/>
          <w:sz w:val="20"/>
          <w:szCs w:val="20"/>
        </w:rPr>
        <w:t xml:space="preserve"> Capital One Bank (USA), National Association, one of our fully owned subsidiaries, which offers credit and debit card products, other lending products and deposit products.</w:t>
      </w:r>
    </w:p>
    <w:p w:rsidR="00000000" w:rsidRDefault="00E92DBE">
      <w:pPr>
        <w:jc w:val="both"/>
        <w:divId w:val="841505594"/>
        <w:rPr>
          <w:rFonts w:eastAsia="Times New Roman"/>
        </w:rPr>
      </w:pPr>
      <w:r>
        <w:rPr>
          <w:rFonts w:eastAsia="Times New Roman"/>
          <w:b/>
          <w:bCs/>
          <w:color w:val="000000"/>
          <w:sz w:val="20"/>
          <w:szCs w:val="20"/>
        </w:rPr>
        <w:t xml:space="preserve">Common equity Tier 1 (“CET1”) capital: </w:t>
      </w:r>
      <w:r>
        <w:rPr>
          <w:rFonts w:eastAsia="Times New Roman"/>
          <w:color w:val="000000"/>
          <w:sz w:val="20"/>
          <w:szCs w:val="20"/>
        </w:rPr>
        <w:t>Calculated as the sum of common</w:t>
      </w:r>
      <w:r>
        <w:rPr>
          <w:rFonts w:eastAsia="Times New Roman"/>
          <w:color w:val="000000"/>
          <w:sz w:val="20"/>
          <w:szCs w:val="20"/>
        </w:rPr>
        <w:t xml:space="preserve"> equity, related surplus and retained earnings, and accumulated other comprehensive income net of applicable phase-ins, less goodwill and intangibles net of associated deferred tax liabilities and applicable phase-ins, less other deductions, as defined by </w:t>
      </w:r>
      <w:r>
        <w:rPr>
          <w:rFonts w:eastAsia="Times New Roman"/>
          <w:color w:val="000000"/>
          <w:sz w:val="20"/>
          <w:szCs w:val="20"/>
        </w:rPr>
        <w:t>regulators.</w:t>
      </w:r>
    </w:p>
    <w:p w:rsidR="00000000" w:rsidRDefault="00E92DBE">
      <w:pPr>
        <w:jc w:val="both"/>
        <w:divId w:val="1507746683"/>
        <w:rPr>
          <w:rFonts w:eastAsia="Times New Roman"/>
        </w:rPr>
      </w:pPr>
      <w:r>
        <w:rPr>
          <w:rFonts w:eastAsia="Times New Roman"/>
          <w:b/>
          <w:bCs/>
          <w:color w:val="000000"/>
          <w:sz w:val="20"/>
          <w:szCs w:val="20"/>
        </w:rPr>
        <w:t xml:space="preserve">CONA: </w:t>
      </w:r>
      <w:r>
        <w:rPr>
          <w:rFonts w:eastAsia="Times New Roman"/>
          <w:color w:val="000000"/>
          <w:sz w:val="20"/>
          <w:szCs w:val="20"/>
        </w:rPr>
        <w:t>Capital One, National Association, one of our fully owned subsidiaries, which offers a broad spectrum of banking products and financial services to consumers, small businesses and commercial clients.</w:t>
      </w:r>
    </w:p>
    <w:p w:rsidR="00000000" w:rsidRDefault="00E92DBE">
      <w:pPr>
        <w:jc w:val="both"/>
        <w:divId w:val="126629245"/>
        <w:rPr>
          <w:rFonts w:eastAsia="Times New Roman"/>
        </w:rPr>
      </w:pPr>
      <w:r>
        <w:rPr>
          <w:rFonts w:eastAsia="Times New Roman"/>
          <w:b/>
          <w:bCs/>
          <w:color w:val="000000"/>
          <w:sz w:val="20"/>
          <w:szCs w:val="20"/>
        </w:rPr>
        <w:t>Credit risk:</w:t>
      </w:r>
      <w:r>
        <w:rPr>
          <w:rFonts w:eastAsia="Times New Roman"/>
          <w:color w:val="000000"/>
          <w:sz w:val="20"/>
          <w:szCs w:val="20"/>
        </w:rPr>
        <w:t xml:space="preserve"> The risk of loss from an </w:t>
      </w:r>
      <w:r>
        <w:rPr>
          <w:rFonts w:eastAsia="Times New Roman"/>
          <w:color w:val="000000"/>
          <w:sz w:val="20"/>
          <w:szCs w:val="20"/>
        </w:rPr>
        <w:t>obligor’s failure to meet the terms of any contract or otherwise fail to perform as agreed.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53176869"/>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653176869"/>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653176869"/>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58</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83" style="width:0;height:1.5pt" o:hralign="center" o:hrstd="t" o:hr="t" fillcolor="#a0a0a0" stroked="f"/>
        </w:pict>
      </w:r>
    </w:p>
    <w:p w:rsidR="00000000" w:rsidRDefault="00E92DBE">
      <w:pPr>
        <w:ind w:hanging="360"/>
        <w:jc w:val="both"/>
        <w:divId w:val="142240599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1658805849"/>
        <w:rPr>
          <w:rFonts w:eastAsia="Times New Roman"/>
        </w:rPr>
      </w:pPr>
      <w:r>
        <w:rPr>
          <w:rFonts w:eastAsia="Times New Roman"/>
          <w:b/>
          <w:bCs/>
          <w:color w:val="000000"/>
          <w:sz w:val="20"/>
          <w:szCs w:val="20"/>
        </w:rPr>
        <w:t>Cybersecurity Incident:</w:t>
      </w:r>
      <w:r>
        <w:rPr>
          <w:rFonts w:eastAsia="Times New Roman"/>
          <w:color w:val="000000"/>
          <w:sz w:val="20"/>
          <w:szCs w:val="20"/>
        </w:rPr>
        <w:t xml:space="preserve"> </w:t>
      </w:r>
      <w:r>
        <w:rPr>
          <w:rFonts w:eastAsia="Times New Roman"/>
          <w:color w:val="000000"/>
          <w:sz w:val="20"/>
          <w:szCs w:val="20"/>
        </w:rPr>
        <w:t xml:space="preserve">The unauthorized access by an outside individual who obtained certain types of personal information relating to people who had applied for our credit card products and to our credit card customers that we announced on July 29, 2019. </w:t>
      </w:r>
    </w:p>
    <w:p w:rsidR="00000000" w:rsidRDefault="00E92DBE">
      <w:pPr>
        <w:jc w:val="both"/>
        <w:divId w:val="316811188"/>
        <w:rPr>
          <w:rFonts w:eastAsia="Times New Roman"/>
        </w:rPr>
      </w:pPr>
      <w:r>
        <w:rPr>
          <w:rFonts w:eastAsia="Times New Roman"/>
          <w:b/>
          <w:bCs/>
          <w:color w:val="000000"/>
          <w:sz w:val="20"/>
          <w:szCs w:val="20"/>
        </w:rPr>
        <w:t>Derivative:</w:t>
      </w:r>
      <w:r>
        <w:rPr>
          <w:rFonts w:eastAsia="Times New Roman"/>
          <w:color w:val="000000"/>
          <w:sz w:val="20"/>
          <w:szCs w:val="20"/>
        </w:rPr>
        <w:t xml:space="preserve"> A contract</w:t>
      </w:r>
      <w:r>
        <w:rPr>
          <w:rFonts w:eastAsia="Times New Roman"/>
          <w:color w:val="000000"/>
          <w:sz w:val="20"/>
          <w:szCs w:val="20"/>
        </w:rPr>
        <w:t xml:space="preserve"> or agreement whose value is derived from changes in interest rates, foreign exchange rates, prices of securities or commodities, credit worthiness for credit default swaps or financial or commodity indices.</w:t>
      </w:r>
    </w:p>
    <w:p w:rsidR="00000000" w:rsidRDefault="00E92DBE">
      <w:pPr>
        <w:jc w:val="both"/>
        <w:divId w:val="1186600094"/>
        <w:rPr>
          <w:rFonts w:eastAsia="Times New Roman"/>
        </w:rPr>
      </w:pPr>
      <w:r>
        <w:rPr>
          <w:rFonts w:eastAsia="Times New Roman"/>
          <w:b/>
          <w:bCs/>
          <w:color w:val="000000"/>
          <w:sz w:val="20"/>
          <w:szCs w:val="20"/>
        </w:rPr>
        <w:t>Discontinued operations:</w:t>
      </w:r>
      <w:r>
        <w:rPr>
          <w:rFonts w:eastAsia="Times New Roman"/>
          <w:color w:val="000000"/>
          <w:sz w:val="20"/>
          <w:szCs w:val="20"/>
        </w:rPr>
        <w:t xml:space="preserve"> The operating results o</w:t>
      </w:r>
      <w:r>
        <w:rPr>
          <w:rFonts w:eastAsia="Times New Roman"/>
          <w:color w:val="000000"/>
          <w:sz w:val="20"/>
          <w:szCs w:val="20"/>
        </w:rPr>
        <w:t>f a component of an entity, as defined by Accounting Standards Codification (“ASC”) 205, that are removed from continuing operations when that component has been disposed of or it is management’s intention to sell the component.</w:t>
      </w:r>
    </w:p>
    <w:p w:rsidR="00000000" w:rsidRDefault="00E92DBE">
      <w:pPr>
        <w:jc w:val="both"/>
        <w:divId w:val="1891115026"/>
        <w:rPr>
          <w:rFonts w:eastAsia="Times New Roman"/>
        </w:rPr>
      </w:pPr>
      <w:r>
        <w:rPr>
          <w:rFonts w:eastAsia="Times New Roman"/>
          <w:b/>
          <w:bCs/>
          <w:color w:val="000000"/>
          <w:sz w:val="20"/>
          <w:szCs w:val="20"/>
        </w:rPr>
        <w:t>Dodd-Frank Wall Street Refo</w:t>
      </w:r>
      <w:r>
        <w:rPr>
          <w:rFonts w:eastAsia="Times New Roman"/>
          <w:b/>
          <w:bCs/>
          <w:color w:val="000000"/>
          <w:sz w:val="20"/>
          <w:szCs w:val="20"/>
        </w:rPr>
        <w:t>rm and Consumer Protection Act (“Dodd-Frank Act”):</w:t>
      </w:r>
      <w:r>
        <w:rPr>
          <w:rFonts w:eastAsia="Times New Roman"/>
          <w:color w:val="000000"/>
          <w:sz w:val="20"/>
          <w:szCs w:val="20"/>
        </w:rPr>
        <w:t xml:space="preserve"> Regulatory reform legislation signed into law on July 21, 2010. This law broadly affects the financial services industry and contains numerous provisions aimed at strengthening the sound operation of the f</w:t>
      </w:r>
      <w:r>
        <w:rPr>
          <w:rFonts w:eastAsia="Times New Roman"/>
          <w:color w:val="000000"/>
          <w:sz w:val="20"/>
          <w:szCs w:val="20"/>
        </w:rPr>
        <w:t>inancial services sector.</w:t>
      </w:r>
    </w:p>
    <w:p w:rsidR="00000000" w:rsidRDefault="00E92DBE">
      <w:pPr>
        <w:jc w:val="both"/>
        <w:divId w:val="1742869856"/>
        <w:rPr>
          <w:rFonts w:eastAsia="Times New Roman"/>
        </w:rPr>
      </w:pPr>
      <w:r>
        <w:rPr>
          <w:rFonts w:eastAsia="Times New Roman"/>
          <w:b/>
          <w:bCs/>
          <w:color w:val="000000"/>
          <w:sz w:val="20"/>
          <w:szCs w:val="20"/>
        </w:rPr>
        <w:t xml:space="preserve">Exchange Act: </w:t>
      </w:r>
      <w:r>
        <w:rPr>
          <w:rFonts w:eastAsia="Times New Roman"/>
          <w:color w:val="000000"/>
          <w:sz w:val="20"/>
          <w:szCs w:val="20"/>
        </w:rPr>
        <w:t>The Securities Exchange Act of 1934, as amended.</w:t>
      </w:r>
    </w:p>
    <w:p w:rsidR="00000000" w:rsidRDefault="00E92DBE">
      <w:pPr>
        <w:jc w:val="both"/>
        <w:divId w:val="568658269"/>
        <w:rPr>
          <w:rFonts w:eastAsia="Times New Roman"/>
        </w:rPr>
      </w:pPr>
      <w:r>
        <w:rPr>
          <w:rFonts w:eastAsia="Times New Roman"/>
          <w:b/>
          <w:bCs/>
          <w:color w:val="000000"/>
          <w:sz w:val="20"/>
          <w:szCs w:val="20"/>
        </w:rPr>
        <w:t>eXtensible Business Reporting Language (“XBRL”):</w:t>
      </w:r>
      <w:r>
        <w:rPr>
          <w:rFonts w:eastAsia="Times New Roman"/>
          <w:color w:val="000000"/>
          <w:sz w:val="20"/>
          <w:szCs w:val="20"/>
        </w:rPr>
        <w:t xml:space="preserve"> A language for the electronic communication of business and financial data.</w:t>
      </w:r>
    </w:p>
    <w:p w:rsidR="00000000" w:rsidRDefault="00E92DBE">
      <w:pPr>
        <w:jc w:val="both"/>
        <w:divId w:val="799686117"/>
        <w:rPr>
          <w:rFonts w:eastAsia="Times New Roman"/>
        </w:rPr>
      </w:pPr>
      <w:r>
        <w:rPr>
          <w:rFonts w:eastAsia="Times New Roman"/>
          <w:b/>
          <w:bCs/>
          <w:color w:val="000000"/>
          <w:sz w:val="20"/>
          <w:szCs w:val="20"/>
        </w:rPr>
        <w:t>Federal Banking Agencies:</w:t>
      </w:r>
      <w:r>
        <w:rPr>
          <w:rFonts w:eastAsia="Times New Roman"/>
          <w:color w:val="000000"/>
          <w:sz w:val="20"/>
          <w:szCs w:val="20"/>
        </w:rPr>
        <w:t xml:space="preserve"> The Federal Rese</w:t>
      </w:r>
      <w:r>
        <w:rPr>
          <w:rFonts w:eastAsia="Times New Roman"/>
          <w:color w:val="000000"/>
          <w:sz w:val="20"/>
          <w:szCs w:val="20"/>
        </w:rPr>
        <w:t>rve, Office of the Comptroller of the Currency and Federal Deposit Insurance Corporation.</w:t>
      </w:r>
    </w:p>
    <w:p w:rsidR="00000000" w:rsidRDefault="00E92DBE">
      <w:pPr>
        <w:jc w:val="both"/>
        <w:divId w:val="624435205"/>
        <w:rPr>
          <w:rFonts w:eastAsia="Times New Roman"/>
        </w:rPr>
      </w:pPr>
      <w:r>
        <w:rPr>
          <w:rFonts w:eastAsia="Times New Roman"/>
          <w:b/>
          <w:bCs/>
          <w:color w:val="000000"/>
          <w:sz w:val="20"/>
          <w:szCs w:val="20"/>
        </w:rPr>
        <w:t>Federal Reserve:</w:t>
      </w:r>
      <w:r>
        <w:rPr>
          <w:rFonts w:eastAsia="Times New Roman"/>
          <w:color w:val="000000"/>
          <w:sz w:val="20"/>
          <w:szCs w:val="20"/>
        </w:rPr>
        <w:t xml:space="preserve"> The Board of Governors of the Federal Reserve System.</w:t>
      </w:r>
    </w:p>
    <w:p w:rsidR="00000000" w:rsidRDefault="00E92DBE">
      <w:pPr>
        <w:jc w:val="both"/>
        <w:divId w:val="1674796630"/>
        <w:rPr>
          <w:rFonts w:eastAsia="Times New Roman"/>
        </w:rPr>
      </w:pPr>
      <w:r>
        <w:rPr>
          <w:rFonts w:eastAsia="Times New Roman"/>
          <w:b/>
          <w:bCs/>
          <w:color w:val="000000"/>
          <w:sz w:val="20"/>
          <w:szCs w:val="20"/>
        </w:rPr>
        <w:t>FICO score:</w:t>
      </w:r>
      <w:r>
        <w:rPr>
          <w:rFonts w:eastAsia="Times New Roman"/>
          <w:color w:val="000000"/>
          <w:sz w:val="20"/>
          <w:szCs w:val="20"/>
        </w:rPr>
        <w:t xml:space="preserve"> A measure of consumer credit risk provided by credit bureaus, typically produced fr</w:t>
      </w:r>
      <w:r>
        <w:rPr>
          <w:rFonts w:eastAsia="Times New Roman"/>
          <w:color w:val="000000"/>
          <w:sz w:val="20"/>
          <w:szCs w:val="20"/>
        </w:rPr>
        <w:t>om statistical modeling software created by FICO (formerly known as “Fair Isaac Corporation”) utilizing data collected by the credit bureaus.</w:t>
      </w:r>
    </w:p>
    <w:p w:rsidR="00000000" w:rsidRDefault="00E92DBE">
      <w:pPr>
        <w:jc w:val="both"/>
        <w:divId w:val="741562995"/>
        <w:rPr>
          <w:rFonts w:eastAsia="Times New Roman"/>
        </w:rPr>
      </w:pPr>
      <w:r>
        <w:rPr>
          <w:rFonts w:eastAsia="Times New Roman"/>
          <w:b/>
          <w:bCs/>
          <w:color w:val="000000"/>
          <w:sz w:val="20"/>
          <w:szCs w:val="20"/>
        </w:rPr>
        <w:t>Foreign currency derivative contracts:</w:t>
      </w:r>
      <w:r>
        <w:rPr>
          <w:rFonts w:eastAsia="Times New Roman"/>
          <w:color w:val="000000"/>
          <w:sz w:val="20"/>
          <w:szCs w:val="20"/>
        </w:rPr>
        <w:t xml:space="preserve"> An agreement to exchange contractual amounts of one currency for another cu</w:t>
      </w:r>
      <w:r>
        <w:rPr>
          <w:rFonts w:eastAsia="Times New Roman"/>
          <w:color w:val="000000"/>
          <w:sz w:val="20"/>
          <w:szCs w:val="20"/>
        </w:rPr>
        <w:t>rrency at one or more future dates.</w:t>
      </w:r>
    </w:p>
    <w:p w:rsidR="00000000" w:rsidRDefault="00E92DBE">
      <w:pPr>
        <w:jc w:val="both"/>
        <w:divId w:val="508101643"/>
        <w:rPr>
          <w:rFonts w:eastAsia="Times New Roman"/>
        </w:rPr>
      </w:pPr>
      <w:r>
        <w:rPr>
          <w:rFonts w:eastAsia="Times New Roman"/>
          <w:b/>
          <w:bCs/>
          <w:color w:val="000000"/>
          <w:sz w:val="20"/>
          <w:szCs w:val="20"/>
        </w:rPr>
        <w:t>Foreign exchange contracts:</w:t>
      </w:r>
      <w:r>
        <w:rPr>
          <w:rFonts w:eastAsia="Times New Roman"/>
          <w:color w:val="000000"/>
          <w:sz w:val="20"/>
          <w:szCs w:val="20"/>
        </w:rPr>
        <w:t xml:space="preserve"> Contracts that provide for the future receipt or delivery of foreign currency at previously agreed-upon terms.</w:t>
      </w:r>
    </w:p>
    <w:p w:rsidR="00000000" w:rsidRDefault="00E92DBE">
      <w:pPr>
        <w:jc w:val="both"/>
        <w:divId w:val="497113601"/>
        <w:rPr>
          <w:rFonts w:eastAsia="Times New Roman"/>
        </w:rPr>
      </w:pPr>
      <w:r>
        <w:rPr>
          <w:rFonts w:eastAsia="Times New Roman"/>
          <w:b/>
          <w:bCs/>
          <w:color w:val="000000"/>
          <w:sz w:val="20"/>
          <w:szCs w:val="20"/>
        </w:rPr>
        <w:t xml:space="preserve">GSE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A government-sponsored enterprise or agency is a financial service</w:t>
      </w:r>
      <w:r>
        <w:rPr>
          <w:rFonts w:eastAsia="Times New Roman"/>
          <w:color w:val="000000"/>
          <w:sz w:val="20"/>
          <w:szCs w:val="20"/>
        </w:rPr>
        <w:t>s corporation created by the United States Congress. Examples of U.S. government agencies include Federal National Mortgage Association (“Fannie Mae”), Federal Home Loan Mortgage Corporation (“Freddie Mac”), Government National Mortgage Association (“Ginni</w:t>
      </w:r>
      <w:r>
        <w:rPr>
          <w:rFonts w:eastAsia="Times New Roman"/>
          <w:color w:val="000000"/>
          <w:sz w:val="20"/>
          <w:szCs w:val="20"/>
        </w:rPr>
        <w:t>e Mae”) and the Federal Home Loan Banks (“FHLB”).</w:t>
      </w:r>
    </w:p>
    <w:p w:rsidR="00000000" w:rsidRDefault="00E92DBE">
      <w:pPr>
        <w:jc w:val="both"/>
        <w:divId w:val="2090080058"/>
        <w:rPr>
          <w:rFonts w:eastAsia="Times New Roman"/>
        </w:rPr>
      </w:pPr>
      <w:r>
        <w:rPr>
          <w:rFonts w:eastAsia="Times New Roman"/>
          <w:b/>
          <w:bCs/>
          <w:color w:val="000000"/>
          <w:sz w:val="20"/>
          <w:szCs w:val="20"/>
        </w:rPr>
        <w:t>Interest rate sensitivity:</w:t>
      </w:r>
      <w:r>
        <w:rPr>
          <w:rFonts w:eastAsia="Times New Roman"/>
          <w:color w:val="000000"/>
          <w:sz w:val="20"/>
          <w:szCs w:val="20"/>
        </w:rPr>
        <w:t xml:space="preserve"> The exposure to interest rate movements.</w:t>
      </w:r>
    </w:p>
    <w:p w:rsidR="00000000" w:rsidRDefault="00E92DBE">
      <w:pPr>
        <w:jc w:val="both"/>
        <w:divId w:val="295989517"/>
        <w:rPr>
          <w:rFonts w:eastAsia="Times New Roman"/>
        </w:rPr>
      </w:pPr>
      <w:r>
        <w:rPr>
          <w:rFonts w:eastAsia="Times New Roman"/>
          <w:b/>
          <w:bCs/>
          <w:color w:val="000000"/>
          <w:sz w:val="20"/>
          <w:szCs w:val="20"/>
        </w:rPr>
        <w:t>Interest rate swaps:</w:t>
      </w:r>
      <w:r>
        <w:rPr>
          <w:rFonts w:eastAsia="Times New Roman"/>
          <w:color w:val="000000"/>
          <w:sz w:val="20"/>
          <w:szCs w:val="20"/>
        </w:rPr>
        <w:t xml:space="preserve"> Contracts in which a series of interest rate flows in a single currency are exchanged over a prescribed period. Inter</w:t>
      </w:r>
      <w:r>
        <w:rPr>
          <w:rFonts w:eastAsia="Times New Roman"/>
          <w:color w:val="000000"/>
          <w:sz w:val="20"/>
          <w:szCs w:val="20"/>
        </w:rPr>
        <w:t>est rate swaps are the most common type of derivative contract that we use in our asset/liability management activities.</w:t>
      </w:r>
    </w:p>
    <w:p w:rsidR="00000000" w:rsidRDefault="00E92DBE">
      <w:pPr>
        <w:jc w:val="both"/>
        <w:divId w:val="704867010"/>
        <w:rPr>
          <w:rFonts w:eastAsia="Times New Roman"/>
        </w:rPr>
      </w:pPr>
      <w:r>
        <w:rPr>
          <w:rFonts w:eastAsia="Times New Roman"/>
          <w:b/>
          <w:bCs/>
          <w:color w:val="000000"/>
          <w:sz w:val="20"/>
          <w:szCs w:val="20"/>
        </w:rPr>
        <w:t>Investment grade:</w:t>
      </w:r>
      <w:r>
        <w:rPr>
          <w:rFonts w:eastAsia="Times New Roman"/>
          <w:color w:val="000000"/>
          <w:sz w:val="20"/>
          <w:szCs w:val="20"/>
        </w:rPr>
        <w:t xml:space="preserve"> Represents a Moody’s long-term rating of Baa3 or better; and/or a S&amp;P long-term rating of BBB- or better; and/or a Fi</w:t>
      </w:r>
      <w:r>
        <w:rPr>
          <w:rFonts w:eastAsia="Times New Roman"/>
          <w:color w:val="000000"/>
          <w:sz w:val="20"/>
          <w:szCs w:val="20"/>
        </w:rPr>
        <w:t>tch long-term rating of BBB- or better; or if unrated, an equivalent rating using our internal risk ratings. Instruments that fall below these levels are considered to be non-investment grade.</w:t>
      </w:r>
    </w:p>
    <w:p w:rsidR="00000000" w:rsidRDefault="00E92DBE">
      <w:pPr>
        <w:jc w:val="both"/>
        <w:divId w:val="1156343066"/>
        <w:rPr>
          <w:rFonts w:eastAsia="Times New Roman"/>
        </w:rPr>
      </w:pPr>
      <w:r>
        <w:rPr>
          <w:rFonts w:eastAsia="Times New Roman"/>
          <w:b/>
          <w:bCs/>
          <w:color w:val="000000"/>
          <w:sz w:val="20"/>
          <w:szCs w:val="20"/>
        </w:rPr>
        <w:t xml:space="preserve">Investor entities: </w:t>
      </w:r>
      <w:r>
        <w:rPr>
          <w:rFonts w:eastAsia="Times New Roman"/>
          <w:color w:val="000000"/>
          <w:sz w:val="20"/>
          <w:szCs w:val="20"/>
        </w:rPr>
        <w:t>Entities that invest in community developmen</w:t>
      </w:r>
      <w:r>
        <w:rPr>
          <w:rFonts w:eastAsia="Times New Roman"/>
          <w:color w:val="000000"/>
          <w:sz w:val="20"/>
          <w:szCs w:val="20"/>
        </w:rPr>
        <w:t>t entities (“CDE”) that provide debt financing to businesses and non-profit entities in low-income and rural communities.</w:t>
      </w:r>
    </w:p>
    <w:p w:rsidR="00000000" w:rsidRDefault="00E92DBE">
      <w:pPr>
        <w:jc w:val="both"/>
        <w:divId w:val="944774022"/>
        <w:rPr>
          <w:rFonts w:eastAsia="Times New Roman"/>
        </w:rPr>
      </w:pPr>
      <w:r>
        <w:rPr>
          <w:rFonts w:eastAsia="Times New Roman"/>
          <w:b/>
          <w:bCs/>
          <w:color w:val="000000"/>
          <w:sz w:val="20"/>
          <w:szCs w:val="20"/>
        </w:rPr>
        <w:t>LCR Rule:</w:t>
      </w:r>
      <w:r>
        <w:rPr>
          <w:rFonts w:eastAsia="Times New Roman"/>
          <w:color w:val="000000"/>
          <w:sz w:val="20"/>
          <w:szCs w:val="20"/>
        </w:rPr>
        <w:t xml:space="preserve"> In September 2014, the Federal Banking Agencies issued final rules implementing the Basel III Liquidity Coverage Ratio (“LCR</w:t>
      </w:r>
      <w:r>
        <w:rPr>
          <w:rFonts w:eastAsia="Times New Roman"/>
          <w:color w:val="000000"/>
          <w:sz w:val="20"/>
          <w:szCs w:val="20"/>
        </w:rPr>
        <w:t xml:space="preserve">”) in the United States. The LCR is calculated by dividing the amount of an institution’s high quality, unencumbered liquid assets by its estimated net cash outflow, as defined and calculated in accordance with the LCR Rule. </w:t>
      </w:r>
    </w:p>
    <w:p w:rsidR="00000000" w:rsidRDefault="00E92DBE">
      <w:pPr>
        <w:jc w:val="both"/>
        <w:divId w:val="2076581049"/>
        <w:rPr>
          <w:rFonts w:eastAsia="Times New Roman"/>
        </w:rPr>
      </w:pPr>
      <w:r>
        <w:rPr>
          <w:rFonts w:eastAsia="Times New Roman"/>
          <w:b/>
          <w:bCs/>
          <w:color w:val="000000"/>
          <w:sz w:val="20"/>
          <w:szCs w:val="20"/>
        </w:rPr>
        <w:t>Leverage ratio:</w:t>
      </w:r>
      <w:r>
        <w:rPr>
          <w:rFonts w:eastAsia="Times New Roman"/>
          <w:color w:val="000000"/>
          <w:sz w:val="20"/>
          <w:szCs w:val="20"/>
        </w:rPr>
        <w:t xml:space="preserve"> Tier 1 capital</w:t>
      </w:r>
      <w:r>
        <w:rPr>
          <w:rFonts w:eastAsia="Times New Roman"/>
          <w:color w:val="000000"/>
          <w:sz w:val="20"/>
          <w:szCs w:val="20"/>
        </w:rPr>
        <w:t xml:space="preserve"> divided by average assets after certain adjustments, as defined by the regulators. </w:t>
      </w:r>
    </w:p>
    <w:p w:rsidR="00000000" w:rsidRDefault="00E92DBE">
      <w:pPr>
        <w:jc w:val="both"/>
        <w:divId w:val="1716273360"/>
        <w:rPr>
          <w:rFonts w:eastAsia="Times New Roman"/>
        </w:rPr>
      </w:pPr>
      <w:r>
        <w:rPr>
          <w:rFonts w:eastAsia="Times New Roman"/>
          <w:b/>
          <w:bCs/>
          <w:color w:val="000000"/>
          <w:sz w:val="20"/>
          <w:szCs w:val="20"/>
        </w:rPr>
        <w:t>Liquidity risk:</w:t>
      </w:r>
      <w:r>
        <w:rPr>
          <w:rFonts w:eastAsia="Times New Roman"/>
          <w:color w:val="000000"/>
          <w:sz w:val="20"/>
          <w:szCs w:val="20"/>
        </w:rPr>
        <w:t xml:space="preserve"> The risk that the Company will not be able to meet its future financial obligations as they come due, or invest in future asset growth because of an inabil</w:t>
      </w:r>
      <w:r>
        <w:rPr>
          <w:rFonts w:eastAsia="Times New Roman"/>
          <w:color w:val="000000"/>
          <w:sz w:val="20"/>
          <w:szCs w:val="20"/>
        </w:rPr>
        <w:t>ity to obtain funds at a reasonable price within a reasonable time period.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70352881"/>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770352881"/>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770352881"/>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59</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84" style="width:0;height:1.5pt" o:hralign="center" o:hrstd="t" o:hr="t" fillcolor="#a0a0a0" stroked="f"/>
        </w:pict>
      </w:r>
    </w:p>
    <w:p w:rsidR="00000000" w:rsidRDefault="00E92DBE">
      <w:pPr>
        <w:ind w:hanging="360"/>
        <w:jc w:val="both"/>
        <w:divId w:val="11548529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437264235"/>
        <w:rPr>
          <w:rFonts w:eastAsia="Times New Roman"/>
        </w:rPr>
      </w:pPr>
      <w:r>
        <w:rPr>
          <w:rFonts w:eastAsia="Times New Roman"/>
          <w:b/>
          <w:bCs/>
          <w:color w:val="000000"/>
          <w:sz w:val="20"/>
          <w:szCs w:val="20"/>
        </w:rPr>
        <w:t xml:space="preserve">Loan-to-value (“LTV”) ratio: </w:t>
      </w:r>
      <w:r>
        <w:rPr>
          <w:rFonts w:eastAsia="Times New Roman"/>
          <w:color w:val="000000"/>
          <w:sz w:val="20"/>
          <w:szCs w:val="20"/>
        </w:rPr>
        <w:t xml:space="preserve">The relationship, expressed as a percentage, between the principal amount of a loan and the appraised value of the </w:t>
      </w:r>
      <w:r>
        <w:rPr>
          <w:rFonts w:eastAsia="Times New Roman"/>
          <w:color w:val="000000"/>
          <w:sz w:val="20"/>
          <w:szCs w:val="20"/>
        </w:rPr>
        <w:t>collateral securing the loan.</w:t>
      </w:r>
    </w:p>
    <w:p w:rsidR="00000000" w:rsidRDefault="00E92DBE">
      <w:pPr>
        <w:jc w:val="both"/>
        <w:divId w:val="1773430257"/>
        <w:rPr>
          <w:rFonts w:eastAsia="Times New Roman"/>
        </w:rPr>
      </w:pPr>
      <w:r>
        <w:rPr>
          <w:rFonts w:eastAsia="Times New Roman"/>
          <w:b/>
          <w:bCs/>
          <w:color w:val="000000"/>
          <w:sz w:val="20"/>
          <w:szCs w:val="20"/>
        </w:rPr>
        <w:t xml:space="preserve">Managed presentation: </w:t>
      </w:r>
      <w:r>
        <w:rPr>
          <w:rFonts w:eastAsia="Times New Roman"/>
          <w:color w:val="000000"/>
          <w:sz w:val="20"/>
          <w:szCs w:val="20"/>
        </w:rPr>
        <w:t>A non-GAAP presentation of business segment results derived from our internal management accounting and reporting process, which employs various allocation methodologies, including funds transfer pricing, to assign certain balance sheet assets, deposits an</w:t>
      </w:r>
      <w:r>
        <w:rPr>
          <w:rFonts w:eastAsia="Times New Roman"/>
          <w:color w:val="000000"/>
          <w:sz w:val="20"/>
          <w:szCs w:val="20"/>
        </w:rPr>
        <w:t>d other liabilities and their related revenues and expenses directly or indirectly attributable to each business segment. The results of our individual businesses reflect the manner in which management evaluates performance and makes decisions about fundin</w:t>
      </w:r>
      <w:r>
        <w:rPr>
          <w:rFonts w:eastAsia="Times New Roman"/>
          <w:color w:val="000000"/>
          <w:sz w:val="20"/>
          <w:szCs w:val="20"/>
        </w:rPr>
        <w:t xml:space="preserve">g our operations and allocating resources and are intended to reflect each segment as if it were a stand-alone business. </w:t>
      </w:r>
    </w:p>
    <w:p w:rsidR="00000000" w:rsidRDefault="00E92DBE">
      <w:pPr>
        <w:jc w:val="both"/>
        <w:divId w:val="1901675871"/>
        <w:rPr>
          <w:rFonts w:eastAsia="Times New Roman"/>
        </w:rPr>
      </w:pPr>
      <w:r>
        <w:rPr>
          <w:rFonts w:eastAsia="Times New Roman"/>
          <w:b/>
          <w:bCs/>
          <w:color w:val="000000"/>
          <w:sz w:val="20"/>
          <w:szCs w:val="20"/>
        </w:rPr>
        <w:t>Market risk:</w:t>
      </w:r>
      <w:r>
        <w:rPr>
          <w:rFonts w:eastAsia="Times New Roman"/>
          <w:color w:val="000000"/>
          <w:sz w:val="20"/>
          <w:szCs w:val="20"/>
        </w:rPr>
        <w:t xml:space="preserve"> The risk that an institution’s earnings or the economic value of equity could be adversely impacted by changes in interes</w:t>
      </w:r>
      <w:r>
        <w:rPr>
          <w:rFonts w:eastAsia="Times New Roman"/>
          <w:color w:val="000000"/>
          <w:sz w:val="20"/>
          <w:szCs w:val="20"/>
        </w:rPr>
        <w:t>t rates, foreign exchange rates or other market factors.</w:t>
      </w:r>
    </w:p>
    <w:p w:rsidR="00000000" w:rsidRDefault="00E92DBE">
      <w:pPr>
        <w:jc w:val="both"/>
        <w:divId w:val="1767337398"/>
        <w:rPr>
          <w:rFonts w:eastAsia="Times New Roman"/>
        </w:rPr>
      </w:pPr>
      <w:r>
        <w:rPr>
          <w:rFonts w:eastAsia="Times New Roman"/>
          <w:b/>
          <w:bCs/>
          <w:color w:val="000000"/>
          <w:sz w:val="20"/>
          <w:szCs w:val="20"/>
        </w:rPr>
        <w:t>Master netting arrangements:</w:t>
      </w:r>
      <w:r>
        <w:rPr>
          <w:rFonts w:eastAsia="Times New Roman"/>
          <w:color w:val="000000"/>
          <w:sz w:val="20"/>
          <w:szCs w:val="20"/>
        </w:rPr>
        <w:t xml:space="preserve"> An agreement between two counterparties that have multiple contracts with each other that provides for the net settlement of all contracts through a single payment in the</w:t>
      </w:r>
      <w:r>
        <w:rPr>
          <w:rFonts w:eastAsia="Times New Roman"/>
          <w:color w:val="000000"/>
          <w:sz w:val="20"/>
          <w:szCs w:val="20"/>
        </w:rPr>
        <w:t xml:space="preserve"> event of default or termination of any one contract.</w:t>
      </w:r>
    </w:p>
    <w:p w:rsidR="00000000" w:rsidRDefault="00E92DBE">
      <w:pPr>
        <w:jc w:val="both"/>
        <w:divId w:val="235284192"/>
        <w:rPr>
          <w:rFonts w:eastAsia="Times New Roman"/>
        </w:rPr>
      </w:pPr>
      <w:r>
        <w:rPr>
          <w:rFonts w:eastAsia="Times New Roman"/>
          <w:b/>
          <w:bCs/>
          <w:color w:val="000000"/>
          <w:sz w:val="20"/>
          <w:szCs w:val="20"/>
        </w:rPr>
        <w:t xml:space="preserve">Mortgage-backed security (“MBS”): </w:t>
      </w:r>
      <w:r>
        <w:rPr>
          <w:rFonts w:eastAsia="Times New Roman"/>
          <w:color w:val="000000"/>
          <w:sz w:val="20"/>
          <w:szCs w:val="20"/>
        </w:rPr>
        <w:t>An asset-backed security whose cash flows are backed by the principal and interest payments of a set of mortgage loans.</w:t>
      </w:r>
    </w:p>
    <w:p w:rsidR="00000000" w:rsidRDefault="00E92DBE">
      <w:pPr>
        <w:jc w:val="both"/>
        <w:divId w:val="1683970886"/>
        <w:rPr>
          <w:rFonts w:eastAsia="Times New Roman"/>
        </w:rPr>
      </w:pPr>
      <w:r>
        <w:rPr>
          <w:rFonts w:eastAsia="Times New Roman"/>
          <w:b/>
          <w:bCs/>
          <w:color w:val="000000"/>
          <w:sz w:val="20"/>
          <w:szCs w:val="20"/>
        </w:rPr>
        <w:t>Mortgage servicing rights (“MSRs”):</w:t>
      </w:r>
      <w:r>
        <w:rPr>
          <w:rFonts w:eastAsia="Times New Roman"/>
          <w:color w:val="000000"/>
          <w:sz w:val="20"/>
          <w:szCs w:val="20"/>
        </w:rPr>
        <w:t xml:space="preserve"> The right to</w:t>
      </w:r>
      <w:r>
        <w:rPr>
          <w:rFonts w:eastAsia="Times New Roman"/>
          <w:color w:val="000000"/>
          <w:sz w:val="20"/>
          <w:szCs w:val="20"/>
        </w:rPr>
        <w:t xml:space="preserve"> service a mortgage loan when the underlying loan is sold or securitized. Servicing includes collections for principal, interest and escrow payments from borrowers and accounting for and remitting principal and interest payments to investors.</w:t>
      </w:r>
    </w:p>
    <w:p w:rsidR="00000000" w:rsidRDefault="00E92DBE">
      <w:pPr>
        <w:jc w:val="both"/>
        <w:divId w:val="862400254"/>
        <w:rPr>
          <w:rFonts w:eastAsia="Times New Roman"/>
        </w:rPr>
      </w:pPr>
      <w:r>
        <w:rPr>
          <w:rFonts w:eastAsia="Times New Roman"/>
          <w:b/>
          <w:bCs/>
          <w:color w:val="000000"/>
          <w:sz w:val="20"/>
          <w:szCs w:val="20"/>
        </w:rPr>
        <w:t>Net charge-of</w:t>
      </w:r>
      <w:r>
        <w:rPr>
          <w:rFonts w:eastAsia="Times New Roman"/>
          <w:b/>
          <w:bCs/>
          <w:color w:val="000000"/>
          <w:sz w:val="20"/>
          <w:szCs w:val="20"/>
        </w:rPr>
        <w:t>f rate</w:t>
      </w:r>
      <w:r>
        <w:rPr>
          <w:rFonts w:eastAsia="Times New Roman"/>
          <w:color w:val="000000"/>
          <w:sz w:val="20"/>
          <w:szCs w:val="20"/>
        </w:rPr>
        <w:t>: Represents (annualized) net charge-offs divided by average loans held for investment for the period.</w:t>
      </w:r>
    </w:p>
    <w:p w:rsidR="00000000" w:rsidRDefault="00E92DBE">
      <w:pPr>
        <w:jc w:val="both"/>
        <w:divId w:val="1743404334"/>
        <w:rPr>
          <w:rFonts w:eastAsia="Times New Roman"/>
        </w:rPr>
      </w:pPr>
      <w:r>
        <w:rPr>
          <w:rFonts w:eastAsia="Times New Roman"/>
          <w:b/>
          <w:bCs/>
          <w:color w:val="000000"/>
          <w:sz w:val="20"/>
          <w:szCs w:val="20"/>
        </w:rPr>
        <w:t>Net interest margin:</w:t>
      </w:r>
      <w:r>
        <w:rPr>
          <w:rFonts w:eastAsia="Times New Roman"/>
          <w:color w:val="000000"/>
          <w:sz w:val="20"/>
          <w:szCs w:val="20"/>
        </w:rPr>
        <w:t xml:space="preserve"> Represents (annualized) net interest income divided by average interest-earning assets for the period.</w:t>
      </w:r>
    </w:p>
    <w:p w:rsidR="00000000" w:rsidRDefault="00E92DBE">
      <w:pPr>
        <w:jc w:val="both"/>
        <w:divId w:val="374088014"/>
        <w:rPr>
          <w:rFonts w:eastAsia="Times New Roman"/>
        </w:rPr>
      </w:pPr>
      <w:r>
        <w:rPr>
          <w:rFonts w:eastAsia="Times New Roman"/>
          <w:b/>
          <w:bCs/>
          <w:color w:val="000000"/>
          <w:sz w:val="20"/>
          <w:szCs w:val="20"/>
        </w:rPr>
        <w:t>Nonperforming loans:</w:t>
      </w:r>
      <w:r>
        <w:rPr>
          <w:rFonts w:eastAsia="Times New Roman"/>
          <w:color w:val="000000"/>
          <w:sz w:val="20"/>
          <w:szCs w:val="20"/>
        </w:rPr>
        <w:t xml:space="preserve"> Ge</w:t>
      </w:r>
      <w:r>
        <w:rPr>
          <w:rFonts w:eastAsia="Times New Roman"/>
          <w:color w:val="000000"/>
          <w:sz w:val="20"/>
          <w:szCs w:val="20"/>
        </w:rPr>
        <w:t>nerally include loans that have been placed on nonaccrual status. We do not report loans classified as held for sale as nonperforming.</w:t>
      </w:r>
    </w:p>
    <w:p w:rsidR="00000000" w:rsidRDefault="00E92DBE">
      <w:pPr>
        <w:jc w:val="both"/>
        <w:divId w:val="1130198539"/>
        <w:rPr>
          <w:rFonts w:eastAsia="Times New Roman"/>
        </w:rPr>
      </w:pPr>
      <w:r>
        <w:rPr>
          <w:rFonts w:eastAsia="Times New Roman"/>
          <w:b/>
          <w:bCs/>
          <w:color w:val="000000"/>
          <w:sz w:val="20"/>
          <w:szCs w:val="20"/>
        </w:rPr>
        <w:t xml:space="preserve">Public Funds deposits: </w:t>
      </w:r>
      <w:r>
        <w:rPr>
          <w:rFonts w:eastAsia="Times New Roman"/>
          <w:color w:val="000000"/>
          <w:sz w:val="20"/>
          <w:szCs w:val="20"/>
        </w:rPr>
        <w:t>Deposits that are derived from a variety of political subdivisions such as school districts and mu</w:t>
      </w:r>
      <w:r>
        <w:rPr>
          <w:rFonts w:eastAsia="Times New Roman"/>
          <w:color w:val="000000"/>
          <w:sz w:val="20"/>
          <w:szCs w:val="20"/>
        </w:rPr>
        <w:t xml:space="preserve">nicipalities. </w:t>
      </w:r>
    </w:p>
    <w:p w:rsidR="00000000" w:rsidRDefault="00E92DBE">
      <w:pPr>
        <w:jc w:val="both"/>
        <w:divId w:val="655184593"/>
        <w:rPr>
          <w:rFonts w:eastAsia="Times New Roman"/>
        </w:rPr>
      </w:pPr>
      <w:r>
        <w:rPr>
          <w:rFonts w:eastAsia="Times New Roman"/>
          <w:b/>
          <w:bCs/>
          <w:color w:val="000000"/>
          <w:sz w:val="20"/>
          <w:szCs w:val="20"/>
        </w:rPr>
        <w:t>Purchase volume:</w:t>
      </w:r>
      <w:r>
        <w:rPr>
          <w:rFonts w:eastAsia="Times New Roman"/>
          <w:color w:val="000000"/>
          <w:sz w:val="20"/>
          <w:szCs w:val="20"/>
        </w:rPr>
        <w:t xml:space="preserve"> Consists of purchase transactions, net of returns, for the period, and excludes cash advance and balance transfer transactions.</w:t>
      </w:r>
    </w:p>
    <w:p w:rsidR="00000000" w:rsidRDefault="00E92DBE">
      <w:pPr>
        <w:jc w:val="both"/>
        <w:divId w:val="1245605705"/>
        <w:rPr>
          <w:rFonts w:eastAsia="Times New Roman"/>
        </w:rPr>
      </w:pPr>
      <w:r>
        <w:rPr>
          <w:rFonts w:eastAsia="Times New Roman"/>
          <w:b/>
          <w:bCs/>
          <w:color w:val="000000"/>
          <w:sz w:val="20"/>
          <w:szCs w:val="20"/>
        </w:rPr>
        <w:t>Rating agency:</w:t>
      </w:r>
      <w:r>
        <w:rPr>
          <w:rFonts w:eastAsia="Times New Roman"/>
          <w:color w:val="000000"/>
          <w:sz w:val="20"/>
          <w:szCs w:val="20"/>
        </w:rPr>
        <w:t xml:space="preserve"> An independent agency that assesses the credit quality and likelihood of default </w:t>
      </w:r>
      <w:r>
        <w:rPr>
          <w:rFonts w:eastAsia="Times New Roman"/>
          <w:color w:val="000000"/>
          <w:sz w:val="20"/>
          <w:szCs w:val="20"/>
        </w:rPr>
        <w:t>of an issue or issuer and assigns a rating to that issue or issuer.</w:t>
      </w:r>
    </w:p>
    <w:p w:rsidR="00000000" w:rsidRDefault="00E92DBE">
      <w:pPr>
        <w:jc w:val="both"/>
        <w:divId w:val="1806855145"/>
        <w:rPr>
          <w:rFonts w:eastAsia="Times New Roman"/>
        </w:rPr>
      </w:pPr>
      <w:r>
        <w:rPr>
          <w:rFonts w:eastAsia="Times New Roman"/>
          <w:b/>
          <w:bCs/>
          <w:color w:val="000000"/>
          <w:sz w:val="20"/>
          <w:szCs w:val="20"/>
        </w:rPr>
        <w:t>Repurchase agreement:</w:t>
      </w:r>
      <w:r>
        <w:rPr>
          <w:rFonts w:eastAsia="Times New Roman"/>
          <w:color w:val="000000"/>
          <w:sz w:val="20"/>
          <w:szCs w:val="20"/>
        </w:rPr>
        <w:t xml:space="preserve"> An instrument used to raise short-term funds whereby securities are sold with an agreement for the seller to buy back the securities at a later date. </w:t>
      </w:r>
    </w:p>
    <w:p w:rsidR="00000000" w:rsidRDefault="00E92DBE">
      <w:pPr>
        <w:jc w:val="both"/>
        <w:divId w:val="1708946703"/>
        <w:rPr>
          <w:rFonts w:eastAsia="Times New Roman"/>
        </w:rPr>
      </w:pPr>
      <w:r>
        <w:rPr>
          <w:rFonts w:eastAsia="Times New Roman"/>
          <w:b/>
          <w:bCs/>
          <w:color w:val="000000"/>
          <w:sz w:val="20"/>
          <w:szCs w:val="20"/>
        </w:rPr>
        <w:t>Restructuring c</w:t>
      </w:r>
      <w:r>
        <w:rPr>
          <w:rFonts w:eastAsia="Times New Roman"/>
          <w:b/>
          <w:bCs/>
          <w:color w:val="000000"/>
          <w:sz w:val="20"/>
          <w:szCs w:val="20"/>
        </w:rPr>
        <w:t>harges:</w:t>
      </w:r>
      <w:r>
        <w:rPr>
          <w:rFonts w:eastAsia="Times New Roman"/>
          <w:color w:val="000000"/>
          <w:sz w:val="20"/>
          <w:szCs w:val="20"/>
        </w:rPr>
        <w:t xml:space="preserve"> Charges associated with the realignment of resources supporting various businesses, primarily consisting of severance and related benefits pursuant to our ongoing benefit programs and impairment of certain assets related to business locations and a</w:t>
      </w:r>
      <w:r>
        <w:rPr>
          <w:rFonts w:eastAsia="Times New Roman"/>
          <w:color w:val="000000"/>
          <w:sz w:val="20"/>
          <w:szCs w:val="20"/>
        </w:rPr>
        <w:t>ctivities being exited.</w:t>
      </w:r>
    </w:p>
    <w:p w:rsidR="00000000" w:rsidRDefault="00E92DBE">
      <w:pPr>
        <w:jc w:val="both"/>
        <w:divId w:val="1894198717"/>
        <w:rPr>
          <w:rFonts w:eastAsia="Times New Roman"/>
        </w:rPr>
      </w:pPr>
      <w:r>
        <w:rPr>
          <w:rFonts w:eastAsia="Times New Roman"/>
          <w:b/>
          <w:bCs/>
          <w:color w:val="000000"/>
          <w:sz w:val="20"/>
          <w:szCs w:val="20"/>
        </w:rPr>
        <w:t xml:space="preserve">Risk-weighted assets: </w:t>
      </w:r>
      <w:r>
        <w:rPr>
          <w:rFonts w:eastAsia="Times New Roman"/>
          <w:color w:val="000000"/>
          <w:sz w:val="20"/>
          <w:szCs w:val="20"/>
        </w:rPr>
        <w:t xml:space="preserve">On- and off-balance sheet assets that are assigned to one of several broad risk categories and weighted by factors representing their risk and potential for default. </w:t>
      </w:r>
    </w:p>
    <w:p w:rsidR="00000000" w:rsidRDefault="00E92DBE">
      <w:pPr>
        <w:jc w:val="both"/>
        <w:divId w:val="810560883"/>
        <w:rPr>
          <w:rFonts w:eastAsia="Times New Roman"/>
        </w:rPr>
      </w:pPr>
      <w:r>
        <w:rPr>
          <w:rFonts w:eastAsia="Times New Roman"/>
          <w:b/>
          <w:bCs/>
          <w:color w:val="000000"/>
          <w:sz w:val="20"/>
          <w:szCs w:val="20"/>
        </w:rPr>
        <w:t>Securitized debt obligations:</w:t>
      </w:r>
      <w:r>
        <w:rPr>
          <w:rFonts w:eastAsia="Times New Roman"/>
          <w:color w:val="000000"/>
          <w:sz w:val="20"/>
          <w:szCs w:val="20"/>
        </w:rPr>
        <w:t xml:space="preserve"> A type of ass</w:t>
      </w:r>
      <w:r>
        <w:rPr>
          <w:rFonts w:eastAsia="Times New Roman"/>
          <w:color w:val="000000"/>
          <w:sz w:val="20"/>
          <w:szCs w:val="20"/>
        </w:rPr>
        <w:t>et-backed security and structured credit product constructed from a portfolio of fixed-income assets.</w:t>
      </w:r>
    </w:p>
    <w:p w:rsidR="00000000" w:rsidRDefault="00E92DBE">
      <w:pPr>
        <w:jc w:val="both"/>
        <w:divId w:val="667439947"/>
        <w:rPr>
          <w:rFonts w:eastAsia="Times New Roman"/>
        </w:rPr>
      </w:pPr>
      <w:r>
        <w:rPr>
          <w:rFonts w:eastAsia="Times New Roman"/>
          <w:b/>
          <w:bCs/>
          <w:color w:val="000000"/>
          <w:sz w:val="20"/>
          <w:szCs w:val="20"/>
        </w:rPr>
        <w:t xml:space="preserve">Stress capital buffer: </w:t>
      </w:r>
      <w:r>
        <w:rPr>
          <w:rFonts w:eastAsia="Times New Roman"/>
          <w:color w:val="000000"/>
          <w:sz w:val="20"/>
          <w:szCs w:val="20"/>
        </w:rPr>
        <w:t xml:space="preserve">A component of our new standardized approach capital conservation buffer, which will be recalibrated annually based on the results </w:t>
      </w:r>
      <w:r>
        <w:rPr>
          <w:rFonts w:eastAsia="Times New Roman"/>
          <w:color w:val="000000"/>
          <w:sz w:val="20"/>
          <w:szCs w:val="20"/>
        </w:rPr>
        <w:t xml:space="preserve">of our supervisory stress tests. </w:t>
      </w:r>
    </w:p>
    <w:p w:rsidR="00000000" w:rsidRDefault="00E92DBE">
      <w:pPr>
        <w:jc w:val="both"/>
        <w:divId w:val="2127305241"/>
        <w:rPr>
          <w:rFonts w:eastAsia="Times New Roman"/>
        </w:rPr>
      </w:pPr>
      <w:r>
        <w:rPr>
          <w:rFonts w:eastAsia="Times New Roman"/>
          <w:b/>
          <w:bCs/>
          <w:color w:val="000000"/>
          <w:sz w:val="20"/>
          <w:szCs w:val="20"/>
        </w:rPr>
        <w:t xml:space="preserve">Subprime: </w:t>
      </w:r>
      <w:r>
        <w:rPr>
          <w:rFonts w:eastAsia="Times New Roman"/>
          <w:color w:val="000000"/>
          <w:sz w:val="20"/>
          <w:szCs w:val="20"/>
        </w:rPr>
        <w:t>For purposes of lending in our Credit Card business, we generally consider FICO scores of 660 or below, or other equivalent risk scores, to be subprime. For purposes of auto lending in our Consumer Banking business, we generally consider FICO scores of 620</w:t>
      </w:r>
      <w:r>
        <w:rPr>
          <w:rFonts w:eastAsia="Times New Roman"/>
          <w:color w:val="000000"/>
          <w:sz w:val="20"/>
          <w:szCs w:val="20"/>
        </w:rPr>
        <w:t xml:space="preserve"> or below to be subprime.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7398915"/>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97398915"/>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97398915"/>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60</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85" style="width:0;height:1.5pt" o:hralign="center" o:hrstd="t" o:hr="t" fillcolor="#a0a0a0" stroked="f"/>
        </w:pict>
      </w:r>
    </w:p>
    <w:p w:rsidR="00000000" w:rsidRDefault="00E92DBE">
      <w:pPr>
        <w:ind w:hanging="360"/>
        <w:jc w:val="both"/>
        <w:divId w:val="782503452"/>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506558264"/>
        <w:rPr>
          <w:rFonts w:eastAsia="Times New Roman"/>
        </w:rPr>
      </w:pPr>
      <w:r>
        <w:rPr>
          <w:rFonts w:eastAsia="Times New Roman"/>
          <w:b/>
          <w:bCs/>
          <w:color w:val="000000"/>
          <w:sz w:val="20"/>
          <w:szCs w:val="20"/>
        </w:rPr>
        <w:t xml:space="preserve">Tailoring Rules: </w:t>
      </w:r>
      <w:r>
        <w:rPr>
          <w:rFonts w:eastAsia="Times New Roman"/>
          <w:color w:val="000000"/>
          <w:sz w:val="20"/>
          <w:szCs w:val="20"/>
        </w:rPr>
        <w:t>In October 2019, the Federal Banking Agencies released final rules that provide for tailored application of certain capital, li</w:t>
      </w:r>
      <w:r>
        <w:rPr>
          <w:rFonts w:eastAsia="Times New Roman"/>
          <w:color w:val="000000"/>
          <w:sz w:val="20"/>
          <w:szCs w:val="20"/>
        </w:rPr>
        <w:t>quidity and stress-testing requirements across different categories of banking institutions. As a bank holding company with total consolidated assets of at least $250 billion that does not exceed any of the applicable risk-based thresholds, we are a Catego</w:t>
      </w:r>
      <w:r>
        <w:rPr>
          <w:rFonts w:eastAsia="Times New Roman"/>
          <w:color w:val="000000"/>
          <w:sz w:val="20"/>
          <w:szCs w:val="20"/>
        </w:rPr>
        <w:t>ry III institution under the Tailoring Rules.</w:t>
      </w:r>
    </w:p>
    <w:p w:rsidR="00000000" w:rsidRDefault="00E92DBE">
      <w:pPr>
        <w:jc w:val="both"/>
        <w:divId w:val="985622438"/>
        <w:rPr>
          <w:rFonts w:eastAsia="Times New Roman"/>
        </w:rPr>
      </w:pPr>
      <w:r>
        <w:rPr>
          <w:rFonts w:eastAsia="Times New Roman"/>
          <w:b/>
          <w:bCs/>
          <w:color w:val="000000"/>
          <w:sz w:val="20"/>
          <w:szCs w:val="20"/>
        </w:rPr>
        <w:t>Tangible common equity:</w:t>
      </w:r>
      <w:r>
        <w:rPr>
          <w:rFonts w:eastAsia="Times New Roman"/>
          <w:color w:val="000000"/>
          <w:sz w:val="20"/>
          <w:szCs w:val="20"/>
        </w:rPr>
        <w:t xml:space="preserve"> A non-GAAP financial measure. Common equity less goodwill and intangible assets adjusted for deferred tax liabilities associated with non-tax deductible intangible assets and tax deducti</w:t>
      </w:r>
      <w:r>
        <w:rPr>
          <w:rFonts w:eastAsia="Times New Roman"/>
          <w:color w:val="000000"/>
          <w:sz w:val="20"/>
          <w:szCs w:val="20"/>
        </w:rPr>
        <w:t>ble goodwill.</w:t>
      </w:r>
    </w:p>
    <w:p w:rsidR="00000000" w:rsidRDefault="00E92DBE">
      <w:pPr>
        <w:jc w:val="both"/>
        <w:divId w:val="3869698"/>
        <w:rPr>
          <w:rFonts w:eastAsia="Times New Roman"/>
        </w:rPr>
      </w:pPr>
      <w:r>
        <w:rPr>
          <w:rFonts w:eastAsia="Times New Roman"/>
          <w:b/>
          <w:bCs/>
          <w:color w:val="000000"/>
          <w:sz w:val="20"/>
          <w:szCs w:val="20"/>
        </w:rPr>
        <w:t xml:space="preserve">Tax Act: </w:t>
      </w:r>
      <w:r>
        <w:rPr>
          <w:rFonts w:eastAsia="Times New Roman"/>
          <w:color w:val="000000"/>
          <w:sz w:val="20"/>
          <w:szCs w:val="20"/>
        </w:rPr>
        <w:t>The Act to provide for reconciliation pursuant to titles II and V of the concurrent resolution on the budget for fiscal year 2018 enacted on December 22, 2017.</w:t>
      </w:r>
    </w:p>
    <w:p w:rsidR="00000000" w:rsidRDefault="00E92DBE">
      <w:pPr>
        <w:jc w:val="both"/>
        <w:divId w:val="877472709"/>
        <w:rPr>
          <w:rFonts w:eastAsia="Times New Roman"/>
        </w:rPr>
      </w:pPr>
      <w:r>
        <w:rPr>
          <w:rFonts w:eastAsia="Times New Roman"/>
          <w:b/>
          <w:bCs/>
          <w:color w:val="000000"/>
          <w:sz w:val="20"/>
          <w:szCs w:val="20"/>
        </w:rPr>
        <w:t>Troubled debt restructuring (“TDR”):</w:t>
      </w:r>
      <w:r>
        <w:rPr>
          <w:rFonts w:eastAsia="Times New Roman"/>
          <w:color w:val="000000"/>
          <w:sz w:val="20"/>
          <w:szCs w:val="20"/>
        </w:rPr>
        <w:t xml:space="preserve"> </w:t>
      </w:r>
      <w:r>
        <w:rPr>
          <w:rFonts w:eastAsia="Times New Roman"/>
          <w:color w:val="000000"/>
          <w:sz w:val="20"/>
          <w:szCs w:val="20"/>
        </w:rPr>
        <w:t>A TDR is deemed to occur when the contractual terms of a loan agreement are modified by granting a concession to a borrower that is experiencing financial difficulty.</w:t>
      </w:r>
    </w:p>
    <w:p w:rsidR="00000000" w:rsidRDefault="00E92DBE">
      <w:pPr>
        <w:jc w:val="both"/>
        <w:divId w:val="664626252"/>
        <w:rPr>
          <w:rFonts w:eastAsia="Times New Roman"/>
        </w:rPr>
      </w:pPr>
      <w:r>
        <w:rPr>
          <w:rFonts w:eastAsia="Times New Roman"/>
          <w:b/>
          <w:bCs/>
          <w:color w:val="000000"/>
          <w:sz w:val="20"/>
          <w:szCs w:val="20"/>
        </w:rPr>
        <w:t>Unfunded commitments:</w:t>
      </w:r>
      <w:r>
        <w:rPr>
          <w:rFonts w:eastAsia="Times New Roman"/>
          <w:color w:val="000000"/>
          <w:sz w:val="20"/>
          <w:szCs w:val="20"/>
        </w:rPr>
        <w:t xml:space="preserve"> Legally binding agreements to provide a defined level of financing </w:t>
      </w:r>
      <w:r>
        <w:rPr>
          <w:rFonts w:eastAsia="Times New Roman"/>
          <w:color w:val="000000"/>
          <w:sz w:val="20"/>
          <w:szCs w:val="20"/>
        </w:rPr>
        <w:t>until a specified future date.</w:t>
      </w:r>
    </w:p>
    <w:p w:rsidR="00000000" w:rsidRDefault="00E92DBE">
      <w:pPr>
        <w:jc w:val="both"/>
        <w:divId w:val="1626348103"/>
        <w:rPr>
          <w:rFonts w:eastAsia="Times New Roman"/>
        </w:rPr>
      </w:pPr>
      <w:r>
        <w:rPr>
          <w:rFonts w:eastAsia="Times New Roman"/>
          <w:b/>
          <w:bCs/>
          <w:color w:val="000000"/>
          <w:sz w:val="20"/>
          <w:szCs w:val="20"/>
        </w:rPr>
        <w:t xml:space="preserve">U.K. PPI Reserve: </w:t>
      </w:r>
      <w:r>
        <w:rPr>
          <w:rFonts w:eastAsia="Times New Roman"/>
          <w:color w:val="000000"/>
          <w:sz w:val="20"/>
          <w:szCs w:val="20"/>
        </w:rPr>
        <w:t>U.K. payment protection insurance customer refund reserve.</w:t>
      </w:r>
    </w:p>
    <w:p w:rsidR="00000000" w:rsidRDefault="00E92DBE">
      <w:pPr>
        <w:jc w:val="both"/>
        <w:divId w:val="891036930"/>
        <w:rPr>
          <w:rFonts w:eastAsia="Times New Roman"/>
        </w:rPr>
      </w:pPr>
      <w:r>
        <w:rPr>
          <w:rFonts w:eastAsia="Times New Roman"/>
          <w:b/>
          <w:bCs/>
          <w:color w:val="000000"/>
          <w:sz w:val="20"/>
          <w:szCs w:val="20"/>
        </w:rPr>
        <w:t>U.S. GAAP:</w:t>
      </w:r>
      <w:r>
        <w:rPr>
          <w:rFonts w:eastAsia="Times New Roman"/>
          <w:color w:val="000000"/>
          <w:sz w:val="20"/>
          <w:szCs w:val="20"/>
        </w:rPr>
        <w:t xml:space="preserve"> Accounting principles generally accepted in the United States of America. Accounting rules and conventions defining acceptable practices </w:t>
      </w:r>
      <w:r>
        <w:rPr>
          <w:rFonts w:eastAsia="Times New Roman"/>
          <w:color w:val="000000"/>
          <w:sz w:val="20"/>
          <w:szCs w:val="20"/>
        </w:rPr>
        <w:t>in preparing financial statements in the U.S.</w:t>
      </w:r>
    </w:p>
    <w:p w:rsidR="00000000" w:rsidRDefault="00E92DBE">
      <w:pPr>
        <w:jc w:val="both"/>
        <w:divId w:val="1200359555"/>
        <w:rPr>
          <w:rFonts w:eastAsia="Times New Roman"/>
        </w:rPr>
      </w:pPr>
      <w:r>
        <w:rPr>
          <w:rFonts w:eastAsia="Times New Roman"/>
          <w:b/>
          <w:bCs/>
          <w:color w:val="000000"/>
          <w:sz w:val="20"/>
          <w:szCs w:val="20"/>
        </w:rPr>
        <w:t>Variable interest entity (“VIE”):</w:t>
      </w:r>
      <w:r>
        <w:rPr>
          <w:rFonts w:eastAsia="Times New Roman"/>
          <w:color w:val="000000"/>
          <w:sz w:val="20"/>
          <w:szCs w:val="20"/>
        </w:rPr>
        <w:t xml:space="preserve"> An entity that (i) lacks enough equity investment at risk to permit the entity to finance its activities without additional financial support from other parties; (ii) has equit</w:t>
      </w:r>
      <w:r>
        <w:rPr>
          <w:rFonts w:eastAsia="Times New Roman"/>
          <w:color w:val="000000"/>
          <w:sz w:val="20"/>
          <w:szCs w:val="20"/>
        </w:rPr>
        <w:t>y owners that lack the right to make significant decisions affecting the entity’s operations; and/or (iii) has equity owners that do not have an obligation to absorb or the right to receive the entity’s losses or return.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94359949"/>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594359949"/>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594359949"/>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61</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86" style="width:0;height:1.5pt" o:hralign="center" o:hrstd="t" o:hr="t" fillcolor="#a0a0a0" stroked="f"/>
        </w:pict>
      </w:r>
    </w:p>
    <w:p w:rsidR="00000000" w:rsidRDefault="00E92DBE">
      <w:pPr>
        <w:ind w:hanging="360"/>
        <w:jc w:val="both"/>
        <w:divId w:val="800881840"/>
        <w:rPr>
          <w:rFonts w:eastAsia="Times New Roman"/>
        </w:rPr>
      </w:pPr>
      <w:hyperlink w:anchor="ic1109d5aa548447c8224139b1ab22bde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38654347"/>
        </w:trPr>
        <w:tc>
          <w:tcPr>
            <w:tcW w:w="50" w:type="pct"/>
            <w:vAlign w:val="center"/>
            <w:hideMark/>
          </w:tcPr>
          <w:p w:rsidR="00000000" w:rsidRDefault="00E92DBE">
            <w:pPr>
              <w:ind w:hanging="360"/>
              <w:jc w:val="both"/>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33865434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divId w:val="1618876657"/>
              <w:rPr>
                <w:rFonts w:eastAsia="Times New Roman"/>
              </w:rPr>
            </w:pPr>
            <w:r>
              <w:rPr>
                <w:rFonts w:eastAsia="Times New Roman"/>
                <w:b/>
                <w:bCs/>
                <w:i/>
                <w:iCs/>
                <w:color w:val="000000"/>
                <w:sz w:val="20"/>
                <w:szCs w:val="20"/>
              </w:rPr>
              <w:t>Acronyms</w:t>
            </w:r>
          </w:p>
        </w:tc>
      </w:tr>
    </w:tbl>
    <w:p w:rsidR="00000000" w:rsidRDefault="00E92DBE">
      <w:pPr>
        <w:jc w:val="both"/>
        <w:divId w:val="103237832"/>
        <w:rPr>
          <w:rFonts w:eastAsia="Times New Roman"/>
        </w:rPr>
      </w:pPr>
      <w:r>
        <w:rPr>
          <w:rFonts w:eastAsia="Times New Roman"/>
          <w:b/>
          <w:bCs/>
          <w:color w:val="000000"/>
          <w:sz w:val="20"/>
          <w:szCs w:val="20"/>
        </w:rPr>
        <w:t xml:space="preserve">AML: </w:t>
      </w:r>
      <w:r>
        <w:rPr>
          <w:rFonts w:eastAsia="Times New Roman"/>
          <w:color w:val="000000"/>
          <w:sz w:val="20"/>
          <w:szCs w:val="20"/>
        </w:rPr>
        <w:t>Anti-money laundering</w:t>
      </w:r>
    </w:p>
    <w:p w:rsidR="00000000" w:rsidRDefault="00E92DBE">
      <w:pPr>
        <w:jc w:val="both"/>
        <w:divId w:val="1324622573"/>
        <w:rPr>
          <w:rFonts w:eastAsia="Times New Roman"/>
        </w:rPr>
      </w:pPr>
      <w:r>
        <w:rPr>
          <w:rFonts w:eastAsia="Times New Roman"/>
          <w:b/>
          <w:bCs/>
          <w:color w:val="000000"/>
          <w:sz w:val="20"/>
          <w:szCs w:val="20"/>
        </w:rPr>
        <w:t xml:space="preserve">ABS: </w:t>
      </w:r>
      <w:r>
        <w:rPr>
          <w:rFonts w:eastAsia="Times New Roman"/>
          <w:color w:val="000000"/>
          <w:sz w:val="20"/>
          <w:szCs w:val="20"/>
        </w:rPr>
        <w:t>Asset-backed securities</w:t>
      </w:r>
    </w:p>
    <w:p w:rsidR="00000000" w:rsidRDefault="00E92DBE">
      <w:pPr>
        <w:jc w:val="both"/>
        <w:divId w:val="1880430372"/>
        <w:rPr>
          <w:rFonts w:eastAsia="Times New Roman"/>
        </w:rPr>
      </w:pPr>
      <w:r>
        <w:rPr>
          <w:rFonts w:eastAsia="Times New Roman"/>
          <w:b/>
          <w:bCs/>
          <w:color w:val="000000"/>
          <w:sz w:val="20"/>
          <w:szCs w:val="20"/>
        </w:rPr>
        <w:t>AOCI:</w:t>
      </w:r>
      <w:r>
        <w:rPr>
          <w:rFonts w:eastAsia="Times New Roman"/>
          <w:color w:val="000000"/>
          <w:sz w:val="20"/>
          <w:szCs w:val="20"/>
        </w:rPr>
        <w:t xml:space="preserve"> </w:t>
      </w:r>
      <w:r>
        <w:rPr>
          <w:rFonts w:eastAsia="Times New Roman"/>
          <w:color w:val="000000"/>
          <w:sz w:val="20"/>
          <w:szCs w:val="20"/>
        </w:rPr>
        <w:t>Accumulated other comprehensive income</w:t>
      </w:r>
    </w:p>
    <w:p w:rsidR="00000000" w:rsidRDefault="00E92DBE">
      <w:pPr>
        <w:jc w:val="both"/>
        <w:divId w:val="1073626047"/>
        <w:rPr>
          <w:rFonts w:eastAsia="Times New Roman"/>
        </w:rPr>
      </w:pPr>
      <w:r>
        <w:rPr>
          <w:rFonts w:eastAsia="Times New Roman"/>
          <w:b/>
          <w:bCs/>
          <w:color w:val="000000"/>
          <w:sz w:val="20"/>
          <w:szCs w:val="20"/>
        </w:rPr>
        <w:t xml:space="preserve">ARRC: </w:t>
      </w:r>
      <w:r>
        <w:rPr>
          <w:rFonts w:eastAsia="Times New Roman"/>
          <w:color w:val="000000"/>
          <w:sz w:val="20"/>
          <w:szCs w:val="20"/>
        </w:rPr>
        <w:t>Alternative Reference Rates Committee</w:t>
      </w:r>
    </w:p>
    <w:p w:rsidR="00000000" w:rsidRDefault="00E92DBE">
      <w:pPr>
        <w:jc w:val="both"/>
        <w:divId w:val="732973680"/>
        <w:rPr>
          <w:rFonts w:eastAsia="Times New Roman"/>
        </w:rPr>
      </w:pPr>
      <w:r>
        <w:rPr>
          <w:rFonts w:eastAsia="Times New Roman"/>
          <w:b/>
          <w:bCs/>
          <w:color w:val="000000"/>
          <w:sz w:val="20"/>
          <w:szCs w:val="20"/>
        </w:rPr>
        <w:t>ASU:</w:t>
      </w:r>
      <w:r>
        <w:rPr>
          <w:rFonts w:eastAsia="Times New Roman"/>
          <w:color w:val="000000"/>
          <w:sz w:val="20"/>
          <w:szCs w:val="20"/>
        </w:rPr>
        <w:t xml:space="preserve"> Accounting Standards Update</w:t>
      </w:r>
    </w:p>
    <w:p w:rsidR="00000000" w:rsidRDefault="00E92DBE">
      <w:pPr>
        <w:jc w:val="both"/>
        <w:divId w:val="1176269539"/>
        <w:rPr>
          <w:rFonts w:eastAsia="Times New Roman"/>
        </w:rPr>
      </w:pPr>
      <w:r>
        <w:rPr>
          <w:rFonts w:eastAsia="Times New Roman"/>
          <w:b/>
          <w:bCs/>
          <w:color w:val="000000"/>
          <w:sz w:val="20"/>
          <w:szCs w:val="20"/>
        </w:rPr>
        <w:t>ASC:</w:t>
      </w:r>
      <w:r>
        <w:rPr>
          <w:rFonts w:eastAsia="Times New Roman"/>
          <w:color w:val="000000"/>
          <w:sz w:val="20"/>
          <w:szCs w:val="20"/>
        </w:rPr>
        <w:t xml:space="preserve"> Accounting Standards Codification</w:t>
      </w:r>
    </w:p>
    <w:p w:rsidR="00000000" w:rsidRDefault="00E92DBE">
      <w:pPr>
        <w:jc w:val="both"/>
        <w:divId w:val="570778362"/>
        <w:rPr>
          <w:rFonts w:eastAsia="Times New Roman"/>
        </w:rPr>
      </w:pPr>
      <w:r>
        <w:rPr>
          <w:rFonts w:eastAsia="Times New Roman"/>
          <w:b/>
          <w:bCs/>
          <w:color w:val="000000"/>
          <w:sz w:val="20"/>
          <w:szCs w:val="20"/>
        </w:rPr>
        <w:t>ATM:</w:t>
      </w:r>
      <w:r>
        <w:rPr>
          <w:rFonts w:eastAsia="Times New Roman"/>
          <w:color w:val="000000"/>
          <w:sz w:val="20"/>
          <w:szCs w:val="20"/>
        </w:rPr>
        <w:t xml:space="preserve"> Automated teller machine</w:t>
      </w:r>
    </w:p>
    <w:p w:rsidR="00000000" w:rsidRDefault="00E92DBE">
      <w:pPr>
        <w:jc w:val="both"/>
        <w:divId w:val="1135022446"/>
        <w:rPr>
          <w:rFonts w:eastAsia="Times New Roman"/>
        </w:rPr>
      </w:pPr>
      <w:r>
        <w:rPr>
          <w:rFonts w:eastAsia="Times New Roman"/>
          <w:b/>
          <w:bCs/>
          <w:color w:val="000000"/>
          <w:sz w:val="20"/>
          <w:szCs w:val="20"/>
        </w:rPr>
        <w:t>BHC:</w:t>
      </w:r>
      <w:r>
        <w:rPr>
          <w:rFonts w:eastAsia="Times New Roman"/>
          <w:color w:val="000000"/>
          <w:sz w:val="20"/>
          <w:szCs w:val="20"/>
        </w:rPr>
        <w:t xml:space="preserve"> Bank holding company</w:t>
      </w:r>
    </w:p>
    <w:p w:rsidR="00000000" w:rsidRDefault="00E92DBE">
      <w:pPr>
        <w:jc w:val="both"/>
        <w:divId w:val="1151680551"/>
        <w:rPr>
          <w:rFonts w:eastAsia="Times New Roman"/>
        </w:rPr>
      </w:pPr>
      <w:r>
        <w:rPr>
          <w:rFonts w:eastAsia="Times New Roman"/>
          <w:b/>
          <w:bCs/>
          <w:color w:val="000000"/>
          <w:sz w:val="20"/>
          <w:szCs w:val="20"/>
        </w:rPr>
        <w:t>bps:</w:t>
      </w:r>
      <w:r>
        <w:rPr>
          <w:rFonts w:eastAsia="Times New Roman"/>
          <w:color w:val="000000"/>
          <w:sz w:val="20"/>
          <w:szCs w:val="20"/>
        </w:rPr>
        <w:t xml:space="preserve"> Basis points</w:t>
      </w:r>
    </w:p>
    <w:p w:rsidR="00000000" w:rsidRDefault="00E92DBE">
      <w:pPr>
        <w:jc w:val="both"/>
        <w:divId w:val="630789203"/>
        <w:rPr>
          <w:rFonts w:eastAsia="Times New Roman"/>
        </w:rPr>
      </w:pPr>
      <w:r>
        <w:rPr>
          <w:rFonts w:eastAsia="Times New Roman"/>
          <w:b/>
          <w:bCs/>
          <w:color w:val="000000"/>
          <w:sz w:val="20"/>
          <w:szCs w:val="20"/>
        </w:rPr>
        <w:t xml:space="preserve">CAD: </w:t>
      </w:r>
      <w:r>
        <w:rPr>
          <w:rFonts w:eastAsia="Times New Roman"/>
          <w:color w:val="000000"/>
          <w:sz w:val="20"/>
          <w:szCs w:val="20"/>
        </w:rPr>
        <w:t>Canadian dollar</w:t>
      </w:r>
    </w:p>
    <w:p w:rsidR="00000000" w:rsidRDefault="00E92DBE">
      <w:pPr>
        <w:jc w:val="both"/>
        <w:divId w:val="1221093582"/>
        <w:rPr>
          <w:rFonts w:eastAsia="Times New Roman"/>
        </w:rPr>
      </w:pPr>
      <w:r>
        <w:rPr>
          <w:rFonts w:eastAsia="Times New Roman"/>
          <w:b/>
          <w:bCs/>
          <w:color w:val="000000"/>
          <w:sz w:val="20"/>
          <w:szCs w:val="20"/>
        </w:rPr>
        <w:t xml:space="preserve">CCAR: </w:t>
      </w:r>
      <w:r>
        <w:rPr>
          <w:rFonts w:eastAsia="Times New Roman"/>
          <w:color w:val="000000"/>
          <w:sz w:val="20"/>
          <w:szCs w:val="20"/>
        </w:rPr>
        <w:t>Comprehensive Capital Analysis and Review</w:t>
      </w:r>
    </w:p>
    <w:p w:rsidR="00000000" w:rsidRDefault="00E92DBE">
      <w:pPr>
        <w:jc w:val="both"/>
        <w:divId w:val="1584877140"/>
        <w:rPr>
          <w:rFonts w:eastAsia="Times New Roman"/>
        </w:rPr>
      </w:pPr>
      <w:r>
        <w:rPr>
          <w:rFonts w:eastAsia="Times New Roman"/>
          <w:b/>
          <w:bCs/>
          <w:color w:val="000000"/>
          <w:sz w:val="20"/>
          <w:szCs w:val="20"/>
        </w:rPr>
        <w:t>CCP:</w:t>
      </w:r>
      <w:r>
        <w:rPr>
          <w:rFonts w:eastAsia="Times New Roman"/>
          <w:color w:val="000000"/>
          <w:sz w:val="20"/>
          <w:szCs w:val="20"/>
        </w:rPr>
        <w:t xml:space="preserve"> Central Counterparty Clearinghouse, or Central Clearinghouse</w:t>
      </w:r>
    </w:p>
    <w:p w:rsidR="00000000" w:rsidRDefault="00E92DBE">
      <w:pPr>
        <w:jc w:val="both"/>
        <w:divId w:val="181358864"/>
        <w:rPr>
          <w:rFonts w:eastAsia="Times New Roman"/>
        </w:rPr>
      </w:pPr>
      <w:r>
        <w:rPr>
          <w:rFonts w:eastAsia="Times New Roman"/>
          <w:b/>
          <w:bCs/>
          <w:color w:val="000000"/>
          <w:sz w:val="20"/>
          <w:szCs w:val="20"/>
        </w:rPr>
        <w:t>CDE:</w:t>
      </w:r>
      <w:r>
        <w:rPr>
          <w:rFonts w:eastAsia="Times New Roman"/>
          <w:color w:val="000000"/>
          <w:sz w:val="20"/>
          <w:szCs w:val="20"/>
        </w:rPr>
        <w:t xml:space="preserve"> Community development entities </w:t>
      </w:r>
    </w:p>
    <w:p w:rsidR="00000000" w:rsidRDefault="00E92DBE">
      <w:pPr>
        <w:jc w:val="both"/>
        <w:divId w:val="14498466"/>
        <w:rPr>
          <w:rFonts w:eastAsia="Times New Roman"/>
        </w:rPr>
      </w:pPr>
      <w:r>
        <w:rPr>
          <w:rFonts w:eastAsia="Times New Roman"/>
          <w:b/>
          <w:bCs/>
          <w:color w:val="000000"/>
          <w:sz w:val="20"/>
          <w:szCs w:val="20"/>
        </w:rPr>
        <w:t xml:space="preserve">CECL: </w:t>
      </w:r>
      <w:r>
        <w:rPr>
          <w:rFonts w:eastAsia="Times New Roman"/>
          <w:color w:val="000000"/>
          <w:sz w:val="20"/>
          <w:szCs w:val="20"/>
        </w:rPr>
        <w:t>Current expected credit loss</w:t>
      </w:r>
    </w:p>
    <w:p w:rsidR="00000000" w:rsidRDefault="00E92DBE">
      <w:pPr>
        <w:jc w:val="both"/>
        <w:divId w:val="2065637262"/>
        <w:rPr>
          <w:rFonts w:eastAsia="Times New Roman"/>
        </w:rPr>
      </w:pPr>
      <w:r>
        <w:rPr>
          <w:rFonts w:eastAsia="Times New Roman"/>
          <w:b/>
          <w:bCs/>
          <w:color w:val="000000"/>
          <w:sz w:val="20"/>
          <w:szCs w:val="20"/>
        </w:rPr>
        <w:t xml:space="preserve">CMBS: </w:t>
      </w:r>
      <w:r>
        <w:rPr>
          <w:rFonts w:eastAsia="Times New Roman"/>
          <w:color w:val="000000"/>
          <w:sz w:val="20"/>
          <w:szCs w:val="20"/>
        </w:rPr>
        <w:t>Commercial mortgage-backed securities</w:t>
      </w:r>
    </w:p>
    <w:p w:rsidR="00000000" w:rsidRDefault="00E92DBE">
      <w:pPr>
        <w:jc w:val="both"/>
        <w:divId w:val="292181245"/>
        <w:rPr>
          <w:rFonts w:eastAsia="Times New Roman"/>
        </w:rPr>
      </w:pPr>
      <w:r>
        <w:rPr>
          <w:rFonts w:eastAsia="Times New Roman"/>
          <w:b/>
          <w:bCs/>
          <w:color w:val="000000"/>
          <w:sz w:val="20"/>
          <w:szCs w:val="20"/>
        </w:rPr>
        <w:t>CME:</w:t>
      </w:r>
      <w:r>
        <w:rPr>
          <w:rFonts w:eastAsia="Times New Roman"/>
          <w:color w:val="000000"/>
          <w:sz w:val="20"/>
          <w:szCs w:val="20"/>
        </w:rPr>
        <w:t xml:space="preserve"> Chicago Mercantile Exchange</w:t>
      </w:r>
    </w:p>
    <w:p w:rsidR="00000000" w:rsidRDefault="00E92DBE">
      <w:pPr>
        <w:jc w:val="both"/>
        <w:divId w:val="2092892412"/>
        <w:rPr>
          <w:rFonts w:eastAsia="Times New Roman"/>
        </w:rPr>
      </w:pPr>
      <w:r>
        <w:rPr>
          <w:rFonts w:eastAsia="Times New Roman"/>
          <w:b/>
          <w:bCs/>
          <w:color w:val="000000"/>
          <w:sz w:val="20"/>
          <w:szCs w:val="20"/>
        </w:rPr>
        <w:t>COEP:</w:t>
      </w:r>
      <w:r>
        <w:rPr>
          <w:rFonts w:eastAsia="Times New Roman"/>
          <w:color w:val="000000"/>
          <w:sz w:val="20"/>
          <w:szCs w:val="20"/>
        </w:rPr>
        <w:t xml:space="preserve"> Capital One (Europe) plc</w:t>
      </w:r>
    </w:p>
    <w:p w:rsidR="00000000" w:rsidRDefault="00E92DBE">
      <w:pPr>
        <w:jc w:val="both"/>
        <w:divId w:val="1211308184"/>
        <w:rPr>
          <w:rFonts w:eastAsia="Times New Roman"/>
        </w:rPr>
      </w:pPr>
      <w:r>
        <w:rPr>
          <w:rFonts w:eastAsia="Times New Roman"/>
          <w:b/>
          <w:bCs/>
          <w:color w:val="000000"/>
          <w:sz w:val="20"/>
          <w:szCs w:val="20"/>
        </w:rPr>
        <w:t>COF:</w:t>
      </w:r>
      <w:r>
        <w:rPr>
          <w:rFonts w:eastAsia="Times New Roman"/>
          <w:color w:val="000000"/>
          <w:sz w:val="20"/>
          <w:szCs w:val="20"/>
        </w:rPr>
        <w:t xml:space="preserve"> Capital One Financial Corporation</w:t>
      </w:r>
    </w:p>
    <w:p w:rsidR="00000000" w:rsidRDefault="00E92DBE">
      <w:pPr>
        <w:jc w:val="both"/>
        <w:divId w:val="2114980472"/>
        <w:rPr>
          <w:rFonts w:eastAsia="Times New Roman"/>
        </w:rPr>
      </w:pPr>
      <w:r>
        <w:rPr>
          <w:rFonts w:eastAsia="Times New Roman"/>
          <w:b/>
          <w:bCs/>
          <w:color w:val="000000"/>
          <w:sz w:val="20"/>
          <w:szCs w:val="20"/>
        </w:rPr>
        <w:t xml:space="preserve">CVA: </w:t>
      </w:r>
      <w:r>
        <w:rPr>
          <w:rFonts w:eastAsia="Times New Roman"/>
          <w:color w:val="000000"/>
          <w:sz w:val="20"/>
          <w:szCs w:val="20"/>
        </w:rPr>
        <w:t>Credit valuation adjustment</w:t>
      </w:r>
    </w:p>
    <w:p w:rsidR="00000000" w:rsidRDefault="00E92DBE">
      <w:pPr>
        <w:jc w:val="both"/>
        <w:divId w:val="698286926"/>
        <w:rPr>
          <w:rFonts w:eastAsia="Times New Roman"/>
        </w:rPr>
      </w:pPr>
      <w:r>
        <w:rPr>
          <w:rFonts w:eastAsia="Times New Roman"/>
          <w:b/>
          <w:bCs/>
          <w:color w:val="000000"/>
          <w:sz w:val="20"/>
          <w:szCs w:val="20"/>
        </w:rPr>
        <w:t xml:space="preserve">DVA: </w:t>
      </w:r>
      <w:r>
        <w:rPr>
          <w:rFonts w:eastAsia="Times New Roman"/>
          <w:color w:val="000000"/>
          <w:sz w:val="20"/>
          <w:szCs w:val="20"/>
        </w:rPr>
        <w:t>Debit valuation adjustment</w:t>
      </w:r>
    </w:p>
    <w:p w:rsidR="00000000" w:rsidRDefault="00E92DBE">
      <w:pPr>
        <w:jc w:val="both"/>
        <w:divId w:val="1588922177"/>
        <w:rPr>
          <w:rFonts w:eastAsia="Times New Roman"/>
        </w:rPr>
      </w:pPr>
      <w:r>
        <w:rPr>
          <w:rFonts w:eastAsia="Times New Roman"/>
          <w:b/>
          <w:bCs/>
          <w:color w:val="000000"/>
          <w:sz w:val="20"/>
          <w:szCs w:val="20"/>
        </w:rPr>
        <w:t>EUR:</w:t>
      </w:r>
      <w:r>
        <w:rPr>
          <w:rFonts w:eastAsia="Times New Roman"/>
          <w:color w:val="000000"/>
          <w:sz w:val="20"/>
          <w:szCs w:val="20"/>
        </w:rPr>
        <w:t xml:space="preserve"> Euro</w:t>
      </w:r>
    </w:p>
    <w:p w:rsidR="00000000" w:rsidRDefault="00E92DBE">
      <w:pPr>
        <w:jc w:val="both"/>
        <w:divId w:val="1524434989"/>
        <w:rPr>
          <w:rFonts w:eastAsia="Times New Roman"/>
        </w:rPr>
      </w:pPr>
      <w:r>
        <w:rPr>
          <w:rFonts w:eastAsia="Times New Roman"/>
          <w:b/>
          <w:bCs/>
          <w:color w:val="000000"/>
          <w:sz w:val="20"/>
          <w:szCs w:val="20"/>
        </w:rPr>
        <w:t xml:space="preserve">Fannie Mae: </w:t>
      </w:r>
      <w:r>
        <w:rPr>
          <w:rFonts w:eastAsia="Times New Roman"/>
          <w:color w:val="000000"/>
          <w:sz w:val="20"/>
          <w:szCs w:val="20"/>
        </w:rPr>
        <w:t>Federal National Mortgage Association</w:t>
      </w:r>
    </w:p>
    <w:p w:rsidR="00000000" w:rsidRDefault="00E92DBE">
      <w:pPr>
        <w:jc w:val="both"/>
        <w:divId w:val="683870679"/>
        <w:rPr>
          <w:rFonts w:eastAsia="Times New Roman"/>
        </w:rPr>
      </w:pPr>
      <w:r>
        <w:rPr>
          <w:rFonts w:eastAsia="Times New Roman"/>
          <w:b/>
          <w:bCs/>
          <w:color w:val="000000"/>
          <w:sz w:val="20"/>
          <w:szCs w:val="20"/>
        </w:rPr>
        <w:t>FASB:</w:t>
      </w:r>
      <w:r>
        <w:rPr>
          <w:rFonts w:eastAsia="Times New Roman"/>
          <w:color w:val="000000"/>
          <w:sz w:val="20"/>
          <w:szCs w:val="20"/>
        </w:rPr>
        <w:t xml:space="preserve"> </w:t>
      </w:r>
      <w:r>
        <w:rPr>
          <w:rFonts w:eastAsia="Times New Roman"/>
          <w:color w:val="000000"/>
          <w:sz w:val="20"/>
          <w:szCs w:val="20"/>
        </w:rPr>
        <w:t>Financial Accounting Standards Board</w:t>
      </w:r>
    </w:p>
    <w:p w:rsidR="00000000" w:rsidRDefault="00E92DBE">
      <w:pPr>
        <w:jc w:val="both"/>
        <w:divId w:val="98304712"/>
        <w:rPr>
          <w:rFonts w:eastAsia="Times New Roman"/>
        </w:rPr>
      </w:pPr>
      <w:r>
        <w:rPr>
          <w:rFonts w:eastAsia="Times New Roman"/>
          <w:b/>
          <w:bCs/>
          <w:color w:val="000000"/>
          <w:sz w:val="20"/>
          <w:szCs w:val="20"/>
        </w:rPr>
        <w:t xml:space="preserve">FCA: </w:t>
      </w:r>
      <w:r>
        <w:rPr>
          <w:rFonts w:eastAsia="Times New Roman"/>
          <w:color w:val="000000"/>
          <w:sz w:val="20"/>
          <w:szCs w:val="20"/>
        </w:rPr>
        <w:t>U.K. Financial Conduct Authority</w:t>
      </w:r>
    </w:p>
    <w:p w:rsidR="00000000" w:rsidRDefault="00E92DBE">
      <w:pPr>
        <w:jc w:val="both"/>
        <w:divId w:val="1087312101"/>
        <w:rPr>
          <w:rFonts w:eastAsia="Times New Roman"/>
        </w:rPr>
      </w:pPr>
      <w:r>
        <w:rPr>
          <w:rFonts w:eastAsia="Times New Roman"/>
          <w:b/>
          <w:bCs/>
          <w:color w:val="000000"/>
          <w:sz w:val="20"/>
          <w:szCs w:val="20"/>
        </w:rPr>
        <w:t>FCM:</w:t>
      </w:r>
      <w:r>
        <w:rPr>
          <w:rFonts w:eastAsia="Times New Roman"/>
          <w:color w:val="000000"/>
          <w:sz w:val="20"/>
          <w:szCs w:val="20"/>
        </w:rPr>
        <w:t xml:space="preserve"> Futures commission merchant</w:t>
      </w:r>
    </w:p>
    <w:p w:rsidR="00000000" w:rsidRDefault="00E92DBE">
      <w:pPr>
        <w:jc w:val="both"/>
        <w:divId w:val="551117077"/>
        <w:rPr>
          <w:rFonts w:eastAsia="Times New Roman"/>
        </w:rPr>
      </w:pPr>
      <w:r>
        <w:rPr>
          <w:rFonts w:eastAsia="Times New Roman"/>
          <w:b/>
          <w:bCs/>
          <w:color w:val="000000"/>
          <w:sz w:val="20"/>
          <w:szCs w:val="20"/>
        </w:rPr>
        <w:t>FDIC:</w:t>
      </w:r>
      <w:r>
        <w:rPr>
          <w:rFonts w:eastAsia="Times New Roman"/>
          <w:color w:val="000000"/>
          <w:sz w:val="20"/>
          <w:szCs w:val="20"/>
        </w:rPr>
        <w:t xml:space="preserve"> Federal Deposit Insurance Corporation</w:t>
      </w:r>
    </w:p>
    <w:p w:rsidR="00000000" w:rsidRDefault="00E92DBE">
      <w:pPr>
        <w:jc w:val="both"/>
        <w:divId w:val="298465174"/>
        <w:rPr>
          <w:rFonts w:eastAsia="Times New Roman"/>
        </w:rPr>
      </w:pPr>
      <w:r>
        <w:rPr>
          <w:rFonts w:eastAsia="Times New Roman"/>
          <w:b/>
          <w:bCs/>
          <w:color w:val="000000"/>
          <w:sz w:val="20"/>
          <w:szCs w:val="20"/>
        </w:rPr>
        <w:t xml:space="preserve">FHLB: </w:t>
      </w:r>
      <w:r>
        <w:rPr>
          <w:rFonts w:eastAsia="Times New Roman"/>
          <w:color w:val="000000"/>
          <w:sz w:val="20"/>
          <w:szCs w:val="20"/>
        </w:rPr>
        <w:t>Federal Home Loan Banks</w:t>
      </w:r>
    </w:p>
    <w:p w:rsidR="00000000" w:rsidRDefault="00E92DBE">
      <w:pPr>
        <w:jc w:val="both"/>
        <w:divId w:val="304895962"/>
        <w:rPr>
          <w:rFonts w:eastAsia="Times New Roman"/>
        </w:rPr>
      </w:pPr>
      <w:r>
        <w:rPr>
          <w:rFonts w:eastAsia="Times New Roman"/>
          <w:b/>
          <w:bCs/>
          <w:color w:val="000000"/>
          <w:sz w:val="20"/>
          <w:szCs w:val="20"/>
        </w:rPr>
        <w:t xml:space="preserve">Fitch: </w:t>
      </w:r>
      <w:r>
        <w:rPr>
          <w:rFonts w:eastAsia="Times New Roman"/>
          <w:color w:val="000000"/>
          <w:sz w:val="20"/>
          <w:szCs w:val="20"/>
        </w:rPr>
        <w:t>Fitch Ratings</w:t>
      </w:r>
    </w:p>
    <w:p w:rsidR="00000000" w:rsidRDefault="00E92DBE">
      <w:pPr>
        <w:jc w:val="both"/>
        <w:divId w:val="1738478359"/>
        <w:rPr>
          <w:rFonts w:eastAsia="Times New Roman"/>
        </w:rPr>
      </w:pPr>
      <w:r>
        <w:rPr>
          <w:rFonts w:eastAsia="Times New Roman"/>
          <w:b/>
          <w:bCs/>
          <w:color w:val="000000"/>
          <w:sz w:val="20"/>
          <w:szCs w:val="20"/>
        </w:rPr>
        <w:t xml:space="preserve">FOS: </w:t>
      </w:r>
      <w:r>
        <w:rPr>
          <w:rFonts w:eastAsia="Times New Roman"/>
          <w:color w:val="000000"/>
          <w:sz w:val="20"/>
          <w:szCs w:val="20"/>
        </w:rPr>
        <w:t>Financial Ombudsman Service</w:t>
      </w:r>
    </w:p>
    <w:p w:rsidR="00000000" w:rsidRDefault="00E92DBE">
      <w:pPr>
        <w:jc w:val="both"/>
        <w:divId w:val="1606422485"/>
        <w:rPr>
          <w:rFonts w:eastAsia="Times New Roman"/>
        </w:rPr>
      </w:pPr>
      <w:r>
        <w:rPr>
          <w:rFonts w:eastAsia="Times New Roman"/>
          <w:b/>
          <w:bCs/>
          <w:color w:val="000000"/>
          <w:sz w:val="20"/>
          <w:szCs w:val="20"/>
        </w:rPr>
        <w:t>Freddie Mac:</w:t>
      </w:r>
      <w:r>
        <w:rPr>
          <w:rFonts w:ascii="Arial" w:eastAsia="Times New Roman" w:hAnsi="Arial" w:cs="Arial"/>
          <w:color w:val="000000"/>
          <w:sz w:val="20"/>
          <w:szCs w:val="20"/>
        </w:rPr>
        <w:t xml:space="preserve"> </w:t>
      </w:r>
      <w:r>
        <w:rPr>
          <w:rFonts w:eastAsia="Times New Roman"/>
          <w:color w:val="000000"/>
          <w:sz w:val="20"/>
          <w:szCs w:val="20"/>
        </w:rPr>
        <w:t>Federal Home Loan Mortgage Corporation</w:t>
      </w:r>
    </w:p>
    <w:p w:rsidR="00000000" w:rsidRDefault="00E92DBE">
      <w:pPr>
        <w:jc w:val="both"/>
        <w:divId w:val="1840999827"/>
        <w:rPr>
          <w:rFonts w:eastAsia="Times New Roman"/>
        </w:rPr>
      </w:pPr>
      <w:r>
        <w:rPr>
          <w:rFonts w:eastAsia="Times New Roman"/>
          <w:b/>
          <w:bCs/>
          <w:color w:val="000000"/>
          <w:sz w:val="20"/>
          <w:szCs w:val="20"/>
        </w:rPr>
        <w:t xml:space="preserve">GAAP: </w:t>
      </w:r>
      <w:r>
        <w:rPr>
          <w:rFonts w:eastAsia="Times New Roman"/>
          <w:color w:val="000000"/>
          <w:sz w:val="20"/>
          <w:szCs w:val="20"/>
        </w:rPr>
        <w:t>Generally accepted accounting principles in the U.S.</w:t>
      </w:r>
    </w:p>
    <w:p w:rsidR="00000000" w:rsidRDefault="00E92DBE">
      <w:pPr>
        <w:jc w:val="both"/>
        <w:divId w:val="1253393993"/>
        <w:rPr>
          <w:rFonts w:eastAsia="Times New Roman"/>
        </w:rPr>
      </w:pPr>
      <w:r>
        <w:rPr>
          <w:rFonts w:eastAsia="Times New Roman"/>
          <w:b/>
          <w:bCs/>
          <w:color w:val="000000"/>
          <w:sz w:val="20"/>
          <w:szCs w:val="20"/>
        </w:rPr>
        <w:t xml:space="preserve">GBP: </w:t>
      </w:r>
      <w:r>
        <w:rPr>
          <w:rFonts w:eastAsia="Times New Roman"/>
          <w:color w:val="000000"/>
          <w:sz w:val="20"/>
          <w:szCs w:val="20"/>
        </w:rPr>
        <w:t>Pound sterling</w:t>
      </w:r>
    </w:p>
    <w:p w:rsidR="00000000" w:rsidRDefault="00E92DBE">
      <w:pPr>
        <w:jc w:val="both"/>
        <w:divId w:val="43456257"/>
        <w:rPr>
          <w:rFonts w:eastAsia="Times New Roman"/>
        </w:rPr>
      </w:pPr>
      <w:r>
        <w:rPr>
          <w:rFonts w:eastAsia="Times New Roman"/>
          <w:b/>
          <w:bCs/>
          <w:color w:val="000000"/>
          <w:sz w:val="20"/>
          <w:szCs w:val="20"/>
        </w:rPr>
        <w:t>Ginnie Mae:</w:t>
      </w:r>
      <w:r>
        <w:rPr>
          <w:rFonts w:ascii="Arial" w:eastAsia="Times New Roman" w:hAnsi="Arial" w:cs="Arial"/>
          <w:color w:val="000000"/>
          <w:sz w:val="20"/>
          <w:szCs w:val="20"/>
        </w:rPr>
        <w:t xml:space="preserve"> </w:t>
      </w:r>
      <w:r>
        <w:rPr>
          <w:rFonts w:eastAsia="Times New Roman"/>
          <w:color w:val="000000"/>
          <w:sz w:val="20"/>
          <w:szCs w:val="20"/>
        </w:rPr>
        <w:t>Government National Mortgage Association</w:t>
      </w:r>
    </w:p>
    <w:p w:rsidR="00000000" w:rsidRDefault="00E92DBE">
      <w:pPr>
        <w:jc w:val="both"/>
        <w:divId w:val="107051133"/>
        <w:rPr>
          <w:rFonts w:eastAsia="Times New Roman"/>
        </w:rPr>
      </w:pPr>
      <w:r>
        <w:rPr>
          <w:rFonts w:eastAsia="Times New Roman"/>
          <w:b/>
          <w:bCs/>
          <w:color w:val="000000"/>
          <w:sz w:val="20"/>
          <w:szCs w:val="20"/>
        </w:rPr>
        <w:t>G-SIB:</w:t>
      </w:r>
      <w:r>
        <w:rPr>
          <w:rFonts w:ascii="Arial" w:eastAsia="Times New Roman" w:hAnsi="Arial" w:cs="Arial"/>
          <w:color w:val="000000"/>
          <w:sz w:val="20"/>
          <w:szCs w:val="20"/>
        </w:rPr>
        <w:t xml:space="preserve"> </w:t>
      </w:r>
      <w:r>
        <w:rPr>
          <w:rFonts w:eastAsia="Times New Roman"/>
          <w:color w:val="000000"/>
          <w:sz w:val="20"/>
          <w:szCs w:val="20"/>
        </w:rPr>
        <w:t>Global systemically important banks</w:t>
      </w:r>
    </w:p>
    <w:p w:rsidR="00000000" w:rsidRDefault="00E92DBE">
      <w:pPr>
        <w:jc w:val="both"/>
        <w:divId w:val="155347790"/>
        <w:rPr>
          <w:rFonts w:eastAsia="Times New Roman"/>
        </w:rPr>
      </w:pPr>
      <w:r>
        <w:rPr>
          <w:rFonts w:eastAsia="Times New Roman"/>
          <w:b/>
          <w:bCs/>
          <w:color w:val="000000"/>
          <w:sz w:val="20"/>
          <w:szCs w:val="20"/>
        </w:rPr>
        <w:t>G</w:t>
      </w:r>
      <w:r>
        <w:rPr>
          <w:rFonts w:eastAsia="Times New Roman"/>
          <w:b/>
          <w:bCs/>
          <w:color w:val="000000"/>
          <w:sz w:val="20"/>
          <w:szCs w:val="20"/>
        </w:rPr>
        <w:t xml:space="preserve">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Government-sponsored enterprise</w:t>
      </w:r>
    </w:p>
    <w:p w:rsidR="00000000" w:rsidRDefault="00E92DBE">
      <w:pPr>
        <w:jc w:val="both"/>
        <w:divId w:val="1205409579"/>
        <w:rPr>
          <w:rFonts w:eastAsia="Times New Roman"/>
        </w:rPr>
      </w:pPr>
      <w:r>
        <w:rPr>
          <w:rFonts w:eastAsia="Times New Roman"/>
          <w:b/>
          <w:bCs/>
          <w:color w:val="000000"/>
          <w:sz w:val="20"/>
          <w:szCs w:val="20"/>
        </w:rPr>
        <w:t>IBA</w:t>
      </w:r>
      <w:r>
        <w:rPr>
          <w:rFonts w:eastAsia="Times New Roman"/>
          <w:color w:val="000000"/>
          <w:sz w:val="20"/>
          <w:szCs w:val="20"/>
        </w:rPr>
        <w:t>: Intercontinental Exchange Benchmark Administration </w:t>
      </w:r>
    </w:p>
    <w:p w:rsidR="00000000" w:rsidRDefault="00E92DBE">
      <w:pPr>
        <w:jc w:val="both"/>
        <w:divId w:val="1442456765"/>
        <w:rPr>
          <w:rFonts w:eastAsia="Times New Roman"/>
        </w:rPr>
      </w:pPr>
      <w:r>
        <w:rPr>
          <w:rFonts w:eastAsia="Times New Roman"/>
          <w:b/>
          <w:bCs/>
          <w:color w:val="000000"/>
          <w:sz w:val="20"/>
          <w:szCs w:val="20"/>
        </w:rPr>
        <w:t>IBOR</w:t>
      </w:r>
      <w:r>
        <w:rPr>
          <w:rFonts w:eastAsia="Times New Roman"/>
          <w:color w:val="000000"/>
          <w:sz w:val="20"/>
          <w:szCs w:val="20"/>
        </w:rPr>
        <w:t>: Interbank Offered Rate</w:t>
      </w:r>
    </w:p>
    <w:p w:rsidR="00000000" w:rsidRDefault="00E92DBE">
      <w:pPr>
        <w:jc w:val="both"/>
        <w:divId w:val="191574301"/>
        <w:rPr>
          <w:rFonts w:eastAsia="Times New Roman"/>
        </w:rPr>
      </w:pPr>
      <w:r>
        <w:rPr>
          <w:rFonts w:eastAsia="Times New Roman"/>
          <w:b/>
          <w:bCs/>
          <w:color w:val="000000"/>
          <w:sz w:val="20"/>
          <w:szCs w:val="20"/>
        </w:rPr>
        <w:t>IRM:</w:t>
      </w:r>
      <w:r>
        <w:rPr>
          <w:rFonts w:eastAsia="Times New Roman"/>
          <w:color w:val="000000"/>
          <w:sz w:val="20"/>
          <w:szCs w:val="20"/>
        </w:rPr>
        <w:t xml:space="preserve"> Independent Risk Management</w:t>
      </w:r>
    </w:p>
    <w:p w:rsidR="00000000" w:rsidRDefault="00E92DBE">
      <w:pPr>
        <w:jc w:val="both"/>
        <w:divId w:val="923337360"/>
        <w:rPr>
          <w:rFonts w:eastAsia="Times New Roman"/>
        </w:rPr>
      </w:pPr>
      <w:r>
        <w:rPr>
          <w:rFonts w:eastAsia="Times New Roman"/>
          <w:b/>
          <w:bCs/>
          <w:color w:val="000000"/>
          <w:sz w:val="20"/>
          <w:szCs w:val="20"/>
        </w:rPr>
        <w:t>LCH:</w:t>
      </w:r>
      <w:r>
        <w:rPr>
          <w:rFonts w:eastAsia="Times New Roman"/>
          <w:color w:val="000000"/>
          <w:sz w:val="20"/>
          <w:szCs w:val="20"/>
        </w:rPr>
        <w:t xml:space="preserve"> LCH Group</w:t>
      </w:r>
    </w:p>
    <w:p w:rsidR="00000000" w:rsidRDefault="00E92DBE">
      <w:pPr>
        <w:jc w:val="both"/>
        <w:divId w:val="1401290916"/>
        <w:rPr>
          <w:rFonts w:eastAsia="Times New Roman"/>
        </w:rPr>
      </w:pPr>
      <w:r>
        <w:rPr>
          <w:rFonts w:eastAsia="Times New Roman"/>
          <w:b/>
          <w:bCs/>
          <w:color w:val="000000"/>
          <w:sz w:val="20"/>
          <w:szCs w:val="20"/>
        </w:rPr>
        <w:t>LCR:</w:t>
      </w:r>
      <w:r>
        <w:rPr>
          <w:rFonts w:eastAsia="Times New Roman"/>
          <w:color w:val="000000"/>
          <w:sz w:val="20"/>
          <w:szCs w:val="20"/>
        </w:rPr>
        <w:t xml:space="preserve"> Liquidity coverage ratio</w:t>
      </w:r>
    </w:p>
    <w:p w:rsidR="00000000" w:rsidRDefault="00E92DBE">
      <w:pPr>
        <w:jc w:val="both"/>
        <w:divId w:val="230236071"/>
        <w:rPr>
          <w:rFonts w:eastAsia="Times New Roman"/>
        </w:rPr>
      </w:pPr>
      <w:r>
        <w:rPr>
          <w:rFonts w:eastAsia="Times New Roman"/>
          <w:b/>
          <w:bCs/>
          <w:color w:val="000000"/>
          <w:sz w:val="20"/>
          <w:szCs w:val="20"/>
        </w:rPr>
        <w:t>LIBOR:</w:t>
      </w:r>
      <w:r>
        <w:rPr>
          <w:rFonts w:ascii="Arial" w:eastAsia="Times New Roman" w:hAnsi="Arial" w:cs="Arial"/>
          <w:color w:val="000000"/>
          <w:sz w:val="20"/>
          <w:szCs w:val="20"/>
        </w:rPr>
        <w:t xml:space="preserve"> </w:t>
      </w:r>
      <w:r>
        <w:rPr>
          <w:rFonts w:eastAsia="Times New Roman"/>
          <w:color w:val="000000"/>
          <w:sz w:val="20"/>
          <w:szCs w:val="20"/>
        </w:rPr>
        <w:t>London Interbank Offered Rate</w:t>
      </w:r>
    </w:p>
    <w:p w:rsidR="00000000" w:rsidRDefault="00E92DBE">
      <w:pPr>
        <w:jc w:val="both"/>
        <w:divId w:val="1252012164"/>
        <w:rPr>
          <w:rFonts w:eastAsia="Times New Roman"/>
        </w:rPr>
      </w:pPr>
      <w:r>
        <w:rPr>
          <w:rFonts w:eastAsia="Times New Roman"/>
          <w:b/>
          <w:bCs/>
          <w:color w:val="000000"/>
          <w:sz w:val="20"/>
          <w:szCs w:val="20"/>
        </w:rPr>
        <w:t>MDL:</w:t>
      </w:r>
      <w:r>
        <w:rPr>
          <w:rFonts w:eastAsia="Times New Roman"/>
          <w:color w:val="000000"/>
          <w:sz w:val="20"/>
          <w:szCs w:val="20"/>
        </w:rPr>
        <w:t xml:space="preserve"> Mult</w:t>
      </w:r>
      <w:r>
        <w:rPr>
          <w:rFonts w:eastAsia="Times New Roman"/>
          <w:color w:val="000000"/>
          <w:sz w:val="20"/>
          <w:szCs w:val="20"/>
        </w:rPr>
        <w:t>i-district litigation</w:t>
      </w:r>
    </w:p>
    <w:p w:rsidR="00000000" w:rsidRDefault="00E92DBE">
      <w:pPr>
        <w:jc w:val="both"/>
        <w:divId w:val="1067144851"/>
        <w:rPr>
          <w:rFonts w:eastAsia="Times New Roman"/>
        </w:rPr>
      </w:pPr>
      <w:r>
        <w:rPr>
          <w:rFonts w:eastAsia="Times New Roman"/>
          <w:b/>
          <w:bCs/>
          <w:color w:val="000000"/>
          <w:sz w:val="20"/>
          <w:szCs w:val="20"/>
        </w:rPr>
        <w:t>Moody’s:</w:t>
      </w:r>
      <w:r>
        <w:rPr>
          <w:rFonts w:eastAsia="Times New Roman"/>
          <w:color w:val="000000"/>
          <w:sz w:val="20"/>
          <w:szCs w:val="20"/>
        </w:rPr>
        <w:t xml:space="preserve"> Moody’s Investors Service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13651754"/>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013651754"/>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013651754"/>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62</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87" style="width:0;height:1.5pt" o:hralign="center" o:hrstd="t" o:hr="t" fillcolor="#a0a0a0" stroked="f"/>
        </w:pict>
      </w:r>
    </w:p>
    <w:p w:rsidR="00000000" w:rsidRDefault="00E92DBE">
      <w:pPr>
        <w:ind w:hanging="360"/>
        <w:jc w:val="both"/>
        <w:divId w:val="208500194"/>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867983476"/>
        <w:rPr>
          <w:rFonts w:eastAsia="Times New Roman"/>
        </w:rPr>
      </w:pPr>
      <w:r>
        <w:rPr>
          <w:rFonts w:eastAsia="Times New Roman"/>
          <w:b/>
          <w:bCs/>
          <w:color w:val="000000"/>
          <w:sz w:val="20"/>
          <w:szCs w:val="20"/>
        </w:rPr>
        <w:t xml:space="preserve">MSRs: </w:t>
      </w:r>
      <w:r>
        <w:rPr>
          <w:rFonts w:eastAsia="Times New Roman"/>
          <w:color w:val="000000"/>
          <w:sz w:val="20"/>
          <w:szCs w:val="20"/>
        </w:rPr>
        <w:t>Mortgage servicing rights</w:t>
      </w:r>
    </w:p>
    <w:p w:rsidR="00000000" w:rsidRDefault="00E92DBE">
      <w:pPr>
        <w:jc w:val="both"/>
        <w:divId w:val="1671561859"/>
        <w:rPr>
          <w:rFonts w:eastAsia="Times New Roman"/>
        </w:rPr>
      </w:pPr>
      <w:r>
        <w:rPr>
          <w:rFonts w:eastAsia="Times New Roman"/>
          <w:b/>
          <w:bCs/>
          <w:color w:val="000000"/>
          <w:sz w:val="20"/>
          <w:szCs w:val="20"/>
        </w:rPr>
        <w:t>OCC:</w:t>
      </w:r>
      <w:r>
        <w:rPr>
          <w:rFonts w:eastAsia="Times New Roman"/>
          <w:color w:val="000000"/>
          <w:sz w:val="20"/>
          <w:szCs w:val="20"/>
        </w:rPr>
        <w:t xml:space="preserve"> Office of the Comptroller of the Currency </w:t>
      </w:r>
    </w:p>
    <w:p w:rsidR="00000000" w:rsidRDefault="00E92DBE">
      <w:pPr>
        <w:jc w:val="both"/>
        <w:divId w:val="1957911266"/>
        <w:rPr>
          <w:rFonts w:eastAsia="Times New Roman"/>
        </w:rPr>
      </w:pPr>
      <w:r>
        <w:rPr>
          <w:rFonts w:eastAsia="Times New Roman"/>
          <w:b/>
          <w:bCs/>
          <w:color w:val="000000"/>
          <w:sz w:val="20"/>
          <w:szCs w:val="20"/>
        </w:rPr>
        <w:t xml:space="preserve">OTC: </w:t>
      </w:r>
      <w:r>
        <w:rPr>
          <w:rFonts w:eastAsia="Times New Roman"/>
          <w:color w:val="000000"/>
          <w:sz w:val="20"/>
          <w:szCs w:val="20"/>
        </w:rPr>
        <w:t xml:space="preserve">Over-the-counter </w:t>
      </w:r>
    </w:p>
    <w:p w:rsidR="00000000" w:rsidRDefault="00E92DBE">
      <w:pPr>
        <w:jc w:val="both"/>
        <w:divId w:val="905385002"/>
        <w:rPr>
          <w:rFonts w:eastAsia="Times New Roman"/>
        </w:rPr>
      </w:pPr>
      <w:r>
        <w:rPr>
          <w:rFonts w:eastAsia="Times New Roman"/>
          <w:b/>
          <w:bCs/>
          <w:color w:val="000000"/>
          <w:sz w:val="20"/>
          <w:szCs w:val="20"/>
        </w:rPr>
        <w:t>PCA:</w:t>
      </w:r>
      <w:r>
        <w:rPr>
          <w:rFonts w:ascii="Arial" w:eastAsia="Times New Roman" w:hAnsi="Arial" w:cs="Arial"/>
          <w:color w:val="000000"/>
          <w:sz w:val="20"/>
          <w:szCs w:val="20"/>
        </w:rPr>
        <w:t xml:space="preserve"> </w:t>
      </w:r>
      <w:r>
        <w:rPr>
          <w:rFonts w:eastAsia="Times New Roman"/>
          <w:color w:val="000000"/>
          <w:sz w:val="20"/>
          <w:szCs w:val="20"/>
        </w:rPr>
        <w:t>Prompt corrective action</w:t>
      </w:r>
    </w:p>
    <w:p w:rsidR="00000000" w:rsidRDefault="00E92DBE">
      <w:pPr>
        <w:jc w:val="both"/>
        <w:divId w:val="195700668"/>
        <w:rPr>
          <w:rFonts w:eastAsia="Times New Roman"/>
        </w:rPr>
      </w:pPr>
      <w:r>
        <w:rPr>
          <w:rFonts w:eastAsia="Times New Roman"/>
          <w:b/>
          <w:bCs/>
          <w:color w:val="000000"/>
          <w:sz w:val="20"/>
          <w:szCs w:val="20"/>
        </w:rPr>
        <w:t xml:space="preserve">PCI: </w:t>
      </w:r>
      <w:r>
        <w:rPr>
          <w:rFonts w:eastAsia="Times New Roman"/>
          <w:color w:val="000000"/>
          <w:sz w:val="20"/>
          <w:szCs w:val="20"/>
        </w:rPr>
        <w:t>Purchased credit-impaired</w:t>
      </w:r>
    </w:p>
    <w:p w:rsidR="00000000" w:rsidRDefault="00E92DBE">
      <w:pPr>
        <w:jc w:val="both"/>
        <w:divId w:val="1532066905"/>
        <w:rPr>
          <w:rFonts w:eastAsia="Times New Roman"/>
        </w:rPr>
      </w:pPr>
      <w:r>
        <w:rPr>
          <w:rFonts w:eastAsia="Times New Roman"/>
          <w:b/>
          <w:bCs/>
          <w:color w:val="000000"/>
          <w:sz w:val="20"/>
          <w:szCs w:val="20"/>
        </w:rPr>
        <w:t xml:space="preserve">PCCR: </w:t>
      </w:r>
      <w:r>
        <w:rPr>
          <w:rFonts w:eastAsia="Times New Roman"/>
          <w:color w:val="000000"/>
          <w:sz w:val="20"/>
          <w:szCs w:val="20"/>
        </w:rPr>
        <w:t>Purchased credit card relationship</w:t>
      </w:r>
    </w:p>
    <w:p w:rsidR="00000000" w:rsidRDefault="00E92DBE">
      <w:pPr>
        <w:jc w:val="both"/>
        <w:divId w:val="2085830696"/>
        <w:rPr>
          <w:rFonts w:eastAsia="Times New Roman"/>
        </w:rPr>
      </w:pPr>
      <w:r>
        <w:rPr>
          <w:rFonts w:eastAsia="Times New Roman"/>
          <w:b/>
          <w:bCs/>
          <w:color w:val="000000"/>
          <w:sz w:val="20"/>
          <w:szCs w:val="20"/>
        </w:rPr>
        <w:t xml:space="preserve">PPI: </w:t>
      </w:r>
      <w:r>
        <w:rPr>
          <w:rFonts w:eastAsia="Times New Roman"/>
          <w:color w:val="000000"/>
          <w:sz w:val="20"/>
          <w:szCs w:val="20"/>
        </w:rPr>
        <w:t>Payment protection insurance</w:t>
      </w:r>
    </w:p>
    <w:p w:rsidR="00000000" w:rsidRDefault="00E92DBE">
      <w:pPr>
        <w:jc w:val="both"/>
        <w:divId w:val="1673678230"/>
        <w:rPr>
          <w:rFonts w:eastAsia="Times New Roman"/>
        </w:rPr>
      </w:pPr>
      <w:r>
        <w:rPr>
          <w:rFonts w:eastAsia="Times New Roman"/>
          <w:b/>
          <w:bCs/>
          <w:color w:val="000000"/>
          <w:sz w:val="20"/>
          <w:szCs w:val="20"/>
        </w:rPr>
        <w:t xml:space="preserve">PPP: </w:t>
      </w:r>
      <w:r>
        <w:rPr>
          <w:rFonts w:eastAsia="Times New Roman"/>
          <w:color w:val="000000"/>
          <w:sz w:val="20"/>
          <w:szCs w:val="20"/>
        </w:rPr>
        <w:t>Paycheck Protection Program</w:t>
      </w:r>
    </w:p>
    <w:p w:rsidR="00000000" w:rsidRDefault="00E92DBE">
      <w:pPr>
        <w:jc w:val="both"/>
        <w:divId w:val="435636323"/>
        <w:rPr>
          <w:rFonts w:eastAsia="Times New Roman"/>
        </w:rPr>
      </w:pPr>
      <w:r>
        <w:rPr>
          <w:rFonts w:eastAsia="Times New Roman"/>
          <w:b/>
          <w:bCs/>
          <w:color w:val="000000"/>
          <w:sz w:val="20"/>
          <w:szCs w:val="20"/>
        </w:rPr>
        <w:t xml:space="preserve">RMBS: </w:t>
      </w:r>
      <w:r>
        <w:rPr>
          <w:rFonts w:eastAsia="Times New Roman"/>
          <w:color w:val="000000"/>
          <w:sz w:val="20"/>
          <w:szCs w:val="20"/>
        </w:rPr>
        <w:t>Residential mortgage-backed securities</w:t>
      </w:r>
    </w:p>
    <w:p w:rsidR="00000000" w:rsidRDefault="00E92DBE">
      <w:pPr>
        <w:jc w:val="both"/>
        <w:divId w:val="661348542"/>
        <w:rPr>
          <w:rFonts w:eastAsia="Times New Roman"/>
        </w:rPr>
      </w:pPr>
      <w:r>
        <w:rPr>
          <w:rFonts w:eastAsia="Times New Roman"/>
          <w:b/>
          <w:bCs/>
          <w:color w:val="000000"/>
          <w:sz w:val="20"/>
          <w:szCs w:val="20"/>
        </w:rPr>
        <w:t>RSU:</w:t>
      </w:r>
      <w:r>
        <w:rPr>
          <w:rFonts w:eastAsia="Times New Roman"/>
          <w:color w:val="000000"/>
          <w:sz w:val="20"/>
          <w:szCs w:val="20"/>
        </w:rPr>
        <w:t xml:space="preserve"> Restricted stock unit</w:t>
      </w:r>
    </w:p>
    <w:p w:rsidR="00000000" w:rsidRDefault="00E92DBE">
      <w:pPr>
        <w:jc w:val="both"/>
        <w:divId w:val="3485900"/>
        <w:rPr>
          <w:rFonts w:eastAsia="Times New Roman"/>
        </w:rPr>
      </w:pPr>
      <w:r>
        <w:rPr>
          <w:rFonts w:eastAsia="Times New Roman"/>
          <w:b/>
          <w:bCs/>
          <w:color w:val="000000"/>
          <w:sz w:val="20"/>
          <w:szCs w:val="20"/>
        </w:rPr>
        <w:t>S&amp;P:</w:t>
      </w:r>
      <w:r>
        <w:rPr>
          <w:rFonts w:ascii="Arial" w:eastAsia="Times New Roman" w:hAnsi="Arial" w:cs="Arial"/>
          <w:color w:val="000000"/>
          <w:sz w:val="20"/>
          <w:szCs w:val="20"/>
        </w:rPr>
        <w:t xml:space="preserve"> </w:t>
      </w:r>
      <w:r>
        <w:rPr>
          <w:rFonts w:eastAsia="Times New Roman"/>
          <w:color w:val="000000"/>
          <w:sz w:val="20"/>
          <w:szCs w:val="20"/>
        </w:rPr>
        <w:t>Standard &amp; Poor</w:t>
      </w:r>
      <w:r>
        <w:rPr>
          <w:rFonts w:eastAsia="Times New Roman"/>
          <w:color w:val="000000"/>
          <w:sz w:val="20"/>
          <w:szCs w:val="20"/>
        </w:rPr>
        <w:t>’s</w:t>
      </w:r>
    </w:p>
    <w:p w:rsidR="00000000" w:rsidRDefault="00E92DBE">
      <w:pPr>
        <w:jc w:val="both"/>
        <w:divId w:val="508256845"/>
        <w:rPr>
          <w:rFonts w:eastAsia="Times New Roman"/>
        </w:rPr>
      </w:pPr>
      <w:r>
        <w:rPr>
          <w:rFonts w:eastAsia="Times New Roman"/>
          <w:b/>
          <w:bCs/>
          <w:color w:val="000000"/>
          <w:sz w:val="20"/>
          <w:szCs w:val="20"/>
        </w:rPr>
        <w:t>SEC:</w:t>
      </w:r>
      <w:r>
        <w:rPr>
          <w:rFonts w:eastAsia="Times New Roman"/>
          <w:color w:val="000000"/>
          <w:sz w:val="20"/>
          <w:szCs w:val="20"/>
        </w:rPr>
        <w:t xml:space="preserve"> U.S. Securities and Exchange Commission</w:t>
      </w:r>
    </w:p>
    <w:p w:rsidR="00000000" w:rsidRDefault="00E92DBE">
      <w:pPr>
        <w:jc w:val="both"/>
        <w:divId w:val="1225023840"/>
        <w:rPr>
          <w:rFonts w:eastAsia="Times New Roman"/>
        </w:rPr>
      </w:pPr>
      <w:r>
        <w:rPr>
          <w:rFonts w:eastAsia="Times New Roman"/>
          <w:b/>
          <w:bCs/>
          <w:color w:val="000000"/>
          <w:sz w:val="20"/>
          <w:szCs w:val="20"/>
        </w:rPr>
        <w:t>SCB:</w:t>
      </w:r>
      <w:r>
        <w:rPr>
          <w:rFonts w:eastAsia="Times New Roman"/>
          <w:color w:val="000000"/>
          <w:sz w:val="20"/>
          <w:szCs w:val="20"/>
        </w:rPr>
        <w:t xml:space="preserve"> Stress Capital Buffer</w:t>
      </w:r>
    </w:p>
    <w:p w:rsidR="00000000" w:rsidRDefault="00E92DBE">
      <w:pPr>
        <w:jc w:val="both"/>
        <w:divId w:val="1132094794"/>
        <w:rPr>
          <w:rFonts w:eastAsia="Times New Roman"/>
        </w:rPr>
      </w:pPr>
      <w:r>
        <w:rPr>
          <w:rFonts w:eastAsia="Times New Roman"/>
          <w:b/>
          <w:bCs/>
          <w:color w:val="000000"/>
          <w:sz w:val="20"/>
          <w:szCs w:val="20"/>
        </w:rPr>
        <w:t>SOFR:</w:t>
      </w:r>
      <w:r>
        <w:rPr>
          <w:rFonts w:eastAsia="Times New Roman"/>
          <w:color w:val="000000"/>
          <w:sz w:val="20"/>
          <w:szCs w:val="20"/>
        </w:rPr>
        <w:t xml:space="preserve"> Secured Overnight Financing Rate</w:t>
      </w:r>
    </w:p>
    <w:p w:rsidR="00000000" w:rsidRDefault="00E92DBE">
      <w:pPr>
        <w:jc w:val="both"/>
        <w:divId w:val="2128354044"/>
        <w:rPr>
          <w:rFonts w:eastAsia="Times New Roman"/>
        </w:rPr>
      </w:pPr>
      <w:r>
        <w:rPr>
          <w:rFonts w:eastAsia="Times New Roman"/>
          <w:b/>
          <w:bCs/>
          <w:color w:val="000000"/>
          <w:sz w:val="20"/>
          <w:szCs w:val="20"/>
        </w:rPr>
        <w:t>TCE:</w:t>
      </w:r>
      <w:r>
        <w:rPr>
          <w:rFonts w:eastAsia="Times New Roman"/>
          <w:color w:val="000000"/>
          <w:sz w:val="20"/>
          <w:szCs w:val="20"/>
        </w:rPr>
        <w:t xml:space="preserve"> Tangible common equity</w:t>
      </w:r>
    </w:p>
    <w:p w:rsidR="00000000" w:rsidRDefault="00E92DBE">
      <w:pPr>
        <w:jc w:val="both"/>
        <w:divId w:val="1032026344"/>
        <w:rPr>
          <w:rFonts w:eastAsia="Times New Roman"/>
        </w:rPr>
      </w:pPr>
      <w:r>
        <w:rPr>
          <w:rFonts w:eastAsia="Times New Roman"/>
          <w:b/>
          <w:bCs/>
          <w:color w:val="000000"/>
          <w:sz w:val="20"/>
          <w:szCs w:val="20"/>
        </w:rPr>
        <w:t>TDR:</w:t>
      </w:r>
      <w:r>
        <w:rPr>
          <w:rFonts w:eastAsia="Times New Roman"/>
          <w:color w:val="000000"/>
          <w:sz w:val="20"/>
          <w:szCs w:val="20"/>
        </w:rPr>
        <w:t xml:space="preserve"> Troubled debt restructuring</w:t>
      </w:r>
    </w:p>
    <w:p w:rsidR="00000000" w:rsidRDefault="00E92DBE">
      <w:pPr>
        <w:jc w:val="both"/>
        <w:divId w:val="150098912"/>
        <w:rPr>
          <w:rFonts w:eastAsia="Times New Roman"/>
        </w:rPr>
      </w:pPr>
      <w:r>
        <w:rPr>
          <w:rFonts w:eastAsia="Times New Roman"/>
          <w:b/>
          <w:bCs/>
          <w:color w:val="000000"/>
          <w:sz w:val="20"/>
          <w:szCs w:val="20"/>
        </w:rPr>
        <w:t>U.K.:</w:t>
      </w:r>
      <w:r>
        <w:rPr>
          <w:rFonts w:eastAsia="Times New Roman"/>
          <w:color w:val="000000"/>
          <w:sz w:val="20"/>
          <w:szCs w:val="20"/>
        </w:rPr>
        <w:t xml:space="preserve"> United Kingdom</w:t>
      </w:r>
    </w:p>
    <w:p w:rsidR="00000000" w:rsidRDefault="00E92DBE">
      <w:pPr>
        <w:jc w:val="both"/>
        <w:divId w:val="1251237494"/>
        <w:rPr>
          <w:rFonts w:eastAsia="Times New Roman"/>
        </w:rPr>
      </w:pPr>
      <w:r>
        <w:rPr>
          <w:rFonts w:eastAsia="Times New Roman"/>
          <w:b/>
          <w:bCs/>
          <w:color w:val="000000"/>
          <w:sz w:val="20"/>
          <w:szCs w:val="20"/>
        </w:rPr>
        <w:t>U.S.:</w:t>
      </w:r>
      <w:r>
        <w:rPr>
          <w:rFonts w:eastAsia="Times New Roman"/>
          <w:color w:val="000000"/>
          <w:sz w:val="20"/>
          <w:szCs w:val="20"/>
        </w:rPr>
        <w:t xml:space="preserve"> United States of America</w:t>
      </w:r>
    </w:p>
    <w:p w:rsidR="00000000" w:rsidRDefault="00E92DBE">
      <w:pPr>
        <w:jc w:val="both"/>
        <w:divId w:val="1905723478"/>
        <w:rPr>
          <w:rFonts w:eastAsia="Times New Roman"/>
        </w:rPr>
      </w:pPr>
      <w:r>
        <w:rPr>
          <w:rFonts w:eastAsia="Times New Roman"/>
          <w:b/>
          <w:bCs/>
          <w:color w:val="000000"/>
          <w:sz w:val="20"/>
          <w:szCs w:val="20"/>
        </w:rPr>
        <w:t>VIE:</w:t>
      </w:r>
      <w:r>
        <w:rPr>
          <w:rFonts w:eastAsia="Times New Roman"/>
          <w:color w:val="000000"/>
          <w:sz w:val="20"/>
          <w:szCs w:val="20"/>
        </w:rPr>
        <w:t xml:space="preserve"> Variable interest entity</w:t>
      </w:r>
    </w:p>
    <w:p w:rsidR="00000000" w:rsidRDefault="00E92DBE">
      <w:pPr>
        <w:jc w:val="both"/>
        <w:divId w:val="1174413369"/>
        <w:rPr>
          <w:rFonts w:eastAsia="Times New Roman"/>
        </w:rPr>
      </w:pPr>
      <w:r>
        <w:rPr>
          <w:rFonts w:eastAsia="Times New Roman"/>
          <w:b/>
          <w:bCs/>
          <w:color w:val="000000"/>
          <w:sz w:val="20"/>
          <w:szCs w:val="20"/>
        </w:rPr>
        <w:t>XBRL:</w:t>
      </w:r>
      <w:r>
        <w:rPr>
          <w:rFonts w:eastAsia="Times New Roman"/>
          <w:color w:val="000000"/>
          <w:sz w:val="20"/>
          <w:szCs w:val="20"/>
        </w:rPr>
        <w:t xml:space="preserve"> Extensible business reporting language</w:t>
      </w:r>
    </w:p>
    <w:p w:rsidR="00000000" w:rsidRDefault="00E92DBE">
      <w:pPr>
        <w:jc w:val="both"/>
        <w:divId w:val="124984987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57244154"/>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057244154"/>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057244154"/>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63</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88" style="width:0;height:1.5pt" o:hralign="center" o:hrstd="t" o:hr="t" fillcolor="#a0a0a0" stroked="f"/>
        </w:pict>
      </w:r>
    </w:p>
    <w:p w:rsidR="00000000" w:rsidRDefault="00E92DBE">
      <w:pPr>
        <w:ind w:hanging="360"/>
        <w:jc w:val="both"/>
        <w:divId w:val="930431137"/>
        <w:rPr>
          <w:rFonts w:eastAsia="Times New Roman"/>
        </w:rPr>
      </w:pPr>
      <w:hyperlink w:anchor="ic1109d5aa548447c8224139b1ab22bde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8"/>
        <w:gridCol w:w="7678"/>
        <w:gridCol w:w="39"/>
        <w:gridCol w:w="72"/>
        <w:gridCol w:w="413"/>
        <w:gridCol w:w="36"/>
      </w:tblGrid>
      <w:tr w:rsidR="00000000">
        <w:trPr>
          <w:divId w:val="2144955167"/>
        </w:trPr>
        <w:tc>
          <w:tcPr>
            <w:tcW w:w="50" w:type="pct"/>
            <w:vAlign w:val="center"/>
            <w:hideMark/>
          </w:tcPr>
          <w:p w:rsidR="00000000" w:rsidRDefault="00E92DBE">
            <w:pPr>
              <w:ind w:hanging="360"/>
              <w:jc w:val="both"/>
              <w:rPr>
                <w:rFonts w:eastAsia="Times New Roman"/>
              </w:rPr>
            </w:pPr>
          </w:p>
        </w:tc>
        <w:tc>
          <w:tcPr>
            <w:tcW w:w="463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5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2144955167"/>
        </w:trPr>
        <w:tc>
          <w:tcPr>
            <w:tcW w:w="0" w:type="auto"/>
            <w:gridSpan w:val="6"/>
            <w:tcMar>
              <w:top w:w="30" w:type="dxa"/>
              <w:left w:w="20" w:type="dxa"/>
              <w:bottom w:w="30" w:type="dxa"/>
              <w:right w:w="20" w:type="dxa"/>
            </w:tcMar>
            <w:vAlign w:val="bottom"/>
            <w:hideMark/>
          </w:tcPr>
          <w:p w:rsidR="00000000" w:rsidRDefault="00E92DBE">
            <w:pPr>
              <w:divId w:val="298414336"/>
              <w:rPr>
                <w:rFonts w:eastAsia="Times New Roman"/>
              </w:rPr>
            </w:pPr>
            <w:hyperlink w:anchor="ic1109d5aa548447c8224139b1ab22bde_337" w:history="1">
              <w:r>
                <w:rPr>
                  <w:rStyle w:val="a3"/>
                  <w:rFonts w:eastAsia="Times New Roman"/>
                  <w:b/>
                  <w:bCs/>
                  <w:color w:val="000000"/>
                  <w:sz w:val="20"/>
                  <w:szCs w:val="20"/>
                  <w:u w:val="none"/>
                </w:rPr>
                <w:t>Item 1. Financial Statements and Note</w:t>
              </w:r>
            </w:hyperlink>
            <w:hyperlink w:anchor="ic1109d5aa548447c8224139b1ab22bde_337" w:history="1">
              <w:r>
                <w:rPr>
                  <w:rStyle w:val="a3"/>
                  <w:rFonts w:eastAsia="Times New Roman"/>
                  <w:b/>
                  <w:bCs/>
                  <w:color w:val="000000"/>
                  <w:sz w:val="20"/>
                  <w:szCs w:val="20"/>
                  <w:u w:val="none"/>
                </w:rPr>
                <w:t>s</w:t>
              </w:r>
            </w:hyperlink>
          </w:p>
        </w:tc>
      </w:tr>
      <w:tr w:rsidR="00000000">
        <w:trPr>
          <w:divId w:val="2144955167"/>
        </w:trPr>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20"/>
                <w:szCs w:val="20"/>
              </w:rPr>
              <w:t>Page</w:t>
            </w:r>
          </w:p>
        </w:tc>
      </w:tr>
      <w:tr w:rsidR="00000000">
        <w:trPr>
          <w:divId w:val="2144955167"/>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r>
      <w:tr w:rsidR="00000000">
        <w:trPr>
          <w:divId w:val="2144955167"/>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44955167"/>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44955167"/>
        </w:trPr>
        <w:tc>
          <w:tcPr>
            <w:tcW w:w="0" w:type="auto"/>
            <w:gridSpan w:val="3"/>
            <w:tcMar>
              <w:top w:w="30" w:type="dxa"/>
              <w:left w:w="20" w:type="dxa"/>
              <w:bottom w:w="30" w:type="dxa"/>
              <w:right w:w="20" w:type="dxa"/>
            </w:tcMar>
            <w:hideMark/>
          </w:tcPr>
          <w:p w:rsidR="00000000" w:rsidRDefault="00E92DBE">
            <w:pPr>
              <w:divId w:val="1154033220"/>
              <w:rPr>
                <w:rFonts w:eastAsia="Times New Roman"/>
              </w:rPr>
            </w:pPr>
            <w:hyperlink w:anchor="ic1109d5aa548447c8224139b1ab22bde_349" w:history="1">
              <w:r>
                <w:rPr>
                  <w:rStyle w:val="a3"/>
                  <w:rFonts w:eastAsia="Times New Roman"/>
                  <w:color w:val="000000"/>
                  <w:sz w:val="20"/>
                  <w:szCs w:val="20"/>
                  <w:u w:val="none"/>
                </w:rPr>
                <w:t>Consolidated Financial Statements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349" w:history="1">
              <w:r>
                <w:rPr>
                  <w:rStyle w:val="a3"/>
                  <w:rFonts w:eastAsia="Times New Roman"/>
                  <w:color w:val="000000"/>
                  <w:sz w:val="20"/>
                  <w:szCs w:val="20"/>
                  <w:u w:val="none"/>
                </w:rPr>
                <w:t>65</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54551656"/>
              <w:rPr>
                <w:rFonts w:eastAsia="Times New Roman"/>
              </w:rPr>
            </w:pPr>
            <w:hyperlink w:anchor="ic1109d5aa548447c8224139b1ab22bde_352"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352" w:history="1">
              <w:r>
                <w:rPr>
                  <w:rStyle w:val="a3"/>
                  <w:rFonts w:eastAsia="Times New Roman"/>
                  <w:color w:val="000000"/>
                  <w:sz w:val="20"/>
                  <w:szCs w:val="20"/>
                  <w:u w:val="none"/>
                </w:rPr>
                <w:t>65</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549149420"/>
              <w:rPr>
                <w:rFonts w:eastAsia="Times New Roman"/>
              </w:rPr>
            </w:pPr>
            <w:hyperlink w:anchor="ic1109d5aa548447c8224139b1ab22bde_355" w:history="1">
              <w:r>
                <w:rPr>
                  <w:rStyle w:val="a3"/>
                  <w:rFonts w:eastAsia="Times New Roman"/>
                  <w:color w:val="000000"/>
                  <w:sz w:val="20"/>
                  <w:szCs w:val="20"/>
                  <w:u w:val="none"/>
                </w:rPr>
                <w:t>Consolidated Statements of Comprehensive Income</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355" w:history="1">
              <w:r>
                <w:rPr>
                  <w:rStyle w:val="a3"/>
                  <w:rFonts w:eastAsia="Times New Roman"/>
                  <w:color w:val="000000"/>
                  <w:sz w:val="20"/>
                  <w:szCs w:val="20"/>
                  <w:u w:val="none"/>
                </w:rPr>
                <w:t>66</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783579282"/>
              <w:rPr>
                <w:rFonts w:eastAsia="Times New Roman"/>
              </w:rPr>
            </w:pPr>
            <w:hyperlink w:anchor="ic1109d5aa548447c8224139b1ab22bde_358"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358" w:history="1">
              <w:r>
                <w:rPr>
                  <w:rStyle w:val="a3"/>
                  <w:rFonts w:eastAsia="Times New Roman"/>
                  <w:color w:val="000000"/>
                  <w:sz w:val="20"/>
                  <w:szCs w:val="20"/>
                  <w:u w:val="none"/>
                </w:rPr>
                <w:t>67</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893157114"/>
              <w:rPr>
                <w:rFonts w:eastAsia="Times New Roman"/>
              </w:rPr>
            </w:pPr>
            <w:hyperlink w:anchor="ic1109d5aa548447c8224139b1ab22bde_361" w:history="1">
              <w:r>
                <w:rPr>
                  <w:rStyle w:val="a3"/>
                  <w:rFonts w:eastAsia="Times New Roman"/>
                  <w:color w:val="000000"/>
                  <w:sz w:val="20"/>
                  <w:szCs w:val="20"/>
                  <w:u w:val="none"/>
                </w:rPr>
                <w:t>Consolidated Statements of Changes in Stockholders’ Eq</w:t>
              </w:r>
              <w:r>
                <w:rPr>
                  <w:rStyle w:val="a3"/>
                  <w:rFonts w:eastAsia="Times New Roman"/>
                  <w:color w:val="000000"/>
                  <w:sz w:val="20"/>
                  <w:szCs w:val="20"/>
                  <w:u w:val="none"/>
                </w:rPr>
                <w:t>uity</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361" w:history="1">
              <w:r>
                <w:rPr>
                  <w:rStyle w:val="a3"/>
                  <w:rFonts w:eastAsia="Times New Roman"/>
                  <w:color w:val="000000"/>
                  <w:sz w:val="20"/>
                  <w:szCs w:val="20"/>
                  <w:u w:val="none"/>
                </w:rPr>
                <w:t>68</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1552963441"/>
              <w:rPr>
                <w:rFonts w:eastAsia="Times New Roman"/>
              </w:rPr>
            </w:pPr>
            <w:hyperlink w:anchor="ic1109d5aa548447c8224139b1ab22bde_364"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364" w:history="1">
              <w:r>
                <w:rPr>
                  <w:rStyle w:val="a3"/>
                  <w:rFonts w:eastAsia="Times New Roman"/>
                  <w:color w:val="000000"/>
                  <w:sz w:val="20"/>
                  <w:szCs w:val="20"/>
                  <w:u w:val="none"/>
                </w:rPr>
                <w:t>69</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857039259"/>
              <w:rPr>
                <w:rFonts w:eastAsia="Times New Roman"/>
              </w:rPr>
            </w:pPr>
            <w:hyperlink w:anchor="ic1109d5aa548447c8224139b1ab22bde_367"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370" w:history="1">
              <w:r>
                <w:rPr>
                  <w:rStyle w:val="a3"/>
                  <w:rFonts w:eastAsia="Times New Roman"/>
                  <w:color w:val="000000"/>
                  <w:sz w:val="20"/>
                  <w:szCs w:val="20"/>
                  <w:u w:val="none"/>
                </w:rPr>
                <w:t>71</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458693398"/>
              <w:rPr>
                <w:rFonts w:eastAsia="Times New Roman"/>
              </w:rPr>
            </w:pPr>
            <w:hyperlink w:anchor="ic1109d5aa548447c8224139b1ab22bde_367"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370" w:history="1">
              <w:r>
                <w:rPr>
                  <w:rStyle w:val="a3"/>
                  <w:rFonts w:eastAsia="Times New Roman"/>
                  <w:color w:val="000000"/>
                  <w:sz w:val="20"/>
                  <w:szCs w:val="20"/>
                  <w:u w:val="none"/>
                </w:rPr>
                <w:t>71</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681860536"/>
              <w:rPr>
                <w:rFonts w:eastAsia="Times New Roman"/>
              </w:rPr>
            </w:pPr>
            <w:hyperlink w:anchor="ic1109d5aa548447c8224139b1ab22bde_373" w:history="1">
              <w:r>
                <w:rPr>
                  <w:rStyle w:val="a3"/>
                  <w:rFonts w:eastAsia="Times New Roman"/>
                  <w:color w:val="000000"/>
                  <w:sz w:val="20"/>
                  <w:szCs w:val="20"/>
                  <w:u w:val="none"/>
                </w:rPr>
                <w:t>Note 2—Investment Securities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373" w:history="1">
              <w:r>
                <w:rPr>
                  <w:rStyle w:val="a3"/>
                  <w:rFonts w:eastAsia="Times New Roman"/>
                  <w:color w:val="000000"/>
                  <w:sz w:val="20"/>
                  <w:szCs w:val="20"/>
                  <w:u w:val="none"/>
                </w:rPr>
                <w:t>73</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84769093"/>
              <w:rPr>
                <w:rFonts w:eastAsia="Times New Roman"/>
              </w:rPr>
            </w:pPr>
            <w:hyperlink w:anchor="ic1109d5aa548447c8224139b1ab22bde_376"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376" w:history="1">
              <w:r>
                <w:rPr>
                  <w:rStyle w:val="a3"/>
                  <w:rFonts w:eastAsia="Times New Roman"/>
                  <w:color w:val="000000"/>
                  <w:sz w:val="20"/>
                  <w:szCs w:val="20"/>
                  <w:u w:val="none"/>
                </w:rPr>
                <w:t>76</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90125580"/>
              <w:rPr>
                <w:rFonts w:eastAsia="Times New Roman"/>
              </w:rPr>
            </w:pPr>
            <w:hyperlink w:anchor="ic1109d5aa548447c8224139b1ab22bde_400" w:history="1">
              <w:r>
                <w:rPr>
                  <w:rStyle w:val="a3"/>
                  <w:rFonts w:eastAsia="Times New Roman"/>
                  <w:color w:val="000000"/>
                  <w:sz w:val="20"/>
                  <w:szCs w:val="20"/>
                  <w:u w:val="none"/>
                </w:rPr>
                <w:t>Note 4—Allowance for Credit Losses and Reserve for Unfunded Lending Commitments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400" w:history="1">
              <w:r>
                <w:rPr>
                  <w:rStyle w:val="a3"/>
                  <w:rFonts w:eastAsia="Times New Roman"/>
                  <w:color w:val="000000"/>
                  <w:sz w:val="20"/>
                  <w:szCs w:val="20"/>
                  <w:u w:val="none"/>
                </w:rPr>
                <w:t>85</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898708252"/>
              <w:rPr>
                <w:rFonts w:eastAsia="Times New Roman"/>
              </w:rPr>
            </w:pPr>
            <w:hyperlink w:anchor="ic1109d5aa548447c8224139b1ab22bde_403"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403" w:history="1">
              <w:r>
                <w:rPr>
                  <w:rStyle w:val="a3"/>
                  <w:rFonts w:eastAsia="Times New Roman"/>
                  <w:color w:val="000000"/>
                  <w:sz w:val="20"/>
                  <w:szCs w:val="20"/>
                  <w:u w:val="none"/>
                </w:rPr>
                <w:t>88</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1289890968"/>
              <w:rPr>
                <w:rFonts w:eastAsia="Times New Roman"/>
              </w:rPr>
            </w:pPr>
            <w:hyperlink w:anchor="ic1109d5aa548447c8224139b1ab22bde_406" w:history="1">
              <w:r>
                <w:rPr>
                  <w:rStyle w:val="a3"/>
                  <w:rFonts w:eastAsia="Times New Roman"/>
                  <w:color w:val="000000"/>
                  <w:sz w:val="20"/>
                  <w:szCs w:val="20"/>
                  <w:u w:val="none"/>
                </w:rPr>
                <w:t>Note 6—Goodwill and Intangible Assets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406" w:history="1">
              <w:r>
                <w:rPr>
                  <w:rStyle w:val="a3"/>
                  <w:rFonts w:eastAsia="Times New Roman"/>
                  <w:color w:val="000000"/>
                  <w:sz w:val="20"/>
                  <w:szCs w:val="20"/>
                  <w:u w:val="none"/>
                </w:rPr>
                <w:t>92</w:t>
              </w:r>
            </w:hyperlink>
          </w:p>
        </w:tc>
      </w:tr>
      <w:tr w:rsidR="00000000">
        <w:trPr>
          <w:divId w:val="2144955167"/>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r>
      <w:tr w:rsidR="00000000">
        <w:trPr>
          <w:divId w:val="2144955167"/>
        </w:trPr>
        <w:tc>
          <w:tcPr>
            <w:tcW w:w="0" w:type="auto"/>
            <w:gridSpan w:val="3"/>
            <w:tcMar>
              <w:top w:w="30" w:type="dxa"/>
              <w:left w:w="20" w:type="dxa"/>
              <w:bottom w:w="30" w:type="dxa"/>
              <w:right w:w="20" w:type="dxa"/>
            </w:tcMar>
            <w:hideMark/>
          </w:tcPr>
          <w:p w:rsidR="00000000" w:rsidRDefault="00E92DBE">
            <w:pPr>
              <w:divId w:val="1631979155"/>
              <w:rPr>
                <w:rFonts w:eastAsia="Times New Roman"/>
              </w:rPr>
            </w:pPr>
            <w:hyperlink w:anchor="ic1109d5aa548447c8224139b1ab22bde_412" w:history="1">
              <w:r>
                <w:rPr>
                  <w:rStyle w:val="a3"/>
                  <w:rFonts w:eastAsia="Times New Roman"/>
                  <w:color w:val="000000"/>
                  <w:sz w:val="20"/>
                  <w:szCs w:val="20"/>
                  <w:u w:val="none"/>
                </w:rPr>
                <w:t>Note 7—Deposits and Bor</w:t>
              </w:r>
              <w:r>
                <w:rPr>
                  <w:rStyle w:val="a3"/>
                  <w:rFonts w:eastAsia="Times New Roman"/>
                  <w:color w:val="000000"/>
                  <w:sz w:val="20"/>
                  <w:szCs w:val="20"/>
                  <w:u w:val="none"/>
                </w:rPr>
                <w:t>rowings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412" w:history="1">
              <w:r>
                <w:rPr>
                  <w:rStyle w:val="a3"/>
                  <w:rFonts w:eastAsia="Times New Roman"/>
                  <w:color w:val="000000"/>
                  <w:sz w:val="20"/>
                  <w:szCs w:val="20"/>
                  <w:u w:val="none"/>
                </w:rPr>
                <w:t>93</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859855508"/>
              <w:rPr>
                <w:rFonts w:eastAsia="Times New Roman"/>
              </w:rPr>
            </w:pPr>
            <w:hyperlink w:anchor="ic1109d5aa548447c8224139b1ab22bde_415" w:history="1">
              <w:r>
                <w:rPr>
                  <w:rStyle w:val="a3"/>
                  <w:rFonts w:eastAsia="Times New Roman"/>
                  <w:color w:val="000000"/>
                  <w:sz w:val="20"/>
                  <w:szCs w:val="20"/>
                  <w:u w:val="none"/>
                </w:rPr>
                <w:t>Note 8—Derivative Instruments and Hedging Activities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415" w:history="1">
              <w:r>
                <w:rPr>
                  <w:rStyle w:val="a3"/>
                  <w:rFonts w:eastAsia="Times New Roman"/>
                  <w:color w:val="000000"/>
                  <w:sz w:val="20"/>
                  <w:szCs w:val="20"/>
                  <w:u w:val="none"/>
                </w:rPr>
                <w:t>94</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255140714"/>
              <w:rPr>
                <w:rFonts w:eastAsia="Times New Roman"/>
              </w:rPr>
            </w:pPr>
            <w:hyperlink w:anchor="ic1109d5aa548447c8224139b1ab22bde_418" w:history="1">
              <w:r>
                <w:rPr>
                  <w:rStyle w:val="a3"/>
                  <w:rFonts w:eastAsia="Times New Roman"/>
                  <w:color w:val="000000"/>
                  <w:sz w:val="20"/>
                  <w:szCs w:val="20"/>
                  <w:u w:val="none"/>
                </w:rPr>
                <w:t>Note 9—Stockholders’ Equity</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418" w:history="1">
              <w:r>
                <w:rPr>
                  <w:rStyle w:val="a3"/>
                  <w:rFonts w:eastAsia="Times New Roman"/>
                  <w:color w:val="000000"/>
                  <w:sz w:val="20"/>
                  <w:szCs w:val="20"/>
                  <w:u w:val="none"/>
                </w:rPr>
                <w:t>102</w:t>
              </w:r>
            </w:hyperlink>
          </w:p>
        </w:tc>
      </w:tr>
      <w:tr w:rsidR="00000000">
        <w:trPr>
          <w:divId w:val="2144955167"/>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r>
      <w:tr w:rsidR="00000000">
        <w:trPr>
          <w:divId w:val="2144955167"/>
        </w:trPr>
        <w:tc>
          <w:tcPr>
            <w:tcW w:w="0" w:type="auto"/>
            <w:gridSpan w:val="3"/>
            <w:tcMar>
              <w:top w:w="30" w:type="dxa"/>
              <w:left w:w="20" w:type="dxa"/>
              <w:bottom w:w="30" w:type="dxa"/>
              <w:right w:w="20" w:type="dxa"/>
            </w:tcMar>
            <w:hideMark/>
          </w:tcPr>
          <w:p w:rsidR="00000000" w:rsidRDefault="00E92DBE">
            <w:pPr>
              <w:divId w:val="828860153"/>
              <w:rPr>
                <w:rFonts w:eastAsia="Times New Roman"/>
              </w:rPr>
            </w:pPr>
            <w:hyperlink w:anchor="ic1109d5aa548447c8224139b1ab22bde_427" w:history="1">
              <w:r>
                <w:rPr>
                  <w:rStyle w:val="a3"/>
                  <w:rFonts w:eastAsia="Times New Roman"/>
                  <w:color w:val="000000"/>
                  <w:sz w:val="20"/>
                  <w:szCs w:val="20"/>
                  <w:u w:val="none"/>
                </w:rPr>
                <w:t>Note 10—Earnings Per Common Share</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427" w:history="1">
              <w:r>
                <w:rPr>
                  <w:rStyle w:val="a3"/>
                  <w:rFonts w:eastAsia="Times New Roman"/>
                  <w:color w:val="000000"/>
                  <w:sz w:val="20"/>
                  <w:szCs w:val="20"/>
                  <w:u w:val="none"/>
                </w:rPr>
                <w:t>105</w:t>
              </w:r>
            </w:hyperlink>
          </w:p>
        </w:tc>
      </w:tr>
      <w:tr w:rsidR="00000000">
        <w:trPr>
          <w:divId w:val="2144955167"/>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r>
      <w:tr w:rsidR="00000000">
        <w:trPr>
          <w:divId w:val="2144955167"/>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44955167"/>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44955167"/>
        </w:trPr>
        <w:tc>
          <w:tcPr>
            <w:tcW w:w="0" w:type="auto"/>
            <w:gridSpan w:val="3"/>
            <w:tcMar>
              <w:top w:w="30" w:type="dxa"/>
              <w:left w:w="20" w:type="dxa"/>
              <w:bottom w:w="30" w:type="dxa"/>
              <w:right w:w="20" w:type="dxa"/>
            </w:tcMar>
            <w:hideMark/>
          </w:tcPr>
          <w:p w:rsidR="00000000" w:rsidRDefault="00E92DBE">
            <w:pPr>
              <w:divId w:val="1970629210"/>
              <w:rPr>
                <w:rFonts w:eastAsia="Times New Roman"/>
              </w:rPr>
            </w:pPr>
            <w:hyperlink w:anchor="ic1109d5aa548447c8224139b1ab22bde_439" w:history="1">
              <w:r>
                <w:rPr>
                  <w:rStyle w:val="a3"/>
                  <w:rFonts w:eastAsia="Times New Roman"/>
                  <w:color w:val="000000"/>
                  <w:sz w:val="20"/>
                  <w:szCs w:val="20"/>
                  <w:u w:val="none"/>
                </w:rPr>
                <w:t>Note 11—Fair Value Measurement</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439" w:history="1">
              <w:r>
                <w:rPr>
                  <w:rStyle w:val="a3"/>
                  <w:rFonts w:eastAsia="Times New Roman"/>
                  <w:color w:val="000000"/>
                  <w:sz w:val="20"/>
                  <w:szCs w:val="20"/>
                  <w:u w:val="none"/>
                </w:rPr>
                <w:t>106</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724570527"/>
              <w:rPr>
                <w:rFonts w:eastAsia="Times New Roman"/>
              </w:rPr>
            </w:pPr>
            <w:hyperlink w:anchor="ic1109d5aa548447c8224139b1ab22bde_442" w:history="1">
              <w:r>
                <w:rPr>
                  <w:rStyle w:val="a3"/>
                  <w:rFonts w:eastAsia="Times New Roman"/>
                  <w:color w:val="000000"/>
                  <w:sz w:val="20"/>
                  <w:szCs w:val="20"/>
                  <w:u w:val="none"/>
                </w:rPr>
                <w:t>Note 12—Business Segments and Revenue from Contracts with Customers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442" w:history="1">
              <w:r>
                <w:rPr>
                  <w:rStyle w:val="a3"/>
                  <w:rFonts w:eastAsia="Times New Roman"/>
                  <w:color w:val="000000"/>
                  <w:sz w:val="20"/>
                  <w:szCs w:val="20"/>
                  <w:u w:val="none"/>
                </w:rPr>
                <w:t>112</w:t>
              </w:r>
            </w:hyperlink>
          </w:p>
        </w:tc>
      </w:tr>
      <w:tr w:rsidR="00000000">
        <w:trPr>
          <w:divId w:val="2144955167"/>
        </w:trPr>
        <w:tc>
          <w:tcPr>
            <w:tcW w:w="0" w:type="auto"/>
            <w:gridSpan w:val="3"/>
            <w:tcMar>
              <w:top w:w="30" w:type="dxa"/>
              <w:left w:w="20" w:type="dxa"/>
              <w:bottom w:w="30" w:type="dxa"/>
              <w:right w:w="20" w:type="dxa"/>
            </w:tcMar>
            <w:hideMark/>
          </w:tcPr>
          <w:p w:rsidR="00000000" w:rsidRDefault="00E92DBE">
            <w:pPr>
              <w:divId w:val="516890776"/>
              <w:rPr>
                <w:rFonts w:eastAsia="Times New Roman"/>
              </w:rPr>
            </w:pPr>
            <w:hyperlink w:anchor="ic1109d5aa548447c8224139b1ab22bde_445" w:history="1">
              <w:r>
                <w:rPr>
                  <w:rStyle w:val="a3"/>
                  <w:rFonts w:eastAsia="Times New Roman"/>
                  <w:color w:val="000000"/>
                  <w:sz w:val="20"/>
                  <w:szCs w:val="20"/>
                  <w:u w:val="none"/>
                </w:rPr>
                <w:t>Note 13—Commitments, Contingencies, Guarantees and Others</w:t>
              </w:r>
            </w:hyperlink>
          </w:p>
        </w:tc>
        <w:tc>
          <w:tcPr>
            <w:tcW w:w="0" w:type="auto"/>
            <w:gridSpan w:val="3"/>
            <w:tcMar>
              <w:top w:w="30" w:type="dxa"/>
              <w:left w:w="20" w:type="dxa"/>
              <w:bottom w:w="30" w:type="dxa"/>
              <w:right w:w="20" w:type="dxa"/>
            </w:tcMar>
            <w:hideMark/>
          </w:tcPr>
          <w:p w:rsidR="00000000" w:rsidRDefault="00E92DBE">
            <w:pPr>
              <w:jc w:val="center"/>
              <w:rPr>
                <w:rFonts w:eastAsia="Times New Roman"/>
              </w:rPr>
            </w:pPr>
            <w:hyperlink w:anchor="ic1109d5aa548447c8224139b1ab22bde_445" w:history="1">
              <w:r>
                <w:rPr>
                  <w:rStyle w:val="a3"/>
                  <w:rFonts w:eastAsia="Times New Roman"/>
                  <w:color w:val="000000"/>
                  <w:sz w:val="20"/>
                  <w:szCs w:val="20"/>
                  <w:u w:val="none"/>
                </w:rPr>
                <w:t>115</w:t>
              </w:r>
            </w:hyperlink>
          </w:p>
        </w:tc>
      </w:tr>
      <w:tr w:rsidR="00000000">
        <w:trPr>
          <w:divId w:val="2144955167"/>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r>
      <w:tr w:rsidR="00000000">
        <w:trPr>
          <w:divId w:val="2144955167"/>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144955167"/>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64</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89" style="width:0;height:1.5pt" o:hralign="center" o:hrstd="t" o:hr="t" fillcolor="#a0a0a0" stroked="f"/>
        </w:pict>
      </w:r>
    </w:p>
    <w:p w:rsidR="00000000" w:rsidRDefault="00E92DBE">
      <w:pPr>
        <w:jc w:val="both"/>
        <w:divId w:val="1664120385"/>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664120385"/>
        <w:rPr>
          <w:rFonts w:eastAsia="Times New Roman"/>
        </w:rPr>
      </w:pPr>
    </w:p>
    <w:p w:rsidR="00000000" w:rsidRDefault="00E92DBE">
      <w:pPr>
        <w:jc w:val="center"/>
        <w:divId w:val="1664120385"/>
        <w:rPr>
          <w:rFonts w:eastAsia="Times New Roman"/>
        </w:rPr>
      </w:pPr>
      <w:r>
        <w:rPr>
          <w:rFonts w:eastAsia="Times New Roman"/>
          <w:b/>
          <w:bCs/>
          <w:color w:val="000000"/>
          <w:sz w:val="20"/>
          <w:szCs w:val="20"/>
        </w:rPr>
        <w:t>CAPITAL ONE FINANCIAL CORPORATION</w:t>
      </w:r>
    </w:p>
    <w:p w:rsidR="00000000" w:rsidRDefault="00E92DBE">
      <w:pPr>
        <w:jc w:val="center"/>
        <w:divId w:val="1664120385"/>
        <w:rPr>
          <w:rFonts w:eastAsia="Times New Roman"/>
        </w:rPr>
      </w:pPr>
      <w:r>
        <w:rPr>
          <w:rFonts w:eastAsia="Times New Roman"/>
          <w:b/>
          <w:bCs/>
          <w:color w:val="000000"/>
          <w:sz w:val="20"/>
          <w:szCs w:val="20"/>
        </w:rPr>
        <w:t>CONSOLIDATED STATEMENTS OF INCOME (UNAUDITED)</w:t>
      </w:r>
    </w:p>
    <w:p w:rsidR="00000000" w:rsidRDefault="00E92DBE">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5939"/>
        <w:gridCol w:w="40"/>
        <w:gridCol w:w="36"/>
        <w:gridCol w:w="36"/>
        <w:gridCol w:w="36"/>
        <w:gridCol w:w="36"/>
        <w:gridCol w:w="36"/>
        <w:gridCol w:w="36"/>
        <w:gridCol w:w="36"/>
        <w:gridCol w:w="100"/>
        <w:gridCol w:w="735"/>
        <w:gridCol w:w="36"/>
        <w:gridCol w:w="36"/>
        <w:gridCol w:w="36"/>
        <w:gridCol w:w="36"/>
        <w:gridCol w:w="100"/>
        <w:gridCol w:w="690"/>
        <w:gridCol w:w="36"/>
        <w:gridCol w:w="36"/>
        <w:gridCol w:w="36"/>
        <w:gridCol w:w="36"/>
        <w:gridCol w:w="36"/>
        <w:gridCol w:w="36"/>
        <w:gridCol w:w="36"/>
      </w:tblGrid>
      <w:tr w:rsidR="00000000">
        <w:trPr>
          <w:divId w:val="1676566832"/>
          <w:jc w:val="center"/>
        </w:trPr>
        <w:tc>
          <w:tcPr>
            <w:tcW w:w="50" w:type="pct"/>
            <w:vAlign w:val="center"/>
            <w:hideMark/>
          </w:tcPr>
          <w:p w:rsidR="00000000" w:rsidRDefault="00E92DBE">
            <w:pPr>
              <w:jc w:val="both"/>
              <w:rPr>
                <w:rFonts w:eastAsia="Times New Roman"/>
              </w:rPr>
            </w:pPr>
          </w:p>
        </w:tc>
        <w:tc>
          <w:tcPr>
            <w:tcW w:w="378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Three Months Ended March 31,</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676566832"/>
          <w:jc w:val="center"/>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4"/>
                <w:szCs w:val="14"/>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4"/>
                <w:szCs w:val="14"/>
              </w:rPr>
              <w:t>2020</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5,854</w:t>
            </w:r>
            <w:r>
              <w:rPr>
                <w:rFonts w:eastAsia="Times New Roman"/>
                <w:color w:val="000000"/>
                <w:sz w:val="16"/>
                <w:szCs w:val="16"/>
              </w:rPr>
              <w:t> </w:t>
            </w:r>
          </w:p>
        </w:tc>
        <w:tc>
          <w:tcPr>
            <w:tcW w:w="0" w:type="auto"/>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6,542 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391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530 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16</w:t>
            </w:r>
            <w:r>
              <w:rPr>
                <w:rFonts w:eastAsia="Times New Roman"/>
                <w:color w:val="000000"/>
                <w:sz w:val="16"/>
                <w:szCs w:val="16"/>
              </w:rPr>
              <w:t> </w:t>
            </w:r>
          </w:p>
        </w:tc>
        <w:tc>
          <w:tcPr>
            <w:tcW w:w="0" w:type="auto"/>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Total 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6,261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7,109 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269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731 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99 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129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239 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Other borrowings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Total interest expense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439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1,084 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5,822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6,025 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(823)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5,423 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interest income after 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6,645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602 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Interchange fees, net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817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752 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352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327 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 xml:space="preserve">Net securities gains </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118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145 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Total non-interest income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1,291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1,224 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Salaries and associate benefits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1,847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1,627 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Occupancy and equipment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472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517 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Marketing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501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491 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Professional services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292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287 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Communications and data processing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302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302 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Amortization of intangibles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483 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Total non-interest expense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3,740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3,729 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4,196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(1,903)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869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(563)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3,327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(1,340)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3,325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(1,340)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Dividends and undistributed earnings allocated to participating securities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Issuance cost for redeemed preferred stock</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Net income (loss) available to common stockholders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3,236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(1,420)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Basic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7.06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(3.10)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income (loss) per basic common share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7.06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(3.10)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Diluted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income (loss)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7.03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(3.10)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76566832"/>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income (loss) per diluted common share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7.03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jc w:val="cente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65</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90" style="width:0;height:1.5pt" o:hralign="center" o:hrstd="t" o:hr="t" fillcolor="#a0a0a0" stroked="f"/>
        </w:pict>
      </w:r>
    </w:p>
    <w:p w:rsidR="00000000" w:rsidRDefault="00E92DBE">
      <w:pPr>
        <w:jc w:val="both"/>
        <w:divId w:val="1546139497"/>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546139497"/>
        <w:rPr>
          <w:rFonts w:eastAsia="Times New Roman"/>
        </w:rPr>
      </w:pPr>
    </w:p>
    <w:p w:rsidR="00000000" w:rsidRDefault="00E92DBE">
      <w:pPr>
        <w:jc w:val="center"/>
        <w:divId w:val="1546139497"/>
        <w:rPr>
          <w:rFonts w:eastAsia="Times New Roman"/>
        </w:rPr>
      </w:pPr>
      <w:r>
        <w:rPr>
          <w:rFonts w:eastAsia="Times New Roman"/>
          <w:b/>
          <w:bCs/>
          <w:color w:val="000000"/>
          <w:sz w:val="20"/>
          <w:szCs w:val="20"/>
        </w:rPr>
        <w:t>CAPITAL ONE FINANCIAL CORPORATION</w:t>
      </w:r>
    </w:p>
    <w:p w:rsidR="00000000" w:rsidRDefault="00E92DBE">
      <w:pPr>
        <w:jc w:val="center"/>
        <w:divId w:val="1546139497"/>
        <w:rPr>
          <w:rFonts w:eastAsia="Times New Roman"/>
        </w:rPr>
      </w:pPr>
      <w:r>
        <w:rPr>
          <w:rFonts w:eastAsia="Times New Roman"/>
          <w:b/>
          <w:bCs/>
          <w:color w:val="000000"/>
          <w:sz w:val="20"/>
          <w:szCs w:val="20"/>
        </w:rPr>
        <w:t xml:space="preserve">CONSOLIDATED STATEMENTS OF COMPREHENSIVE INCOME (UNAUDITED)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56"/>
        <w:gridCol w:w="37"/>
        <w:gridCol w:w="36"/>
        <w:gridCol w:w="36"/>
        <w:gridCol w:w="36"/>
        <w:gridCol w:w="36"/>
        <w:gridCol w:w="36"/>
        <w:gridCol w:w="36"/>
        <w:gridCol w:w="36"/>
        <w:gridCol w:w="100"/>
        <w:gridCol w:w="735"/>
        <w:gridCol w:w="36"/>
        <w:gridCol w:w="36"/>
        <w:gridCol w:w="36"/>
        <w:gridCol w:w="36"/>
        <w:gridCol w:w="100"/>
        <w:gridCol w:w="692"/>
        <w:gridCol w:w="36"/>
        <w:gridCol w:w="36"/>
        <w:gridCol w:w="36"/>
        <w:gridCol w:w="36"/>
        <w:gridCol w:w="36"/>
        <w:gridCol w:w="36"/>
        <w:gridCol w:w="36"/>
      </w:tblGrid>
      <w:tr w:rsidR="00000000">
        <w:trPr>
          <w:divId w:val="1534801299"/>
          <w:jc w:val="center"/>
        </w:trPr>
        <w:tc>
          <w:tcPr>
            <w:tcW w:w="50" w:type="pct"/>
            <w:vAlign w:val="center"/>
            <w:hideMark/>
          </w:tcPr>
          <w:p w:rsidR="00000000" w:rsidRDefault="00E92DBE">
            <w:pPr>
              <w:jc w:val="center"/>
              <w:rPr>
                <w:rFonts w:eastAsia="Times New Roman"/>
              </w:rPr>
            </w:pPr>
          </w:p>
        </w:tc>
        <w:tc>
          <w:tcPr>
            <w:tcW w:w="378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4801299"/>
          <w:jc w:val="center"/>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534801299"/>
          <w:jc w:val="center"/>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r>
      <w:tr w:rsidR="00000000">
        <w:trPr>
          <w:divId w:val="1534801299"/>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3,325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4801299"/>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4801299"/>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unrealized gains (losses) on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(1,148)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1,224 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4801299"/>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unrealized gains (losses) on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(581)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1,374 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4801299"/>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Foreign 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(67)</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4801299"/>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4801299"/>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4801299"/>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(1,711)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2,531 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4801299"/>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1,614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1087385014"/>
          <w:jc w:val="center"/>
        </w:trPr>
        <w:tc>
          <w:tcPr>
            <w:tcW w:w="50" w:type="pct"/>
            <w:vAlign w:val="center"/>
            <w:hideMark/>
          </w:tcPr>
          <w:p w:rsidR="00000000" w:rsidRDefault="00E92DBE">
            <w:pPr>
              <w:jc w:val="cente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087385014"/>
          <w:jc w:val="center"/>
        </w:trPr>
        <w:tc>
          <w:tcPr>
            <w:tcW w:w="0" w:type="auto"/>
            <w:gridSpan w:val="9"/>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20"/>
                <w:szCs w:val="20"/>
              </w:rPr>
              <w:t>See Notes to Consolidated Financial Statements.</w:t>
            </w:r>
          </w:p>
        </w:tc>
      </w:tr>
      <w:tr w:rsidR="00000000">
        <w:trPr>
          <w:divId w:val="1087385014"/>
          <w:jc w:val="center"/>
        </w:trPr>
        <w:tc>
          <w:tcPr>
            <w:tcW w:w="0" w:type="auto"/>
            <w:gridSpan w:val="3"/>
            <w:tcMar>
              <w:top w:w="0" w:type="dxa"/>
              <w:left w:w="20" w:type="dxa"/>
              <w:bottom w:w="0" w:type="dxa"/>
              <w:right w:w="20" w:type="dxa"/>
            </w:tcMar>
            <w:vAlign w:val="center"/>
            <w:hideMark/>
          </w:tcPr>
          <w:p w:rsidR="00000000" w:rsidRDefault="00E92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66</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91" style="width:0;height:1.5pt" o:hralign="center" o:hrstd="t" o:hr="t" fillcolor="#a0a0a0" stroked="f"/>
        </w:pict>
      </w:r>
    </w:p>
    <w:p w:rsidR="00000000" w:rsidRDefault="00E92DBE">
      <w:pPr>
        <w:jc w:val="both"/>
        <w:divId w:val="1945263407"/>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945263407"/>
        <w:rPr>
          <w:rFonts w:eastAsia="Times New Roman"/>
        </w:rPr>
      </w:pPr>
    </w:p>
    <w:p w:rsidR="00000000" w:rsidRDefault="00E92DBE">
      <w:pPr>
        <w:jc w:val="center"/>
        <w:divId w:val="1945263407"/>
        <w:rPr>
          <w:rFonts w:eastAsia="Times New Roman"/>
        </w:rPr>
      </w:pPr>
      <w:r>
        <w:rPr>
          <w:rFonts w:eastAsia="Times New Roman"/>
          <w:b/>
          <w:bCs/>
          <w:color w:val="000000"/>
          <w:sz w:val="20"/>
          <w:szCs w:val="20"/>
        </w:rPr>
        <w:t>CAPITAL ONE FINANCIAL CORPORATION</w:t>
      </w:r>
    </w:p>
    <w:p w:rsidR="00000000" w:rsidRDefault="00E92DBE">
      <w:pPr>
        <w:jc w:val="center"/>
        <w:divId w:val="1945263407"/>
        <w:rPr>
          <w:rFonts w:eastAsia="Times New Roman"/>
        </w:rPr>
      </w:pPr>
      <w:r>
        <w:rPr>
          <w:rFonts w:eastAsia="Times New Roman"/>
          <w:b/>
          <w:bCs/>
          <w:color w:val="000000"/>
          <w:sz w:val="20"/>
          <w:szCs w:val="20"/>
        </w:rPr>
        <w:t>CONSOLIDATED BALANCE SHEETS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6186"/>
        <w:gridCol w:w="39"/>
        <w:gridCol w:w="36"/>
        <w:gridCol w:w="36"/>
        <w:gridCol w:w="36"/>
        <w:gridCol w:w="100"/>
        <w:gridCol w:w="750"/>
        <w:gridCol w:w="36"/>
        <w:gridCol w:w="36"/>
        <w:gridCol w:w="36"/>
        <w:gridCol w:w="36"/>
        <w:gridCol w:w="101"/>
        <w:gridCol w:w="798"/>
        <w:gridCol w:w="36"/>
      </w:tblGrid>
      <w:tr w:rsidR="00000000">
        <w:trPr>
          <w:divId w:val="1358189710"/>
          <w:jc w:val="center"/>
        </w:trPr>
        <w:tc>
          <w:tcPr>
            <w:tcW w:w="50" w:type="pct"/>
            <w:vAlign w:val="center"/>
            <w:hideMark/>
          </w:tcPr>
          <w:p w:rsidR="00000000" w:rsidRDefault="00E92DBE">
            <w:pPr>
              <w:jc w:val="center"/>
              <w:rPr>
                <w:rFonts w:eastAsia="Times New Roman"/>
              </w:rPr>
            </w:pPr>
          </w:p>
        </w:tc>
        <w:tc>
          <w:tcPr>
            <w:tcW w:w="374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358189710"/>
          <w:jc w:val="center"/>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1358189710"/>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58189710"/>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Cash and due from banks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4,670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4,708 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Interest-bearing deposits and other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45,825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35,801 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Total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50,495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40,509 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Restricted cash for securitization investors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1,779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262 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58189710"/>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divId w:val="1852258580"/>
              <w:rPr>
                <w:rFonts w:eastAsia="Times New Roman"/>
              </w:rPr>
            </w:pPr>
            <w:r>
              <w:rPr>
                <w:rFonts w:eastAsia="Times New Roman"/>
                <w:color w:val="000000"/>
                <w:sz w:val="16"/>
                <w:szCs w:val="16"/>
              </w:rPr>
              <w:t>Securities available for sale (amortized cost of $97.8 billion and $97.6 billion and allowance for credit losses of $2 million and $1 million as of March 31, 2021 and December 31, 2020, respectively)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99,165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100,445 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58189710"/>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58189710"/>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Unsecuritized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219,182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225,698 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Loans held in consolidated trusts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23,949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25,926 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Total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243,131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251,624 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(14,017)</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(15,564)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229,114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236,060 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divId w:val="1572040539"/>
              <w:rPr>
                <w:rFonts w:eastAsia="Times New Roman"/>
              </w:rPr>
            </w:pPr>
            <w:r>
              <w:rPr>
                <w:rFonts w:eastAsia="Times New Roman"/>
                <w:color w:val="000000"/>
                <w:sz w:val="16"/>
                <w:szCs w:val="16"/>
              </w:rPr>
              <w:t>Loans held for sale ($908 million and $596 </w:t>
            </w:r>
            <w:r>
              <w:rPr>
                <w:rFonts w:eastAsia="Times New Roman"/>
                <w:color w:val="000000"/>
                <w:sz w:val="16"/>
                <w:szCs w:val="16"/>
              </w:rPr>
              <w:t>million carried at fair value as of March 31, 2021 and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2,896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2,710 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Premises and equipment, net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4,277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4,287 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1,380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1,471 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Goodwill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14,654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14,653 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Other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21,415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21,205 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425,175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421,602 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Interest payable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288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352 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58189710"/>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34,003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31,142 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276,325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274,300 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310,328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305,442 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12,071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12,414 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Other debt: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58189710"/>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Federal funds purchased and securities loaned or sold under agreements to repurchase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842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668 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25,467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27,382 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Other borrowings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Total other debt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26,379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28,125 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14,921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15,065 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363,987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361,398 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Commitments, contingencies and guarantees (see Note 13)</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divId w:val="587035358"/>
              <w:rPr>
                <w:rFonts w:eastAsia="Times New Roman"/>
              </w:rPr>
            </w:pPr>
            <w:r>
              <w:rPr>
                <w:rFonts w:eastAsia="Times New Roman"/>
                <w:color w:val="000000"/>
                <w:sz w:val="16"/>
                <w:szCs w:val="16"/>
              </w:rPr>
              <w:t>Preferred stock (par value $0.01 per share; 50,000,000 shares authorized; 4,975,000 shares issued and outstanding as of both March 31, 2021 and December 31, 2020)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divId w:val="1292370448"/>
              <w:rPr>
                <w:rFonts w:eastAsia="Times New Roman"/>
              </w:rPr>
            </w:pPr>
            <w:r>
              <w:rPr>
                <w:rFonts w:eastAsia="Times New Roman"/>
                <w:color w:val="000000"/>
                <w:sz w:val="16"/>
                <w:szCs w:val="16"/>
              </w:rPr>
              <w:t xml:space="preserve">Common stock (par value $0.01 per share; 1,000,000,000 shares authorized; </w:t>
            </w:r>
            <w:r>
              <w:rPr>
                <w:rFonts w:eastAsia="Times New Roman"/>
                <w:color w:val="000000"/>
                <w:sz w:val="16"/>
                <w:szCs w:val="16"/>
              </w:rPr>
              <w:t>682,761,557 and 679,932,837 shares issued as of March 31, 2021 and December 31, 2020, respectively; 456,800,844 and 458,972,202 shares outstanding as of March 31, 2021 and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Additional paid-in capital, net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33,671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33,480 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43,167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40,088 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Accumulated 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1,783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3,494 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divId w:val="379209779"/>
              <w:rPr>
                <w:rFonts w:eastAsia="Times New Roman"/>
              </w:rPr>
            </w:pPr>
            <w:r>
              <w:rPr>
                <w:rFonts w:eastAsia="Times New Roman"/>
                <w:color w:val="000000"/>
                <w:sz w:val="16"/>
                <w:szCs w:val="16"/>
              </w:rPr>
              <w:t xml:space="preserve">Treasury stock, at cost (par value $0.01 per share; 225,960,713 and </w:t>
            </w:r>
            <w:r>
              <w:rPr>
                <w:rFonts w:eastAsia="Times New Roman"/>
                <w:color w:val="000000"/>
                <w:sz w:val="16"/>
                <w:szCs w:val="16"/>
              </w:rPr>
              <w:t>220,960,635 shares as of March 31, 2021 and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(17,440)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(16,865)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61,188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60,204 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58189710"/>
          <w:jc w:val="center"/>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425,175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421,602 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jc w:val="cente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67</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92" style="width:0;height:1.5pt" o:hralign="center" o:hrstd="t" o:hr="t" fillcolor="#a0a0a0" stroked="f"/>
        </w:pict>
      </w:r>
    </w:p>
    <w:p w:rsidR="00000000" w:rsidRDefault="00E92DBE">
      <w:pPr>
        <w:jc w:val="both"/>
        <w:divId w:val="939214536"/>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939214536"/>
        <w:rPr>
          <w:rFonts w:eastAsia="Times New Roman"/>
        </w:rPr>
      </w:pPr>
    </w:p>
    <w:p w:rsidR="00000000" w:rsidRDefault="00E92DBE">
      <w:pPr>
        <w:jc w:val="center"/>
        <w:divId w:val="939214536"/>
        <w:rPr>
          <w:rFonts w:eastAsia="Times New Roman"/>
        </w:rPr>
      </w:pPr>
      <w:r>
        <w:rPr>
          <w:rFonts w:eastAsia="Times New Roman"/>
          <w:b/>
          <w:bCs/>
          <w:color w:val="000000"/>
          <w:sz w:val="20"/>
          <w:szCs w:val="20"/>
        </w:rPr>
        <w:t>CAPITAL ONE FINANCIAL CORPORATION</w:t>
      </w:r>
    </w:p>
    <w:p w:rsidR="00000000" w:rsidRDefault="00E92DBE">
      <w:pPr>
        <w:jc w:val="center"/>
        <w:divId w:val="939214536"/>
        <w:rPr>
          <w:rFonts w:eastAsia="Times New Roman"/>
        </w:rPr>
      </w:pPr>
      <w:r>
        <w:rPr>
          <w:rFonts w:eastAsia="Times New Roman"/>
          <w:b/>
          <w:bCs/>
          <w:color w:val="000000"/>
          <w:sz w:val="20"/>
          <w:szCs w:val="20"/>
        </w:rPr>
        <w:t>CONSOLIDATED STATEMENTS OF CHANGES IN STOCKHOLDERS’ EQUITY (UNAUDITED)</w:t>
      </w:r>
    </w:p>
    <w:tbl>
      <w:tblPr>
        <w:tblW w:w="5000" w:type="pct"/>
        <w:tblCellMar>
          <w:top w:w="15" w:type="dxa"/>
          <w:left w:w="15" w:type="dxa"/>
          <w:bottom w:w="15" w:type="dxa"/>
          <w:right w:w="15" w:type="dxa"/>
        </w:tblCellMar>
        <w:tblLook w:val="04A0" w:firstRow="1" w:lastRow="0" w:firstColumn="1" w:lastColumn="0" w:noHBand="0" w:noVBand="1"/>
      </w:tblPr>
      <w:tblGrid>
        <w:gridCol w:w="52"/>
        <w:gridCol w:w="92"/>
        <w:gridCol w:w="1043"/>
        <w:gridCol w:w="36"/>
        <w:gridCol w:w="36"/>
        <w:gridCol w:w="36"/>
        <w:gridCol w:w="36"/>
        <w:gridCol w:w="89"/>
        <w:gridCol w:w="538"/>
        <w:gridCol w:w="73"/>
        <w:gridCol w:w="38"/>
        <w:gridCol w:w="33"/>
        <w:gridCol w:w="3"/>
        <w:gridCol w:w="36"/>
        <w:gridCol w:w="36"/>
        <w:gridCol w:w="69"/>
        <w:gridCol w:w="32"/>
        <w:gridCol w:w="112"/>
        <w:gridCol w:w="144"/>
        <w:gridCol w:w="144"/>
        <w:gridCol w:w="31"/>
        <w:gridCol w:w="36"/>
        <w:gridCol w:w="36"/>
        <w:gridCol w:w="36"/>
        <w:gridCol w:w="36"/>
        <w:gridCol w:w="95"/>
        <w:gridCol w:w="306"/>
        <w:gridCol w:w="144"/>
        <w:gridCol w:w="144"/>
        <w:gridCol w:w="144"/>
        <w:gridCol w:w="27"/>
        <w:gridCol w:w="39"/>
        <w:gridCol w:w="37"/>
        <w:gridCol w:w="36"/>
        <w:gridCol w:w="5"/>
        <w:gridCol w:w="31"/>
        <w:gridCol w:w="101"/>
        <w:gridCol w:w="12"/>
        <w:gridCol w:w="393"/>
        <w:gridCol w:w="29"/>
        <w:gridCol w:w="36"/>
        <w:gridCol w:w="36"/>
        <w:gridCol w:w="36"/>
        <w:gridCol w:w="7"/>
        <w:gridCol w:w="29"/>
        <w:gridCol w:w="101"/>
        <w:gridCol w:w="14"/>
        <w:gridCol w:w="144"/>
        <w:gridCol w:w="144"/>
        <w:gridCol w:w="144"/>
        <w:gridCol w:w="131"/>
        <w:gridCol w:w="36"/>
        <w:gridCol w:w="36"/>
        <w:gridCol w:w="36"/>
        <w:gridCol w:w="36"/>
        <w:gridCol w:w="100"/>
        <w:gridCol w:w="297"/>
        <w:gridCol w:w="144"/>
        <w:gridCol w:w="39"/>
        <w:gridCol w:w="36"/>
        <w:gridCol w:w="36"/>
        <w:gridCol w:w="33"/>
        <w:gridCol w:w="3"/>
        <w:gridCol w:w="36"/>
        <w:gridCol w:w="101"/>
        <w:gridCol w:w="4"/>
        <w:gridCol w:w="144"/>
        <w:gridCol w:w="144"/>
        <w:gridCol w:w="405"/>
        <w:gridCol w:w="144"/>
        <w:gridCol w:w="30"/>
        <w:gridCol w:w="36"/>
        <w:gridCol w:w="36"/>
        <w:gridCol w:w="36"/>
        <w:gridCol w:w="6"/>
        <w:gridCol w:w="30"/>
        <w:gridCol w:w="100"/>
        <w:gridCol w:w="14"/>
        <w:gridCol w:w="144"/>
        <w:gridCol w:w="144"/>
        <w:gridCol w:w="245"/>
        <w:gridCol w:w="36"/>
        <w:gridCol w:w="36"/>
        <w:gridCol w:w="36"/>
        <w:gridCol w:w="36"/>
        <w:gridCol w:w="101"/>
        <w:gridCol w:w="36"/>
        <w:gridCol w:w="144"/>
        <w:gridCol w:w="144"/>
        <w:gridCol w:w="144"/>
        <w:gridCol w:w="144"/>
        <w:gridCol w:w="144"/>
        <w:gridCol w:w="7"/>
        <w:gridCol w:w="36"/>
        <w:gridCol w:w="460"/>
        <w:gridCol w:w="144"/>
        <w:gridCol w:w="144"/>
        <w:gridCol w:w="144"/>
        <w:gridCol w:w="144"/>
        <w:gridCol w:w="144"/>
        <w:gridCol w:w="770"/>
        <w:gridCol w:w="144"/>
        <w:gridCol w:w="144"/>
        <w:gridCol w:w="144"/>
        <w:gridCol w:w="144"/>
        <w:gridCol w:w="144"/>
        <w:gridCol w:w="490"/>
        <w:gridCol w:w="144"/>
        <w:gridCol w:w="144"/>
        <w:gridCol w:w="144"/>
        <w:gridCol w:w="144"/>
        <w:gridCol w:w="144"/>
        <w:gridCol w:w="686"/>
        <w:gridCol w:w="144"/>
      </w:tblGrid>
      <w:tr w:rsidR="00000000">
        <w:trPr>
          <w:gridAfter w:val="20"/>
          <w:divId w:val="67927521"/>
        </w:trPr>
        <w:tc>
          <w:tcPr>
            <w:tcW w:w="50" w:type="pct"/>
            <w:vAlign w:val="center"/>
            <w:hideMark/>
          </w:tcPr>
          <w:p w:rsidR="00000000" w:rsidRDefault="00E92DBE">
            <w:pPr>
              <w:jc w:val="center"/>
              <w:rPr>
                <w:rFonts w:eastAsia="Times New Roman"/>
              </w:rPr>
            </w:pPr>
          </w:p>
        </w:tc>
        <w:tc>
          <w:tcPr>
            <w:tcW w:w="1092"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7"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gridSpan w:val="2"/>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gridSpan w:val="2"/>
            <w:vAlign w:val="center"/>
            <w:hideMark/>
          </w:tcPr>
          <w:p w:rsidR="00000000" w:rsidRDefault="00E92DBE">
            <w:pPr>
              <w:rPr>
                <w:rFonts w:eastAsia="Times New Roman"/>
                <w:sz w:val="20"/>
                <w:szCs w:val="20"/>
              </w:rPr>
            </w:pPr>
          </w:p>
        </w:tc>
        <w:tc>
          <w:tcPr>
            <w:tcW w:w="237" w:type="pct"/>
            <w:gridSpan w:val="4"/>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gridSpan w:val="5"/>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gridSpan w:val="2"/>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gridSpan w:val="3"/>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gridSpan w:val="2"/>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17" w:type="pct"/>
            <w:gridSpan w:val="5"/>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03" w:type="pct"/>
            <w:gridSpan w:val="3"/>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gridSpan w:val="6"/>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gridSpan w:val="2"/>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gridSpan w:val="4"/>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gridSpan w:val="7"/>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gridAfter w:val="20"/>
          <w:divId w:val="67927521"/>
          <w:trHeight w:val="240"/>
        </w:trPr>
        <w:tc>
          <w:tcPr>
            <w:tcW w:w="0" w:type="auto"/>
            <w:gridSpan w:val="4"/>
            <w:vMerge w:val="restart"/>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rsidR="00000000" w:rsidRDefault="00E92DBE">
            <w:pPr>
              <w:rPr>
                <w:rFonts w:eastAsia="Times New Roman"/>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6"/>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Common Stock</w:t>
            </w:r>
          </w:p>
        </w:tc>
        <w:tc>
          <w:tcPr>
            <w:tcW w:w="0" w:type="auto"/>
            <w:gridSpan w:val="4"/>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7"/>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5"/>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Retained Earnings</w:t>
            </w:r>
          </w:p>
        </w:tc>
        <w:tc>
          <w:tcPr>
            <w:tcW w:w="0" w:type="auto"/>
            <w:gridSpan w:val="4"/>
            <w:vMerge w:val="restart"/>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8"/>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4"/>
            <w:vMerge w:val="restart"/>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6"/>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Stockholders’</w:t>
            </w:r>
            <w:r>
              <w:rPr>
                <w:rFonts w:eastAsia="Times New Roman"/>
                <w:b/>
                <w:bCs/>
                <w:color w:val="000000"/>
                <w:sz w:val="14"/>
                <w:szCs w:val="14"/>
              </w:rPr>
              <w:br/>
            </w:r>
            <w:r>
              <w:rPr>
                <w:rFonts w:eastAsia="Times New Roman"/>
                <w:b/>
                <w:bCs/>
                <w:color w:val="000000"/>
                <w:sz w:val="14"/>
                <w:szCs w:val="14"/>
              </w:rPr>
              <w:t>Equity</w:t>
            </w:r>
          </w:p>
        </w:tc>
      </w:tr>
      <w:tr w:rsidR="00000000">
        <w:trPr>
          <w:gridAfter w:val="20"/>
          <w:divId w:val="67927521"/>
          <w:trHeight w:val="400"/>
        </w:trPr>
        <w:tc>
          <w:tcPr>
            <w:tcW w:w="0" w:type="auto"/>
            <w:gridSpan w:val="4"/>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Shares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Shares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Amount</w:t>
            </w:r>
          </w:p>
        </w:tc>
        <w:tc>
          <w:tcPr>
            <w:tcW w:w="0" w:type="auto"/>
            <w:gridSpan w:val="4"/>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7"/>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5"/>
            <w:vMerge/>
            <w:vAlign w:val="center"/>
            <w:hideMark/>
          </w:tcPr>
          <w:p w:rsidR="00000000" w:rsidRDefault="00E92DBE">
            <w:pPr>
              <w:rPr>
                <w:rFonts w:eastAsia="Times New Roman"/>
              </w:rPr>
            </w:pPr>
          </w:p>
        </w:tc>
        <w:tc>
          <w:tcPr>
            <w:tcW w:w="0" w:type="auto"/>
            <w:gridSpan w:val="4"/>
            <w:vMerge/>
            <w:vAlign w:val="center"/>
            <w:hideMark/>
          </w:tcPr>
          <w:p w:rsidR="00000000" w:rsidRDefault="00E92DBE">
            <w:pPr>
              <w:rPr>
                <w:rFonts w:eastAsia="Times New Roman"/>
              </w:rPr>
            </w:pPr>
          </w:p>
        </w:tc>
        <w:tc>
          <w:tcPr>
            <w:tcW w:w="0" w:type="auto"/>
            <w:gridSpan w:val="8"/>
            <w:vMerge/>
            <w:vAlign w:val="center"/>
            <w:hideMark/>
          </w:tcPr>
          <w:p w:rsidR="00000000" w:rsidRDefault="00E92DBE">
            <w:pPr>
              <w:rPr>
                <w:rFonts w:eastAsia="Times New Roman"/>
              </w:rPr>
            </w:pPr>
          </w:p>
        </w:tc>
        <w:tc>
          <w:tcPr>
            <w:tcW w:w="0" w:type="auto"/>
            <w:gridSpan w:val="4"/>
            <w:vMerge/>
            <w:vAlign w:val="center"/>
            <w:hideMark/>
          </w:tcPr>
          <w:p w:rsidR="00000000" w:rsidRDefault="00E92DBE">
            <w:pPr>
              <w:rPr>
                <w:rFonts w:eastAsia="Times New Roman"/>
              </w:rPr>
            </w:pPr>
          </w:p>
        </w:tc>
        <w:tc>
          <w:tcPr>
            <w:tcW w:w="0" w:type="auto"/>
            <w:gridSpan w:val="6"/>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9"/>
            <w:vMerge/>
            <w:vAlign w:val="center"/>
            <w:hideMark/>
          </w:tcPr>
          <w:p w:rsidR="00000000" w:rsidRDefault="00E92DBE">
            <w:pPr>
              <w:rPr>
                <w:rFonts w:eastAsia="Times New Roman"/>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E92DBE">
        <w:trPr>
          <w:gridAfter w:val="20"/>
          <w:divId w:val="67927521"/>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679,932,837 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33,480 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40,088 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gridSpan w:val="6"/>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3,494 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(16,865)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gridSpan w:val="7"/>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60,204 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gridAfter w:val="20"/>
          <w:divId w:val="67927521"/>
        </w:trPr>
        <w:tc>
          <w:tcPr>
            <w:tcW w:w="0" w:type="auto"/>
            <w:gridSpan w:val="4"/>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3,325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(1,711)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1,614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gridAfter w:val="20"/>
          <w:divId w:val="67927521"/>
        </w:trPr>
        <w:tc>
          <w:tcPr>
            <w:tcW w:w="0" w:type="auto"/>
            <w:gridSpan w:val="4"/>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shd w:val="clear" w:color="auto" w:fill="CCEEFF"/>
            <w:tcMar>
              <w:top w:w="30" w:type="dxa"/>
              <w:left w:w="20" w:type="dxa"/>
              <w:bottom w:w="30" w:type="dxa"/>
              <w:right w:w="20" w:type="dxa"/>
            </w:tcMar>
            <w:vAlign w:val="center"/>
            <w:hideMark/>
          </w:tcPr>
          <w:p w:rsidR="00000000" w:rsidRDefault="00E92DBE">
            <w:pPr>
              <w:divId w:val="2135058611"/>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13,356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(185)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(184)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gridAfter w:val="20"/>
          <w:divId w:val="67927521"/>
        </w:trPr>
        <w:tc>
          <w:tcPr>
            <w:tcW w:w="0" w:type="auto"/>
            <w:gridSpan w:val="4"/>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gridAfter w:val="20"/>
          <w:divId w:val="67927521"/>
        </w:trPr>
        <w:tc>
          <w:tcPr>
            <w:tcW w:w="0" w:type="auto"/>
            <w:gridSpan w:val="4"/>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(575)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(575)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gridAfter w:val="20"/>
          <w:divId w:val="67927521"/>
        </w:trPr>
        <w:tc>
          <w:tcPr>
            <w:tcW w:w="0" w:type="auto"/>
            <w:gridSpan w:val="4"/>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6"/>
                <w:szCs w:val="16"/>
              </w:rPr>
              <w:t>2,531,966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6"/>
                <w:szCs w:val="16"/>
              </w:rPr>
              <w:t>60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6"/>
                <w:szCs w:val="16"/>
              </w:rPr>
              <w:t>60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gridAfter w:val="20"/>
          <w:divId w:val="67927521"/>
        </w:trPr>
        <w:tc>
          <w:tcPr>
            <w:tcW w:w="0" w:type="auto"/>
            <w:gridSpan w:val="4"/>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283,398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gridAfter w:val="20"/>
          <w:divId w:val="67927521"/>
        </w:trPr>
        <w:tc>
          <w:tcPr>
            <w:tcW w:w="0" w:type="auto"/>
            <w:gridSpan w:val="4"/>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8"/>
            <w:vAlign w:val="center"/>
            <w:hideMark/>
          </w:tcPr>
          <w:p w:rsidR="00000000" w:rsidRDefault="00E92DBE">
            <w:pPr>
              <w:rPr>
                <w:rFonts w:eastAsia="Times New Roman"/>
                <w:sz w:val="20"/>
                <w:szCs w:val="20"/>
              </w:rPr>
            </w:pPr>
          </w:p>
        </w:tc>
        <w:tc>
          <w:tcPr>
            <w:tcW w:w="0" w:type="auto"/>
            <w:gridSpan w:val="4"/>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r>
      <w:tr w:rsidR="00000000">
        <w:trPr>
          <w:gridAfter w:val="20"/>
          <w:divId w:val="67927521"/>
        </w:trPr>
        <w:tc>
          <w:tcPr>
            <w:tcW w:w="0" w:type="auto"/>
            <w:gridSpan w:val="4"/>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Compensation expense for restricted stock units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6"/>
                <w:szCs w:val="16"/>
              </w:rPr>
              <w:t>111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6"/>
                <w:szCs w:val="16"/>
              </w:rPr>
              <w:t>111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E92DBE">
        <w:trPr>
          <w:gridAfter w:val="20"/>
          <w:divId w:val="67927521"/>
        </w:trPr>
        <w:tc>
          <w:tcPr>
            <w:tcW w:w="0" w:type="auto"/>
            <w:gridSpan w:val="4"/>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4,975,000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682,761,557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33,671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43,167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1,783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(17,440)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61,188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50" w:type="pct"/>
            <w:gridSpan w:val="2"/>
            <w:vAlign w:val="center"/>
            <w:hideMark/>
          </w:tcPr>
          <w:p w:rsidR="00000000" w:rsidRDefault="00E92DBE">
            <w:pPr>
              <w:jc w:val="both"/>
              <w:rPr>
                <w:rFonts w:eastAsia="Times New Roman"/>
              </w:rPr>
            </w:pPr>
          </w:p>
        </w:tc>
        <w:tc>
          <w:tcPr>
            <w:tcW w:w="1092" w:type="pct"/>
            <w:gridSpan w:val="7"/>
            <w:vAlign w:val="center"/>
            <w:hideMark/>
          </w:tcPr>
          <w:p w:rsidR="00000000" w:rsidRDefault="00E92DBE">
            <w:pPr>
              <w:rPr>
                <w:rFonts w:eastAsia="Times New Roman"/>
                <w:sz w:val="20"/>
                <w:szCs w:val="20"/>
              </w:rPr>
            </w:pPr>
          </w:p>
        </w:tc>
        <w:tc>
          <w:tcPr>
            <w:tcW w:w="5" w:type="pct"/>
            <w:gridSpan w:val="3"/>
            <w:vAlign w:val="center"/>
            <w:hideMark/>
          </w:tcPr>
          <w:p w:rsidR="00000000" w:rsidRDefault="00E92DBE">
            <w:pPr>
              <w:rPr>
                <w:rFonts w:eastAsia="Times New Roman"/>
                <w:sz w:val="20"/>
                <w:szCs w:val="20"/>
              </w:rPr>
            </w:pPr>
          </w:p>
        </w:tc>
        <w:tc>
          <w:tcPr>
            <w:tcW w:w="5" w:type="pct"/>
            <w:gridSpan w:val="4"/>
            <w:vAlign w:val="center"/>
            <w:hideMark/>
          </w:tcPr>
          <w:p w:rsidR="00000000" w:rsidRDefault="00E92DBE">
            <w:pPr>
              <w:rPr>
                <w:rFonts w:eastAsia="Times New Roman"/>
                <w:sz w:val="20"/>
                <w:szCs w:val="20"/>
              </w:rPr>
            </w:pPr>
          </w:p>
        </w:tc>
        <w:tc>
          <w:tcPr>
            <w:tcW w:w="26"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7" w:type="pct"/>
            <w:gridSpan w:val="7"/>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gridSpan w:val="5"/>
            <w:vAlign w:val="center"/>
            <w:hideMark/>
          </w:tcPr>
          <w:p w:rsidR="00000000" w:rsidRDefault="00E92DBE">
            <w:pPr>
              <w:rPr>
                <w:rFonts w:eastAsia="Times New Roman"/>
                <w:sz w:val="20"/>
                <w:szCs w:val="20"/>
              </w:rPr>
            </w:pPr>
          </w:p>
        </w:tc>
        <w:tc>
          <w:tcPr>
            <w:tcW w:w="50" w:type="pct"/>
            <w:gridSpan w:val="3"/>
            <w:vAlign w:val="center"/>
            <w:hideMark/>
          </w:tcPr>
          <w:p w:rsidR="00000000" w:rsidRDefault="00E92DBE">
            <w:pPr>
              <w:rPr>
                <w:rFonts w:eastAsia="Times New Roman"/>
                <w:sz w:val="20"/>
                <w:szCs w:val="20"/>
              </w:rPr>
            </w:pPr>
          </w:p>
        </w:tc>
        <w:tc>
          <w:tcPr>
            <w:tcW w:w="237" w:type="pct"/>
            <w:vAlign w:val="center"/>
            <w:hideMark/>
          </w:tcPr>
          <w:p w:rsidR="00000000" w:rsidRDefault="00E92DBE">
            <w:pPr>
              <w:rPr>
                <w:rFonts w:eastAsia="Times New Roman"/>
                <w:sz w:val="20"/>
                <w:szCs w:val="20"/>
              </w:rPr>
            </w:pPr>
          </w:p>
        </w:tc>
        <w:tc>
          <w:tcPr>
            <w:tcW w:w="5" w:type="pct"/>
            <w:gridSpan w:val="5"/>
            <w:vAlign w:val="center"/>
            <w:hideMark/>
          </w:tcPr>
          <w:p w:rsidR="00000000" w:rsidRDefault="00E92DBE">
            <w:pPr>
              <w:rPr>
                <w:rFonts w:eastAsia="Times New Roman"/>
                <w:sz w:val="20"/>
                <w:szCs w:val="20"/>
              </w:rPr>
            </w:pPr>
          </w:p>
        </w:tc>
        <w:tc>
          <w:tcPr>
            <w:tcW w:w="5" w:type="pct"/>
            <w:gridSpan w:val="3"/>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gridSpan w:val="7"/>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gridSpan w:val="4"/>
            <w:vAlign w:val="center"/>
            <w:hideMark/>
          </w:tcPr>
          <w:p w:rsidR="00000000" w:rsidRDefault="00E92DBE">
            <w:pPr>
              <w:rPr>
                <w:rFonts w:eastAsia="Times New Roman"/>
                <w:sz w:val="20"/>
                <w:szCs w:val="20"/>
              </w:rPr>
            </w:pPr>
          </w:p>
        </w:tc>
        <w:tc>
          <w:tcPr>
            <w:tcW w:w="26" w:type="pct"/>
            <w:gridSpan w:val="4"/>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gridSpan w:val="5"/>
            <w:vAlign w:val="center"/>
            <w:hideMark/>
          </w:tcPr>
          <w:p w:rsidR="00000000" w:rsidRDefault="00E92DBE">
            <w:pPr>
              <w:rPr>
                <w:rFonts w:eastAsia="Times New Roman"/>
                <w:sz w:val="20"/>
                <w:szCs w:val="20"/>
              </w:rPr>
            </w:pPr>
          </w:p>
        </w:tc>
        <w:tc>
          <w:tcPr>
            <w:tcW w:w="26" w:type="pct"/>
            <w:gridSpan w:val="3"/>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17" w:type="pct"/>
            <w:gridSpan w:val="7"/>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03" w:type="pct"/>
            <w:gridSpan w:val="3"/>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240"/>
        </w:trPr>
        <w:tc>
          <w:tcPr>
            <w:tcW w:w="0" w:type="auto"/>
            <w:gridSpan w:val="12"/>
            <w:vMerge w:val="restart"/>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4"/>
                <w:szCs w:val="14"/>
              </w:rPr>
              <w:t>(Dollars in </w:t>
            </w:r>
            <w:r>
              <w:rPr>
                <w:rFonts w:eastAsia="Times New Roman"/>
                <w:i/>
                <w:iCs/>
                <w:color w:val="000000"/>
                <w:sz w:val="14"/>
                <w:szCs w:val="14"/>
              </w:rPr>
              <w:t>millions)</w:t>
            </w:r>
          </w:p>
        </w:tc>
        <w:tc>
          <w:tcPr>
            <w:tcW w:w="0" w:type="auto"/>
            <w:gridSpan w:val="7"/>
            <w:vMerge w:val="restart"/>
            <w:tcMar>
              <w:top w:w="0" w:type="dxa"/>
              <w:left w:w="20" w:type="dxa"/>
              <w:bottom w:w="0" w:type="dxa"/>
              <w:right w:w="20" w:type="dxa"/>
            </w:tcMar>
            <w:vAlign w:val="center"/>
            <w:hideMark/>
          </w:tcPr>
          <w:p w:rsidR="00000000" w:rsidRDefault="00E92DBE">
            <w:pPr>
              <w:rPr>
                <w:rFonts w:eastAsia="Times New Roman"/>
              </w:rPr>
            </w:pPr>
          </w:p>
        </w:tc>
        <w:tc>
          <w:tcPr>
            <w:tcW w:w="0" w:type="auto"/>
            <w:gridSpan w:val="2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Preferred Stock</w:t>
            </w:r>
          </w:p>
        </w:tc>
        <w:tc>
          <w:tcPr>
            <w:tcW w:w="0" w:type="auto"/>
            <w:gridSpan w:val="5"/>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Common Stock</w:t>
            </w:r>
          </w:p>
        </w:tc>
        <w:tc>
          <w:tcPr>
            <w:tcW w:w="0" w:type="auto"/>
            <w:gridSpan w:val="9"/>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5"/>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Retained Earnings</w:t>
            </w:r>
          </w:p>
        </w:tc>
        <w:tc>
          <w:tcPr>
            <w:tcW w:w="0" w:type="auto"/>
            <w:gridSpan w:val="3"/>
            <w:vMerge w:val="restart"/>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Stockholders’</w:t>
            </w:r>
            <w:r>
              <w:rPr>
                <w:rFonts w:eastAsia="Times New Roman"/>
                <w:b/>
                <w:bCs/>
                <w:color w:val="000000"/>
                <w:sz w:val="14"/>
                <w:szCs w:val="14"/>
              </w:rPr>
              <w:br/>
              <w:t>Equity</w:t>
            </w:r>
          </w:p>
        </w:tc>
      </w:tr>
      <w:tr w:rsidR="00000000">
        <w:trPr>
          <w:trHeight w:val="400"/>
        </w:trPr>
        <w:tc>
          <w:tcPr>
            <w:tcW w:w="0" w:type="auto"/>
            <w:gridSpan w:val="12"/>
            <w:vMerge/>
            <w:vAlign w:val="center"/>
            <w:hideMark/>
          </w:tcPr>
          <w:p w:rsidR="00000000" w:rsidRDefault="00E92DBE">
            <w:pPr>
              <w:rPr>
                <w:rFonts w:eastAsia="Times New Roman"/>
              </w:rPr>
            </w:pPr>
          </w:p>
        </w:tc>
        <w:tc>
          <w:tcPr>
            <w:tcW w:w="0" w:type="auto"/>
            <w:gridSpan w:val="7"/>
            <w:vMerge/>
            <w:vAlign w:val="center"/>
            <w:hideMark/>
          </w:tcPr>
          <w:p w:rsidR="00000000" w:rsidRDefault="00E92DBE">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Shares</w:t>
            </w: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Amount</w:t>
            </w:r>
          </w:p>
        </w:tc>
        <w:tc>
          <w:tcPr>
            <w:tcW w:w="0" w:type="auto"/>
            <w:gridSpan w:val="5"/>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Shares</w:t>
            </w: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Amount</w:t>
            </w:r>
          </w:p>
        </w:tc>
        <w:tc>
          <w:tcPr>
            <w:tcW w:w="0" w:type="auto"/>
            <w:gridSpan w:val="9"/>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5"/>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r>
      <w:tr w:rsidR="00000000">
        <w:tc>
          <w:tcPr>
            <w:tcW w:w="0" w:type="auto"/>
            <w:gridSpan w:val="12"/>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Balance as of December 31, 2019</w:t>
            </w: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8"/>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0 </w:t>
            </w:r>
          </w:p>
        </w:tc>
        <w:tc>
          <w:tcPr>
            <w:tcW w:w="0" w:type="auto"/>
            <w:gridSpan w:val="5"/>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672,969,391 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gridSpan w:val="7"/>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32,980 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40,340 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1,156 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(16,472)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58,011 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2"/>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Cumulative effects from adoption of the CECL standard</w:t>
            </w: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(2,184)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(2,192)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2"/>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Comprehensive income</w:t>
            </w: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(1,340)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2,531 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1,191 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2"/>
            <w:vAlign w:val="center"/>
            <w:hideMark/>
          </w:tcPr>
          <w:p w:rsidR="00000000" w:rsidRDefault="00E92DBE">
            <w:pPr>
              <w:jc w:val="right"/>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c>
          <w:tcPr>
            <w:tcW w:w="0" w:type="auto"/>
            <w:gridSpan w:val="7"/>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c>
          <w:tcPr>
            <w:tcW w:w="0" w:type="auto"/>
            <w:gridSpan w:val="9"/>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5"/>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12"/>
            <w:shd w:val="clear" w:color="auto" w:fill="FFFFFF"/>
            <w:tcMar>
              <w:top w:w="30" w:type="dxa"/>
              <w:left w:w="20" w:type="dxa"/>
              <w:bottom w:w="30" w:type="dxa"/>
              <w:right w:w="20" w:type="dxa"/>
            </w:tcMar>
            <w:vAlign w:val="center"/>
            <w:hideMark/>
          </w:tcPr>
          <w:p w:rsidR="00000000" w:rsidRDefault="00E92DBE">
            <w:pPr>
              <w:divId w:val="1493061157"/>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23,213 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(187)</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(185)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2"/>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Dividends—preferred stock</w:t>
            </w: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2"/>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Purchases of treasury stock</w:t>
            </w: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(386)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(386)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2"/>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Issuances of common stock and restricted stock, net of forfeitures</w:t>
            </w: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2,618,628 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c>
          <w:tcPr>
            <w:tcW w:w="0" w:type="auto"/>
            <w:gridSpan w:val="12"/>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Exercises of stock options</w:t>
            </w: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559,333 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2"/>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Issuances of preferred stock</w:t>
            </w: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8"/>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1,250,000 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0 </w:t>
            </w:r>
          </w:p>
        </w:tc>
        <w:tc>
          <w:tcPr>
            <w:tcW w:w="0" w:type="auto"/>
            <w:gridSpan w:val="5"/>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1,209 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1,209 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2"/>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 xml:space="preserve">Redemptions of preferred stock </w:t>
            </w: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(875,000)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0 </w:t>
            </w:r>
          </w:p>
        </w:tc>
        <w:tc>
          <w:tcPr>
            <w:tcW w:w="0" w:type="auto"/>
            <w:gridSpan w:val="5"/>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(853)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(875)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2"/>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Compensation expense for restricted stock units and stock options</w:t>
            </w: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c>
          <w:tcPr>
            <w:tcW w:w="0" w:type="auto"/>
            <w:gridSpan w:val="12"/>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Balance as of March 31, 2020</w:t>
            </w: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8"/>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5,350,000 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0 </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676,170,565 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33,450 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36,552 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3,679 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(16,858)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56,830 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398793047"/>
        <w:rPr>
          <w:rFonts w:eastAsia="Times New Roman"/>
        </w:rPr>
      </w:pPr>
      <w:r>
        <w:rPr>
          <w:rFonts w:eastAsia="Times New Roman"/>
          <w:color w:val="000000"/>
          <w:sz w:val="20"/>
          <w:szCs w:val="20"/>
        </w:rPr>
        <w:t>__________</w:t>
      </w:r>
    </w:p>
    <w:p w:rsidR="00000000" w:rsidRDefault="00E92DBE">
      <w:pPr>
        <w:ind w:hanging="360"/>
        <w:jc w:val="both"/>
        <w:divId w:val="46762830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declared dividends per share on our common stock of 0.40 in both the first quarters of 2021 and 2020.</w:t>
      </w:r>
    </w:p>
    <w:tbl>
      <w:tblPr>
        <w:tblW w:w="5000" w:type="pct"/>
        <w:tblCellMar>
          <w:top w:w="15" w:type="dxa"/>
          <w:left w:w="15" w:type="dxa"/>
          <w:bottom w:w="15" w:type="dxa"/>
          <w:right w:w="15" w:type="dxa"/>
        </w:tblCellMar>
        <w:tblLook w:val="04A0" w:firstRow="1" w:lastRow="0" w:firstColumn="1" w:lastColumn="0" w:noHBand="0" w:noVBand="1"/>
      </w:tblPr>
      <w:tblGrid>
        <w:gridCol w:w="56"/>
        <w:gridCol w:w="1852"/>
        <w:gridCol w:w="36"/>
        <w:gridCol w:w="36"/>
        <w:gridCol w:w="36"/>
        <w:gridCol w:w="36"/>
        <w:gridCol w:w="36"/>
        <w:gridCol w:w="515"/>
        <w:gridCol w:w="36"/>
        <w:gridCol w:w="36"/>
        <w:gridCol w:w="36"/>
        <w:gridCol w:w="36"/>
        <w:gridCol w:w="36"/>
        <w:gridCol w:w="378"/>
        <w:gridCol w:w="36"/>
        <w:gridCol w:w="36"/>
        <w:gridCol w:w="36"/>
        <w:gridCol w:w="36"/>
        <w:gridCol w:w="36"/>
        <w:gridCol w:w="647"/>
        <w:gridCol w:w="36"/>
        <w:gridCol w:w="36"/>
        <w:gridCol w:w="36"/>
        <w:gridCol w:w="36"/>
        <w:gridCol w:w="36"/>
        <w:gridCol w:w="378"/>
        <w:gridCol w:w="36"/>
        <w:gridCol w:w="36"/>
        <w:gridCol w:w="36"/>
        <w:gridCol w:w="36"/>
        <w:gridCol w:w="36"/>
        <w:gridCol w:w="501"/>
        <w:gridCol w:w="36"/>
        <w:gridCol w:w="36"/>
        <w:gridCol w:w="36"/>
        <w:gridCol w:w="36"/>
        <w:gridCol w:w="37"/>
        <w:gridCol w:w="466"/>
        <w:gridCol w:w="36"/>
        <w:gridCol w:w="36"/>
        <w:gridCol w:w="36"/>
        <w:gridCol w:w="36"/>
        <w:gridCol w:w="38"/>
        <w:gridCol w:w="746"/>
        <w:gridCol w:w="36"/>
        <w:gridCol w:w="36"/>
        <w:gridCol w:w="36"/>
        <w:gridCol w:w="36"/>
        <w:gridCol w:w="38"/>
        <w:gridCol w:w="454"/>
        <w:gridCol w:w="36"/>
        <w:gridCol w:w="36"/>
        <w:gridCol w:w="36"/>
        <w:gridCol w:w="36"/>
        <w:gridCol w:w="38"/>
        <w:gridCol w:w="650"/>
        <w:gridCol w:w="36"/>
      </w:tblGrid>
      <w:tr w:rsidR="00000000">
        <w:trPr>
          <w:divId w:val="1472095860"/>
        </w:trPr>
        <w:tc>
          <w:tcPr>
            <w:tcW w:w="50" w:type="pct"/>
            <w:vAlign w:val="center"/>
            <w:hideMark/>
          </w:tcPr>
          <w:p w:rsidR="00000000" w:rsidRDefault="00E92DBE">
            <w:pPr>
              <w:ind w:hanging="360"/>
              <w:jc w:val="both"/>
              <w:rPr>
                <w:rFonts w:eastAsia="Times New Roman"/>
              </w:rPr>
            </w:pPr>
          </w:p>
        </w:tc>
        <w:tc>
          <w:tcPr>
            <w:tcW w:w="112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2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472095860"/>
          <w:trHeight w:val="60"/>
        </w:trPr>
        <w:tc>
          <w:tcPr>
            <w:tcW w:w="0" w:type="auto"/>
            <w:gridSpan w:val="57"/>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7209586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78" w:type="pct"/>
        <w:jc w:val="center"/>
        <w:tblCellMar>
          <w:top w:w="15" w:type="dxa"/>
          <w:left w:w="15" w:type="dxa"/>
          <w:bottom w:w="15" w:type="dxa"/>
          <w:right w:w="15" w:type="dxa"/>
        </w:tblCellMar>
        <w:tblLook w:val="04A0" w:firstRow="1" w:lastRow="0" w:firstColumn="1" w:lastColumn="0" w:noHBand="0" w:noVBand="1"/>
      </w:tblPr>
      <w:tblGrid>
        <w:gridCol w:w="144"/>
        <w:gridCol w:w="1814"/>
        <w:gridCol w:w="144"/>
        <w:gridCol w:w="144"/>
        <w:gridCol w:w="144"/>
        <w:gridCol w:w="144"/>
        <w:gridCol w:w="144"/>
        <w:gridCol w:w="539"/>
        <w:gridCol w:w="144"/>
        <w:gridCol w:w="144"/>
        <w:gridCol w:w="144"/>
        <w:gridCol w:w="144"/>
        <w:gridCol w:w="144"/>
        <w:gridCol w:w="406"/>
        <w:gridCol w:w="144"/>
        <w:gridCol w:w="144"/>
        <w:gridCol w:w="144"/>
        <w:gridCol w:w="144"/>
        <w:gridCol w:w="144"/>
        <w:gridCol w:w="673"/>
        <w:gridCol w:w="144"/>
        <w:gridCol w:w="144"/>
        <w:gridCol w:w="144"/>
        <w:gridCol w:w="144"/>
        <w:gridCol w:w="144"/>
        <w:gridCol w:w="406"/>
        <w:gridCol w:w="144"/>
        <w:gridCol w:w="144"/>
        <w:gridCol w:w="144"/>
        <w:gridCol w:w="144"/>
        <w:gridCol w:w="144"/>
        <w:gridCol w:w="527"/>
        <w:gridCol w:w="144"/>
        <w:gridCol w:w="144"/>
        <w:gridCol w:w="144"/>
        <w:gridCol w:w="144"/>
        <w:gridCol w:w="144"/>
        <w:gridCol w:w="502"/>
        <w:gridCol w:w="144"/>
        <w:gridCol w:w="144"/>
        <w:gridCol w:w="144"/>
        <w:gridCol w:w="144"/>
        <w:gridCol w:w="144"/>
        <w:gridCol w:w="770"/>
        <w:gridCol w:w="144"/>
        <w:gridCol w:w="144"/>
        <w:gridCol w:w="144"/>
        <w:gridCol w:w="144"/>
        <w:gridCol w:w="144"/>
        <w:gridCol w:w="479"/>
        <w:gridCol w:w="144"/>
        <w:gridCol w:w="144"/>
        <w:gridCol w:w="144"/>
        <w:gridCol w:w="144"/>
        <w:gridCol w:w="144"/>
        <w:gridCol w:w="686"/>
        <w:gridCol w:w="144"/>
      </w:tblGrid>
      <w:tr w:rsidR="00000000">
        <w:trPr>
          <w:jc w:val="center"/>
        </w:trPr>
        <w:tc>
          <w:tcPr>
            <w:tcW w:w="50" w:type="pct"/>
            <w:vAlign w:val="center"/>
            <w:hideMark/>
          </w:tcPr>
          <w:p w:rsidR="00000000" w:rsidRDefault="00E92DBE">
            <w:pPr>
              <w:rPr>
                <w:rFonts w:eastAsia="Times New Roman"/>
              </w:rPr>
            </w:pPr>
          </w:p>
        </w:tc>
        <w:tc>
          <w:tcPr>
            <w:tcW w:w="10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0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60"/>
          <w:jc w:val="center"/>
        </w:trPr>
        <w:tc>
          <w:tcPr>
            <w:tcW w:w="0" w:type="auto"/>
            <w:gridSpan w:val="57"/>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239604507"/>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239604507"/>
          <w:jc w:val="center"/>
        </w:trPr>
        <w:tc>
          <w:tcPr>
            <w:tcW w:w="0" w:type="auto"/>
            <w:gridSpan w:val="9"/>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20"/>
                <w:szCs w:val="20"/>
              </w:rPr>
              <w:t>See Notes to Consolidated Financial Statements.</w:t>
            </w:r>
          </w:p>
        </w:tc>
      </w:tr>
      <w:tr w:rsidR="00000000">
        <w:trPr>
          <w:divId w:val="239604507"/>
          <w:jc w:val="center"/>
        </w:trPr>
        <w:tc>
          <w:tcPr>
            <w:tcW w:w="0" w:type="auto"/>
            <w:gridSpan w:val="3"/>
            <w:tcMar>
              <w:top w:w="0" w:type="dxa"/>
              <w:left w:w="20" w:type="dxa"/>
              <w:bottom w:w="0" w:type="dxa"/>
              <w:right w:w="20" w:type="dxa"/>
            </w:tcMar>
            <w:vAlign w:val="center"/>
            <w:hideMark/>
          </w:tcPr>
          <w:p w:rsidR="00000000" w:rsidRDefault="00E92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68</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93" style="width:0;height:1.5pt" o:hralign="center" o:hrstd="t" o:hr="t" fillcolor="#a0a0a0" stroked="f"/>
        </w:pict>
      </w:r>
    </w:p>
    <w:p w:rsidR="00000000" w:rsidRDefault="00E92DBE">
      <w:pPr>
        <w:jc w:val="both"/>
        <w:divId w:val="508644614"/>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508644614"/>
        <w:rPr>
          <w:rFonts w:eastAsia="Times New Roman"/>
        </w:rPr>
      </w:pPr>
    </w:p>
    <w:p w:rsidR="00000000" w:rsidRDefault="00E92DBE">
      <w:pPr>
        <w:jc w:val="center"/>
        <w:divId w:val="508644614"/>
        <w:rPr>
          <w:rFonts w:eastAsia="Times New Roman"/>
        </w:rPr>
      </w:pPr>
      <w:r>
        <w:rPr>
          <w:rFonts w:eastAsia="Times New Roman"/>
          <w:b/>
          <w:bCs/>
          <w:color w:val="000000"/>
          <w:sz w:val="20"/>
          <w:szCs w:val="20"/>
        </w:rPr>
        <w:t>CAPITAL ONE FINANCIAL CORPORATION</w:t>
      </w:r>
    </w:p>
    <w:p w:rsidR="00000000" w:rsidRDefault="00E92DBE">
      <w:pPr>
        <w:jc w:val="center"/>
        <w:divId w:val="508644614"/>
        <w:rPr>
          <w:rFonts w:eastAsia="Times New Roman"/>
        </w:rPr>
      </w:pPr>
      <w:r>
        <w:rPr>
          <w:rFonts w:eastAsia="Times New Roman"/>
          <w:b/>
          <w:bCs/>
          <w:color w:val="000000"/>
          <w:sz w:val="20"/>
          <w:szCs w:val="20"/>
        </w:rPr>
        <w:t>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504"/>
        <w:gridCol w:w="39"/>
        <w:gridCol w:w="36"/>
        <w:gridCol w:w="36"/>
        <w:gridCol w:w="36"/>
        <w:gridCol w:w="100"/>
        <w:gridCol w:w="1009"/>
        <w:gridCol w:w="36"/>
        <w:gridCol w:w="36"/>
        <w:gridCol w:w="36"/>
        <w:gridCol w:w="36"/>
        <w:gridCol w:w="100"/>
        <w:gridCol w:w="1009"/>
        <w:gridCol w:w="36"/>
        <w:gridCol w:w="36"/>
        <w:gridCol w:w="36"/>
        <w:gridCol w:w="36"/>
        <w:gridCol w:w="36"/>
        <w:gridCol w:w="36"/>
        <w:gridCol w:w="36"/>
      </w:tblGrid>
      <w:tr w:rsidR="00000000">
        <w:trPr>
          <w:divId w:val="1558737892"/>
        </w:trPr>
        <w:tc>
          <w:tcPr>
            <w:tcW w:w="50" w:type="pct"/>
            <w:vAlign w:val="center"/>
            <w:hideMark/>
          </w:tcPr>
          <w:p w:rsidR="00000000" w:rsidRDefault="00E92DBE">
            <w:pPr>
              <w:jc w:val="center"/>
              <w:rPr>
                <w:rFonts w:eastAsia="Times New Roman"/>
              </w:rPr>
            </w:pPr>
          </w:p>
        </w:tc>
        <w:tc>
          <w:tcPr>
            <w:tcW w:w="342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558737892"/>
        </w:trPr>
        <w:tc>
          <w:tcPr>
            <w:tcW w:w="0" w:type="auto"/>
            <w:gridSpan w:val="3"/>
            <w:tcMar>
              <w:top w:w="30" w:type="dxa"/>
              <w:left w:w="20" w:type="dxa"/>
              <w:bottom w:w="30" w:type="dxa"/>
              <w:right w:w="20" w:type="dxa"/>
            </w:tcMar>
            <w:vAlign w:val="center"/>
            <w:hideMark/>
          </w:tcPr>
          <w:p w:rsidR="00000000" w:rsidRDefault="00E92DBE">
            <w:pPr>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3,327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(1,340)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3,325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(1,340)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Adjustments to reconcile net income (loss) to net cash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(823)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5,423 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Depreciation and amortization, net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855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893 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Deferred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345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(748)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securities losses (gains)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Gain on sales of loans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119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Other (including (gains) and losses from equity investments)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Originations and purchases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(1,914)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(2,258)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Proceeds from sales and paydowns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1,651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1,507 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Changes in interest receivable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91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Changes in other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(1,570)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1,325 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Changes in interest payable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(80)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Changes in other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(435)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595 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change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Net cash from operating activities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1,636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5,409 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Investing activities: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Purchases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(7,881)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(3,927)</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Proceeds from paydowns and maturities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7,015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3,822 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Proceeds from sales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595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144 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Loans: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changes in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7,055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686 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Principal recoveries of loans previously charged off</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666 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purchases of premises and equipment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(178)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(154)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cash from other investing activities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(196)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Net cash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7,272</w:t>
            </w:r>
            <w:r>
              <w:rPr>
                <w:rFonts w:eastAsia="Times New Roman"/>
                <w:color w:val="000000"/>
                <w:sz w:val="16"/>
                <w:szCs w:val="16"/>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1,041 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58737892"/>
          <w:trHeight w:val="60"/>
        </w:trPr>
        <w:tc>
          <w:tcPr>
            <w:tcW w:w="0" w:type="auto"/>
            <w:gridSpan w:val="15"/>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69</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94" style="width:0;height:1.5pt" o:hralign="center" o:hrstd="t" o:hr="t" fillcolor="#a0a0a0" stroked="f"/>
        </w:pict>
      </w:r>
    </w:p>
    <w:p w:rsidR="00000000" w:rsidRDefault="00E92DBE">
      <w:pPr>
        <w:jc w:val="both"/>
        <w:divId w:val="1829783767"/>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829783767"/>
        <w:rPr>
          <w:rFonts w:eastAsia="Times New Roman"/>
        </w:rPr>
      </w:pPr>
    </w:p>
    <w:p w:rsidR="00000000" w:rsidRDefault="00E92DBE">
      <w:pPr>
        <w:jc w:val="center"/>
        <w:divId w:val="1829783767"/>
        <w:rPr>
          <w:rFonts w:eastAsia="Times New Roman"/>
        </w:rPr>
      </w:pPr>
      <w:r>
        <w:rPr>
          <w:rFonts w:eastAsia="Times New Roman"/>
          <w:b/>
          <w:bCs/>
          <w:color w:val="000000"/>
          <w:sz w:val="20"/>
          <w:szCs w:val="20"/>
        </w:rPr>
        <w:t>CAPITAL ONE FINANCIAL CORPORATION</w:t>
      </w:r>
    </w:p>
    <w:p w:rsidR="00000000" w:rsidRDefault="00E92DBE">
      <w:pPr>
        <w:jc w:val="center"/>
        <w:divId w:val="1829783767"/>
        <w:rPr>
          <w:rFonts w:eastAsia="Times New Roman"/>
        </w:rPr>
      </w:pPr>
      <w:r>
        <w:rPr>
          <w:rFonts w:eastAsia="Times New Roman"/>
          <w:b/>
          <w:bCs/>
          <w:color w:val="000000"/>
          <w:sz w:val="20"/>
          <w:szCs w:val="20"/>
        </w:rPr>
        <w:t>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503"/>
        <w:gridCol w:w="40"/>
        <w:gridCol w:w="36"/>
        <w:gridCol w:w="36"/>
        <w:gridCol w:w="36"/>
        <w:gridCol w:w="100"/>
        <w:gridCol w:w="1009"/>
        <w:gridCol w:w="36"/>
        <w:gridCol w:w="36"/>
        <w:gridCol w:w="36"/>
        <w:gridCol w:w="36"/>
        <w:gridCol w:w="100"/>
        <w:gridCol w:w="1009"/>
        <w:gridCol w:w="36"/>
        <w:gridCol w:w="36"/>
        <w:gridCol w:w="36"/>
        <w:gridCol w:w="36"/>
        <w:gridCol w:w="36"/>
        <w:gridCol w:w="36"/>
        <w:gridCol w:w="36"/>
      </w:tblGrid>
      <w:tr w:rsidR="00000000">
        <w:trPr>
          <w:divId w:val="1795294078"/>
        </w:trPr>
        <w:tc>
          <w:tcPr>
            <w:tcW w:w="50" w:type="pct"/>
            <w:vAlign w:val="center"/>
            <w:hideMark/>
          </w:tcPr>
          <w:p w:rsidR="00000000" w:rsidRDefault="00E92DBE">
            <w:pPr>
              <w:jc w:val="center"/>
              <w:rPr>
                <w:rFonts w:eastAsia="Times New Roman"/>
              </w:rPr>
            </w:pPr>
          </w:p>
        </w:tc>
        <w:tc>
          <w:tcPr>
            <w:tcW w:w="342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795294078"/>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795294078"/>
        </w:trPr>
        <w:tc>
          <w:tcPr>
            <w:tcW w:w="0" w:type="auto"/>
            <w:gridSpan w:val="3"/>
            <w:tcMar>
              <w:top w:w="30" w:type="dxa"/>
              <w:left w:w="20" w:type="dxa"/>
              <w:bottom w:w="30" w:type="dxa"/>
              <w:right w:w="20" w:type="dxa"/>
            </w:tcMar>
            <w:vAlign w:val="center"/>
            <w:hideMark/>
          </w:tcPr>
          <w:p w:rsidR="00000000" w:rsidRDefault="00E92DBE">
            <w:pPr>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Deposits and borrowings: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Changes in deposits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4,938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6,702 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Issuance of 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1,248 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Maturities and paydowns of 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(271)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(2,208)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Issuance of senior and subordinated notes and long-term FHLB advances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1,995 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Maturities and paydowns of senior and subordinated notes and long-term FHLB advances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(1,500)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(1,500)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Changes in other borrowings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169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(927)</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Common stock:</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proceeds from issuances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(184)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(185)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Preferred stock:</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proceeds from issuances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1,209 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Dividends paid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Redemptions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(875)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(575)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(386)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Proceeds from share-based payment activities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Net cash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2,595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5,101 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Changes in cash, cash equivalents and 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11,503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11,551 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Cash, cash equivalents and restricted cash for securitization investors, beginning of the period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40,771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13,749 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Cash, cash equivalents and restricted cash for securitization investors, end of the period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52,274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25,300 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Supplemental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Non-cash items: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6"/>
                <w:szCs w:val="16"/>
              </w:rPr>
              <w:t>Net transfers from (to) loans held for investment to (from) loans held for sale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160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(73)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Interest paid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637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1,157 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529407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Income tax paid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111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64 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70</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95" style="width:0;height:1.5pt" o:hralign="center" o:hrstd="t" o:hr="t" fillcolor="#a0a0a0" stroked="f"/>
        </w:pict>
      </w:r>
    </w:p>
    <w:p w:rsidR="00000000" w:rsidRDefault="00E92DBE">
      <w:pPr>
        <w:jc w:val="both"/>
        <w:divId w:val="736634381"/>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73663438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27095252"/>
          <w:jc w:val="center"/>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27095252"/>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NOTE 1—SUMMARY OF SIGNIFICANT ACCOUNTING POLICIES</w:t>
            </w:r>
          </w:p>
        </w:tc>
      </w:tr>
    </w:tbl>
    <w:p w:rsidR="00000000" w:rsidRDefault="00E92DBE">
      <w:pPr>
        <w:divId w:val="1300301229"/>
        <w:rPr>
          <w:rFonts w:eastAsia="Times New Roman"/>
        </w:rPr>
      </w:pPr>
      <w:r>
        <w:rPr>
          <w:rFonts w:eastAsia="Times New Roman"/>
          <w:b/>
          <w:bCs/>
          <w:color w:val="000000"/>
          <w:sz w:val="20"/>
          <w:szCs w:val="20"/>
        </w:rPr>
        <w:t>The Company</w:t>
      </w:r>
    </w:p>
    <w:p w:rsidR="00000000" w:rsidRDefault="00E92DBE">
      <w:pPr>
        <w:jc w:val="both"/>
        <w:divId w:val="1335300493"/>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bsidiaries (the “Company”) offer a broad array of financial products and services to consumers, small businesses and commercial clients through digital channels, branches, Cafés and other distribution channels. As of March 31, 2021, our principal subsidiar</w:t>
      </w:r>
      <w:r>
        <w:rPr>
          <w:rFonts w:eastAsia="Times New Roman"/>
          <w:color w:val="000000"/>
          <w:sz w:val="20"/>
          <w:szCs w:val="20"/>
        </w:rPr>
        <w:t>ies included:</w:t>
      </w:r>
    </w:p>
    <w:p w:rsidR="00000000" w:rsidRDefault="00E92DBE">
      <w:pPr>
        <w:ind w:hanging="360"/>
        <w:jc w:val="both"/>
        <w:divId w:val="1509371945"/>
        <w:rPr>
          <w:rFonts w:eastAsia="Times New Roman"/>
        </w:rPr>
      </w:pPr>
      <w:r>
        <w:rPr>
          <w:rFonts w:eastAsia="Times New Roman"/>
          <w:color w:val="000000"/>
          <w:sz w:val="20"/>
          <w:szCs w:val="20"/>
        </w:rPr>
        <w:t>•Capital One Bank (USA), National Association (“COBNA”</w:t>
      </w:r>
      <w:r>
        <w:rPr>
          <w:rFonts w:eastAsia="Times New Roman"/>
          <w:color w:val="000000"/>
          <w:sz w:val="20"/>
          <w:szCs w:val="20"/>
        </w:rPr>
        <w:t>), which offers credit and debit card products, other lending products and deposit products; and</w:t>
      </w:r>
    </w:p>
    <w:p w:rsidR="00000000" w:rsidRDefault="00E92DBE">
      <w:pPr>
        <w:ind w:hanging="360"/>
        <w:jc w:val="both"/>
        <w:divId w:val="1011569458"/>
        <w:rPr>
          <w:rFonts w:eastAsia="Times New Roman"/>
        </w:rPr>
      </w:pPr>
      <w:r>
        <w:rPr>
          <w:rFonts w:eastAsia="Times New Roman"/>
          <w:color w:val="000000"/>
          <w:sz w:val="20"/>
          <w:szCs w:val="20"/>
        </w:rPr>
        <w:t>•Capital One, National Association (“CONA”), which offers a broad spectrum of banking products and financial services to consumers, small businesses and commer</w:t>
      </w:r>
      <w:r>
        <w:rPr>
          <w:rFonts w:eastAsia="Times New Roman"/>
          <w:color w:val="000000"/>
          <w:sz w:val="20"/>
          <w:szCs w:val="20"/>
        </w:rPr>
        <w:t>cial clients.</w:t>
      </w:r>
    </w:p>
    <w:p w:rsidR="00000000" w:rsidRDefault="00E92DBE">
      <w:pPr>
        <w:jc w:val="both"/>
        <w:divId w:val="1483809443"/>
        <w:rPr>
          <w:rFonts w:eastAsia="Times New Roman"/>
        </w:rPr>
      </w:pPr>
      <w:r>
        <w:rPr>
          <w:rFonts w:eastAsia="Times New Roman"/>
          <w:color w:val="000000"/>
          <w:sz w:val="20"/>
          <w:szCs w:val="20"/>
        </w:rPr>
        <w:t>The Company is hereafter collectively referred to as “we,” “us” or “our.” COBNA and CONA are collectively referred to as the “Banks.”</w:t>
      </w:r>
    </w:p>
    <w:p w:rsidR="00000000" w:rsidRDefault="00E92DBE">
      <w:pPr>
        <w:jc w:val="both"/>
        <w:divId w:val="1182746558"/>
        <w:rPr>
          <w:rFonts w:eastAsia="Times New Roman"/>
        </w:rPr>
      </w:pPr>
      <w:r>
        <w:rPr>
          <w:rFonts w:eastAsia="Times New Roman"/>
          <w:color w:val="000000"/>
          <w:sz w:val="20"/>
          <w:szCs w:val="20"/>
        </w:rPr>
        <w:t>We also offer products outside of the United States of America (“U.S.”) principally through Capital One (Eur</w:t>
      </w:r>
      <w:r>
        <w:rPr>
          <w:rFonts w:eastAsia="Times New Roman"/>
          <w:color w:val="000000"/>
          <w:sz w:val="20"/>
          <w:szCs w:val="20"/>
        </w:rPr>
        <w:t>ope) plc (“COEP”), an indirect subsidiary of COBNA organized and located in the United Kingdom (“U.K.”), and through a branch of COBNA in Canada. COEP has authority, among other things, to provide credit card loans. Our branch of COBNA in Canada also has t</w:t>
      </w:r>
      <w:r>
        <w:rPr>
          <w:rFonts w:eastAsia="Times New Roman"/>
          <w:color w:val="000000"/>
          <w:sz w:val="20"/>
          <w:szCs w:val="20"/>
        </w:rPr>
        <w:t>he authority to provide credit card loans.</w:t>
      </w:r>
    </w:p>
    <w:p w:rsidR="00000000" w:rsidRDefault="00E92DBE">
      <w:pPr>
        <w:jc w:val="both"/>
        <w:divId w:val="1440025106"/>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or the types of customer served:</w:t>
      </w:r>
      <w:r>
        <w:rPr>
          <w:rFonts w:eastAsia="Times New Roman"/>
          <w:color w:val="000000"/>
          <w:sz w:val="20"/>
          <w:szCs w:val="20"/>
        </w:rPr>
        <w:t xml:space="preserve"> Credit Card, Consumer Banking and Commercial Banking. We provide details on our business segments, the integration of recent acquisitions, if any, into our business segments and the allocation methodologies and accounting policies used to derive our busin</w:t>
      </w:r>
      <w:r>
        <w:rPr>
          <w:rFonts w:eastAsia="Times New Roman"/>
          <w:color w:val="000000"/>
          <w:sz w:val="20"/>
          <w:szCs w:val="20"/>
        </w:rPr>
        <w:t>ess segment results in “Note 12—Business Segments and Revenue from Contracts with Customers.”</w:t>
      </w:r>
    </w:p>
    <w:p w:rsidR="00000000" w:rsidRDefault="00E92DBE">
      <w:pPr>
        <w:divId w:val="1878081335"/>
        <w:rPr>
          <w:rFonts w:eastAsia="Times New Roman"/>
        </w:rPr>
      </w:pPr>
      <w:r>
        <w:rPr>
          <w:rFonts w:eastAsia="Times New Roman"/>
          <w:b/>
          <w:bCs/>
          <w:color w:val="000000"/>
          <w:sz w:val="20"/>
          <w:szCs w:val="20"/>
        </w:rPr>
        <w:t>Basis of Presentation and Use of Estimates</w:t>
      </w:r>
    </w:p>
    <w:p w:rsidR="00000000" w:rsidRDefault="00E92DBE">
      <w:pPr>
        <w:jc w:val="both"/>
        <w:divId w:val="975718457"/>
        <w:rPr>
          <w:rFonts w:eastAsia="Times New Roman"/>
        </w:rPr>
      </w:pPr>
      <w:r>
        <w:rPr>
          <w:rFonts w:eastAsia="Times New Roman"/>
          <w:color w:val="000000"/>
          <w:sz w:val="20"/>
          <w:szCs w:val="20"/>
        </w:rPr>
        <w:t>The accompanying unaudited interim consolidated financial statements have been prepared in accordance with generally ac</w:t>
      </w:r>
      <w:r>
        <w:rPr>
          <w:rFonts w:eastAsia="Times New Roman"/>
          <w:color w:val="000000"/>
          <w:sz w:val="20"/>
          <w:szCs w:val="20"/>
        </w:rPr>
        <w:t>cepted accounting principles in the U.S. (“U.S. GAAP”). The preparation of the consolidated financial statements in conformity with U.S. GAAP requires management to make estimates and assumptions that affect the amounts reported in the consolidated financi</w:t>
      </w:r>
      <w:r>
        <w:rPr>
          <w:rFonts w:eastAsia="Times New Roman"/>
          <w:color w:val="000000"/>
          <w:sz w:val="20"/>
          <w:szCs w:val="20"/>
        </w:rPr>
        <w:t>al statements and in the related disclosures. These estimates are based on information available as of the date of the consolidated financial statements. While management makes its best judgments, actual amounts or results could differ from these estimates</w:t>
      </w:r>
      <w:r>
        <w:rPr>
          <w:rFonts w:eastAsia="Times New Roman"/>
          <w:color w:val="000000"/>
          <w:sz w:val="20"/>
          <w:szCs w:val="20"/>
        </w:rPr>
        <w:t>. In the opinion of management, all normal, recurring adjustments have been included for a fair statement of this interim financial information.</w:t>
      </w:r>
      <w:r>
        <w:rPr>
          <w:rFonts w:eastAsia="Times New Roman"/>
          <w:i/>
          <w:iCs/>
          <w:color w:val="000000"/>
          <w:sz w:val="20"/>
          <w:szCs w:val="20"/>
        </w:rPr>
        <w:t xml:space="preserve"> </w:t>
      </w:r>
      <w:r>
        <w:rPr>
          <w:rFonts w:eastAsia="Times New Roman"/>
          <w:color w:val="000000"/>
          <w:sz w:val="20"/>
          <w:szCs w:val="20"/>
        </w:rPr>
        <w:t>Certain prior period amounts have been reclassified to conform to the current period presentation.</w:t>
      </w:r>
    </w:p>
    <w:p w:rsidR="00000000" w:rsidRDefault="00E92DBE">
      <w:pPr>
        <w:jc w:val="both"/>
        <w:divId w:val="1498884203"/>
        <w:rPr>
          <w:rFonts w:eastAsia="Times New Roman"/>
        </w:rPr>
      </w:pPr>
      <w:r>
        <w:rPr>
          <w:rFonts w:eastAsia="Times New Roman"/>
          <w:color w:val="000000"/>
          <w:sz w:val="20"/>
          <w:szCs w:val="20"/>
        </w:rPr>
        <w:t>These unaudi</w:t>
      </w:r>
      <w:r>
        <w:rPr>
          <w:rFonts w:eastAsia="Times New Roman"/>
          <w:color w:val="000000"/>
          <w:sz w:val="20"/>
          <w:szCs w:val="20"/>
        </w:rPr>
        <w:t>ted interim consolidated financial statements should be read in conjunction with the audited consolidated financial statements, and related notes thereto, included in Capital One Financial Corporation’s 2020 Annual Report on Form 10-K (“2020 Form 10-K”).</w:t>
      </w:r>
    </w:p>
    <w:p w:rsidR="00000000" w:rsidRDefault="00E92DBE">
      <w:pPr>
        <w:jc w:val="both"/>
        <w:divId w:val="85454209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79852789"/>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879852789"/>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879852789"/>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71</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96" style="width:0;height:1.5pt" o:hralign="center" o:hrstd="t" o:hr="t" fillcolor="#a0a0a0" stroked="f"/>
        </w:pict>
      </w:r>
    </w:p>
    <w:p w:rsidR="00000000" w:rsidRDefault="00E92DBE">
      <w:pPr>
        <w:jc w:val="both"/>
        <w:divId w:val="357511876"/>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357511876"/>
        <w:rPr>
          <w:rFonts w:eastAsia="Times New Roman"/>
        </w:rPr>
      </w:pPr>
    </w:p>
    <w:p w:rsidR="00000000" w:rsidRDefault="00E92DBE">
      <w:pPr>
        <w:divId w:val="696809767"/>
        <w:rPr>
          <w:rFonts w:eastAsia="Times New Roman"/>
        </w:rPr>
      </w:pPr>
      <w:r>
        <w:rPr>
          <w:rFonts w:eastAsia="Times New Roman"/>
          <w:b/>
          <w:bCs/>
          <w:color w:val="000000"/>
          <w:sz w:val="20"/>
          <w:szCs w:val="20"/>
        </w:rPr>
        <w:t>Newly Adopted Accounting Standards During the Three Months Ended March 31, 2021</w:t>
      </w:r>
    </w:p>
    <w:tbl>
      <w:tblPr>
        <w:tblW w:w="4970" w:type="pct"/>
        <w:jc w:val="center"/>
        <w:tblCellMar>
          <w:top w:w="15" w:type="dxa"/>
          <w:left w:w="15" w:type="dxa"/>
          <w:bottom w:w="15" w:type="dxa"/>
          <w:right w:w="15" w:type="dxa"/>
        </w:tblCellMar>
        <w:tblLook w:val="04A0" w:firstRow="1" w:lastRow="0" w:firstColumn="1" w:lastColumn="0" w:noHBand="0" w:noVBand="1"/>
      </w:tblPr>
      <w:tblGrid>
        <w:gridCol w:w="58"/>
        <w:gridCol w:w="2592"/>
        <w:gridCol w:w="36"/>
        <w:gridCol w:w="36"/>
        <w:gridCol w:w="36"/>
        <w:gridCol w:w="36"/>
        <w:gridCol w:w="40"/>
        <w:gridCol w:w="2593"/>
        <w:gridCol w:w="36"/>
        <w:gridCol w:w="36"/>
        <w:gridCol w:w="36"/>
        <w:gridCol w:w="36"/>
        <w:gridCol w:w="42"/>
        <w:gridCol w:w="2606"/>
        <w:gridCol w:w="37"/>
      </w:tblGrid>
      <w:tr w:rsidR="00000000">
        <w:trPr>
          <w:divId w:val="982930821"/>
          <w:jc w:val="center"/>
        </w:trPr>
        <w:tc>
          <w:tcPr>
            <w:tcW w:w="50" w:type="pct"/>
            <w:vAlign w:val="center"/>
            <w:hideMark/>
          </w:tcPr>
          <w:p w:rsidR="00000000" w:rsidRDefault="00E92DBE">
            <w:pPr>
              <w:rPr>
                <w:rFonts w:eastAsia="Times New Roman"/>
              </w:rPr>
            </w:pPr>
          </w:p>
        </w:tc>
        <w:tc>
          <w:tcPr>
            <w:tcW w:w="15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5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59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982930821"/>
          <w:jc w:val="center"/>
        </w:trPr>
        <w:tc>
          <w:tcPr>
            <w:tcW w:w="0" w:type="auto"/>
            <w:gridSpan w:val="3"/>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Standard</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Guidance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Adoption Timing and Financial Statement Impacts</w:t>
            </w:r>
          </w:p>
        </w:tc>
      </w:tr>
      <w:tr w:rsidR="00000000">
        <w:trPr>
          <w:divId w:val="982930821"/>
          <w:jc w:val="center"/>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82930821"/>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82930821"/>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82930821"/>
          <w:jc w:val="center"/>
        </w:trPr>
        <w:tc>
          <w:tcPr>
            <w:tcW w:w="0" w:type="auto"/>
            <w:gridSpan w:val="3"/>
            <w:tcBorders>
              <w:top w:val="single" w:sz="8" w:space="0" w:color="000000"/>
            </w:tcBorders>
            <w:tcMar>
              <w:top w:w="30" w:type="dxa"/>
              <w:left w:w="20" w:type="dxa"/>
              <w:bottom w:w="30" w:type="dxa"/>
              <w:right w:w="20" w:type="dxa"/>
            </w:tcMar>
            <w:hideMark/>
          </w:tcPr>
          <w:p w:rsidR="00000000" w:rsidRDefault="00E92DBE">
            <w:pPr>
              <w:divId w:val="149369941"/>
              <w:rPr>
                <w:rFonts w:eastAsia="Times New Roman"/>
              </w:rPr>
            </w:pPr>
            <w:r>
              <w:rPr>
                <w:rFonts w:eastAsia="Times New Roman"/>
                <w:b/>
                <w:bCs/>
                <w:color w:val="000000"/>
                <w:sz w:val="18"/>
                <w:szCs w:val="18"/>
              </w:rPr>
              <w:t>Income Tax Accounting Simplification</w:t>
            </w:r>
          </w:p>
          <w:p w:rsidR="00000000" w:rsidRDefault="00E92DBE">
            <w:pPr>
              <w:divId w:val="1143044609"/>
              <w:rPr>
                <w:rFonts w:eastAsia="Times New Roman"/>
              </w:rPr>
            </w:pPr>
            <w:r>
              <w:rPr>
                <w:rFonts w:eastAsia="Times New Roman"/>
                <w:color w:val="000000"/>
                <w:sz w:val="18"/>
                <w:szCs w:val="18"/>
              </w:rPr>
              <w:t>ASU No. 2019-12, Income Taxes (Topic 740):</w:t>
            </w:r>
            <w:r>
              <w:rPr>
                <w:rFonts w:eastAsia="Times New Roman"/>
                <w:i/>
                <w:iCs/>
                <w:color w:val="000000"/>
                <w:sz w:val="18"/>
                <w:szCs w:val="18"/>
              </w:rPr>
              <w:t xml:space="preserve"> </w:t>
            </w:r>
            <w:r>
              <w:rPr>
                <w:rFonts w:eastAsia="Times New Roman"/>
                <w:i/>
                <w:iCs/>
                <w:color w:val="000000"/>
                <w:sz w:val="18"/>
                <w:szCs w:val="18"/>
              </w:rPr>
              <w:t>Simplifying the Accounting for Income Taxes</w:t>
            </w:r>
          </w:p>
          <w:p w:rsidR="00000000" w:rsidRDefault="00E92DBE">
            <w:pPr>
              <w:divId w:val="847447125"/>
              <w:rPr>
                <w:rFonts w:eastAsia="Times New Roman"/>
              </w:rPr>
            </w:pPr>
            <w:r>
              <w:rPr>
                <w:rFonts w:eastAsia="Times New Roman"/>
                <w:i/>
                <w:iCs/>
                <w:color w:val="000000"/>
                <w:sz w:val="18"/>
                <w:szCs w:val="18"/>
              </w:rPr>
              <w:t>Issued December 2019</w:t>
            </w:r>
          </w:p>
          <w:p w:rsidR="00000000" w:rsidRDefault="00E92DBE">
            <w:pPr>
              <w:divId w:val="1276014456"/>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92DBE">
            <w:pPr>
              <w:divId w:val="1834373218"/>
              <w:rPr>
                <w:rFonts w:eastAsia="Times New Roman"/>
              </w:rPr>
            </w:pPr>
            <w:r>
              <w:rPr>
                <w:rFonts w:eastAsia="Times New Roman"/>
                <w:color w:val="000000"/>
                <w:sz w:val="18"/>
                <w:szCs w:val="18"/>
              </w:rPr>
              <w:t>Simplifies various aspects of the guidance on accounting for income taxes.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 xml:space="preserve">We adopted this guidance in the first quarter of 2021 using the modified retrospective and prospective methods of adoption. </w:t>
            </w:r>
            <w:r>
              <w:rPr>
                <w:rFonts w:eastAsia="Times New Roman"/>
                <w:color w:val="000000"/>
                <w:sz w:val="18"/>
                <w:szCs w:val="18"/>
              </w:rPr>
              <w:br/>
            </w:r>
            <w:r>
              <w:rPr>
                <w:rFonts w:eastAsia="Times New Roman"/>
                <w:sz w:val="18"/>
                <w:szCs w:val="18"/>
              </w:rPr>
              <w:br/>
            </w:r>
            <w:r>
              <w:rPr>
                <w:rFonts w:eastAsia="Times New Roman"/>
                <w:color w:val="000000"/>
                <w:sz w:val="18"/>
                <w:szCs w:val="18"/>
              </w:rPr>
              <w:t>Our adoption of this standard did not have a material impact on our consolidated financial statements.</w:t>
            </w:r>
          </w:p>
        </w:tc>
      </w:tr>
      <w:tr w:rsidR="00000000">
        <w:trPr>
          <w:divId w:val="982930821"/>
          <w:trHeight w:val="3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jc w:val="cente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72</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97" style="width:0;height:1.5pt" o:hralign="center" o:hrstd="t" o:hr="t" fillcolor="#a0a0a0" stroked="f"/>
        </w:pict>
      </w:r>
    </w:p>
    <w:p w:rsidR="00000000" w:rsidRDefault="00E92DBE">
      <w:pPr>
        <w:jc w:val="both"/>
        <w:divId w:val="94518114"/>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9451811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535387528"/>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53538752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NOTE 2—INVESTMENT SECURITIES</w:t>
            </w:r>
          </w:p>
        </w:tc>
      </w:tr>
    </w:tbl>
    <w:p w:rsidR="00000000" w:rsidRDefault="00E92DBE">
      <w:pPr>
        <w:jc w:val="both"/>
        <w:divId w:val="352651876"/>
        <w:rPr>
          <w:rFonts w:eastAsia="Times New Roman"/>
        </w:rPr>
      </w:pPr>
      <w:r>
        <w:rPr>
          <w:rFonts w:eastAsia="Times New Roman"/>
          <w:color w:val="000000"/>
          <w:sz w:val="20"/>
          <w:szCs w:val="20"/>
        </w:rPr>
        <w:t>Our investment securities portfolio consists of the following: U.S. government-sponsored enterprise or agency (“Agency”) and non-agency residential mortgage-backed securities (“RMBS”), Agency commercial mortgage-backed securities (“CMBS”), U.S. Treasury se</w:t>
      </w:r>
      <w:r>
        <w:rPr>
          <w:rFonts w:eastAsia="Times New Roman"/>
          <w:color w:val="000000"/>
          <w:sz w:val="20"/>
          <w:szCs w:val="20"/>
        </w:rPr>
        <w:t>curities and other securities. Agency securities include Government National Mortgage Association (“Ginnie Mae”) guaranteed securities as well as Federal National Mortgage Association (“Fannie Mae”) and Federal Home Loan Mortgage Corporation (“Freddie Mac”</w:t>
      </w:r>
      <w:r>
        <w:rPr>
          <w:rFonts w:eastAsia="Times New Roman"/>
          <w:color w:val="000000"/>
          <w:sz w:val="20"/>
          <w:szCs w:val="20"/>
        </w:rPr>
        <w:t>) issued securities. The carrying value of our investments in Agency and U.S. Treasury securities represented 96% of our total investment securities portfolio as of both March 31, 2021 and December 31, 2020.</w:t>
      </w:r>
    </w:p>
    <w:p w:rsidR="00000000" w:rsidRDefault="00E92DBE">
      <w:pPr>
        <w:jc w:val="both"/>
        <w:divId w:val="661666713"/>
        <w:rPr>
          <w:rFonts w:eastAsia="Times New Roman"/>
        </w:rPr>
      </w:pPr>
      <w:r>
        <w:rPr>
          <w:rFonts w:eastAsia="Times New Roman"/>
          <w:color w:val="000000"/>
          <w:sz w:val="20"/>
          <w:szCs w:val="20"/>
        </w:rPr>
        <w:t>The table below presents the amortized cost, gro</w:t>
      </w:r>
      <w:r>
        <w:rPr>
          <w:rFonts w:eastAsia="Times New Roman"/>
          <w:color w:val="000000"/>
          <w:sz w:val="20"/>
          <w:szCs w:val="20"/>
        </w:rPr>
        <w:t>ss unrealized gains and losses, and fair value of securities available for sale as of March 31, 2021 and December 31, 2020. Accrued interest receivable of $237 million and $230 million as of March 31, 2021, and December 31, 2020, respectively, is not inclu</w:t>
      </w:r>
      <w:r>
        <w:rPr>
          <w:rFonts w:eastAsia="Times New Roman"/>
          <w:color w:val="000000"/>
          <w:sz w:val="20"/>
          <w:szCs w:val="20"/>
        </w:rPr>
        <w:t xml:space="preserve">ded in the below table. </w:t>
      </w:r>
    </w:p>
    <w:p w:rsidR="00000000" w:rsidRDefault="00E92DBE">
      <w:pPr>
        <w:divId w:val="1824351263"/>
        <w:rPr>
          <w:rFonts w:eastAsia="Times New Roman"/>
        </w:rPr>
      </w:pPr>
      <w:r>
        <w:rPr>
          <w:rFonts w:eastAsia="Times New Roman"/>
          <w:b/>
          <w:bCs/>
          <w:color w:val="000000"/>
          <w:sz w:val="18"/>
          <w:szCs w:val="18"/>
        </w:rPr>
        <w:t xml:space="preserve">Table 2.1: Investment Securities Available for Sale </w:t>
      </w:r>
    </w:p>
    <w:tbl>
      <w:tblPr>
        <w:tblW w:w="4978" w:type="pct"/>
        <w:tblCellMar>
          <w:top w:w="15" w:type="dxa"/>
          <w:left w:w="15" w:type="dxa"/>
          <w:bottom w:w="15" w:type="dxa"/>
          <w:right w:w="15" w:type="dxa"/>
        </w:tblCellMar>
        <w:tblLook w:val="04A0" w:firstRow="1" w:lastRow="0" w:firstColumn="1" w:lastColumn="0" w:noHBand="0" w:noVBand="1"/>
      </w:tblPr>
      <w:tblGrid>
        <w:gridCol w:w="38"/>
        <w:gridCol w:w="3667"/>
        <w:gridCol w:w="37"/>
        <w:gridCol w:w="36"/>
        <w:gridCol w:w="36"/>
        <w:gridCol w:w="36"/>
        <w:gridCol w:w="111"/>
        <w:gridCol w:w="674"/>
        <w:gridCol w:w="36"/>
        <w:gridCol w:w="36"/>
        <w:gridCol w:w="36"/>
        <w:gridCol w:w="36"/>
        <w:gridCol w:w="111"/>
        <w:gridCol w:w="659"/>
        <w:gridCol w:w="36"/>
        <w:gridCol w:w="36"/>
        <w:gridCol w:w="36"/>
        <w:gridCol w:w="36"/>
        <w:gridCol w:w="111"/>
        <w:gridCol w:w="690"/>
        <w:gridCol w:w="36"/>
        <w:gridCol w:w="36"/>
        <w:gridCol w:w="36"/>
        <w:gridCol w:w="36"/>
        <w:gridCol w:w="111"/>
        <w:gridCol w:w="690"/>
        <w:gridCol w:w="36"/>
        <w:gridCol w:w="36"/>
        <w:gridCol w:w="36"/>
        <w:gridCol w:w="36"/>
        <w:gridCol w:w="110"/>
        <w:gridCol w:w="540"/>
        <w:gridCol w:w="36"/>
      </w:tblGrid>
      <w:tr w:rsidR="00000000">
        <w:trPr>
          <w:divId w:val="2039502892"/>
        </w:trPr>
        <w:tc>
          <w:tcPr>
            <w:tcW w:w="50" w:type="pct"/>
            <w:vAlign w:val="center"/>
            <w:hideMark/>
          </w:tcPr>
          <w:p w:rsidR="00000000" w:rsidRDefault="00E92DBE">
            <w:pPr>
              <w:rPr>
                <w:rFonts w:eastAsia="Times New Roman"/>
              </w:rPr>
            </w:pPr>
          </w:p>
        </w:tc>
        <w:tc>
          <w:tcPr>
            <w:tcW w:w="25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2039502892"/>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r>
      <w:tr w:rsidR="00000000">
        <w:trPr>
          <w:divId w:val="203950289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for Credit</w:t>
            </w:r>
            <w:r>
              <w:rPr>
                <w:rFonts w:eastAsia="Times New Roman"/>
                <w:b/>
                <w:bCs/>
                <w:color w:val="000000"/>
                <w:sz w:val="16"/>
                <w:szCs w:val="16"/>
              </w:rPr>
              <w:br/>
              <w: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w:t>
            </w:r>
            <w:r>
              <w:rPr>
                <w:rFonts w:eastAsia="Times New Roman"/>
                <w:b/>
                <w:bCs/>
                <w:color w:val="000000"/>
                <w:sz w:val="16"/>
                <w:szCs w:val="16"/>
              </w:rPr>
              <w:br/>
            </w: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203950289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203950289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9,222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9,248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3950289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203950289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73,579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(783)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74,445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3950289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3950289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74,552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1,855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(783)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75,622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3950289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11,015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(56)</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11,274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39502892"/>
        </w:trPr>
        <w:tc>
          <w:tcPr>
            <w:tcW w:w="0" w:type="auto"/>
            <w:gridSpan w:val="3"/>
            <w:shd w:val="clear" w:color="auto" w:fill="FFFFFF"/>
            <w:tcMar>
              <w:top w:w="30" w:type="dxa"/>
              <w:left w:w="20" w:type="dxa"/>
              <w:bottom w:w="30" w:type="dxa"/>
              <w:right w:w="20" w:type="dxa"/>
            </w:tcMar>
            <w:vAlign w:val="center"/>
            <w:hideMark/>
          </w:tcPr>
          <w:p w:rsidR="00000000" w:rsidRDefault="00E92DBE">
            <w:pPr>
              <w:divId w:val="444277544"/>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3950289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97,802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99,165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206"/>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9"/>
        <w:gridCol w:w="144"/>
      </w:tblGrid>
      <w:tr w:rsidR="00000000">
        <w:tc>
          <w:tcPr>
            <w:tcW w:w="50" w:type="pct"/>
            <w:vAlign w:val="center"/>
            <w:hideMark/>
          </w:tcPr>
          <w:p w:rsidR="00000000" w:rsidRDefault="00E92DBE">
            <w:pPr>
              <w:rPr>
                <w:rFonts w:eastAsia="Times New Roman"/>
              </w:rPr>
            </w:pPr>
          </w:p>
        </w:tc>
        <w:tc>
          <w:tcPr>
            <w:tcW w:w="253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27"/>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for Credit</w:t>
            </w:r>
            <w:r>
              <w:rPr>
                <w:rFonts w:eastAsia="Times New Roman"/>
                <w:b/>
                <w:bCs/>
                <w:color w:val="000000"/>
                <w:sz w:val="16"/>
                <w:szCs w:val="16"/>
              </w:rPr>
              <w:br/>
              <w: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9,302 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9,318 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73,248 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2,326 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75,466 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1,035 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1,237 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74,283 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76,703 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11,298 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448 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11,735 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divId w:val="1106534137"/>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2,686 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2,689 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97,569 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2,997 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100,445 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938488724"/>
        <w:rPr>
          <w:rFonts w:eastAsia="Times New Roman"/>
        </w:rPr>
      </w:pPr>
      <w:r>
        <w:rPr>
          <w:rFonts w:eastAsia="Times New Roman"/>
          <w:b/>
          <w:bCs/>
          <w:color w:val="000000"/>
          <w:sz w:val="18"/>
          <w:szCs w:val="18"/>
        </w:rPr>
        <w:t>__________    </w:t>
      </w:r>
    </w:p>
    <w:p w:rsidR="00000000" w:rsidRDefault="00E92DBE">
      <w:pPr>
        <w:ind w:hanging="360"/>
        <w:jc w:val="both"/>
        <w:divId w:val="116296713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$2.1 billion and $1.8 billion of asset-backed securities (“ABS”) as of March 31, 2021, and December 31, 2020, respectively. The remaining amount is primarily comprised of supra</w:t>
      </w:r>
      <w:r>
        <w:rPr>
          <w:rFonts w:eastAsia="Times New Roman"/>
          <w:color w:val="000000"/>
          <w:sz w:val="16"/>
          <w:szCs w:val="16"/>
        </w:rPr>
        <w:t>national bonds and foreign government bonds.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64586695"/>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464586695"/>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464586695"/>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73</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98" style="width:0;height:1.5pt" o:hralign="center" o:hrstd="t" o:hr="t" fillcolor="#a0a0a0" stroked="f"/>
        </w:pict>
      </w:r>
    </w:p>
    <w:p w:rsidR="00000000" w:rsidRDefault="00E92DBE">
      <w:pPr>
        <w:jc w:val="both"/>
        <w:divId w:val="2069959734"/>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2069959734"/>
        <w:rPr>
          <w:rFonts w:eastAsia="Times New Roman"/>
        </w:rPr>
      </w:pPr>
    </w:p>
    <w:p w:rsidR="00000000" w:rsidRDefault="00E92DBE">
      <w:pPr>
        <w:divId w:val="1655524334"/>
        <w:rPr>
          <w:rFonts w:eastAsia="Times New Roman"/>
        </w:rPr>
      </w:pPr>
      <w:r>
        <w:rPr>
          <w:rFonts w:eastAsia="Times New Roman"/>
          <w:b/>
          <w:bCs/>
          <w:color w:val="000000"/>
          <w:sz w:val="20"/>
          <w:szCs w:val="20"/>
        </w:rPr>
        <w:t>Investment Securities in a Gross Unrealized Loss Position</w:t>
      </w:r>
    </w:p>
    <w:p w:rsidR="00000000" w:rsidRDefault="00E92DBE">
      <w:pPr>
        <w:jc w:val="both"/>
        <w:divId w:val="2136825385"/>
        <w:rPr>
          <w:rFonts w:eastAsia="Times New Roman"/>
        </w:rPr>
      </w:pPr>
      <w:r>
        <w:rPr>
          <w:rFonts w:eastAsia="Times New Roman"/>
          <w:color w:val="000000"/>
          <w:sz w:val="20"/>
          <w:szCs w:val="20"/>
        </w:rPr>
        <w:t xml:space="preserve">The table below provides the gross unrealized losses and fair value of our securities available for sale aggregated by major security type and the length of time that individual securities have been in a continuous unrealized loss position as of March 31, </w:t>
      </w:r>
      <w:r>
        <w:rPr>
          <w:rFonts w:eastAsia="Times New Roman"/>
          <w:color w:val="000000"/>
          <w:sz w:val="20"/>
          <w:szCs w:val="20"/>
        </w:rPr>
        <w:t xml:space="preserve">2021 and December 31, 2020. The amounts include securities available for sale without an allowance for credit losses. </w:t>
      </w:r>
    </w:p>
    <w:p w:rsidR="00000000" w:rsidRDefault="00E92DBE">
      <w:pPr>
        <w:divId w:val="2064595314"/>
        <w:rPr>
          <w:rFonts w:eastAsia="Times New Roman"/>
        </w:rPr>
      </w:pPr>
      <w:r>
        <w:rPr>
          <w:rFonts w:eastAsia="Times New Roman"/>
          <w:b/>
          <w:bCs/>
          <w:color w:val="000000"/>
          <w:sz w:val="18"/>
          <w:szCs w:val="18"/>
        </w:rPr>
        <w:t>Table 2.2: Securities in a Gross Unrealized Loss Position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5"/>
        <w:gridCol w:w="37"/>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trPr>
          <w:divId w:val="1756976100"/>
        </w:trPr>
        <w:tc>
          <w:tcPr>
            <w:tcW w:w="50" w:type="pct"/>
            <w:vAlign w:val="center"/>
            <w:hideMark/>
          </w:tcPr>
          <w:p w:rsidR="00000000" w:rsidRDefault="00E92DBE">
            <w:pPr>
              <w:rPr>
                <w:rFonts w:eastAsia="Times New Roman"/>
              </w:rPr>
            </w:pPr>
          </w:p>
        </w:tc>
        <w:tc>
          <w:tcPr>
            <w:tcW w:w="213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75697610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r>
      <w:tr w:rsidR="00000000">
        <w:trPr>
          <w:divId w:val="175697610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p>
        </w:tc>
      </w:tr>
      <w:tr w:rsidR="00000000">
        <w:trPr>
          <w:divId w:val="175697610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w:t>
            </w:r>
            <w:r>
              <w:rPr>
                <w:rFonts w:eastAsia="Times New Roman"/>
                <w:b/>
                <w:bCs/>
                <w:color w:val="000000"/>
                <w:sz w:val="16"/>
                <w:szCs w:val="16"/>
              </w:rPr>
              <w:br/>
            </w:r>
            <w:r>
              <w:rPr>
                <w:rFonts w:eastAsia="Times New Roman"/>
                <w:b/>
                <w:bCs/>
                <w:color w:val="000000"/>
                <w:sz w:val="16"/>
                <w:szCs w:val="16"/>
              </w:rPr>
              <w:t>Unrealized</w:t>
            </w:r>
            <w:r>
              <w:rPr>
                <w:rFonts w:eastAsia="Times New Roman"/>
                <w:b/>
                <w:bCs/>
                <w:color w:val="000000"/>
                <w:sz w:val="16"/>
                <w:szCs w:val="16"/>
              </w:rPr>
              <w:br/>
              <w:t>Losses</w:t>
            </w:r>
          </w:p>
        </w:tc>
      </w:tr>
      <w:tr w:rsidR="00000000">
        <w:trPr>
          <w:divId w:val="175697610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5697610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5697610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56976100"/>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Agency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33,027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w:t>
            </w:r>
            <w:r>
              <w:rPr>
                <w:rFonts w:eastAsia="Times New Roman"/>
                <w:b/>
                <w:bCs/>
                <w:color w:val="000000"/>
                <w:sz w:val="18"/>
                <w:szCs w:val="18"/>
              </w:rPr>
              <w:t>733)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34,585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(783)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56976100"/>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Non-agency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5697610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RMBS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33,037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34,596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(783)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5697610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Agency CMBS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56976100"/>
        </w:trPr>
        <w:tc>
          <w:tcPr>
            <w:tcW w:w="0" w:type="auto"/>
            <w:gridSpan w:val="3"/>
            <w:shd w:val="clear" w:color="auto" w:fill="CCEEFF"/>
            <w:tcMar>
              <w:top w:w="30" w:type="dxa"/>
              <w:left w:w="20" w:type="dxa"/>
              <w:bottom w:w="30" w:type="dxa"/>
              <w:right w:w="20" w:type="dxa"/>
            </w:tcMar>
            <w:vAlign w:val="center"/>
            <w:hideMark/>
          </w:tcPr>
          <w:p w:rsidR="00000000" w:rsidRDefault="00E92DBE">
            <w:pPr>
              <w:divId w:val="1349022576"/>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56976100"/>
        </w:trPr>
        <w:tc>
          <w:tcPr>
            <w:tcW w:w="0" w:type="auto"/>
            <w:gridSpan w:val="3"/>
            <w:shd w:val="clear" w:color="auto" w:fill="FFFFFF"/>
            <w:tcMar>
              <w:top w:w="30" w:type="dxa"/>
              <w:left w:w="20" w:type="dxa"/>
              <w:bottom w:w="30" w:type="dxa"/>
              <w:right w:w="20" w:type="dxa"/>
            </w:tcMar>
            <w:vAlign w:val="bottom"/>
            <w:hideMark/>
          </w:tcPr>
          <w:p w:rsidR="00000000" w:rsidRDefault="00E92DBE">
            <w:pPr>
              <w:divId w:val="1152527772"/>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35,491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(789)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1,714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37,205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(839)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bl>
    <w:p w:rsidR="00000000" w:rsidRDefault="00E92DBE">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5"/>
        <w:gridCol w:w="37"/>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trPr>
          <w:divId w:val="2041398962"/>
        </w:trPr>
        <w:tc>
          <w:tcPr>
            <w:tcW w:w="50" w:type="pct"/>
            <w:vAlign w:val="center"/>
            <w:hideMark/>
          </w:tcPr>
          <w:p w:rsidR="00000000" w:rsidRDefault="00E92DBE">
            <w:pPr>
              <w:jc w:val="both"/>
              <w:rPr>
                <w:rFonts w:eastAsia="Times New Roman"/>
              </w:rPr>
            </w:pPr>
          </w:p>
        </w:tc>
        <w:tc>
          <w:tcPr>
            <w:tcW w:w="213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2041398962"/>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204139896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p>
        </w:tc>
      </w:tr>
      <w:tr w:rsidR="00000000">
        <w:trPr>
          <w:divId w:val="2041398962"/>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trPr>
          <w:divId w:val="204139896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204139896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4139896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204139896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Agency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7,424 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(57)</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1,791 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9,215 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4139896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Non-agency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4139896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RMBS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7,436 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9,227 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4139896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Agency CMBS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1,545 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1,812 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41398962"/>
        </w:trPr>
        <w:tc>
          <w:tcPr>
            <w:tcW w:w="0" w:type="auto"/>
            <w:gridSpan w:val="3"/>
            <w:shd w:val="clear" w:color="auto" w:fill="CCEEFF"/>
            <w:tcMar>
              <w:top w:w="30" w:type="dxa"/>
              <w:left w:w="20" w:type="dxa"/>
              <w:bottom w:w="30" w:type="dxa"/>
              <w:right w:w="20" w:type="dxa"/>
            </w:tcMar>
            <w:vAlign w:val="center"/>
            <w:hideMark/>
          </w:tcPr>
          <w:p w:rsidR="00000000" w:rsidRDefault="00E92DBE">
            <w:pPr>
              <w:divId w:val="1789619113"/>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41398962"/>
        </w:trPr>
        <w:tc>
          <w:tcPr>
            <w:tcW w:w="0" w:type="auto"/>
            <w:gridSpan w:val="3"/>
            <w:shd w:val="clear" w:color="auto" w:fill="FFFFFF"/>
            <w:tcMar>
              <w:top w:w="30" w:type="dxa"/>
              <w:left w:w="20" w:type="dxa"/>
              <w:bottom w:w="30" w:type="dxa"/>
              <w:right w:w="20" w:type="dxa"/>
            </w:tcMar>
            <w:vAlign w:val="bottom"/>
            <w:hideMark/>
          </w:tcPr>
          <w:p w:rsidR="00000000" w:rsidRDefault="00E92DBE">
            <w:pPr>
              <w:divId w:val="1739861724"/>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9,095 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2,059 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11,154 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bl>
    <w:p w:rsidR="00000000" w:rsidRDefault="00E92DBE">
      <w:pPr>
        <w:divId w:val="663780300"/>
        <w:rPr>
          <w:rFonts w:eastAsia="Times New Roman"/>
        </w:rPr>
      </w:pPr>
      <w:r>
        <w:rPr>
          <w:rFonts w:eastAsia="Times New Roman"/>
          <w:color w:val="000000"/>
          <w:sz w:val="20"/>
          <w:szCs w:val="20"/>
        </w:rPr>
        <w:t>__________</w:t>
      </w:r>
    </w:p>
    <w:p w:rsidR="00000000" w:rsidRDefault="00E92DBE">
      <w:pPr>
        <w:ind w:hanging="360"/>
        <w:jc w:val="both"/>
        <w:divId w:val="179687512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w:t>
      </w:r>
      <w:r>
        <w:rPr>
          <w:rFonts w:eastAsia="Times New Roman"/>
          <w:color w:val="000000"/>
          <w:sz w:val="16"/>
          <w:szCs w:val="16"/>
        </w:rPr>
        <w:t>Includes primarily other asset-backed securities, foreign government bonds, and supranational bonds.</w:t>
      </w:r>
    </w:p>
    <w:p w:rsidR="00000000" w:rsidRDefault="00E92DBE">
      <w:pPr>
        <w:ind w:hanging="360"/>
        <w:jc w:val="both"/>
        <w:divId w:val="111602399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Consists of approxima</w:t>
      </w:r>
      <w:r>
        <w:rPr>
          <w:rFonts w:eastAsia="Times New Roman"/>
          <w:color w:val="000000"/>
          <w:sz w:val="16"/>
          <w:szCs w:val="16"/>
          <w:shd w:val="clear" w:color="auto" w:fill="FFFFFF"/>
        </w:rPr>
        <w:t xml:space="preserve">tely </w:t>
      </w:r>
      <w:r>
        <w:rPr>
          <w:rFonts w:eastAsia="Times New Roman"/>
          <w:color w:val="000000"/>
          <w:sz w:val="16"/>
          <w:szCs w:val="16"/>
        </w:rPr>
        <w:t>540 and 320 se</w:t>
      </w:r>
      <w:r>
        <w:rPr>
          <w:rFonts w:eastAsia="Times New Roman"/>
          <w:color w:val="000000"/>
          <w:sz w:val="16"/>
          <w:szCs w:val="16"/>
          <w:shd w:val="clear" w:color="auto" w:fill="FFFFFF"/>
        </w:rPr>
        <w:t>cur</w:t>
      </w:r>
      <w:r>
        <w:rPr>
          <w:rFonts w:eastAsia="Times New Roman"/>
          <w:color w:val="000000"/>
          <w:sz w:val="16"/>
          <w:szCs w:val="16"/>
        </w:rPr>
        <w:t>ities in gross unrealized loss positions as of March 31, 2021 and December 31, 2020,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07199064"/>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2007199064"/>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2007199064"/>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74</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099" style="width:0;height:1.5pt" o:hralign="center" o:hrstd="t" o:hr="t" fillcolor="#a0a0a0" stroked="f"/>
        </w:pict>
      </w:r>
    </w:p>
    <w:p w:rsidR="00000000" w:rsidRDefault="00E92DBE">
      <w:pPr>
        <w:jc w:val="both"/>
        <w:divId w:val="706029881"/>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706029881"/>
        <w:rPr>
          <w:rFonts w:eastAsia="Times New Roman"/>
        </w:rPr>
      </w:pPr>
    </w:p>
    <w:p w:rsidR="00000000" w:rsidRDefault="00E92DBE">
      <w:pPr>
        <w:divId w:val="98529641"/>
        <w:rPr>
          <w:rFonts w:eastAsia="Times New Roman"/>
        </w:rPr>
      </w:pPr>
      <w:r>
        <w:rPr>
          <w:rFonts w:eastAsia="Times New Roman"/>
          <w:b/>
          <w:bCs/>
          <w:color w:val="000000"/>
          <w:sz w:val="20"/>
          <w:szCs w:val="20"/>
        </w:rPr>
        <w:t>Maturities and Yields of Investment Securities</w:t>
      </w:r>
    </w:p>
    <w:p w:rsidR="00000000" w:rsidRDefault="00E92DBE">
      <w:pPr>
        <w:jc w:val="both"/>
        <w:divId w:val="2017228975"/>
        <w:rPr>
          <w:rFonts w:eastAsia="Times New Roman"/>
        </w:rPr>
      </w:pPr>
      <w:r>
        <w:rPr>
          <w:rFonts w:eastAsia="Times New Roman"/>
          <w:color w:val="000000"/>
          <w:sz w:val="20"/>
          <w:szCs w:val="20"/>
        </w:rPr>
        <w:t>The table below summarizes, by major security type, the contractual maturities and weighted-average yields of our investment securities as of March 31, 2021. Because borrowers may have the right to call or prepay certain obligations, the expected maturitie</w:t>
      </w:r>
      <w:r>
        <w:rPr>
          <w:rFonts w:eastAsia="Times New Roman"/>
          <w:color w:val="000000"/>
          <w:sz w:val="20"/>
          <w:szCs w:val="20"/>
        </w:rPr>
        <w:t>s of our securities are likely to differ from the scheduled contractual maturities presented below. The weighted-average yield below represents the effective yield for the investment securities and is calculated based on the amortized cost of each security</w:t>
      </w:r>
      <w:r>
        <w:rPr>
          <w:rFonts w:eastAsia="Times New Roman"/>
          <w:color w:val="000000"/>
          <w:sz w:val="20"/>
          <w:szCs w:val="20"/>
        </w:rPr>
        <w:t>.</w:t>
      </w:r>
    </w:p>
    <w:p w:rsidR="00000000" w:rsidRDefault="00E92DBE">
      <w:pPr>
        <w:divId w:val="93525859"/>
        <w:rPr>
          <w:rFonts w:eastAsia="Times New Roman"/>
        </w:rPr>
      </w:pPr>
      <w:r>
        <w:rPr>
          <w:rFonts w:eastAsia="Times New Roman"/>
          <w:b/>
          <w:bCs/>
          <w:color w:val="000000"/>
          <w:sz w:val="18"/>
          <w:szCs w:val="18"/>
        </w:rPr>
        <w:t>Table 2.3: Contractual Maturities and Weighted-Average Yields of Securities</w:t>
      </w:r>
    </w:p>
    <w:tbl>
      <w:tblPr>
        <w:tblW w:w="4985" w:type="pct"/>
        <w:tblCellMar>
          <w:top w:w="15" w:type="dxa"/>
          <w:left w:w="15" w:type="dxa"/>
          <w:bottom w:w="15" w:type="dxa"/>
          <w:right w:w="15" w:type="dxa"/>
        </w:tblCellMar>
        <w:tblLook w:val="04A0" w:firstRow="1" w:lastRow="0" w:firstColumn="1" w:lastColumn="0" w:noHBand="0" w:noVBand="1"/>
      </w:tblPr>
      <w:tblGrid>
        <w:gridCol w:w="39"/>
        <w:gridCol w:w="3329"/>
        <w:gridCol w:w="38"/>
        <w:gridCol w:w="36"/>
        <w:gridCol w:w="36"/>
        <w:gridCol w:w="36"/>
        <w:gridCol w:w="110"/>
        <w:gridCol w:w="556"/>
        <w:gridCol w:w="200"/>
        <w:gridCol w:w="36"/>
        <w:gridCol w:w="36"/>
        <w:gridCol w:w="36"/>
        <w:gridCol w:w="110"/>
        <w:gridCol w:w="556"/>
        <w:gridCol w:w="200"/>
        <w:gridCol w:w="36"/>
        <w:gridCol w:w="36"/>
        <w:gridCol w:w="36"/>
        <w:gridCol w:w="110"/>
        <w:gridCol w:w="557"/>
        <w:gridCol w:w="200"/>
        <w:gridCol w:w="36"/>
        <w:gridCol w:w="36"/>
        <w:gridCol w:w="36"/>
        <w:gridCol w:w="110"/>
        <w:gridCol w:w="558"/>
        <w:gridCol w:w="200"/>
        <w:gridCol w:w="36"/>
        <w:gridCol w:w="36"/>
        <w:gridCol w:w="36"/>
        <w:gridCol w:w="110"/>
        <w:gridCol w:w="558"/>
        <w:gridCol w:w="200"/>
      </w:tblGrid>
      <w:tr w:rsidR="00000000">
        <w:trPr>
          <w:divId w:val="843128132"/>
        </w:trPr>
        <w:tc>
          <w:tcPr>
            <w:tcW w:w="50" w:type="pct"/>
            <w:vAlign w:val="center"/>
            <w:hideMark/>
          </w:tcPr>
          <w:p w:rsidR="00000000" w:rsidRDefault="00E92DBE">
            <w:pPr>
              <w:rPr>
                <w:rFonts w:eastAsia="Times New Roman"/>
              </w:rPr>
            </w:pPr>
          </w:p>
        </w:tc>
        <w:tc>
          <w:tcPr>
            <w:tcW w:w="21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843128132"/>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r>
      <w:tr w:rsidR="00000000">
        <w:trPr>
          <w:divId w:val="843128132"/>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xml:space="preserve">Due in </w:t>
            </w:r>
            <w:r>
              <w:rPr>
                <w:rFonts w:eastAsia="Times New Roman"/>
                <w:b/>
                <w:bCs/>
                <w:color w:val="000000"/>
                <w:sz w:val="16"/>
                <w:szCs w:val="16"/>
              </w:rPr>
              <w:br/>
              <w:t>1 Year or Less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Due &gt; 1 Year</w:t>
            </w:r>
            <w:r>
              <w:rPr>
                <w:rFonts w:eastAsia="Times New Roman"/>
                <w:b/>
                <w:bCs/>
                <w:color w:val="000000"/>
                <w:sz w:val="16"/>
                <w:szCs w:val="16"/>
              </w:rPr>
              <w:br/>
              <w:t>through</w:t>
            </w:r>
            <w:r>
              <w:rPr>
                <w:rFonts w:eastAsia="Times New Roman"/>
                <w:b/>
                <w:bCs/>
                <w:color w:val="000000"/>
                <w:sz w:val="16"/>
                <w:szCs w:val="16"/>
              </w:rPr>
              <w:br/>
              <w:t>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xml:space="preserve">Due &gt; </w:t>
            </w:r>
            <w:r>
              <w:rPr>
                <w:rFonts w:eastAsia="Times New Roman"/>
                <w:b/>
                <w:bCs/>
                <w:color w:val="000000"/>
                <w:sz w:val="16"/>
                <w:szCs w:val="16"/>
              </w:rPr>
              <w:t>5 Years</w:t>
            </w:r>
            <w:r>
              <w:rPr>
                <w:rFonts w:eastAsia="Times New Roman"/>
                <w:b/>
                <w:bCs/>
                <w:color w:val="000000"/>
                <w:sz w:val="16"/>
                <w:szCs w:val="16"/>
              </w:rPr>
              <w:br/>
              <w:t>through</w:t>
            </w:r>
            <w:r>
              <w:rPr>
                <w:rFonts w:eastAsia="Times New Roman"/>
                <w:b/>
                <w:bCs/>
                <w:color w:val="000000"/>
                <w:sz w:val="16"/>
                <w:szCs w:val="16"/>
              </w:rPr>
              <w:br/>
              <w:t>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Due &gt; 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p>
        </w:tc>
      </w:tr>
      <w:tr w:rsidR="00000000">
        <w:trPr>
          <w:divId w:val="8431281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Fair value of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4312813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9,047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9,248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3128132"/>
        </w:trPr>
        <w:tc>
          <w:tcPr>
            <w:tcW w:w="0" w:type="auto"/>
            <w:gridSpan w:val="3"/>
            <w:shd w:val="clear" w:color="auto" w:fill="CCEEFF"/>
            <w:tcMar>
              <w:top w:w="30" w:type="dxa"/>
              <w:left w:w="20" w:type="dxa"/>
              <w:bottom w:w="30" w:type="dxa"/>
              <w:right w:w="20" w:type="dxa"/>
            </w:tcMar>
            <w:vAlign w:val="center"/>
            <w:hideMark/>
          </w:tcPr>
          <w:p w:rsidR="00000000" w:rsidRDefault="00E92DBE">
            <w:pPr>
              <w:divId w:val="1316690943"/>
              <w:rPr>
                <w:rFonts w:eastAsia="Times New Roman"/>
              </w:rPr>
            </w:pPr>
            <w:r>
              <w:rPr>
                <w:rFonts w:eastAsia="Times New Roman"/>
                <w:color w:val="000000"/>
                <w:sz w:val="18"/>
                <w:szCs w:val="18"/>
              </w:rPr>
              <w:t>RMB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4312813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1,210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73,164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74,445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312813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312813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1,210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74,341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75,622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3128132"/>
        </w:trPr>
        <w:tc>
          <w:tcPr>
            <w:tcW w:w="0" w:type="auto"/>
            <w:gridSpan w:val="3"/>
            <w:shd w:val="clear" w:color="auto" w:fill="CCEEFF"/>
            <w:tcMar>
              <w:top w:w="30" w:type="dxa"/>
              <w:left w:w="20" w:type="dxa"/>
              <w:bottom w:w="30" w:type="dxa"/>
              <w:right w:w="20" w:type="dxa"/>
            </w:tcMar>
            <w:vAlign w:val="center"/>
            <w:hideMark/>
          </w:tcPr>
          <w:p w:rsidR="00000000" w:rsidRDefault="00E92DBE">
            <w:pPr>
              <w:divId w:val="499202309"/>
              <w:rPr>
                <w:rFonts w:eastAsia="Times New Roman"/>
              </w:rPr>
            </w:pPr>
            <w:r>
              <w:rPr>
                <w:rFonts w:eastAsia="Times New Roman"/>
                <w:color w:val="000000"/>
                <w:sz w:val="18"/>
                <w:szCs w:val="18"/>
              </w:rPr>
              <w:t>Agency CMB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2,961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5,063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3,041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11,274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312813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2,214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3,021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312813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14,293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6,538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77,382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99,165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312813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Amortized cost of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949</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14,206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6,411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76,236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97,802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312813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Weighted-average yield for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w:t>
            </w:r>
          </w:p>
        </w:tc>
      </w:tr>
      <w:tr w:rsidR="00000000">
        <w:trPr>
          <w:divId w:val="843128132"/>
        </w:trPr>
        <w:tc>
          <w:tcPr>
            <w:tcW w:w="0" w:type="auto"/>
            <w:gridSpan w:val="3"/>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84312813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84312813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84312813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84312813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84312813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84312813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1223370055"/>
        <w:rPr>
          <w:rFonts w:eastAsia="Times New Roman"/>
        </w:rPr>
      </w:pPr>
      <w:r>
        <w:rPr>
          <w:rFonts w:eastAsia="Times New Roman"/>
          <w:color w:val="000000"/>
          <w:sz w:val="20"/>
          <w:szCs w:val="20"/>
        </w:rPr>
        <w:t>__________</w:t>
      </w:r>
    </w:p>
    <w:p w:rsidR="00000000" w:rsidRDefault="00E92DBE">
      <w:pPr>
        <w:ind w:hanging="360"/>
        <w:jc w:val="both"/>
        <w:divId w:val="85126631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As of March 31, 2021, the weighted-average expected maturities of RMBS and Agency CMBS are 5.8 years and 5.6 years, respectively.</w:t>
      </w:r>
    </w:p>
    <w:p w:rsidR="00000000" w:rsidRDefault="00E92DBE">
      <w:pPr>
        <w:divId w:val="678388263"/>
        <w:rPr>
          <w:rFonts w:eastAsia="Times New Roman"/>
        </w:rPr>
      </w:pPr>
      <w:r>
        <w:rPr>
          <w:rFonts w:eastAsia="Times New Roman"/>
          <w:b/>
          <w:bCs/>
          <w:color w:val="000000"/>
          <w:sz w:val="20"/>
          <w:szCs w:val="20"/>
        </w:rPr>
        <w:t>Net Securities Gains or Losses and Proceeds from Sales</w:t>
      </w:r>
    </w:p>
    <w:p w:rsidR="00000000" w:rsidRDefault="00E92DBE">
      <w:pPr>
        <w:jc w:val="both"/>
        <w:divId w:val="87971278"/>
        <w:rPr>
          <w:rFonts w:eastAsia="Times New Roman"/>
        </w:rPr>
      </w:pPr>
      <w:r>
        <w:rPr>
          <w:rFonts w:eastAsia="Times New Roman"/>
          <w:color w:val="000000"/>
          <w:sz w:val="20"/>
          <w:szCs w:val="20"/>
        </w:rPr>
        <w:t>Total proceeds from sales of our securities were $595 million and $144 </w:t>
      </w:r>
      <w:r>
        <w:rPr>
          <w:rFonts w:eastAsia="Times New Roman"/>
          <w:color w:val="000000"/>
          <w:sz w:val="20"/>
          <w:szCs w:val="20"/>
        </w:rPr>
        <w:t xml:space="preserve">million for the three months ended March 31, 2021 and 2020, respectively. We recognized gains of $4 million and less than $1 million from the sales for the three months ended March 31, 2021 and 2020, respectively. </w:t>
      </w:r>
    </w:p>
    <w:p w:rsidR="00000000" w:rsidRDefault="00E92DBE">
      <w:pPr>
        <w:divId w:val="1888489837"/>
        <w:rPr>
          <w:rFonts w:eastAsia="Times New Roman"/>
        </w:rPr>
      </w:pPr>
      <w:r>
        <w:rPr>
          <w:rFonts w:eastAsia="Times New Roman"/>
          <w:b/>
          <w:bCs/>
          <w:color w:val="000000"/>
          <w:sz w:val="20"/>
          <w:szCs w:val="20"/>
        </w:rPr>
        <w:t>Securities Pledged and Received</w:t>
      </w:r>
    </w:p>
    <w:p w:rsidR="00000000" w:rsidRDefault="00E92DBE">
      <w:pPr>
        <w:jc w:val="both"/>
        <w:divId w:val="135420698"/>
        <w:rPr>
          <w:rFonts w:eastAsia="Times New Roman"/>
        </w:rPr>
      </w:pPr>
      <w:r>
        <w:rPr>
          <w:rFonts w:eastAsia="Times New Roman"/>
          <w:color w:val="000000"/>
          <w:sz w:val="20"/>
          <w:szCs w:val="20"/>
        </w:rPr>
        <w:t>We pledge</w:t>
      </w:r>
      <w:r>
        <w:rPr>
          <w:rFonts w:eastAsia="Times New Roman"/>
          <w:color w:val="000000"/>
          <w:sz w:val="20"/>
          <w:szCs w:val="20"/>
        </w:rPr>
        <w:t>d investment securities totaling $16.8 billion and $16.5 billion as of March 31, 2021 and December 31, 2020, respectively. These securities are primarily pledged to secure FHLB advances and Public Funds deposits, as well as for other purposes as required o</w:t>
      </w:r>
      <w:r>
        <w:rPr>
          <w:rFonts w:eastAsia="Times New Roman"/>
          <w:color w:val="000000"/>
          <w:sz w:val="20"/>
          <w:szCs w:val="20"/>
        </w:rPr>
        <w:t>r permitted by law. We accepted pledges of securities with a fair value of approximately $1 million as of both March 31, 2021 and December 31, 2020, related to our derivative transactions.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83664837"/>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183664837"/>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183664837"/>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75</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00" style="width:0;height:1.5pt" o:hralign="center" o:hrstd="t" o:hr="t" fillcolor="#a0a0a0" stroked="f"/>
        </w:pict>
      </w:r>
    </w:p>
    <w:p w:rsidR="00000000" w:rsidRDefault="00E92DBE">
      <w:pPr>
        <w:jc w:val="both"/>
        <w:divId w:val="640113352"/>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64011335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17933349"/>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91793334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NOTE 3—LOANS</w:t>
            </w:r>
          </w:p>
        </w:tc>
      </w:tr>
    </w:tbl>
    <w:p w:rsidR="00000000" w:rsidRDefault="00E92DBE">
      <w:pPr>
        <w:jc w:val="both"/>
        <w:divId w:val="1491141418"/>
        <w:rPr>
          <w:rFonts w:eastAsia="Times New Roman"/>
        </w:rPr>
      </w:pPr>
      <w:r>
        <w:rPr>
          <w:rFonts w:eastAsia="Times New Roman"/>
          <w:color w:val="000000"/>
          <w:sz w:val="20"/>
          <w:szCs w:val="20"/>
        </w:rPr>
        <w:t xml:space="preserve">Our loan portfolio consists of loans held for investment, including loans held in our consolidated trusts, and loans held for sale. We further divide our loans held for investment into three portfolio segments: credit card, consumer banking and commercial </w:t>
      </w:r>
      <w:r>
        <w:rPr>
          <w:rFonts w:eastAsia="Times New Roman"/>
          <w:color w:val="000000"/>
          <w:sz w:val="20"/>
          <w:szCs w:val="20"/>
        </w:rPr>
        <w:t>banking. Credit card loans consist of domestic and international credit card loans. Consumer banking loans consist of auto and retail banking loans. Commercial banking loans consist of commercial and multifamily real estate as well as commercial and indust</w:t>
      </w:r>
      <w:r>
        <w:rPr>
          <w:rFonts w:eastAsia="Times New Roman"/>
          <w:color w:val="000000"/>
          <w:sz w:val="20"/>
          <w:szCs w:val="20"/>
        </w:rPr>
        <w:t>rial loans. The information presented in this section excludes loans held for sale, which are carried at either fair value (if we elect the fair value option) or at the lower of cost or fair value. Amounts include the impacts of COVID-19 customer assistanc</w:t>
      </w:r>
      <w:r>
        <w:rPr>
          <w:rFonts w:eastAsia="Times New Roman"/>
          <w:color w:val="000000"/>
          <w:sz w:val="20"/>
          <w:szCs w:val="20"/>
        </w:rPr>
        <w:t>e programs where applicable.</w:t>
      </w:r>
    </w:p>
    <w:p w:rsidR="00000000" w:rsidRDefault="00E92DBE">
      <w:pPr>
        <w:jc w:val="both"/>
        <w:divId w:val="1486161628"/>
        <w:rPr>
          <w:rFonts w:eastAsia="Times New Roman"/>
        </w:rPr>
      </w:pPr>
      <w:r>
        <w:rPr>
          <w:rFonts w:eastAsia="Times New Roman"/>
          <w:color w:val="000000"/>
          <w:sz w:val="20"/>
          <w:szCs w:val="20"/>
        </w:rPr>
        <w:t>Accrued interest receivable of</w:t>
      </w:r>
      <w:r>
        <w:rPr>
          <w:rFonts w:eastAsia="Times New Roman"/>
          <w:color w:val="000000"/>
          <w:sz w:val="20"/>
          <w:szCs w:val="20"/>
          <w:shd w:val="clear" w:color="auto" w:fill="FFFFFF"/>
        </w:rPr>
        <w:t xml:space="preserve"> </w:t>
      </w:r>
      <w:r>
        <w:rPr>
          <w:rFonts w:eastAsia="Times New Roman"/>
          <w:color w:val="000000"/>
          <w:sz w:val="20"/>
          <w:szCs w:val="20"/>
        </w:rPr>
        <w:t>$1.1 billion and $1.2 billion as of March 31, 2021 and December 31, 2020, respectively, is not included in the tables in this note. The table below presents the composition and aging analysis of o</w:t>
      </w:r>
      <w:r>
        <w:rPr>
          <w:rFonts w:eastAsia="Times New Roman"/>
          <w:color w:val="000000"/>
          <w:sz w:val="20"/>
          <w:szCs w:val="20"/>
        </w:rPr>
        <w:t xml:space="preserve">ur loans held for investment portfolio as of March 31, 2021 and December 31, 2020. The delinquency aging includes all past due loans, both performing and nonperforming. </w:t>
      </w:r>
    </w:p>
    <w:p w:rsidR="00000000" w:rsidRDefault="00E92DBE">
      <w:pPr>
        <w:divId w:val="604506761"/>
        <w:rPr>
          <w:rFonts w:eastAsia="Times New Roman"/>
        </w:rPr>
      </w:pPr>
      <w:r>
        <w:rPr>
          <w:rFonts w:eastAsia="Times New Roman"/>
          <w:b/>
          <w:bCs/>
          <w:color w:val="000000"/>
          <w:sz w:val="18"/>
          <w:szCs w:val="18"/>
        </w:rPr>
        <w:t>Table 3.1: Loan Portfolio Composition and Aging Analysis</w:t>
      </w:r>
    </w:p>
    <w:tbl>
      <w:tblPr>
        <w:tblW w:w="5000" w:type="pct"/>
        <w:tblCellMar>
          <w:top w:w="15" w:type="dxa"/>
          <w:left w:w="15" w:type="dxa"/>
          <w:bottom w:w="15" w:type="dxa"/>
          <w:right w:w="15" w:type="dxa"/>
        </w:tblCellMar>
        <w:tblLook w:val="04A0" w:firstRow="1" w:lastRow="0" w:firstColumn="1" w:lastColumn="0" w:noHBand="0" w:noVBand="1"/>
      </w:tblPr>
      <w:tblGrid>
        <w:gridCol w:w="40"/>
        <w:gridCol w:w="2321"/>
        <w:gridCol w:w="38"/>
        <w:gridCol w:w="36"/>
        <w:gridCol w:w="36"/>
        <w:gridCol w:w="36"/>
        <w:gridCol w:w="110"/>
        <w:gridCol w:w="630"/>
        <w:gridCol w:w="200"/>
        <w:gridCol w:w="36"/>
        <w:gridCol w:w="36"/>
        <w:gridCol w:w="36"/>
        <w:gridCol w:w="110"/>
        <w:gridCol w:w="466"/>
        <w:gridCol w:w="200"/>
        <w:gridCol w:w="36"/>
        <w:gridCol w:w="36"/>
        <w:gridCol w:w="36"/>
        <w:gridCol w:w="110"/>
        <w:gridCol w:w="475"/>
        <w:gridCol w:w="200"/>
        <w:gridCol w:w="36"/>
        <w:gridCol w:w="36"/>
        <w:gridCol w:w="36"/>
        <w:gridCol w:w="110"/>
        <w:gridCol w:w="476"/>
        <w:gridCol w:w="200"/>
        <w:gridCol w:w="36"/>
        <w:gridCol w:w="36"/>
        <w:gridCol w:w="36"/>
        <w:gridCol w:w="111"/>
        <w:gridCol w:w="721"/>
        <w:gridCol w:w="200"/>
        <w:gridCol w:w="36"/>
        <w:gridCol w:w="36"/>
        <w:gridCol w:w="36"/>
        <w:gridCol w:w="110"/>
        <w:gridCol w:w="630"/>
        <w:gridCol w:w="200"/>
      </w:tblGrid>
      <w:tr w:rsidR="00000000">
        <w:trPr>
          <w:divId w:val="1780837202"/>
        </w:trPr>
        <w:tc>
          <w:tcPr>
            <w:tcW w:w="50" w:type="pct"/>
            <w:vAlign w:val="center"/>
            <w:hideMark/>
          </w:tcPr>
          <w:p w:rsidR="00000000" w:rsidRDefault="00E92DBE">
            <w:pPr>
              <w:rPr>
                <w:rFonts w:eastAsia="Times New Roman"/>
              </w:rPr>
            </w:pPr>
          </w:p>
        </w:tc>
        <w:tc>
          <w:tcPr>
            <w:tcW w:w="152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780837202"/>
        </w:trPr>
        <w:tc>
          <w:tcPr>
            <w:tcW w:w="0" w:type="auto"/>
            <w:gridSpan w:val="3"/>
            <w:tcMar>
              <w:top w:w="30" w:type="dxa"/>
              <w:left w:w="155"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r>
      <w:tr w:rsidR="00000000">
        <w:trPr>
          <w:divId w:val="178083720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80837202"/>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rsidR="00000000" w:rsidRDefault="00E92DBE">
            <w:pPr>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trPr>
          <w:divId w:val="178083720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8083720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89,059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91,099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720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7,819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8,028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78083720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96,878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2,249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99,127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720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8083720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64,828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67,059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720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720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67,919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70,202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720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8083720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29,854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30,008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78083720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43,670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43,794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720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73,524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73,802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7202"/>
        </w:trPr>
        <w:tc>
          <w:tcPr>
            <w:tcW w:w="0" w:type="auto"/>
            <w:gridSpan w:val="3"/>
            <w:shd w:val="clear" w:color="auto" w:fill="CCEEFF"/>
            <w:tcMar>
              <w:top w:w="30" w:type="dxa"/>
              <w:left w:w="20" w:type="dxa"/>
              <w:bottom w:w="30" w:type="dxa"/>
              <w:right w:w="20" w:type="dxa"/>
            </w:tcMar>
            <w:vAlign w:val="center"/>
            <w:hideMark/>
          </w:tcPr>
          <w:p w:rsidR="00000000" w:rsidRDefault="00E92DBE">
            <w:pPr>
              <w:divId w:val="711539755"/>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238,321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2,272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4,810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243,131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8083720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98.02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0.94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0.41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0.63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100.00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r>
      <w:tr w:rsidR="00000000">
        <w:trPr>
          <w:divId w:val="1780837202"/>
        </w:trPr>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8083720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76</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01" style="width:0;height:1.5pt" o:hralign="center" o:hrstd="t" o:hr="t" fillcolor="#a0a0a0" stroked="f"/>
        </w:pict>
      </w:r>
    </w:p>
    <w:p w:rsidR="00000000" w:rsidRDefault="00E92DBE">
      <w:pPr>
        <w:jc w:val="both"/>
        <w:divId w:val="2322945"/>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232294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358"/>
        <w:gridCol w:w="38"/>
        <w:gridCol w:w="36"/>
        <w:gridCol w:w="36"/>
        <w:gridCol w:w="36"/>
        <w:gridCol w:w="110"/>
        <w:gridCol w:w="657"/>
        <w:gridCol w:w="170"/>
        <w:gridCol w:w="36"/>
        <w:gridCol w:w="36"/>
        <w:gridCol w:w="36"/>
        <w:gridCol w:w="110"/>
        <w:gridCol w:w="511"/>
        <w:gridCol w:w="170"/>
        <w:gridCol w:w="36"/>
        <w:gridCol w:w="36"/>
        <w:gridCol w:w="36"/>
        <w:gridCol w:w="110"/>
        <w:gridCol w:w="511"/>
        <w:gridCol w:w="170"/>
        <w:gridCol w:w="36"/>
        <w:gridCol w:w="36"/>
        <w:gridCol w:w="36"/>
        <w:gridCol w:w="110"/>
        <w:gridCol w:w="512"/>
        <w:gridCol w:w="170"/>
        <w:gridCol w:w="36"/>
        <w:gridCol w:w="36"/>
        <w:gridCol w:w="36"/>
        <w:gridCol w:w="111"/>
        <w:gridCol w:w="721"/>
        <w:gridCol w:w="170"/>
        <w:gridCol w:w="36"/>
        <w:gridCol w:w="36"/>
        <w:gridCol w:w="36"/>
        <w:gridCol w:w="110"/>
        <w:gridCol w:w="630"/>
        <w:gridCol w:w="170"/>
      </w:tblGrid>
      <w:tr w:rsidR="00000000">
        <w:trPr>
          <w:divId w:val="318727854"/>
        </w:trPr>
        <w:tc>
          <w:tcPr>
            <w:tcW w:w="50" w:type="pct"/>
            <w:vAlign w:val="center"/>
            <w:hideMark/>
          </w:tcPr>
          <w:p w:rsidR="00000000" w:rsidRDefault="00E92DBE">
            <w:pPr>
              <w:jc w:val="center"/>
              <w:rPr>
                <w:rFonts w:eastAsia="Times New Roman"/>
              </w:rPr>
            </w:pPr>
          </w:p>
        </w:tc>
        <w:tc>
          <w:tcPr>
            <w:tcW w:w="152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318727854"/>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318727854"/>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4"/>
            <w:tcBorders>
              <w:top w:val="single" w:sz="8" w:space="0" w:color="000000"/>
            </w:tcBorders>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r>
      <w:tr w:rsidR="00000000">
        <w:trPr>
          <w:divId w:val="318727854"/>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rsidR="00000000" w:rsidRDefault="00E92DBE">
            <w:pPr>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trPr>
          <w:divId w:val="31872785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31872785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96,116 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755 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1,169 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2,388 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98,504 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1872785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8,218 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8,452 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1872785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104,334 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106,956 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1872785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31872785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62,381 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2,252 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907 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3,381 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65,762 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1872785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3,064 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3,126 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1872785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65,445 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68,888 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1872785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31872785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30,340 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136 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183 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341 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30,681 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31872785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44,941 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74 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158 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45,099 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31872785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75,281 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75,780 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318727854"/>
        </w:trPr>
        <w:tc>
          <w:tcPr>
            <w:tcW w:w="0" w:type="auto"/>
            <w:gridSpan w:val="3"/>
            <w:shd w:val="clear" w:color="auto" w:fill="CCEEFF"/>
            <w:tcMar>
              <w:top w:w="30" w:type="dxa"/>
              <w:left w:w="20" w:type="dxa"/>
              <w:bottom w:w="30" w:type="dxa"/>
              <w:right w:w="20" w:type="dxa"/>
            </w:tcMar>
            <w:vAlign w:val="center"/>
            <w:hideMark/>
          </w:tcPr>
          <w:p w:rsidR="00000000" w:rsidRDefault="00E92DBE">
            <w:pPr>
              <w:divId w:val="986670790"/>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245,060 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1,485 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1,749 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251,624 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31872785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97.39 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1.32 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0.59 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0.70 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2.61 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100.00 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r>
    </w:tbl>
    <w:p w:rsidR="00000000" w:rsidRDefault="00E92DBE">
      <w:pPr>
        <w:divId w:val="1079790073"/>
        <w:rPr>
          <w:rFonts w:eastAsia="Times New Roman"/>
        </w:rPr>
      </w:pPr>
      <w:r>
        <w:rPr>
          <w:rFonts w:eastAsia="Times New Roman"/>
          <w:color w:val="000000"/>
          <w:sz w:val="20"/>
          <w:szCs w:val="20"/>
        </w:rPr>
        <w:t>____</w:t>
      </w:r>
      <w:r>
        <w:rPr>
          <w:rFonts w:eastAsia="Times New Roman"/>
          <w:color w:val="000000"/>
          <w:sz w:val="20"/>
          <w:szCs w:val="20"/>
        </w:rPr>
        <w:t>______</w:t>
      </w:r>
    </w:p>
    <w:p w:rsidR="00000000" w:rsidRDefault="00E92DBE">
      <w:pPr>
        <w:ind w:hanging="360"/>
        <w:jc w:val="both"/>
        <w:divId w:val="5000512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Loans include unamortized premiums and discounts, and unamortized deferred fees and costs totaling $1.1 billion as of both March 31, 2021 and December 31, 2020.</w:t>
      </w:r>
    </w:p>
    <w:p w:rsidR="00000000" w:rsidRDefault="00E92DBE">
      <w:pPr>
        <w:jc w:val="both"/>
        <w:divId w:val="234705001"/>
        <w:rPr>
          <w:rFonts w:eastAsia="Times New Roman"/>
        </w:rPr>
      </w:pPr>
      <w:r>
        <w:rPr>
          <w:rFonts w:eastAsia="Times New Roman"/>
          <w:color w:val="000000"/>
          <w:sz w:val="20"/>
          <w:szCs w:val="20"/>
        </w:rPr>
        <w:t>The following table presents our loans held for investment that are 90 days or more p</w:t>
      </w:r>
      <w:r>
        <w:rPr>
          <w:rFonts w:eastAsia="Times New Roman"/>
          <w:color w:val="000000"/>
          <w:sz w:val="20"/>
          <w:szCs w:val="20"/>
        </w:rPr>
        <w:t xml:space="preserve">ast due that continue to accrue interest, loans that are classified as nonperforming and loans that are classified as nonperforming without an allowance as of March 31, 2021 and December 31, 2020. Nonperforming loans generally include loans that have been </w:t>
      </w:r>
      <w:r>
        <w:rPr>
          <w:rFonts w:eastAsia="Times New Roman"/>
          <w:color w:val="000000"/>
          <w:sz w:val="20"/>
          <w:szCs w:val="20"/>
        </w:rPr>
        <w:t>placed on nonaccrual status.</w:t>
      </w:r>
    </w:p>
    <w:p w:rsidR="00000000" w:rsidRDefault="00E92DBE">
      <w:pPr>
        <w:divId w:val="1980719636"/>
        <w:rPr>
          <w:rFonts w:eastAsia="Times New Roman"/>
        </w:rPr>
      </w:pPr>
      <w:r>
        <w:rPr>
          <w:rFonts w:eastAsia="Times New Roman"/>
          <w:b/>
          <w:bCs/>
          <w:color w:val="000000"/>
          <w:sz w:val="18"/>
          <w:szCs w:val="18"/>
        </w:rPr>
        <w:t>Table 3.2: 90+ Day Delinquent Loans Accruing Interest and Nonperforming Loans</w:t>
      </w:r>
    </w:p>
    <w:tbl>
      <w:tblPr>
        <w:tblW w:w="5000" w:type="pct"/>
        <w:tblCellMar>
          <w:top w:w="15" w:type="dxa"/>
          <w:left w:w="15" w:type="dxa"/>
          <w:bottom w:w="15" w:type="dxa"/>
          <w:right w:w="15" w:type="dxa"/>
        </w:tblCellMar>
        <w:tblLook w:val="04A0" w:firstRow="1" w:lastRow="0" w:firstColumn="1" w:lastColumn="0" w:noHBand="0" w:noVBand="1"/>
      </w:tblPr>
      <w:tblGrid>
        <w:gridCol w:w="45"/>
        <w:gridCol w:w="1137"/>
        <w:gridCol w:w="38"/>
        <w:gridCol w:w="36"/>
        <w:gridCol w:w="36"/>
        <w:gridCol w:w="36"/>
        <w:gridCol w:w="110"/>
        <w:gridCol w:w="450"/>
        <w:gridCol w:w="200"/>
        <w:gridCol w:w="36"/>
        <w:gridCol w:w="36"/>
        <w:gridCol w:w="36"/>
        <w:gridCol w:w="111"/>
        <w:gridCol w:w="1002"/>
        <w:gridCol w:w="200"/>
        <w:gridCol w:w="36"/>
        <w:gridCol w:w="36"/>
        <w:gridCol w:w="36"/>
        <w:gridCol w:w="111"/>
        <w:gridCol w:w="1004"/>
        <w:gridCol w:w="200"/>
        <w:gridCol w:w="36"/>
        <w:gridCol w:w="36"/>
        <w:gridCol w:w="36"/>
        <w:gridCol w:w="110"/>
        <w:gridCol w:w="450"/>
        <w:gridCol w:w="170"/>
        <w:gridCol w:w="36"/>
        <w:gridCol w:w="36"/>
        <w:gridCol w:w="36"/>
        <w:gridCol w:w="111"/>
        <w:gridCol w:w="1002"/>
        <w:gridCol w:w="170"/>
        <w:gridCol w:w="36"/>
        <w:gridCol w:w="36"/>
        <w:gridCol w:w="36"/>
        <w:gridCol w:w="111"/>
        <w:gridCol w:w="1004"/>
        <w:gridCol w:w="170"/>
      </w:tblGrid>
      <w:tr w:rsidR="00000000">
        <w:trPr>
          <w:divId w:val="1243418980"/>
        </w:trPr>
        <w:tc>
          <w:tcPr>
            <w:tcW w:w="50" w:type="pct"/>
            <w:vAlign w:val="center"/>
            <w:hideMark/>
          </w:tcPr>
          <w:p w:rsidR="00000000" w:rsidRDefault="00E92DBE">
            <w:pPr>
              <w:rPr>
                <w:rFonts w:eastAsia="Times New Roman"/>
              </w:rPr>
            </w:pPr>
          </w:p>
        </w:tc>
        <w:tc>
          <w:tcPr>
            <w:tcW w:w="129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3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3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24341898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124341898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xml:space="preserve">Nonperforming </w:t>
            </w:r>
          </w:p>
          <w:p w:rsidR="00000000" w:rsidRDefault="00E92DBE">
            <w:pPr>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xml:space="preserve">Nonperforming </w:t>
            </w:r>
          </w:p>
          <w:p w:rsidR="00000000" w:rsidRDefault="00E92DBE">
            <w:pPr>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r>
      <w:tr w:rsidR="00000000">
        <w:trPr>
          <w:divId w:val="124341898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243418980"/>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E92DBE">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1,169 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E92DBE">
            <w:pPr>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243418980"/>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24341898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1,207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1,251 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24341898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243418980"/>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294 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243418980"/>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24341898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24341898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243418980"/>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184 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243418980"/>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450 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265 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24341898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24341898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1,207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1,302 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24341898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 of Total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w:t>
            </w:r>
          </w:p>
        </w:tc>
      </w:tr>
    </w:tbl>
    <w:p w:rsidR="00000000" w:rsidRDefault="00E92DBE">
      <w:pPr>
        <w:divId w:val="1092044810"/>
        <w:rPr>
          <w:rFonts w:eastAsia="Times New Roman"/>
        </w:rPr>
      </w:pPr>
      <w:r>
        <w:rPr>
          <w:rFonts w:eastAsia="Times New Roman"/>
          <w:color w:val="000000"/>
          <w:sz w:val="20"/>
          <w:szCs w:val="20"/>
        </w:rPr>
        <w:t>____</w:t>
      </w:r>
      <w:r>
        <w:rPr>
          <w:rFonts w:eastAsia="Times New Roman"/>
          <w:color w:val="000000"/>
          <w:sz w:val="20"/>
          <w:szCs w:val="20"/>
        </w:rPr>
        <w:t>______</w:t>
      </w:r>
    </w:p>
    <w:p w:rsidR="00000000" w:rsidRDefault="00E92DBE">
      <w:pPr>
        <w:ind w:hanging="360"/>
        <w:jc w:val="both"/>
        <w:divId w:val="124278735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$1 million and $2 million for the three months ended March 31, 2021 and 2020,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9540914"/>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19540914"/>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19540914"/>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77</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02" style="width:0;height:1.5pt" o:hralign="center" o:hrstd="t" o:hr="t" fillcolor="#a0a0a0" stroked="f"/>
        </w:pict>
      </w:r>
    </w:p>
    <w:p w:rsidR="00000000" w:rsidRDefault="00E92DBE">
      <w:pPr>
        <w:jc w:val="both"/>
        <w:divId w:val="247157007"/>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247157007"/>
        <w:rPr>
          <w:rFonts w:eastAsia="Times New Roman"/>
        </w:rPr>
      </w:pPr>
    </w:p>
    <w:p w:rsidR="00000000" w:rsidRDefault="00E92DBE">
      <w:pPr>
        <w:divId w:val="1283001747"/>
        <w:rPr>
          <w:rFonts w:eastAsia="Times New Roman"/>
        </w:rPr>
      </w:pPr>
      <w:r>
        <w:rPr>
          <w:rFonts w:eastAsia="Times New Roman"/>
          <w:b/>
          <w:bCs/>
          <w:color w:val="000000"/>
          <w:sz w:val="20"/>
          <w:szCs w:val="20"/>
        </w:rPr>
        <w:t>Credit Quality Indicators</w:t>
      </w:r>
    </w:p>
    <w:p w:rsidR="00000000" w:rsidRDefault="00E92DBE">
      <w:pPr>
        <w:jc w:val="both"/>
        <w:divId w:val="1328901411"/>
        <w:rPr>
          <w:rFonts w:eastAsia="Times New Roman"/>
        </w:rPr>
      </w:pPr>
      <w:r>
        <w:rPr>
          <w:rFonts w:eastAsia="Times New Roman"/>
          <w:color w:val="000000"/>
          <w:sz w:val="20"/>
          <w:szCs w:val="20"/>
        </w:rPr>
        <w:t>We closely monitor economic conditions and loan performance trends to assess and manage our exposure to credit risk. We discuss these risks and our credit quality indicator for each portfolio segment below.</w:t>
      </w:r>
    </w:p>
    <w:p w:rsidR="00000000" w:rsidRDefault="00E92DBE">
      <w:pPr>
        <w:jc w:val="both"/>
        <w:divId w:val="1874685099"/>
        <w:rPr>
          <w:rFonts w:eastAsia="Times New Roman"/>
        </w:rPr>
      </w:pPr>
      <w:r>
        <w:rPr>
          <w:rFonts w:eastAsia="Times New Roman"/>
          <w:b/>
          <w:bCs/>
          <w:i/>
          <w:iCs/>
          <w:color w:val="000000"/>
          <w:sz w:val="20"/>
          <w:szCs w:val="20"/>
        </w:rPr>
        <w:t>Credit Card</w:t>
      </w:r>
    </w:p>
    <w:p w:rsidR="00000000" w:rsidRDefault="00E92DBE">
      <w:pPr>
        <w:jc w:val="both"/>
        <w:divId w:val="113908064"/>
        <w:rPr>
          <w:rFonts w:eastAsia="Times New Roman"/>
        </w:rPr>
      </w:pPr>
      <w:r>
        <w:rPr>
          <w:rFonts w:eastAsia="Times New Roman"/>
          <w:color w:val="000000"/>
          <w:sz w:val="20"/>
          <w:szCs w:val="20"/>
        </w:rPr>
        <w:t>Our credit card loan portfolio is hig</w:t>
      </w:r>
      <w:r>
        <w:rPr>
          <w:rFonts w:eastAsia="Times New Roman"/>
          <w:color w:val="000000"/>
          <w:sz w:val="20"/>
          <w:szCs w:val="20"/>
        </w:rPr>
        <w:t>hly diversified across millions of accounts and numerous geographies without significant individual exposure. We therefore generally manage credit risk based on portfolios with common risk characteristics. The risk in our credit card loan portfolio correla</w:t>
      </w:r>
      <w:r>
        <w:rPr>
          <w:rFonts w:eastAsia="Times New Roman"/>
          <w:color w:val="000000"/>
          <w:sz w:val="20"/>
          <w:szCs w:val="20"/>
        </w:rPr>
        <w:t>tes to broad economic trends, such as unemployment rates and home values, as well as consumers’ financial condition, all of which can have a material effect on credit performance. The key indicator we assess in monitoring the credit quality and risk of our</w:t>
      </w:r>
      <w:r>
        <w:rPr>
          <w:rFonts w:eastAsia="Times New Roman"/>
          <w:color w:val="000000"/>
          <w:sz w:val="20"/>
          <w:szCs w:val="20"/>
        </w:rPr>
        <w:t xml:space="preserve"> credit card loan portfolio is delinquency trends, including an analysis of loan migration between delinquency categories over time. </w:t>
      </w:r>
    </w:p>
    <w:p w:rsidR="00000000" w:rsidRDefault="00E92DBE">
      <w:pPr>
        <w:jc w:val="both"/>
        <w:divId w:val="376440287"/>
        <w:rPr>
          <w:rFonts w:eastAsia="Times New Roman"/>
        </w:rPr>
      </w:pPr>
      <w:r>
        <w:rPr>
          <w:rFonts w:eastAsia="Times New Roman"/>
          <w:color w:val="000000"/>
          <w:sz w:val="20"/>
          <w:szCs w:val="20"/>
        </w:rPr>
        <w:t>The table below presents our credit card portfolio by delinquency status as of March 31, 2021 and December 31, 2020.</w:t>
      </w:r>
    </w:p>
    <w:p w:rsidR="00000000" w:rsidRDefault="00E92DBE">
      <w:pPr>
        <w:divId w:val="1423601874"/>
        <w:rPr>
          <w:rFonts w:eastAsia="Times New Roman"/>
        </w:rPr>
      </w:pPr>
      <w:r>
        <w:rPr>
          <w:rFonts w:eastAsia="Times New Roman"/>
          <w:b/>
          <w:bCs/>
          <w:color w:val="000000"/>
          <w:sz w:val="18"/>
          <w:szCs w:val="18"/>
        </w:rPr>
        <w:t>Table</w:t>
      </w:r>
      <w:r>
        <w:rPr>
          <w:rFonts w:eastAsia="Times New Roman"/>
          <w:b/>
          <w:bCs/>
          <w:color w:val="000000"/>
          <w:sz w:val="18"/>
          <w:szCs w:val="18"/>
        </w:rPr>
        <w:t xml:space="preserve"> 3.3: Credit Card Delinquency Status</w:t>
      </w:r>
    </w:p>
    <w:tbl>
      <w:tblPr>
        <w:tblW w:w="5000" w:type="pct"/>
        <w:tblCellMar>
          <w:top w:w="15" w:type="dxa"/>
          <w:left w:w="15" w:type="dxa"/>
          <w:bottom w:w="15" w:type="dxa"/>
          <w:right w:w="15" w:type="dxa"/>
        </w:tblCellMar>
        <w:tblLook w:val="04A0" w:firstRow="1" w:lastRow="0" w:firstColumn="1" w:lastColumn="0" w:noHBand="0" w:noVBand="1"/>
      </w:tblPr>
      <w:tblGrid>
        <w:gridCol w:w="41"/>
        <w:gridCol w:w="2460"/>
        <w:gridCol w:w="40"/>
        <w:gridCol w:w="36"/>
        <w:gridCol w:w="36"/>
        <w:gridCol w:w="36"/>
        <w:gridCol w:w="36"/>
        <w:gridCol w:w="36"/>
        <w:gridCol w:w="111"/>
        <w:gridCol w:w="722"/>
        <w:gridCol w:w="36"/>
        <w:gridCol w:w="36"/>
        <w:gridCol w:w="36"/>
        <w:gridCol w:w="36"/>
        <w:gridCol w:w="111"/>
        <w:gridCol w:w="722"/>
        <w:gridCol w:w="36"/>
        <w:gridCol w:w="36"/>
        <w:gridCol w:w="36"/>
        <w:gridCol w:w="36"/>
        <w:gridCol w:w="110"/>
        <w:gridCol w:w="665"/>
        <w:gridCol w:w="36"/>
        <w:gridCol w:w="36"/>
        <w:gridCol w:w="36"/>
        <w:gridCol w:w="36"/>
        <w:gridCol w:w="110"/>
        <w:gridCol w:w="723"/>
        <w:gridCol w:w="36"/>
        <w:gridCol w:w="36"/>
        <w:gridCol w:w="36"/>
        <w:gridCol w:w="36"/>
        <w:gridCol w:w="111"/>
        <w:gridCol w:w="681"/>
        <w:gridCol w:w="36"/>
        <w:gridCol w:w="36"/>
        <w:gridCol w:w="36"/>
        <w:gridCol w:w="36"/>
        <w:gridCol w:w="110"/>
        <w:gridCol w:w="653"/>
        <w:gridCol w:w="36"/>
      </w:tblGrid>
      <w:tr w:rsidR="00000000">
        <w:trPr>
          <w:divId w:val="844826058"/>
        </w:trPr>
        <w:tc>
          <w:tcPr>
            <w:tcW w:w="50" w:type="pct"/>
            <w:vAlign w:val="center"/>
            <w:hideMark/>
          </w:tcPr>
          <w:p w:rsidR="00000000" w:rsidRDefault="00E92DBE">
            <w:pPr>
              <w:rPr>
                <w:rFonts w:eastAsia="Times New Roman"/>
              </w:rPr>
            </w:pPr>
          </w:p>
        </w:tc>
        <w:tc>
          <w:tcPr>
            <w:tcW w:w="15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844826058"/>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844826058"/>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p>
        </w:tc>
      </w:tr>
      <w:tr w:rsidR="00000000">
        <w:trPr>
          <w:divId w:val="84482605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4482605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44826058"/>
        </w:trPr>
        <w:tc>
          <w:tcPr>
            <w:tcW w:w="0" w:type="auto"/>
            <w:gridSpan w:val="3"/>
            <w:shd w:val="clear" w:color="auto" w:fill="CCEEFF"/>
            <w:tcMar>
              <w:top w:w="30" w:type="dxa"/>
              <w:left w:w="20" w:type="dxa"/>
              <w:bottom w:w="30" w:type="dxa"/>
              <w:right w:w="20" w:type="dxa"/>
            </w:tcMar>
            <w:vAlign w:val="center"/>
            <w:hideMark/>
          </w:tcPr>
          <w:p w:rsidR="00000000" w:rsidRDefault="00E92DBE">
            <w:pPr>
              <w:divId w:val="1236427934"/>
              <w:rPr>
                <w:rFonts w:eastAsia="Times New Roman"/>
              </w:rPr>
            </w:pPr>
            <w:r>
              <w:rPr>
                <w:rFonts w:eastAsia="Times New Roman"/>
                <w:color w:val="000000"/>
                <w:sz w:val="18"/>
                <w:szCs w:val="18"/>
              </w:rPr>
              <w:t>Current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88,609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89,059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95,629 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487 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96,116 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4826058"/>
        </w:trPr>
        <w:tc>
          <w:tcPr>
            <w:tcW w:w="0" w:type="auto"/>
            <w:gridSpan w:val="3"/>
            <w:shd w:val="clear" w:color="auto" w:fill="FFFFFF"/>
            <w:tcMar>
              <w:top w:w="30" w:type="dxa"/>
              <w:left w:w="20" w:type="dxa"/>
              <w:bottom w:w="30" w:type="dxa"/>
              <w:right w:w="20" w:type="dxa"/>
            </w:tcMar>
            <w:vAlign w:val="center"/>
            <w:hideMark/>
          </w:tcPr>
          <w:p w:rsidR="00000000" w:rsidRDefault="00E92DBE">
            <w:pPr>
              <w:divId w:val="778909563"/>
              <w:rPr>
                <w:rFonts w:eastAsia="Times New Roman"/>
              </w:rPr>
            </w:pPr>
            <w:r>
              <w:rPr>
                <w:rFonts w:eastAsia="Times New Roman"/>
                <w:color w:val="000000"/>
                <w:sz w:val="18"/>
                <w:szCs w:val="18"/>
              </w:rPr>
              <w:t>30-59 days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734 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755 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4826058"/>
        </w:trPr>
        <w:tc>
          <w:tcPr>
            <w:tcW w:w="0" w:type="auto"/>
            <w:gridSpan w:val="3"/>
            <w:shd w:val="clear" w:color="auto" w:fill="CCEEFF"/>
            <w:tcMar>
              <w:top w:w="30" w:type="dxa"/>
              <w:left w:w="20" w:type="dxa"/>
              <w:bottom w:w="30" w:type="dxa"/>
              <w:right w:w="20" w:type="dxa"/>
            </w:tcMar>
            <w:vAlign w:val="center"/>
            <w:hideMark/>
          </w:tcPr>
          <w:p w:rsidR="00000000" w:rsidRDefault="00E92DBE">
            <w:pPr>
              <w:divId w:val="1873029098"/>
              <w:rPr>
                <w:rFonts w:eastAsia="Times New Roman"/>
              </w:rPr>
            </w:pPr>
            <w:r>
              <w:rPr>
                <w:rFonts w:eastAsia="Times New Roman"/>
                <w:color w:val="000000"/>
                <w:sz w:val="18"/>
                <w:szCs w:val="18"/>
              </w:rPr>
              <w:t>60-89 days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451 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464 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4826058"/>
        </w:trPr>
        <w:tc>
          <w:tcPr>
            <w:tcW w:w="0" w:type="auto"/>
            <w:gridSpan w:val="3"/>
            <w:shd w:val="clear" w:color="auto" w:fill="FFFFFF"/>
            <w:tcMar>
              <w:top w:w="30" w:type="dxa"/>
              <w:left w:w="20" w:type="dxa"/>
              <w:bottom w:w="30" w:type="dxa"/>
              <w:right w:w="20" w:type="dxa"/>
            </w:tcMar>
            <w:vAlign w:val="center"/>
            <w:hideMark/>
          </w:tcPr>
          <w:p w:rsidR="00000000" w:rsidRDefault="00E92DBE">
            <w:pPr>
              <w:divId w:val="1228957546"/>
              <w:rPr>
                <w:rFonts w:eastAsia="Times New Roman"/>
              </w:rPr>
            </w:pPr>
            <w:r>
              <w:rPr>
                <w:rFonts w:eastAsia="Times New Roman"/>
                <w:color w:val="000000"/>
                <w:sz w:val="18"/>
                <w:szCs w:val="18"/>
              </w:rPr>
              <w:t>Greater than 90 days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1,155 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1,169 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482605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 domestic 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90,609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91,099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97,969 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98,504 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4826058"/>
          <w:trHeight w:val="240"/>
        </w:trPr>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4482605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44826058"/>
        </w:trPr>
        <w:tc>
          <w:tcPr>
            <w:tcW w:w="0" w:type="auto"/>
            <w:gridSpan w:val="3"/>
            <w:shd w:val="clear" w:color="auto" w:fill="FFFFFF"/>
            <w:tcMar>
              <w:top w:w="30" w:type="dxa"/>
              <w:left w:w="20" w:type="dxa"/>
              <w:bottom w:w="30" w:type="dxa"/>
              <w:right w:w="20" w:type="dxa"/>
            </w:tcMar>
            <w:vAlign w:val="center"/>
            <w:hideMark/>
          </w:tcPr>
          <w:p w:rsidR="00000000" w:rsidRDefault="00E92DBE">
            <w:pPr>
              <w:divId w:val="1652251256"/>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7,753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7,819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8,152 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8,218 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4826058"/>
        </w:trPr>
        <w:tc>
          <w:tcPr>
            <w:tcW w:w="0" w:type="auto"/>
            <w:gridSpan w:val="3"/>
            <w:shd w:val="clear" w:color="auto" w:fill="CCEEFF"/>
            <w:tcMar>
              <w:top w:w="30" w:type="dxa"/>
              <w:left w:w="20" w:type="dxa"/>
              <w:bottom w:w="30" w:type="dxa"/>
              <w:right w:w="20" w:type="dxa"/>
            </w:tcMar>
            <w:vAlign w:val="center"/>
            <w:hideMark/>
          </w:tcPr>
          <w:p w:rsidR="00000000" w:rsidRDefault="00E92DBE">
            <w:pPr>
              <w:divId w:val="1572039822"/>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79 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4826058"/>
        </w:trPr>
        <w:tc>
          <w:tcPr>
            <w:tcW w:w="0" w:type="auto"/>
            <w:gridSpan w:val="3"/>
            <w:shd w:val="clear" w:color="auto" w:fill="FFFFFF"/>
            <w:tcMar>
              <w:top w:w="30" w:type="dxa"/>
              <w:left w:w="20" w:type="dxa"/>
              <w:bottom w:w="30" w:type="dxa"/>
              <w:right w:w="20" w:type="dxa"/>
            </w:tcMar>
            <w:vAlign w:val="center"/>
            <w:hideMark/>
          </w:tcPr>
          <w:p w:rsidR="00000000" w:rsidRDefault="00E92DBE">
            <w:pPr>
              <w:divId w:val="895046300"/>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4826058"/>
        </w:trPr>
        <w:tc>
          <w:tcPr>
            <w:tcW w:w="0" w:type="auto"/>
            <w:gridSpan w:val="3"/>
            <w:shd w:val="clear" w:color="auto" w:fill="CCEEFF"/>
            <w:tcMar>
              <w:top w:w="30" w:type="dxa"/>
              <w:left w:w="20" w:type="dxa"/>
              <w:bottom w:w="30" w:type="dxa"/>
              <w:right w:w="20" w:type="dxa"/>
            </w:tcMar>
            <w:vAlign w:val="center"/>
            <w:hideMark/>
          </w:tcPr>
          <w:p w:rsidR="00000000" w:rsidRDefault="00E92DBE">
            <w:pPr>
              <w:divId w:val="1476335127"/>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482605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 international card businesses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7,939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8,028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8,354 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8,452 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4482605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 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98,548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579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99,127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106,323 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106,956 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4509"/>
        <w:gridCol w:w="144"/>
        <w:gridCol w:w="144"/>
        <w:gridCol w:w="144"/>
        <w:gridCol w:w="144"/>
        <w:gridCol w:w="480"/>
        <w:gridCol w:w="1440"/>
        <w:gridCol w:w="144"/>
        <w:gridCol w:w="1073"/>
        <w:gridCol w:w="144"/>
        <w:gridCol w:w="144"/>
        <w:gridCol w:w="144"/>
        <w:gridCol w:w="144"/>
        <w:gridCol w:w="144"/>
        <w:gridCol w:w="1073"/>
        <w:gridCol w:w="144"/>
        <w:gridCol w:w="144"/>
        <w:gridCol w:w="144"/>
        <w:gridCol w:w="144"/>
        <w:gridCol w:w="144"/>
        <w:gridCol w:w="1073"/>
        <w:gridCol w:w="144"/>
      </w:tblGrid>
      <w:tr w:rsidR="00000000">
        <w:tc>
          <w:tcPr>
            <w:tcW w:w="50" w:type="pct"/>
            <w:vAlign w:val="center"/>
            <w:hideMark/>
          </w:tcPr>
          <w:p w:rsidR="00000000" w:rsidRDefault="00E92DBE">
            <w:pPr>
              <w:rPr>
                <w:rFonts w:eastAsia="Times New Roman"/>
              </w:rPr>
            </w:pPr>
          </w:p>
        </w:tc>
        <w:tc>
          <w:tcPr>
            <w:tcW w:w="272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4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4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4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60"/>
        </w:trPr>
        <w:tc>
          <w:tcPr>
            <w:tcW w:w="0" w:type="auto"/>
            <w:gridSpan w:val="17"/>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jc w:val="center"/>
        <w:divId w:val="1481771552"/>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81771552"/>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481771552"/>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481771552"/>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78</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03" style="width:0;height:1.5pt" o:hralign="center" o:hrstd="t" o:hr="t" fillcolor="#a0a0a0" stroked="f"/>
        </w:pict>
      </w:r>
    </w:p>
    <w:p w:rsidR="00000000" w:rsidRDefault="00E92DBE">
      <w:pPr>
        <w:jc w:val="both"/>
        <w:divId w:val="114092475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140924758"/>
        <w:rPr>
          <w:rFonts w:eastAsia="Times New Roman"/>
        </w:rPr>
      </w:pPr>
    </w:p>
    <w:p w:rsidR="00000000" w:rsidRDefault="00E92DBE">
      <w:pPr>
        <w:divId w:val="2036687359"/>
        <w:rPr>
          <w:rFonts w:eastAsia="Times New Roman"/>
        </w:rPr>
      </w:pPr>
      <w:r>
        <w:rPr>
          <w:rFonts w:eastAsia="Times New Roman"/>
          <w:b/>
          <w:bCs/>
          <w:i/>
          <w:iCs/>
          <w:color w:val="000000"/>
          <w:sz w:val="20"/>
          <w:szCs w:val="20"/>
        </w:rPr>
        <w:t>Consumer Banking</w:t>
      </w:r>
    </w:p>
    <w:p w:rsidR="00000000" w:rsidRDefault="00E92DBE">
      <w:pPr>
        <w:jc w:val="both"/>
        <w:divId w:val="291864051"/>
        <w:rPr>
          <w:rFonts w:eastAsia="Times New Roman"/>
        </w:rPr>
      </w:pPr>
      <w:r>
        <w:rPr>
          <w:rFonts w:eastAsia="Times New Roman"/>
          <w:color w:val="000000"/>
          <w:sz w:val="20"/>
          <w:szCs w:val="20"/>
        </w:rPr>
        <w:t>Our consumer banking loan portfolio consists of auto and retail banking loans. Similar to our credit card loan portfolio, the</w:t>
      </w:r>
      <w:r>
        <w:rPr>
          <w:rFonts w:eastAsia="Times New Roman"/>
          <w:color w:val="000000"/>
          <w:sz w:val="20"/>
          <w:szCs w:val="20"/>
        </w:rPr>
        <w:t xml:space="preserve"> risk in our consumer banking loan portfolio correlates to broad economic trends, such as unemployment rates, gross domestic product and home values, as well as consumers’ financial condition, all of which can have a material effect on credit performance. </w:t>
      </w:r>
      <w:r>
        <w:rPr>
          <w:rFonts w:eastAsia="Times New Roman"/>
          <w:color w:val="000000"/>
          <w:sz w:val="20"/>
          <w:szCs w:val="20"/>
        </w:rPr>
        <w:t>The key indicator we monitor when assessing the credit quality and risk of our auto loan portfolio is borrower credit scores as they measure the creditworthiness of borrowers. Delinquency trends are the key indicator we assess in monitoring the credit qual</w:t>
      </w:r>
      <w:r>
        <w:rPr>
          <w:rFonts w:eastAsia="Times New Roman"/>
          <w:color w:val="000000"/>
          <w:sz w:val="20"/>
          <w:szCs w:val="20"/>
        </w:rPr>
        <w:t xml:space="preserve">ity and risk of our retail banking loan portfolio. </w:t>
      </w:r>
    </w:p>
    <w:p w:rsidR="00000000" w:rsidRDefault="00E92DBE">
      <w:pPr>
        <w:jc w:val="both"/>
        <w:divId w:val="1937134976"/>
        <w:rPr>
          <w:rFonts w:eastAsia="Times New Roman"/>
        </w:rPr>
      </w:pPr>
      <w:r>
        <w:rPr>
          <w:rFonts w:eastAsia="Times New Roman"/>
          <w:color w:val="000000"/>
          <w:sz w:val="20"/>
          <w:szCs w:val="20"/>
        </w:rPr>
        <w:t>The table below presents our consumer banking portfolio of loans held for investment by credit quality indicator as of March 31, 2021 and December 31, 2020. We present our auto loan portfolio by FICO scores at origination and our retail banking loan portfo</w:t>
      </w:r>
      <w:r>
        <w:rPr>
          <w:rFonts w:eastAsia="Times New Roman"/>
          <w:color w:val="000000"/>
          <w:sz w:val="20"/>
          <w:szCs w:val="20"/>
        </w:rPr>
        <w:t xml:space="preserve">lio by delinquency status, which includes all past due loans, both performing and nonperforming. </w:t>
      </w:r>
    </w:p>
    <w:p w:rsidR="00000000" w:rsidRDefault="00E92DBE">
      <w:pPr>
        <w:divId w:val="597904801"/>
        <w:rPr>
          <w:rFonts w:eastAsia="Times New Roman"/>
        </w:rPr>
      </w:pPr>
      <w:r>
        <w:rPr>
          <w:rFonts w:eastAsia="Times New Roman"/>
          <w:b/>
          <w:bCs/>
          <w:color w:val="000000"/>
          <w:sz w:val="18"/>
          <w:szCs w:val="18"/>
        </w:rPr>
        <w:t>Table 3.4: Consumer Banking Portfolio by Credit Quality Indicator</w:t>
      </w:r>
    </w:p>
    <w:tbl>
      <w:tblPr>
        <w:tblW w:w="5000" w:type="pct"/>
        <w:tblCellMar>
          <w:top w:w="15" w:type="dxa"/>
          <w:left w:w="15" w:type="dxa"/>
          <w:bottom w:w="15" w:type="dxa"/>
          <w:right w:w="15" w:type="dxa"/>
        </w:tblCellMar>
        <w:tblLook w:val="04A0" w:firstRow="1" w:lastRow="0" w:firstColumn="1" w:lastColumn="0" w:noHBand="0" w:noVBand="1"/>
      </w:tblPr>
      <w:tblGrid>
        <w:gridCol w:w="49"/>
        <w:gridCol w:w="95"/>
        <w:gridCol w:w="853"/>
        <w:gridCol w:w="39"/>
        <w:gridCol w:w="36"/>
        <w:gridCol w:w="36"/>
        <w:gridCol w:w="36"/>
        <w:gridCol w:w="110"/>
        <w:gridCol w:w="450"/>
        <w:gridCol w:w="36"/>
        <w:gridCol w:w="36"/>
        <w:gridCol w:w="36"/>
        <w:gridCol w:w="36"/>
        <w:gridCol w:w="110"/>
        <w:gridCol w:w="540"/>
        <w:gridCol w:w="36"/>
        <w:gridCol w:w="36"/>
        <w:gridCol w:w="36"/>
        <w:gridCol w:w="36"/>
        <w:gridCol w:w="110"/>
        <w:gridCol w:w="55"/>
        <w:gridCol w:w="144"/>
        <w:gridCol w:w="144"/>
        <w:gridCol w:w="197"/>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113"/>
        <w:gridCol w:w="144"/>
        <w:gridCol w:w="144"/>
        <w:gridCol w:w="139"/>
        <w:gridCol w:w="36"/>
        <w:gridCol w:w="36"/>
        <w:gridCol w:w="36"/>
        <w:gridCol w:w="36"/>
        <w:gridCol w:w="111"/>
        <w:gridCol w:w="581"/>
        <w:gridCol w:w="36"/>
        <w:gridCol w:w="36"/>
        <w:gridCol w:w="36"/>
        <w:gridCol w:w="36"/>
        <w:gridCol w:w="111"/>
        <w:gridCol w:w="630"/>
        <w:gridCol w:w="36"/>
        <w:gridCol w:w="36"/>
        <w:gridCol w:w="36"/>
        <w:gridCol w:w="36"/>
        <w:gridCol w:w="110"/>
        <w:gridCol w:w="540"/>
        <w:gridCol w:w="22"/>
        <w:gridCol w:w="14"/>
        <w:gridCol w:w="130"/>
      </w:tblGrid>
      <w:tr w:rsidR="00000000">
        <w:trPr>
          <w:gridAfter w:val="1"/>
          <w:divId w:val="84109937"/>
        </w:trPr>
        <w:tc>
          <w:tcPr>
            <w:tcW w:w="50" w:type="pct"/>
            <w:vAlign w:val="center"/>
            <w:hideMark/>
          </w:tcPr>
          <w:p w:rsidR="00000000" w:rsidRDefault="00E92DBE">
            <w:pPr>
              <w:rPr>
                <w:rFonts w:eastAsia="Times New Roman"/>
              </w:rPr>
            </w:pPr>
          </w:p>
        </w:tc>
        <w:tc>
          <w:tcPr>
            <w:tcW w:w="968"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gridSpan w:val="4"/>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6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gridSpan w:val="4"/>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6" w:type="pct"/>
            <w:vAlign w:val="center"/>
            <w:hideMark/>
          </w:tcPr>
          <w:p w:rsidR="00000000" w:rsidRDefault="00E92DBE">
            <w:pPr>
              <w:rPr>
                <w:rFonts w:eastAsia="Times New Roman"/>
                <w:sz w:val="20"/>
                <w:szCs w:val="20"/>
              </w:rPr>
            </w:pPr>
          </w:p>
        </w:tc>
        <w:tc>
          <w:tcPr>
            <w:tcW w:w="5" w:type="pct"/>
            <w:gridSpan w:val="2"/>
            <w:vAlign w:val="center"/>
            <w:hideMark/>
          </w:tcPr>
          <w:p w:rsidR="00000000" w:rsidRDefault="00E92DBE">
            <w:pPr>
              <w:rPr>
                <w:rFonts w:eastAsia="Times New Roman"/>
                <w:sz w:val="20"/>
                <w:szCs w:val="20"/>
              </w:rPr>
            </w:pPr>
          </w:p>
        </w:tc>
      </w:tr>
      <w:tr w:rsidR="00000000">
        <w:trPr>
          <w:gridAfter w:val="1"/>
          <w:divId w:val="84109937"/>
        </w:trPr>
        <w:tc>
          <w:tcPr>
            <w:tcW w:w="0" w:type="auto"/>
            <w:gridSpan w:val="4"/>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2"/>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March 31, 2021</w:t>
            </w:r>
          </w:p>
        </w:tc>
        <w:tc>
          <w:tcPr>
            <w:tcW w:w="0" w:type="auto"/>
            <w:gridSpan w:val="2"/>
            <w:vAlign w:val="center"/>
            <w:hideMark/>
          </w:tcPr>
          <w:p w:rsidR="00000000" w:rsidRDefault="00E92DBE">
            <w:pPr>
              <w:jc w:val="center"/>
              <w:rPr>
                <w:rFonts w:eastAsia="Times New Roman"/>
              </w:rPr>
            </w:pPr>
          </w:p>
        </w:tc>
      </w:tr>
      <w:tr w:rsidR="00000000">
        <w:trPr>
          <w:gridAfter w:val="1"/>
          <w:divId w:val="84109937"/>
        </w:trPr>
        <w:tc>
          <w:tcPr>
            <w:tcW w:w="0" w:type="auto"/>
            <w:gridSpan w:val="4"/>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gridAfter w:val="1"/>
          <w:divId w:val="84109937"/>
        </w:trPr>
        <w:tc>
          <w:tcPr>
            <w:tcW w:w="0" w:type="auto"/>
            <w:gridSpan w:val="4"/>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Total</w:t>
            </w:r>
          </w:p>
        </w:tc>
        <w:tc>
          <w:tcPr>
            <w:tcW w:w="0" w:type="auto"/>
            <w:gridSpan w:val="2"/>
            <w:vAlign w:val="center"/>
            <w:hideMark/>
          </w:tcPr>
          <w:p w:rsidR="00000000" w:rsidRDefault="00E92DBE">
            <w:pPr>
              <w:jc w:val="center"/>
              <w:rPr>
                <w:rFonts w:eastAsia="Times New Roman"/>
              </w:rPr>
            </w:pPr>
          </w:p>
        </w:tc>
      </w:tr>
      <w:tr w:rsidR="00000000">
        <w:trPr>
          <w:gridAfter w:val="1"/>
          <w:divId w:val="84109937"/>
        </w:trPr>
        <w:tc>
          <w:tcPr>
            <w:tcW w:w="0" w:type="auto"/>
            <w:gridSpan w:val="4"/>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6"/>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gridAfter w:val="1"/>
          <w:divId w:val="84109937"/>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1028407046"/>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E92DBE">
        <w:trPr>
          <w:gridAfter w:val="1"/>
          <w:divId w:val="84109937"/>
        </w:trPr>
        <w:tc>
          <w:tcPr>
            <w:tcW w:w="0" w:type="auto"/>
            <w:gridSpan w:val="4"/>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4,632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12,126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7,169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4,010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2,302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31,216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31,216</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E92DBE">
        <w:trPr>
          <w:gridAfter w:val="1"/>
          <w:divId w:val="84109937"/>
        </w:trPr>
        <w:tc>
          <w:tcPr>
            <w:tcW w:w="0" w:type="auto"/>
            <w:gridSpan w:val="4"/>
            <w:shd w:val="clear" w:color="auto" w:fill="CCEE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621-660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5,311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13,478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13,478</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gridAfter w:val="1"/>
          <w:divId w:val="84109937"/>
        </w:trPr>
        <w:tc>
          <w:tcPr>
            <w:tcW w:w="0" w:type="auto"/>
            <w:gridSpan w:val="4"/>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8,852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5,666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2,915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22,365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22,365</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gridAfter w:val="1"/>
          <w:divId w:val="84109937"/>
        </w:trPr>
        <w:tc>
          <w:tcPr>
            <w:tcW w:w="0" w:type="auto"/>
            <w:gridSpan w:val="4"/>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8,771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26,289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16,073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8,674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4,974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67,059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67,059</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gridAfter w:val="1"/>
          <w:divId w:val="84109937"/>
          <w:trHeight w:val="280"/>
        </w:trPr>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gridAfter w:val="1"/>
          <w:divId w:val="84109937"/>
        </w:trPr>
        <w:tc>
          <w:tcPr>
            <w:tcW w:w="0" w:type="auto"/>
            <w:gridSpan w:val="4"/>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Retail banking—Delinquency status: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E92DBE">
        <w:trPr>
          <w:gridAfter w:val="1"/>
          <w:divId w:val="84109937"/>
        </w:trPr>
        <w:tc>
          <w:tcPr>
            <w:tcW w:w="0" w:type="auto"/>
            <w:gridSpan w:val="4"/>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3,091</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gridAfter w:val="1"/>
          <w:divId w:val="84109937"/>
        </w:trPr>
        <w:tc>
          <w:tcPr>
            <w:tcW w:w="0" w:type="auto"/>
            <w:gridSpan w:val="4"/>
            <w:shd w:val="clear" w:color="auto" w:fill="CCEE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gridAfter w:val="1"/>
          <w:divId w:val="84109937"/>
        </w:trPr>
        <w:tc>
          <w:tcPr>
            <w:tcW w:w="0" w:type="auto"/>
            <w:gridSpan w:val="4"/>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gridAfter w:val="1"/>
          <w:divId w:val="84109937"/>
        </w:trPr>
        <w:tc>
          <w:tcPr>
            <w:tcW w:w="0" w:type="auto"/>
            <w:gridSpan w:val="4"/>
            <w:shd w:val="clear" w:color="auto" w:fill="CCEE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E92DBE">
        <w:trPr>
          <w:gridAfter w:val="1"/>
          <w:divId w:val="84109937"/>
        </w:trPr>
        <w:tc>
          <w:tcPr>
            <w:tcW w:w="0" w:type="auto"/>
            <w:gridSpan w:val="4"/>
            <w:shd w:val="clear" w:color="auto" w:fill="FFFFFF"/>
            <w:tcMar>
              <w:top w:w="30" w:type="dxa"/>
              <w:left w:w="20" w:type="dxa"/>
              <w:bottom w:w="30" w:type="dxa"/>
              <w:right w:w="20" w:type="dxa"/>
            </w:tcMar>
            <w:vAlign w:val="center"/>
            <w:hideMark/>
          </w:tcPr>
          <w:p w:rsidR="00000000" w:rsidRDefault="00E92DBE">
            <w:pPr>
              <w:divId w:val="1604457854"/>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332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207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215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662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2,523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3,143</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E92DBE">
        <w:trPr>
          <w:gridAfter w:val="1"/>
          <w:divId w:val="84109937"/>
        </w:trPr>
        <w:tc>
          <w:tcPr>
            <w:tcW w:w="0" w:type="auto"/>
            <w:gridSpan w:val="4"/>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9,103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27,169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16,300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8,881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5,189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2,940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69,582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70,202</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blPrEx>
          <w:tblW w:w="4992" w:type="pct"/>
          <w:jc w:val="center"/>
        </w:tblPrEx>
        <w:trPr>
          <w:jc w:val="center"/>
        </w:trPr>
        <w:tc>
          <w:tcPr>
            <w:tcW w:w="50" w:type="pct"/>
            <w:gridSpan w:val="2"/>
            <w:vAlign w:val="center"/>
            <w:hideMark/>
          </w:tcPr>
          <w:p w:rsidR="00000000" w:rsidRDefault="00E92DBE">
            <w:pPr>
              <w:rPr>
                <w:rFonts w:eastAsia="Times New Roman"/>
              </w:rPr>
            </w:pPr>
          </w:p>
        </w:tc>
        <w:tc>
          <w:tcPr>
            <w:tcW w:w="1606" w:type="pct"/>
            <w:gridSpan w:val="19"/>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gridSpan w:val="25"/>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gridSpan w:val="20"/>
            <w:vAlign w:val="center"/>
            <w:hideMark/>
          </w:tcPr>
          <w:p w:rsidR="00000000" w:rsidRDefault="00E92DBE">
            <w:pPr>
              <w:spacing w:after="100"/>
              <w:rPr>
                <w:rFonts w:eastAsia="Times New Roman"/>
                <w:sz w:val="20"/>
                <w:szCs w:val="20"/>
              </w:rPr>
            </w:pPr>
          </w:p>
        </w:tc>
        <w:tc>
          <w:tcPr>
            <w:tcW w:w="5" w:type="pct"/>
            <w:gridSpan w:val="2"/>
            <w:vAlign w:val="center"/>
            <w:hideMark/>
          </w:tcPr>
          <w:p w:rsidR="00000000" w:rsidRDefault="00E92DBE">
            <w:pPr>
              <w:spacing w:after="100"/>
              <w:rPr>
                <w:rFonts w:eastAsia="Times New Roman"/>
                <w:sz w:val="20"/>
                <w:szCs w:val="20"/>
              </w:rPr>
            </w:pPr>
          </w:p>
        </w:tc>
      </w:tr>
      <w:tr w:rsidR="00000000">
        <w:tblPrEx>
          <w:tblW w:w="4992" w:type="pct"/>
          <w:jc w:val="center"/>
        </w:tblPrEx>
        <w:trPr>
          <w:trHeight w:val="300"/>
          <w:jc w:val="center"/>
        </w:trPr>
        <w:tc>
          <w:tcPr>
            <w:tcW w:w="0" w:type="auto"/>
            <w:gridSpan w:val="72"/>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blPrEx>
          <w:tblW w:w="4992" w:type="pct"/>
          <w:jc w:val="center"/>
        </w:tblPrEx>
        <w:trPr>
          <w:jc w:val="center"/>
        </w:trPr>
        <w:tc>
          <w:tcPr>
            <w:tcW w:w="0" w:type="auto"/>
            <w:gridSpan w:val="22"/>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79</w:t>
            </w:r>
          </w:p>
        </w:tc>
        <w:tc>
          <w:tcPr>
            <w:tcW w:w="0" w:type="auto"/>
            <w:gridSpan w:val="2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04" style="width:0;height:1.5pt" o:hralign="center" o:hrstd="t" o:hr="t" fillcolor="#a0a0a0" stroked="f"/>
        </w:pict>
      </w:r>
    </w:p>
    <w:p w:rsidR="00000000" w:rsidRDefault="00E92DBE">
      <w:pPr>
        <w:jc w:val="both"/>
        <w:divId w:val="1665204560"/>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66520456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946"/>
        <w:gridCol w:w="39"/>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1"/>
        <w:gridCol w:w="581"/>
        <w:gridCol w:w="36"/>
        <w:gridCol w:w="36"/>
        <w:gridCol w:w="36"/>
        <w:gridCol w:w="36"/>
        <w:gridCol w:w="111"/>
        <w:gridCol w:w="630"/>
        <w:gridCol w:w="36"/>
        <w:gridCol w:w="36"/>
        <w:gridCol w:w="36"/>
        <w:gridCol w:w="36"/>
        <w:gridCol w:w="110"/>
        <w:gridCol w:w="540"/>
        <w:gridCol w:w="36"/>
      </w:tblGrid>
      <w:tr w:rsidR="00000000">
        <w:trPr>
          <w:divId w:val="183440358"/>
        </w:trPr>
        <w:tc>
          <w:tcPr>
            <w:tcW w:w="50" w:type="pct"/>
            <w:vAlign w:val="center"/>
            <w:hideMark/>
          </w:tcPr>
          <w:p w:rsidR="00000000" w:rsidRDefault="00E92DBE">
            <w:pPr>
              <w:jc w:val="center"/>
              <w:rPr>
                <w:rFonts w:eastAsia="Times New Roman"/>
              </w:rPr>
            </w:pPr>
          </w:p>
        </w:tc>
        <w:tc>
          <w:tcPr>
            <w:tcW w:w="93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83440358"/>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December 31, 2020</w:t>
            </w:r>
          </w:p>
        </w:tc>
        <w:tc>
          <w:tcPr>
            <w:tcW w:w="0" w:type="auto"/>
            <w:vAlign w:val="center"/>
            <w:hideMark/>
          </w:tcPr>
          <w:p w:rsidR="00000000" w:rsidRDefault="00E92DBE">
            <w:pPr>
              <w:rPr>
                <w:rFonts w:eastAsia="Times New Roman"/>
                <w:sz w:val="20"/>
                <w:szCs w:val="20"/>
              </w:rPr>
            </w:pPr>
          </w:p>
        </w:tc>
      </w:tr>
      <w:tr w:rsidR="00000000">
        <w:trPr>
          <w:divId w:val="183440358"/>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83440358"/>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Total</w:t>
            </w:r>
          </w:p>
        </w:tc>
        <w:tc>
          <w:tcPr>
            <w:tcW w:w="0" w:type="auto"/>
            <w:vAlign w:val="center"/>
            <w:hideMark/>
          </w:tcPr>
          <w:p w:rsidR="00000000" w:rsidRDefault="00E92DBE">
            <w:pPr>
              <w:rPr>
                <w:rFonts w:eastAsia="Times New Roman"/>
                <w:sz w:val="20"/>
                <w:szCs w:val="20"/>
              </w:rPr>
            </w:pPr>
          </w:p>
        </w:tc>
      </w:tr>
      <w:tr w:rsidR="00000000">
        <w:trPr>
          <w:divId w:val="183440358"/>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8344035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1362394186"/>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E92DBE">
        <w:trPr>
          <w:divId w:val="183440358"/>
        </w:trPr>
        <w:tc>
          <w:tcPr>
            <w:tcW w:w="0" w:type="auto"/>
            <w:gridSpan w:val="3"/>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13,352 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8,091 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4,675 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2,810 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1,168 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30,299 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30,299 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E92DBE">
        <w:trPr>
          <w:divId w:val="183440358"/>
        </w:trPr>
        <w:tc>
          <w:tcPr>
            <w:tcW w:w="0" w:type="auto"/>
            <w:gridSpan w:val="3"/>
            <w:shd w:val="clear" w:color="auto" w:fill="CCEE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621-660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5,781 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3,631 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2,003 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1,172 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488 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13,184 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13,184 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83440358"/>
        </w:trPr>
        <w:tc>
          <w:tcPr>
            <w:tcW w:w="0" w:type="auto"/>
            <w:gridSpan w:val="3"/>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9,550 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6,298 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3,317 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1,985 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886 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22,279 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22,279 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8344035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28,683 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18,020 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9,995 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5,967 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65,762 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65,762 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83440358"/>
          <w:trHeight w:val="280"/>
        </w:trPr>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8344035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Retail banking—Delinquency status: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E92DBE">
        <w:trPr>
          <w:divId w:val="183440358"/>
        </w:trPr>
        <w:tc>
          <w:tcPr>
            <w:tcW w:w="0" w:type="auto"/>
            <w:gridSpan w:val="3"/>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1,041 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537 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2,406 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651 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3,064 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83440358"/>
        </w:trPr>
        <w:tc>
          <w:tcPr>
            <w:tcW w:w="0" w:type="auto"/>
            <w:gridSpan w:val="3"/>
            <w:shd w:val="clear" w:color="auto" w:fill="CCEE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83440358"/>
        </w:trPr>
        <w:tc>
          <w:tcPr>
            <w:tcW w:w="0" w:type="auto"/>
            <w:gridSpan w:val="3"/>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divId w:val="183440358"/>
        </w:trPr>
        <w:tc>
          <w:tcPr>
            <w:tcW w:w="0" w:type="auto"/>
            <w:gridSpan w:val="3"/>
            <w:shd w:val="clear" w:color="auto" w:fill="CCEE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E92DBE">
        <w:trPr>
          <w:divId w:val="183440358"/>
        </w:trPr>
        <w:tc>
          <w:tcPr>
            <w:tcW w:w="0" w:type="auto"/>
            <w:gridSpan w:val="3"/>
            <w:shd w:val="clear" w:color="auto" w:fill="FFFFFF"/>
            <w:tcMar>
              <w:top w:w="30" w:type="dxa"/>
              <w:left w:w="20" w:type="dxa"/>
              <w:bottom w:w="30" w:type="dxa"/>
              <w:right w:w="20" w:type="dxa"/>
            </w:tcMar>
            <w:vAlign w:val="center"/>
            <w:hideMark/>
          </w:tcPr>
          <w:p w:rsidR="00000000" w:rsidRDefault="00E92DBE">
            <w:pPr>
              <w:divId w:val="1491167462"/>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3,126 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E92DBE">
        <w:trPr>
          <w:divId w:val="18344035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29,724 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18,253 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10,209 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6,191 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2,717 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68,196 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68,888 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bl>
    <w:p w:rsidR="00000000" w:rsidRDefault="00E92DBE">
      <w:pPr>
        <w:divId w:val="1858502589"/>
        <w:rPr>
          <w:rFonts w:eastAsia="Times New Roman"/>
        </w:rPr>
      </w:pPr>
      <w:r>
        <w:rPr>
          <w:rFonts w:eastAsia="Times New Roman"/>
          <w:color w:val="000000"/>
          <w:sz w:val="20"/>
          <w:szCs w:val="20"/>
        </w:rPr>
        <w:t>__________</w:t>
      </w:r>
    </w:p>
    <w:p w:rsidR="00000000" w:rsidRDefault="00E92DBE">
      <w:pPr>
        <w:ind w:hanging="360"/>
        <w:jc w:val="both"/>
        <w:divId w:val="30894012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Amounts represent period-end loans held for investment in each credit score category. Auto credit scores gener</w:t>
      </w:r>
      <w:r>
        <w:rPr>
          <w:rFonts w:eastAsia="Times New Roman"/>
          <w:color w:val="000000"/>
          <w:sz w:val="16"/>
          <w:szCs w:val="16"/>
        </w:rPr>
        <w:t>ally represent average FICO scores obtained from three credit bureaus at the time of application and are not refreshed thereafter. Balances for which no credit score is available or the credit score is invalid are included in the 620 or below category.</w:t>
      </w:r>
    </w:p>
    <w:p w:rsidR="00000000" w:rsidRDefault="00E92DBE">
      <w:pPr>
        <w:ind w:hanging="360"/>
        <w:jc w:val="both"/>
        <w:divId w:val="102100570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Paycheck Protection Program (“PPP”) loans of $1.1 billion and $919 million as of March 31, 2021 and December 31, 2020, respectively.</w:t>
      </w:r>
    </w:p>
    <w:p w:rsidR="00000000" w:rsidRDefault="00E92DBE">
      <w:pPr>
        <w:jc w:val="both"/>
        <w:divId w:val="618025401"/>
        <w:rPr>
          <w:rFonts w:eastAsia="Times New Roman"/>
        </w:rPr>
      </w:pPr>
      <w:r>
        <w:rPr>
          <w:rFonts w:eastAsia="Times New Roman"/>
          <w:b/>
          <w:bCs/>
          <w:i/>
          <w:iCs/>
          <w:color w:val="000000"/>
          <w:sz w:val="20"/>
          <w:szCs w:val="20"/>
        </w:rPr>
        <w:t>Commercial Banking</w:t>
      </w:r>
    </w:p>
    <w:p w:rsidR="00000000" w:rsidRDefault="00E92DBE">
      <w:pPr>
        <w:jc w:val="both"/>
        <w:divId w:val="1283338628"/>
        <w:rPr>
          <w:rFonts w:eastAsia="Times New Roman"/>
        </w:rPr>
      </w:pPr>
      <w:r>
        <w:rPr>
          <w:rFonts w:eastAsia="Times New Roman"/>
          <w:color w:val="000000"/>
          <w:sz w:val="20"/>
          <w:szCs w:val="20"/>
        </w:rPr>
        <w:t>The key credit quality indicator for our commercial loan portfolios is our internal risk rating</w:t>
      </w:r>
      <w:r>
        <w:rPr>
          <w:rFonts w:eastAsia="Times New Roman"/>
          <w:color w:val="000000"/>
          <w:sz w:val="20"/>
          <w:szCs w:val="20"/>
        </w:rPr>
        <w:t>s. We assign internal risk ratings to loans based on relevant information about the ability of the borrowers to repay their debt. In determining the risk rating of a particular loan, some of the factors considered are the borrower’s current financial condi</w:t>
      </w:r>
      <w:r>
        <w:rPr>
          <w:rFonts w:eastAsia="Times New Roman"/>
          <w:color w:val="000000"/>
          <w:sz w:val="20"/>
          <w:szCs w:val="20"/>
        </w:rPr>
        <w:t xml:space="preserve">tion, historical and projected future credit performance, prospects for support from financially responsible guarantors, the estimated realizable value of any collateral and current economic trends. The scale based on our internal risk rating system is as </w:t>
      </w:r>
      <w:r>
        <w:rPr>
          <w:rFonts w:eastAsia="Times New Roman"/>
          <w:color w:val="000000"/>
          <w:sz w:val="20"/>
          <w:szCs w:val="20"/>
        </w:rPr>
        <w:t>follows:</w:t>
      </w:r>
    </w:p>
    <w:p w:rsidR="00000000" w:rsidRDefault="00E92DBE">
      <w:pPr>
        <w:ind w:hanging="360"/>
        <w:jc w:val="both"/>
        <w:divId w:val="911161476"/>
        <w:rPr>
          <w:rFonts w:eastAsia="Times New Roman"/>
        </w:rPr>
      </w:pPr>
      <w:r>
        <w:rPr>
          <w:rFonts w:eastAsia="Times New Roman"/>
          <w:color w:val="000000"/>
          <w:sz w:val="20"/>
          <w:szCs w:val="20"/>
        </w:rPr>
        <w:t>•</w:t>
      </w:r>
      <w:r>
        <w:rPr>
          <w:rFonts w:eastAsia="Times New Roman"/>
          <w:i/>
          <w:iCs/>
          <w:color w:val="000000"/>
          <w:sz w:val="20"/>
          <w:szCs w:val="20"/>
        </w:rPr>
        <w:t>Noncriticized:</w:t>
      </w:r>
      <w:r>
        <w:rPr>
          <w:rFonts w:eastAsia="Times New Roman"/>
          <w:color w:val="000000"/>
          <w:sz w:val="20"/>
          <w:szCs w:val="20"/>
        </w:rPr>
        <w:t xml:space="preserve"> Loans that have not been designated as criticized, frequently referred to as “pass” loans.</w:t>
      </w:r>
    </w:p>
    <w:p w:rsidR="00000000" w:rsidRDefault="00E92DBE">
      <w:pPr>
        <w:ind w:hanging="360"/>
        <w:jc w:val="both"/>
        <w:divId w:val="1245604771"/>
        <w:rPr>
          <w:rFonts w:eastAsia="Times New Roman"/>
        </w:rPr>
      </w:pPr>
      <w:r>
        <w:rPr>
          <w:rFonts w:eastAsia="Times New Roman"/>
          <w:color w:val="000000"/>
          <w:sz w:val="20"/>
          <w:szCs w:val="20"/>
        </w:rPr>
        <w:t>•</w:t>
      </w:r>
      <w:r>
        <w:rPr>
          <w:rFonts w:eastAsia="Times New Roman"/>
          <w:i/>
          <w:iCs/>
          <w:color w:val="000000"/>
          <w:sz w:val="20"/>
          <w:szCs w:val="20"/>
        </w:rPr>
        <w:t>Criticized performing:</w:t>
      </w:r>
      <w:r>
        <w:rPr>
          <w:rFonts w:eastAsia="Times New Roman"/>
          <w:color w:val="000000"/>
          <w:sz w:val="20"/>
          <w:szCs w:val="20"/>
        </w:rPr>
        <w:t xml:space="preserve"> Loans in which the financial condition of the obligor is stressed, affecting earnings, cash flows or collateral valu</w:t>
      </w:r>
      <w:r>
        <w:rPr>
          <w:rFonts w:eastAsia="Times New Roman"/>
          <w:color w:val="000000"/>
          <w:sz w:val="20"/>
          <w:szCs w:val="20"/>
        </w:rPr>
        <w:t>es. The borrower currently has adequate capacity to meet near-term obligations; however, the stress, left unabated, may result in deterioration of the repayment prospects at some future date.</w:t>
      </w:r>
    </w:p>
    <w:p w:rsidR="00000000" w:rsidRDefault="00E92DBE">
      <w:pPr>
        <w:ind w:hanging="360"/>
        <w:jc w:val="both"/>
        <w:divId w:val="1737360815"/>
        <w:rPr>
          <w:rFonts w:eastAsia="Times New Roman"/>
        </w:rPr>
      </w:pPr>
      <w:r>
        <w:rPr>
          <w:rFonts w:eastAsia="Times New Roman"/>
          <w:color w:val="000000"/>
          <w:sz w:val="20"/>
          <w:szCs w:val="20"/>
        </w:rPr>
        <w:t>•</w:t>
      </w:r>
      <w:r>
        <w:rPr>
          <w:rFonts w:eastAsia="Times New Roman"/>
          <w:i/>
          <w:iCs/>
          <w:color w:val="000000"/>
          <w:sz w:val="20"/>
          <w:szCs w:val="20"/>
        </w:rPr>
        <w:t>Criticized nonperforming:</w:t>
      </w:r>
      <w:r>
        <w:rPr>
          <w:rFonts w:eastAsia="Times New Roman"/>
          <w:color w:val="000000"/>
          <w:sz w:val="20"/>
          <w:szCs w:val="20"/>
        </w:rPr>
        <w:t xml:space="preserve"> Loans that are not adequately protect</w:t>
      </w:r>
      <w:r>
        <w:rPr>
          <w:rFonts w:eastAsia="Times New Roman"/>
          <w:color w:val="000000"/>
          <w:sz w:val="20"/>
          <w:szCs w:val="20"/>
        </w:rPr>
        <w:t>ed by the current net worth and paying capacity of the obligor or the collateral pledged, if any. Loans classified as criticized nonperforming have a well-defined weakness, or weaknesses, which jeopardize the full repayment of the debt. These loans are cha</w:t>
      </w:r>
      <w:r>
        <w:rPr>
          <w:rFonts w:eastAsia="Times New Roman"/>
          <w:color w:val="000000"/>
          <w:sz w:val="20"/>
          <w:szCs w:val="20"/>
        </w:rPr>
        <w:t>racterized by the distinct possibility that we will sustain a credit loss if the deficiencies are not corrected and are generally placed on nonaccrual status.</w:t>
      </w:r>
    </w:p>
    <w:p w:rsidR="00000000" w:rsidRDefault="00E92DBE">
      <w:pPr>
        <w:jc w:val="both"/>
        <w:divId w:val="143857526"/>
        <w:rPr>
          <w:rFonts w:eastAsia="Times New Roman"/>
        </w:rPr>
      </w:pPr>
      <w:r>
        <w:rPr>
          <w:rFonts w:eastAsia="Times New Roman"/>
          <w:color w:val="000000"/>
          <w:sz w:val="20"/>
          <w:szCs w:val="20"/>
        </w:rPr>
        <w:t>We use our internal risk rating system for regulatory reporting, determining the frequency of cre</w:t>
      </w:r>
      <w:r>
        <w:rPr>
          <w:rFonts w:eastAsia="Times New Roman"/>
          <w:color w:val="000000"/>
          <w:sz w:val="20"/>
          <w:szCs w:val="20"/>
        </w:rPr>
        <w:t xml:space="preserve">dit exposure reviews, and evaluating and determining the allowance for credit losses for commercial loans. Generally, loans that are designated as criticized performing and criticized nonperforming are reviewed quarterly by management to determine if they </w:t>
      </w:r>
      <w:r>
        <w:rPr>
          <w:rFonts w:eastAsia="Times New Roman"/>
          <w:color w:val="000000"/>
          <w:sz w:val="20"/>
          <w:szCs w:val="20"/>
        </w:rPr>
        <w:t>are appropriately classified/rated and whether any impairment exists. Noncriticized loans are also generally reviewed, at least annually, to determine the appropriate risk rating. In addition, we evaluate the risk rating during the renewal process of any l</w:t>
      </w:r>
      <w:r>
        <w:rPr>
          <w:rFonts w:eastAsia="Times New Roman"/>
          <w:color w:val="000000"/>
          <w:sz w:val="20"/>
          <w:szCs w:val="20"/>
        </w:rPr>
        <w:t>oan or if a loan becomes past due.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66711737"/>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366711737"/>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366711737"/>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80</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05" style="width:0;height:1.5pt" o:hralign="center" o:hrstd="t" o:hr="t" fillcolor="#a0a0a0" stroked="f"/>
        </w:pict>
      </w:r>
    </w:p>
    <w:p w:rsidR="00000000" w:rsidRDefault="00E92DBE">
      <w:pPr>
        <w:jc w:val="both"/>
        <w:divId w:val="107173643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071736438"/>
        <w:rPr>
          <w:rFonts w:eastAsia="Times New Roman"/>
        </w:rPr>
      </w:pPr>
    </w:p>
    <w:p w:rsidR="00000000" w:rsidRDefault="00E92DBE">
      <w:pPr>
        <w:jc w:val="both"/>
        <w:divId w:val="1797139618"/>
        <w:rPr>
          <w:rFonts w:eastAsia="Times New Roman"/>
        </w:rPr>
      </w:pPr>
      <w:r>
        <w:rPr>
          <w:rFonts w:eastAsia="Times New Roman"/>
          <w:color w:val="000000"/>
          <w:sz w:val="20"/>
          <w:szCs w:val="20"/>
        </w:rPr>
        <w:t>The following table presents our commercial banking portfolio of loans held for investment by internal risk ratings as of March 31, 2021 and D</w:t>
      </w:r>
      <w:r>
        <w:rPr>
          <w:rFonts w:eastAsia="Times New Roman"/>
          <w:color w:val="000000"/>
          <w:sz w:val="20"/>
          <w:szCs w:val="20"/>
        </w:rPr>
        <w:t>ecember 31, 2020. The internal risk rating status includes all past due loans, both performing and nonperforming.</w:t>
      </w:r>
    </w:p>
    <w:p w:rsidR="00000000" w:rsidRDefault="00E92DBE">
      <w:pPr>
        <w:divId w:val="1669090362"/>
        <w:rPr>
          <w:rFonts w:eastAsia="Times New Roman"/>
        </w:rPr>
      </w:pPr>
      <w:r>
        <w:rPr>
          <w:rFonts w:eastAsia="Times New Roman"/>
          <w:b/>
          <w:bCs/>
          <w:color w:val="000000"/>
          <w:sz w:val="18"/>
          <w:szCs w:val="18"/>
        </w:rPr>
        <w:t>Table 3.5: Commercial Banking Portfolio by Internal Risk Ratings</w:t>
      </w:r>
    </w:p>
    <w:tbl>
      <w:tblPr>
        <w:tblW w:w="5000" w:type="pct"/>
        <w:tblCellMar>
          <w:top w:w="15" w:type="dxa"/>
          <w:left w:w="15" w:type="dxa"/>
          <w:bottom w:w="15" w:type="dxa"/>
          <w:right w:w="15" w:type="dxa"/>
        </w:tblCellMar>
        <w:tblLook w:val="04A0" w:firstRow="1" w:lastRow="0" w:firstColumn="1" w:lastColumn="0" w:noHBand="0" w:noVBand="1"/>
      </w:tblPr>
      <w:tblGrid>
        <w:gridCol w:w="65"/>
        <w:gridCol w:w="79"/>
        <w:gridCol w:w="1330"/>
        <w:gridCol w:w="40"/>
        <w:gridCol w:w="36"/>
        <w:gridCol w:w="36"/>
        <w:gridCol w:w="36"/>
        <w:gridCol w:w="110"/>
        <w:gridCol w:w="202"/>
        <w:gridCol w:w="144"/>
        <w:gridCol w:w="104"/>
        <w:gridCol w:w="36"/>
        <w:gridCol w:w="4"/>
        <w:gridCol w:w="32"/>
        <w:gridCol w:w="36"/>
        <w:gridCol w:w="36"/>
        <w:gridCol w:w="40"/>
        <w:gridCol w:w="70"/>
        <w:gridCol w:w="74"/>
        <w:gridCol w:w="144"/>
        <w:gridCol w:w="322"/>
        <w:gridCol w:w="36"/>
        <w:gridCol w:w="36"/>
        <w:gridCol w:w="36"/>
        <w:gridCol w:w="36"/>
        <w:gridCol w:w="12"/>
        <w:gridCol w:w="98"/>
        <w:gridCol w:w="46"/>
        <w:gridCol w:w="144"/>
        <w:gridCol w:w="144"/>
        <w:gridCol w:w="144"/>
        <w:gridCol w:w="62"/>
        <w:gridCol w:w="36"/>
        <w:gridCol w:w="36"/>
        <w:gridCol w:w="10"/>
        <w:gridCol w:w="26"/>
        <w:gridCol w:w="36"/>
        <w:gridCol w:w="110"/>
        <w:gridCol w:w="306"/>
        <w:gridCol w:w="144"/>
        <w:gridCol w:w="36"/>
        <w:gridCol w:w="36"/>
        <w:gridCol w:w="36"/>
        <w:gridCol w:w="36"/>
        <w:gridCol w:w="110"/>
        <w:gridCol w:w="34"/>
        <w:gridCol w:w="144"/>
        <w:gridCol w:w="144"/>
        <w:gridCol w:w="128"/>
        <w:gridCol w:w="36"/>
        <w:gridCol w:w="36"/>
        <w:gridCol w:w="36"/>
        <w:gridCol w:w="36"/>
        <w:gridCol w:w="110"/>
        <w:gridCol w:w="96"/>
        <w:gridCol w:w="144"/>
        <w:gridCol w:w="144"/>
        <w:gridCol w:w="144"/>
        <w:gridCol w:w="12"/>
        <w:gridCol w:w="36"/>
        <w:gridCol w:w="36"/>
        <w:gridCol w:w="36"/>
        <w:gridCol w:w="24"/>
        <w:gridCol w:w="12"/>
        <w:gridCol w:w="110"/>
        <w:gridCol w:w="22"/>
        <w:gridCol w:w="453"/>
        <w:gridCol w:w="65"/>
        <w:gridCol w:w="36"/>
        <w:gridCol w:w="36"/>
        <w:gridCol w:w="7"/>
        <w:gridCol w:w="29"/>
        <w:gridCol w:w="36"/>
        <w:gridCol w:w="79"/>
        <w:gridCol w:w="31"/>
        <w:gridCol w:w="113"/>
        <w:gridCol w:w="144"/>
        <w:gridCol w:w="144"/>
        <w:gridCol w:w="139"/>
        <w:gridCol w:w="36"/>
        <w:gridCol w:w="36"/>
        <w:gridCol w:w="36"/>
        <w:gridCol w:w="36"/>
        <w:gridCol w:w="111"/>
        <w:gridCol w:w="59"/>
        <w:gridCol w:w="144"/>
        <w:gridCol w:w="144"/>
        <w:gridCol w:w="144"/>
        <w:gridCol w:w="127"/>
        <w:gridCol w:w="17"/>
        <w:gridCol w:w="19"/>
        <w:gridCol w:w="36"/>
        <w:gridCol w:w="36"/>
        <w:gridCol w:w="36"/>
        <w:gridCol w:w="17"/>
        <w:gridCol w:w="93"/>
        <w:gridCol w:w="385"/>
        <w:gridCol w:w="144"/>
        <w:gridCol w:w="11"/>
        <w:gridCol w:w="36"/>
        <w:gridCol w:w="97"/>
        <w:gridCol w:w="144"/>
        <w:gridCol w:w="144"/>
        <w:gridCol w:w="144"/>
        <w:gridCol w:w="478"/>
        <w:gridCol w:w="144"/>
        <w:gridCol w:w="144"/>
        <w:gridCol w:w="144"/>
        <w:gridCol w:w="144"/>
        <w:gridCol w:w="144"/>
        <w:gridCol w:w="526"/>
        <w:gridCol w:w="144"/>
        <w:gridCol w:w="144"/>
        <w:gridCol w:w="144"/>
        <w:gridCol w:w="144"/>
        <w:gridCol w:w="144"/>
        <w:gridCol w:w="576"/>
        <w:gridCol w:w="144"/>
        <w:gridCol w:w="144"/>
        <w:gridCol w:w="144"/>
        <w:gridCol w:w="144"/>
        <w:gridCol w:w="144"/>
        <w:gridCol w:w="491"/>
        <w:gridCol w:w="144"/>
      </w:tblGrid>
      <w:tr w:rsidR="00000000">
        <w:trPr>
          <w:gridAfter w:val="24"/>
          <w:divId w:val="1883705663"/>
        </w:trPr>
        <w:tc>
          <w:tcPr>
            <w:tcW w:w="50" w:type="pct"/>
            <w:vAlign w:val="center"/>
            <w:hideMark/>
          </w:tcPr>
          <w:p w:rsidR="00000000" w:rsidRDefault="00E92DBE">
            <w:pPr>
              <w:rPr>
                <w:rFonts w:eastAsia="Times New Roman"/>
              </w:rPr>
            </w:pPr>
          </w:p>
        </w:tc>
        <w:tc>
          <w:tcPr>
            <w:tcW w:w="1085"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1" w:type="pct"/>
            <w:gridSpan w:val="3"/>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gridSpan w:val="2"/>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gridSpan w:val="2"/>
            <w:vAlign w:val="center"/>
            <w:hideMark/>
          </w:tcPr>
          <w:p w:rsidR="00000000" w:rsidRDefault="00E92DBE">
            <w:pPr>
              <w:rPr>
                <w:rFonts w:eastAsia="Times New Roman"/>
                <w:sz w:val="20"/>
                <w:szCs w:val="20"/>
              </w:rPr>
            </w:pPr>
          </w:p>
        </w:tc>
        <w:tc>
          <w:tcPr>
            <w:tcW w:w="288" w:type="pct"/>
            <w:gridSpan w:val="3"/>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gridSpan w:val="2"/>
            <w:vAlign w:val="center"/>
            <w:hideMark/>
          </w:tcPr>
          <w:p w:rsidR="00000000" w:rsidRDefault="00E92DBE">
            <w:pPr>
              <w:rPr>
                <w:rFonts w:eastAsia="Times New Roman"/>
                <w:sz w:val="20"/>
                <w:szCs w:val="20"/>
              </w:rPr>
            </w:pPr>
          </w:p>
        </w:tc>
        <w:tc>
          <w:tcPr>
            <w:tcW w:w="288" w:type="pct"/>
            <w:gridSpan w:val="5"/>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73"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73" w:type="pct"/>
            <w:gridSpan w:val="4"/>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8" w:type="pct"/>
            <w:gridSpan w:val="5"/>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gridSpan w:val="2"/>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8" w:type="pct"/>
            <w:gridSpan w:val="3"/>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gridSpan w:val="2"/>
            <w:vAlign w:val="center"/>
            <w:hideMark/>
          </w:tcPr>
          <w:p w:rsidR="00000000" w:rsidRDefault="00E92DBE">
            <w:pPr>
              <w:rPr>
                <w:rFonts w:eastAsia="Times New Roman"/>
                <w:sz w:val="20"/>
                <w:szCs w:val="20"/>
              </w:rPr>
            </w:pPr>
          </w:p>
        </w:tc>
        <w:tc>
          <w:tcPr>
            <w:tcW w:w="317" w:type="pct"/>
            <w:gridSpan w:val="4"/>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7" w:type="pct"/>
            <w:gridSpan w:val="5"/>
            <w:vAlign w:val="center"/>
            <w:hideMark/>
          </w:tcPr>
          <w:p w:rsidR="00000000" w:rsidRDefault="00E92DBE">
            <w:pPr>
              <w:rPr>
                <w:rFonts w:eastAsia="Times New Roman"/>
                <w:sz w:val="20"/>
                <w:szCs w:val="20"/>
              </w:rPr>
            </w:pPr>
          </w:p>
        </w:tc>
        <w:tc>
          <w:tcPr>
            <w:tcW w:w="5"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gridSpan w:val="2"/>
            <w:vAlign w:val="center"/>
            <w:hideMark/>
          </w:tcPr>
          <w:p w:rsidR="00000000" w:rsidRDefault="00E92DBE">
            <w:pPr>
              <w:rPr>
                <w:rFonts w:eastAsia="Times New Roman"/>
                <w:sz w:val="20"/>
                <w:szCs w:val="20"/>
              </w:rPr>
            </w:pPr>
          </w:p>
        </w:tc>
        <w:tc>
          <w:tcPr>
            <w:tcW w:w="296" w:type="pct"/>
            <w:gridSpan w:val="3"/>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gridAfter w:val="24"/>
          <w:divId w:val="1883705663"/>
        </w:trPr>
        <w:tc>
          <w:tcPr>
            <w:tcW w:w="0" w:type="auto"/>
            <w:gridSpan w:val="4"/>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2"/>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March 31, 2021</w:t>
            </w:r>
          </w:p>
        </w:tc>
        <w:tc>
          <w:tcPr>
            <w:tcW w:w="0" w:type="auto"/>
            <w:vAlign w:val="center"/>
            <w:hideMark/>
          </w:tcPr>
          <w:p w:rsidR="00000000" w:rsidRDefault="00E92DBE">
            <w:pPr>
              <w:rPr>
                <w:rFonts w:eastAsia="Times New Roman"/>
                <w:sz w:val="20"/>
                <w:szCs w:val="20"/>
              </w:rPr>
            </w:pPr>
          </w:p>
        </w:tc>
      </w:tr>
      <w:tr w:rsidR="00000000">
        <w:trPr>
          <w:gridAfter w:val="24"/>
          <w:divId w:val="1883705663"/>
        </w:trPr>
        <w:tc>
          <w:tcPr>
            <w:tcW w:w="0" w:type="auto"/>
            <w:gridSpan w:val="4"/>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2"/>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Term Loans by Vintage Year</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gridAfter w:val="24"/>
          <w:divId w:val="1883705663"/>
        </w:trPr>
        <w:tc>
          <w:tcPr>
            <w:tcW w:w="0" w:type="auto"/>
            <w:gridSpan w:val="4"/>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2021</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2019</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Prior</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Total Term Loans</w:t>
            </w:r>
          </w:p>
        </w:tc>
        <w:tc>
          <w:tcPr>
            <w:tcW w:w="0" w:type="auto"/>
            <w:gridSpan w:val="4"/>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Total</w:t>
            </w:r>
          </w:p>
        </w:tc>
        <w:tc>
          <w:tcPr>
            <w:tcW w:w="0" w:type="auto"/>
            <w:vAlign w:val="center"/>
            <w:hideMark/>
          </w:tcPr>
          <w:p w:rsidR="00000000" w:rsidRDefault="00E92DBE">
            <w:pPr>
              <w:rPr>
                <w:rFonts w:eastAsia="Times New Roman"/>
                <w:sz w:val="20"/>
                <w:szCs w:val="20"/>
              </w:rPr>
            </w:pPr>
          </w:p>
        </w:tc>
      </w:tr>
      <w:tr w:rsidR="00000000">
        <w:trPr>
          <w:gridAfter w:val="24"/>
          <w:divId w:val="1883705663"/>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1904557041"/>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gridAfter w:val="24"/>
          <w:divId w:val="1883705663"/>
        </w:trPr>
        <w:tc>
          <w:tcPr>
            <w:tcW w:w="0" w:type="auto"/>
            <w:gridSpan w:val="4"/>
            <w:shd w:val="clear" w:color="auto" w:fill="FFFFFF"/>
            <w:tcMar>
              <w:top w:w="30" w:type="dxa"/>
              <w:left w:w="15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E92DBE">
        <w:trPr>
          <w:gridAfter w:val="24"/>
          <w:divId w:val="1883705663"/>
        </w:trPr>
        <w:tc>
          <w:tcPr>
            <w:tcW w:w="0" w:type="auto"/>
            <w:gridSpan w:val="4"/>
            <w:shd w:val="clear" w:color="auto" w:fill="CCEE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Noncriticized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3,498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5"/>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4,788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5"/>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5,997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19,323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6,845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5"/>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26,168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gridAfter w:val="24"/>
          <w:divId w:val="1883705663"/>
        </w:trPr>
        <w:tc>
          <w:tcPr>
            <w:tcW w:w="0" w:type="auto"/>
            <w:gridSpan w:val="4"/>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Criticized performing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3,533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3,606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gridAfter w:val="24"/>
          <w:divId w:val="1883705663"/>
        </w:trPr>
        <w:tc>
          <w:tcPr>
            <w:tcW w:w="0" w:type="auto"/>
            <w:gridSpan w:val="4"/>
            <w:shd w:val="clear" w:color="auto" w:fill="CCEE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Criticized nonperforming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4"/>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gridAfter w:val="24"/>
          <w:divId w:val="1883705663"/>
        </w:trPr>
        <w:tc>
          <w:tcPr>
            <w:tcW w:w="0" w:type="auto"/>
            <w:gridSpan w:val="4"/>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3,802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5,306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3,718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1,587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7,913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23,090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6,893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30,008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gridAfter w:val="24"/>
          <w:divId w:val="1883705663"/>
        </w:trPr>
        <w:tc>
          <w:tcPr>
            <w:tcW w:w="0" w:type="auto"/>
            <w:gridSpan w:val="4"/>
            <w:shd w:val="clear" w:color="auto" w:fill="CCEEFF"/>
            <w:tcMar>
              <w:top w:w="30" w:type="dxa"/>
              <w:left w:w="15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E92DBE">
        <w:trPr>
          <w:gridAfter w:val="24"/>
          <w:divId w:val="1883705663"/>
        </w:trPr>
        <w:tc>
          <w:tcPr>
            <w:tcW w:w="0" w:type="auto"/>
            <w:gridSpan w:val="4"/>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8,846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7,223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3,851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28,979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11,091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40,131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gridAfter w:val="24"/>
          <w:divId w:val="1883705663"/>
        </w:trPr>
        <w:tc>
          <w:tcPr>
            <w:tcW w:w="0" w:type="auto"/>
            <w:gridSpan w:val="4"/>
            <w:shd w:val="clear" w:color="auto" w:fill="CCEE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4"/>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E92DBE">
        <w:trPr>
          <w:gridAfter w:val="24"/>
          <w:divId w:val="1883705663"/>
        </w:trPr>
        <w:tc>
          <w:tcPr>
            <w:tcW w:w="0" w:type="auto"/>
            <w:gridSpan w:val="4"/>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E92DBE">
        <w:trPr>
          <w:gridAfter w:val="24"/>
          <w:divId w:val="1883705663"/>
        </w:trPr>
        <w:tc>
          <w:tcPr>
            <w:tcW w:w="0" w:type="auto"/>
            <w:gridSpan w:val="4"/>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2,128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9,175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8,207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4,256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2,807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4,714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31,287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12,404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103</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43,794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E92DBE">
        <w:trPr>
          <w:gridAfter w:val="24"/>
          <w:divId w:val="1883705663"/>
        </w:trPr>
        <w:tc>
          <w:tcPr>
            <w:tcW w:w="0" w:type="auto"/>
            <w:gridSpan w:val="4"/>
            <w:shd w:val="clear" w:color="auto" w:fill="FFFFFF"/>
            <w:tcMar>
              <w:top w:w="30" w:type="dxa"/>
              <w:left w:w="20" w:type="dxa"/>
              <w:bottom w:w="30" w:type="dxa"/>
              <w:right w:w="20" w:type="dxa"/>
            </w:tcMar>
            <w:vAlign w:val="center"/>
            <w:hideMark/>
          </w:tcPr>
          <w:p w:rsidR="00000000" w:rsidRDefault="00E92DBE">
            <w:pPr>
              <w:divId w:val="456920098"/>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12,977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13,513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7,974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4,394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12,627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54,377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19,297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128</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73,802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50" w:type="pct"/>
            <w:gridSpan w:val="2"/>
            <w:vAlign w:val="center"/>
            <w:hideMark/>
          </w:tcPr>
          <w:p w:rsidR="00000000" w:rsidRDefault="00E92DBE">
            <w:pPr>
              <w:rPr>
                <w:rFonts w:eastAsia="Times New Roman"/>
              </w:rPr>
            </w:pPr>
          </w:p>
        </w:tc>
        <w:tc>
          <w:tcPr>
            <w:tcW w:w="1078" w:type="pct"/>
            <w:gridSpan w:val="7"/>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gridSpan w:val="3"/>
            <w:vAlign w:val="center"/>
            <w:hideMark/>
          </w:tcPr>
          <w:p w:rsidR="00000000" w:rsidRDefault="00E92DBE">
            <w:pPr>
              <w:rPr>
                <w:rFonts w:eastAsia="Times New Roman"/>
                <w:sz w:val="20"/>
                <w:szCs w:val="20"/>
              </w:rPr>
            </w:pPr>
          </w:p>
        </w:tc>
        <w:tc>
          <w:tcPr>
            <w:tcW w:w="26" w:type="pct"/>
            <w:gridSpan w:val="4"/>
            <w:vAlign w:val="center"/>
            <w:hideMark/>
          </w:tcPr>
          <w:p w:rsidR="00000000" w:rsidRDefault="00E92DBE">
            <w:pPr>
              <w:rPr>
                <w:rFonts w:eastAsia="Times New Roman"/>
                <w:sz w:val="20"/>
                <w:szCs w:val="20"/>
              </w:rPr>
            </w:pPr>
          </w:p>
        </w:tc>
        <w:tc>
          <w:tcPr>
            <w:tcW w:w="5" w:type="pct"/>
            <w:gridSpan w:val="2"/>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8" w:type="pct"/>
            <w:gridSpan w:val="6"/>
            <w:vAlign w:val="center"/>
            <w:hideMark/>
          </w:tcPr>
          <w:p w:rsidR="00000000" w:rsidRDefault="00E92DBE">
            <w:pPr>
              <w:rPr>
                <w:rFonts w:eastAsia="Times New Roman"/>
                <w:sz w:val="20"/>
                <w:szCs w:val="20"/>
              </w:rPr>
            </w:pPr>
          </w:p>
        </w:tc>
        <w:tc>
          <w:tcPr>
            <w:tcW w:w="5"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gridSpan w:val="4"/>
            <w:vAlign w:val="center"/>
            <w:hideMark/>
          </w:tcPr>
          <w:p w:rsidR="00000000" w:rsidRDefault="00E92DBE">
            <w:pPr>
              <w:rPr>
                <w:rFonts w:eastAsia="Times New Roman"/>
                <w:sz w:val="20"/>
                <w:szCs w:val="20"/>
              </w:rPr>
            </w:pPr>
          </w:p>
        </w:tc>
        <w:tc>
          <w:tcPr>
            <w:tcW w:w="288" w:type="pct"/>
            <w:gridSpan w:val="4"/>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gridSpan w:val="4"/>
            <w:vAlign w:val="center"/>
            <w:hideMark/>
          </w:tcPr>
          <w:p w:rsidR="00000000" w:rsidRDefault="00E92DBE">
            <w:pPr>
              <w:rPr>
                <w:rFonts w:eastAsia="Times New Roman"/>
                <w:sz w:val="20"/>
                <w:szCs w:val="20"/>
              </w:rPr>
            </w:pPr>
          </w:p>
        </w:tc>
        <w:tc>
          <w:tcPr>
            <w:tcW w:w="26"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8" w:type="pct"/>
            <w:gridSpan w:val="7"/>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gridSpan w:val="5"/>
            <w:vAlign w:val="center"/>
            <w:hideMark/>
          </w:tcPr>
          <w:p w:rsidR="00000000" w:rsidRDefault="00E92DBE">
            <w:pPr>
              <w:rPr>
                <w:rFonts w:eastAsia="Times New Roman"/>
                <w:sz w:val="20"/>
                <w:szCs w:val="20"/>
              </w:rPr>
            </w:pPr>
          </w:p>
        </w:tc>
        <w:tc>
          <w:tcPr>
            <w:tcW w:w="50" w:type="pct"/>
            <w:gridSpan w:val="3"/>
            <w:vAlign w:val="center"/>
            <w:hideMark/>
          </w:tcPr>
          <w:p w:rsidR="00000000" w:rsidRDefault="00E92DBE">
            <w:pPr>
              <w:rPr>
                <w:rFonts w:eastAsia="Times New Roman"/>
                <w:sz w:val="20"/>
                <w:szCs w:val="20"/>
              </w:rPr>
            </w:pPr>
          </w:p>
        </w:tc>
        <w:tc>
          <w:tcPr>
            <w:tcW w:w="273" w:type="pct"/>
            <w:vAlign w:val="center"/>
            <w:hideMark/>
          </w:tcPr>
          <w:p w:rsidR="00000000" w:rsidRDefault="00E92DBE">
            <w:pPr>
              <w:rPr>
                <w:rFonts w:eastAsia="Times New Roman"/>
                <w:sz w:val="20"/>
                <w:szCs w:val="20"/>
              </w:rPr>
            </w:pPr>
          </w:p>
        </w:tc>
        <w:tc>
          <w:tcPr>
            <w:tcW w:w="5" w:type="pct"/>
            <w:gridSpan w:val="4"/>
            <w:vAlign w:val="center"/>
            <w:hideMark/>
          </w:tcPr>
          <w:p w:rsidR="00000000" w:rsidRDefault="00E92DBE">
            <w:pPr>
              <w:rPr>
                <w:rFonts w:eastAsia="Times New Roman"/>
                <w:sz w:val="20"/>
                <w:szCs w:val="20"/>
              </w:rPr>
            </w:pPr>
          </w:p>
        </w:tc>
        <w:tc>
          <w:tcPr>
            <w:tcW w:w="5" w:type="pct"/>
            <w:gridSpan w:val="3"/>
            <w:vAlign w:val="center"/>
            <w:hideMark/>
          </w:tcPr>
          <w:p w:rsidR="00000000" w:rsidRDefault="00E92DBE">
            <w:pPr>
              <w:rPr>
                <w:rFonts w:eastAsia="Times New Roman"/>
                <w:sz w:val="20"/>
                <w:szCs w:val="20"/>
              </w:rPr>
            </w:pPr>
          </w:p>
        </w:tc>
        <w:tc>
          <w:tcPr>
            <w:tcW w:w="26"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73" w:type="pct"/>
            <w:gridSpan w:val="7"/>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gridSpan w:val="2"/>
            <w:vAlign w:val="center"/>
            <w:hideMark/>
          </w:tcPr>
          <w:p w:rsidR="00000000" w:rsidRDefault="00E92DBE">
            <w:pPr>
              <w:rPr>
                <w:rFonts w:eastAsia="Times New Roman"/>
                <w:sz w:val="20"/>
                <w:szCs w:val="20"/>
              </w:rPr>
            </w:pPr>
          </w:p>
        </w:tc>
        <w:tc>
          <w:tcPr>
            <w:tcW w:w="50" w:type="pct"/>
            <w:gridSpan w:val="5"/>
            <w:vAlign w:val="center"/>
            <w:hideMark/>
          </w:tcPr>
          <w:p w:rsidR="00000000" w:rsidRDefault="00E92DBE">
            <w:pPr>
              <w:rPr>
                <w:rFonts w:eastAsia="Times New Roman"/>
                <w:sz w:val="20"/>
                <w:szCs w:val="20"/>
              </w:rPr>
            </w:pPr>
          </w:p>
        </w:tc>
        <w:tc>
          <w:tcPr>
            <w:tcW w:w="288" w:type="pct"/>
            <w:gridSpan w:val="2"/>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gridSpan w:val="3"/>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c>
          <w:tcPr>
            <w:tcW w:w="0" w:type="auto"/>
            <w:gridSpan w:val="10"/>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04"/>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December 31, 2020</w:t>
            </w:r>
          </w:p>
        </w:tc>
        <w:tc>
          <w:tcPr>
            <w:tcW w:w="0" w:type="auto"/>
            <w:vAlign w:val="center"/>
            <w:hideMark/>
          </w:tcPr>
          <w:p w:rsidR="00000000" w:rsidRDefault="00E92DBE">
            <w:pPr>
              <w:rPr>
                <w:rFonts w:eastAsia="Times New Roman"/>
                <w:sz w:val="20"/>
                <w:szCs w:val="20"/>
              </w:rPr>
            </w:pPr>
          </w:p>
        </w:tc>
      </w:tr>
      <w:tr w:rsidR="00000000">
        <w:tc>
          <w:tcPr>
            <w:tcW w:w="0" w:type="auto"/>
            <w:gridSpan w:val="10"/>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7"/>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10"/>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5"/>
                <w:szCs w:val="15"/>
              </w:rPr>
              <w:t>(Dollars in millions)</w:t>
            </w:r>
          </w:p>
        </w:tc>
        <w:tc>
          <w:tcPr>
            <w:tcW w:w="0" w:type="auto"/>
            <w:gridSpan w:val="9"/>
            <w:tcMar>
              <w:top w:w="0" w:type="dxa"/>
              <w:left w:w="20" w:type="dxa"/>
              <w:bottom w:w="0" w:type="dxa"/>
              <w:right w:w="20" w:type="dxa"/>
            </w:tcMar>
            <w:vAlign w:val="center"/>
            <w:hideMark/>
          </w:tcPr>
          <w:p w:rsidR="00000000" w:rsidRDefault="00E92DBE">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2019</w:t>
            </w: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2018</w:t>
            </w: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2017</w:t>
            </w:r>
          </w:p>
        </w:tc>
        <w:tc>
          <w:tcPr>
            <w:tcW w:w="0" w:type="auto"/>
            <w:gridSpan w:val="6"/>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2016</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Prior</w:t>
            </w:r>
          </w:p>
        </w:tc>
        <w:tc>
          <w:tcPr>
            <w:tcW w:w="0" w:type="auto"/>
            <w:gridSpan w:val="5"/>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5"/>
                <w:szCs w:val="15"/>
              </w:rPr>
              <w:t>Total</w:t>
            </w:r>
          </w:p>
        </w:tc>
        <w:tc>
          <w:tcPr>
            <w:tcW w:w="0" w:type="auto"/>
            <w:vAlign w:val="center"/>
            <w:hideMark/>
          </w:tcPr>
          <w:p w:rsidR="00000000" w:rsidRDefault="00E92DBE">
            <w:pPr>
              <w:rPr>
                <w:rFonts w:eastAsia="Times New Roman"/>
                <w:sz w:val="20"/>
                <w:szCs w:val="20"/>
              </w:rPr>
            </w:pPr>
          </w:p>
        </w:tc>
      </w:tr>
      <w:tr w:rsidR="00000000">
        <w:tc>
          <w:tcPr>
            <w:tcW w:w="0" w:type="auto"/>
            <w:gridSpan w:val="10"/>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809128140"/>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10"/>
            <w:shd w:val="clear" w:color="auto" w:fill="FFFFFF"/>
            <w:tcMar>
              <w:top w:w="30" w:type="dxa"/>
              <w:left w:w="15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multifamily real estate</w:t>
            </w: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E92DBE">
        <w:tc>
          <w:tcPr>
            <w:tcW w:w="0" w:type="auto"/>
            <w:gridSpan w:val="10"/>
            <w:shd w:val="clear" w:color="auto" w:fill="CCEE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Noncriticized</w:t>
            </w: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6"/>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3,791 </w:t>
            </w:r>
          </w:p>
        </w:tc>
        <w:tc>
          <w:tcPr>
            <w:tcW w:w="0" w:type="auto"/>
            <w:gridSpan w:val="2"/>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4"/>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4,932 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7"/>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3,232 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1,437 </w:t>
            </w:r>
          </w:p>
        </w:tc>
        <w:tc>
          <w:tcPr>
            <w:tcW w:w="0" w:type="auto"/>
            <w:gridSpan w:val="4"/>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7"/>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1,649 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4,904 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19,945 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7,114 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27,059 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0"/>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Criticized performing</w:t>
            </w: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7"/>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320 </w:t>
            </w:r>
          </w:p>
        </w:tc>
        <w:tc>
          <w:tcPr>
            <w:tcW w:w="0" w:type="auto"/>
            <w:gridSpan w:val="2"/>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446 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355 </w:t>
            </w:r>
          </w:p>
        </w:tc>
        <w:tc>
          <w:tcPr>
            <w:tcW w:w="0" w:type="auto"/>
            <w:gridSpan w:val="4"/>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1,258 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3,285 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3,422 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0"/>
            <w:shd w:val="clear" w:color="auto" w:fill="CCEE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Criticized nonperforming</w:t>
            </w: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7"/>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gridSpan w:val="2"/>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6 </w:t>
            </w:r>
          </w:p>
        </w:tc>
        <w:tc>
          <w:tcPr>
            <w:tcW w:w="0" w:type="auto"/>
            <w:gridSpan w:val="4"/>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0"/>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and multifamily real estate</w:t>
            </w: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4,111 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5,389 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1,798 </w:t>
            </w:r>
          </w:p>
        </w:tc>
        <w:tc>
          <w:tcPr>
            <w:tcW w:w="0" w:type="auto"/>
            <w:gridSpan w:val="4"/>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2,043 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6,312 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23,430 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7,226 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30,681 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c>
          <w:tcPr>
            <w:tcW w:w="0" w:type="auto"/>
            <w:gridSpan w:val="10"/>
            <w:shd w:val="clear" w:color="auto" w:fill="CCEEFF"/>
            <w:tcMar>
              <w:top w:w="30" w:type="dxa"/>
              <w:left w:w="15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10"/>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Noncriticized</w:t>
            </w: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7"/>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9,761 </w:t>
            </w:r>
          </w:p>
        </w:tc>
        <w:tc>
          <w:tcPr>
            <w:tcW w:w="0" w:type="auto"/>
            <w:gridSpan w:val="2"/>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7,890 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4,043 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2,717 </w:t>
            </w:r>
          </w:p>
        </w:tc>
        <w:tc>
          <w:tcPr>
            <w:tcW w:w="0" w:type="auto"/>
            <w:gridSpan w:val="4"/>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1,832 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3,034 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29,277 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11,548 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40,905 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0"/>
            <w:shd w:val="clear" w:color="auto" w:fill="CCEE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Criticized performing</w:t>
            </w: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7"/>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316 </w:t>
            </w:r>
          </w:p>
        </w:tc>
        <w:tc>
          <w:tcPr>
            <w:tcW w:w="0" w:type="auto"/>
            <w:gridSpan w:val="2"/>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794 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521 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252 </w:t>
            </w:r>
          </w:p>
        </w:tc>
        <w:tc>
          <w:tcPr>
            <w:tcW w:w="0" w:type="auto"/>
            <w:gridSpan w:val="4"/>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2,204 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1,498 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3,744 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0"/>
            <w:shd w:val="clear" w:color="auto" w:fill="FFFFFF"/>
            <w:tcMar>
              <w:top w:w="30" w:type="dxa"/>
              <w:left w:w="38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Criticized nonperforming</w:t>
            </w: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7"/>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74 </w:t>
            </w:r>
          </w:p>
        </w:tc>
        <w:tc>
          <w:tcPr>
            <w:tcW w:w="0" w:type="auto"/>
            <w:gridSpan w:val="2"/>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51 </w:t>
            </w:r>
          </w:p>
        </w:tc>
        <w:tc>
          <w:tcPr>
            <w:tcW w:w="0" w:type="auto"/>
            <w:gridSpan w:val="4"/>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183 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10"/>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and industrial</w:t>
            </w:r>
          </w:p>
        </w:tc>
        <w:tc>
          <w:tcPr>
            <w:tcW w:w="0" w:type="auto"/>
            <w:gridSpan w:val="9"/>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10,151 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8,792 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4,589 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3,020 </w:t>
            </w:r>
          </w:p>
        </w:tc>
        <w:tc>
          <w:tcPr>
            <w:tcW w:w="0" w:type="auto"/>
            <w:gridSpan w:val="4"/>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1,947 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31,748 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13,229 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45,099 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E92DBE">
        <w:tc>
          <w:tcPr>
            <w:tcW w:w="0" w:type="auto"/>
            <w:gridSpan w:val="10"/>
            <w:shd w:val="clear" w:color="auto" w:fill="FFFFFF"/>
            <w:tcMar>
              <w:top w:w="30" w:type="dxa"/>
              <w:left w:w="20" w:type="dxa"/>
              <w:bottom w:w="30" w:type="dxa"/>
              <w:right w:w="20" w:type="dxa"/>
            </w:tcMar>
            <w:vAlign w:val="center"/>
            <w:hideMark/>
          </w:tcPr>
          <w:p w:rsidR="00000000" w:rsidRDefault="00E92DBE">
            <w:pPr>
              <w:divId w:val="1124034992"/>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9"/>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6"/>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14,262 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4"/>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14,181 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8,366 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4,818 </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5"/>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9,561 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55,178 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20,455 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75,780 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1321154770"/>
        <w:rPr>
          <w:rFonts w:eastAsia="Times New Roman"/>
        </w:rPr>
      </w:pPr>
      <w:r>
        <w:rPr>
          <w:rFonts w:eastAsia="Times New Roman"/>
          <w:color w:val="000000"/>
          <w:sz w:val="20"/>
          <w:szCs w:val="20"/>
        </w:rPr>
        <w:t>__________</w:t>
      </w:r>
    </w:p>
    <w:p w:rsidR="00000000" w:rsidRDefault="00E92DBE">
      <w:pPr>
        <w:ind w:hanging="360"/>
        <w:jc w:val="both"/>
        <w:divId w:val="206008212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Criticized exposures correspond to the “Special Mention,” “Substandard” and “Doubtful” asset categories defined by bank regulatory authorities.</w:t>
      </w:r>
    </w:p>
    <w:p w:rsidR="00000000" w:rsidRDefault="00E92DBE">
      <w:pPr>
        <w:ind w:hanging="360"/>
        <w:jc w:val="both"/>
        <w:divId w:val="8612303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PPP loans of $275 million and $238 mil</w:t>
      </w:r>
      <w:r>
        <w:rPr>
          <w:rFonts w:eastAsia="Times New Roman"/>
          <w:color w:val="000000"/>
          <w:sz w:val="16"/>
          <w:szCs w:val="16"/>
        </w:rPr>
        <w:t>lion as of March 31, 2021 and December 31, 2020,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84195331"/>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584195331"/>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584195331"/>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81</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06" style="width:0;height:1.5pt" o:hralign="center" o:hrstd="t" o:hr="t" fillcolor="#a0a0a0" stroked="f"/>
        </w:pict>
      </w:r>
    </w:p>
    <w:p w:rsidR="00000000" w:rsidRDefault="00E92DBE">
      <w:pPr>
        <w:jc w:val="both"/>
        <w:divId w:val="2100366152"/>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2100366152"/>
        <w:rPr>
          <w:rFonts w:eastAsia="Times New Roman"/>
        </w:rPr>
      </w:pPr>
    </w:p>
    <w:p w:rsidR="00000000" w:rsidRDefault="00E92DBE">
      <w:pPr>
        <w:divId w:val="1103578098"/>
        <w:rPr>
          <w:rFonts w:eastAsia="Times New Roman"/>
        </w:rPr>
      </w:pPr>
      <w:r>
        <w:rPr>
          <w:rFonts w:eastAsia="Times New Roman"/>
          <w:b/>
          <w:bCs/>
          <w:color w:val="000000"/>
          <w:sz w:val="20"/>
          <w:szCs w:val="20"/>
        </w:rPr>
        <w:t>Troubled Debt Restructurings</w:t>
      </w:r>
    </w:p>
    <w:p w:rsidR="00000000" w:rsidRDefault="00E92DBE">
      <w:pPr>
        <w:jc w:val="both"/>
        <w:divId w:val="1191071935"/>
        <w:rPr>
          <w:rFonts w:eastAsia="Times New Roman"/>
        </w:rPr>
      </w:pPr>
      <w:r>
        <w:rPr>
          <w:rFonts w:eastAsia="Times New Roman"/>
          <w:color w:val="000000"/>
          <w:sz w:val="20"/>
          <w:szCs w:val="20"/>
        </w:rPr>
        <w:t>Additional guidance issued by the Federal Banking Agencies and contained in the Coronavirus Aid, Relief, and Economic Security Act provides banking organizations with TDR relief for modifications of current borrowers impacted by the COVID-19 pandemic. In a</w:t>
      </w:r>
      <w:r>
        <w:rPr>
          <w:rFonts w:eastAsia="Times New Roman"/>
          <w:color w:val="000000"/>
          <w:sz w:val="20"/>
          <w:szCs w:val="20"/>
        </w:rPr>
        <w:t xml:space="preserve">dherence with the guidance, we assessed all loan modifications introduced to current borrowers in response to the COVID-19 pandemic through March 31, 2021, that would have been designated as TDRs under our existing policies, and followed guidance that any </w:t>
      </w:r>
      <w:r>
        <w:rPr>
          <w:rFonts w:eastAsia="Times New Roman"/>
          <w:color w:val="000000"/>
          <w:sz w:val="20"/>
          <w:szCs w:val="20"/>
        </w:rPr>
        <w:t>such eligible loan modifications made on a temporary and good faith basis are not considered TDRs. We consider the impact of all loan modifications, including those offered via our COVID-19 programs, when estimating the credit quality of our loan portfolio</w:t>
      </w:r>
      <w:r>
        <w:rPr>
          <w:rFonts w:eastAsia="Times New Roman"/>
          <w:color w:val="000000"/>
          <w:sz w:val="20"/>
          <w:szCs w:val="20"/>
        </w:rPr>
        <w:t xml:space="preserve"> and establishing allowance levels. For our Commercial Banking customers, enrollment in a customer assistance program is also considered in the assignment of an internal risk rating.</w:t>
      </w:r>
    </w:p>
    <w:p w:rsidR="00000000" w:rsidRDefault="00E92DBE">
      <w:pPr>
        <w:jc w:val="both"/>
        <w:divId w:val="1091665228"/>
        <w:rPr>
          <w:rFonts w:eastAsia="Times New Roman"/>
        </w:rPr>
      </w:pPr>
      <w:r>
        <w:rPr>
          <w:rFonts w:eastAsia="Times New Roman"/>
          <w:color w:val="000000"/>
          <w:sz w:val="20"/>
          <w:szCs w:val="20"/>
        </w:rPr>
        <w:t>Total recorded TDRs were $2.0 billion and $2.1 billion as of March 31, 20</w:t>
      </w:r>
      <w:r>
        <w:rPr>
          <w:rFonts w:eastAsia="Times New Roman"/>
          <w:color w:val="000000"/>
          <w:sz w:val="20"/>
          <w:szCs w:val="20"/>
        </w:rPr>
        <w:t>21 and December 31, 2020, respectively. TDRs classified as performing in our credit card and consumer banking loan portfolios totaled $1.3 billion as of both March 31, 2021 and December 31, 2020. TDRs classified as performing in our commercial banking loan</w:t>
      </w:r>
      <w:r>
        <w:rPr>
          <w:rFonts w:eastAsia="Times New Roman"/>
          <w:color w:val="000000"/>
          <w:sz w:val="20"/>
          <w:szCs w:val="20"/>
        </w:rPr>
        <w:t xml:space="preserve"> portfolio totaled $354 million and $442 million as of March 31, 2021 and December 31, 2020, respectively. Commitments to lend additional funds on loans modified in TDRs totaled $178 million and $173 million as of March 31, 2021 and December 31, 2020, resp</w:t>
      </w:r>
      <w:r>
        <w:rPr>
          <w:rFonts w:eastAsia="Times New Roman"/>
          <w:color w:val="000000"/>
          <w:sz w:val="20"/>
          <w:szCs w:val="20"/>
        </w:rPr>
        <w:t>ectively.</w:t>
      </w:r>
    </w:p>
    <w:p w:rsidR="00000000" w:rsidRDefault="00E92DBE">
      <w:pPr>
        <w:divId w:val="47263639"/>
        <w:rPr>
          <w:rFonts w:eastAsia="Times New Roman"/>
        </w:rPr>
      </w:pPr>
      <w:r>
        <w:rPr>
          <w:rFonts w:eastAsia="Times New Roman"/>
          <w:b/>
          <w:bCs/>
          <w:i/>
          <w:iCs/>
          <w:color w:val="000000"/>
          <w:sz w:val="20"/>
          <w:szCs w:val="20"/>
        </w:rPr>
        <w:t xml:space="preserve">Loans Modified in TDRs </w:t>
      </w:r>
    </w:p>
    <w:p w:rsidR="00000000" w:rsidRDefault="00E92DBE">
      <w:pPr>
        <w:jc w:val="both"/>
        <w:divId w:val="1231234958"/>
        <w:rPr>
          <w:rFonts w:eastAsia="Times New Roman"/>
        </w:rPr>
      </w:pPr>
      <w:r>
        <w:rPr>
          <w:rFonts w:eastAsia="Times New Roman"/>
          <w:color w:val="000000"/>
          <w:sz w:val="20"/>
          <w:szCs w:val="20"/>
        </w:rPr>
        <w:t>As part of our loan modification programs to borrowers experiencing financial difficulty, we may provide multiple concessions to minimize our economic loss and improve long-term loan performance and collectability. The following tables present the major mo</w:t>
      </w:r>
      <w:r>
        <w:rPr>
          <w:rFonts w:eastAsia="Times New Roman"/>
          <w:color w:val="000000"/>
          <w:sz w:val="20"/>
          <w:szCs w:val="20"/>
        </w:rPr>
        <w:t>dification types, amortized cost amounts and financial effects of loans modified in TDRs during the three months ended March 31, 2021 and 2020.</w:t>
      </w:r>
    </w:p>
    <w:p w:rsidR="00000000" w:rsidRDefault="00E92DBE">
      <w:pPr>
        <w:divId w:val="344793354"/>
        <w:rPr>
          <w:rFonts w:eastAsia="Times New Roman"/>
        </w:rPr>
      </w:pPr>
      <w:r>
        <w:rPr>
          <w:rFonts w:eastAsia="Times New Roman"/>
          <w:b/>
          <w:bCs/>
          <w:color w:val="000000"/>
          <w:sz w:val="18"/>
          <w:szCs w:val="18"/>
        </w:rPr>
        <w:t>Table 3.6: Troubled Debt Restructurings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2870"/>
        <w:gridCol w:w="38"/>
        <w:gridCol w:w="36"/>
        <w:gridCol w:w="36"/>
        <w:gridCol w:w="36"/>
        <w:gridCol w:w="111"/>
        <w:gridCol w:w="692"/>
        <w:gridCol w:w="36"/>
        <w:gridCol w:w="36"/>
        <w:gridCol w:w="36"/>
        <w:gridCol w:w="36"/>
        <w:gridCol w:w="78"/>
        <w:gridCol w:w="672"/>
        <w:gridCol w:w="201"/>
        <w:gridCol w:w="37"/>
        <w:gridCol w:w="41"/>
        <w:gridCol w:w="36"/>
        <w:gridCol w:w="77"/>
        <w:gridCol w:w="671"/>
        <w:gridCol w:w="200"/>
        <w:gridCol w:w="36"/>
        <w:gridCol w:w="36"/>
        <w:gridCol w:w="36"/>
        <w:gridCol w:w="72"/>
        <w:gridCol w:w="620"/>
        <w:gridCol w:w="202"/>
        <w:gridCol w:w="37"/>
        <w:gridCol w:w="37"/>
        <w:gridCol w:w="37"/>
        <w:gridCol w:w="74"/>
        <w:gridCol w:w="635"/>
        <w:gridCol w:w="37"/>
        <w:gridCol w:w="36"/>
        <w:gridCol w:w="36"/>
        <w:gridCol w:w="36"/>
        <w:gridCol w:w="36"/>
        <w:gridCol w:w="36"/>
        <w:gridCol w:w="36"/>
        <w:gridCol w:w="36"/>
        <w:gridCol w:w="36"/>
        <w:gridCol w:w="36"/>
        <w:gridCol w:w="36"/>
        <w:gridCol w:w="36"/>
        <w:gridCol w:w="36"/>
      </w:tblGrid>
      <w:tr w:rsidR="00000000">
        <w:trPr>
          <w:divId w:val="1883205004"/>
        </w:trPr>
        <w:tc>
          <w:tcPr>
            <w:tcW w:w="50" w:type="pct"/>
            <w:vAlign w:val="center"/>
            <w:hideMark/>
          </w:tcPr>
          <w:p w:rsidR="00000000" w:rsidRDefault="00E92DBE">
            <w:pPr>
              <w:rPr>
                <w:rFonts w:eastAsia="Times New Roman"/>
              </w:rPr>
            </w:pPr>
          </w:p>
        </w:tc>
        <w:tc>
          <w:tcPr>
            <w:tcW w:w="23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 2021</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883205004"/>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Term Extension</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883205004"/>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0</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0</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0</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3</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3</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14</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2</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10</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88320500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5</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jc w:val="both"/>
        <w:divId w:val="88271542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53745131"/>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753745131"/>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753745131"/>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82</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07" style="width:0;height:1.5pt" o:hralign="center" o:hrstd="t" o:hr="t" fillcolor="#a0a0a0" stroked="f"/>
        </w:pict>
      </w:r>
    </w:p>
    <w:p w:rsidR="00000000" w:rsidRDefault="00E92DBE">
      <w:pPr>
        <w:jc w:val="both"/>
        <w:divId w:val="194002521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94002521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031"/>
        <w:gridCol w:w="38"/>
        <w:gridCol w:w="36"/>
        <w:gridCol w:w="36"/>
        <w:gridCol w:w="36"/>
        <w:gridCol w:w="111"/>
        <w:gridCol w:w="692"/>
        <w:gridCol w:w="36"/>
        <w:gridCol w:w="36"/>
        <w:gridCol w:w="36"/>
        <w:gridCol w:w="36"/>
        <w:gridCol w:w="72"/>
        <w:gridCol w:w="620"/>
        <w:gridCol w:w="172"/>
        <w:gridCol w:w="37"/>
        <w:gridCol w:w="37"/>
        <w:gridCol w:w="37"/>
        <w:gridCol w:w="76"/>
        <w:gridCol w:w="660"/>
        <w:gridCol w:w="171"/>
        <w:gridCol w:w="36"/>
        <w:gridCol w:w="36"/>
        <w:gridCol w:w="36"/>
        <w:gridCol w:w="72"/>
        <w:gridCol w:w="620"/>
        <w:gridCol w:w="172"/>
        <w:gridCol w:w="37"/>
        <w:gridCol w:w="37"/>
        <w:gridCol w:w="37"/>
        <w:gridCol w:w="74"/>
        <w:gridCol w:w="635"/>
        <w:gridCol w:w="37"/>
        <w:gridCol w:w="36"/>
        <w:gridCol w:w="36"/>
        <w:gridCol w:w="36"/>
        <w:gridCol w:w="36"/>
        <w:gridCol w:w="36"/>
        <w:gridCol w:w="36"/>
        <w:gridCol w:w="36"/>
        <w:gridCol w:w="36"/>
        <w:gridCol w:w="36"/>
        <w:gridCol w:w="36"/>
        <w:gridCol w:w="36"/>
        <w:gridCol w:w="36"/>
      </w:tblGrid>
      <w:tr w:rsidR="00000000">
        <w:trPr>
          <w:divId w:val="1431856715"/>
        </w:trPr>
        <w:tc>
          <w:tcPr>
            <w:tcW w:w="50" w:type="pct"/>
            <w:vAlign w:val="center"/>
            <w:hideMark/>
          </w:tcPr>
          <w:p w:rsidR="00000000" w:rsidRDefault="00E92DBE">
            <w:pPr>
              <w:jc w:val="center"/>
              <w:rPr>
                <w:rFonts w:eastAsia="Times New Roman"/>
              </w:rPr>
            </w:pPr>
          </w:p>
        </w:tc>
        <w:tc>
          <w:tcPr>
            <w:tcW w:w="23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 2020</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431856715"/>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Term Extension</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431856715"/>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16.45 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0</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27.32 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0</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20.41 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0</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5</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12.50 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4</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5</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12</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0</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12</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31856715"/>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17.87 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6</w:t>
            </w:r>
          </w:p>
        </w:tc>
        <w:tc>
          <w:tcPr>
            <w:tcW w:w="0" w:type="auto"/>
            <w:gridSpan w:val="3"/>
            <w:vAlign w:val="center"/>
            <w:hideMark/>
          </w:tcPr>
          <w:p w:rsidR="00000000" w:rsidRDefault="00E92DBE">
            <w:pPr>
              <w:jc w:val="right"/>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77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tblGrid>
      <w:tr w:rsidR="00000000">
        <w:tc>
          <w:tcPr>
            <w:tcW w:w="50" w:type="pct"/>
            <w:vAlign w:val="center"/>
            <w:hideMark/>
          </w:tcPr>
          <w:p w:rsidR="00000000" w:rsidRDefault="00E92DBE">
            <w:pPr>
              <w:rPr>
                <w:rFonts w:eastAsia="Times New Roman"/>
              </w:rPr>
            </w:pPr>
          </w:p>
        </w:tc>
        <w:tc>
          <w:tcPr>
            <w:tcW w:w="167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60"/>
        </w:trPr>
        <w:tc>
          <w:tcPr>
            <w:tcW w:w="0" w:type="auto"/>
            <w:gridSpan w:val="45"/>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1302808840"/>
        <w:rPr>
          <w:rFonts w:eastAsia="Times New Roman"/>
        </w:rPr>
      </w:pPr>
      <w:r>
        <w:rPr>
          <w:rFonts w:eastAsia="Times New Roman"/>
          <w:color w:val="000000"/>
          <w:sz w:val="20"/>
          <w:szCs w:val="20"/>
        </w:rPr>
        <w:t>__________</w:t>
      </w:r>
    </w:p>
    <w:p w:rsidR="00000000" w:rsidRDefault="00E92DBE">
      <w:pPr>
        <w:ind w:hanging="360"/>
        <w:jc w:val="both"/>
        <w:divId w:val="113779790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the amortized cost of total loans modified in TDRs at the end of the period in which they were modified. As not every modification type is included in the table above, the total percentage of TDR activity may not add up to 100%. Some loans may r</w:t>
      </w:r>
      <w:r>
        <w:rPr>
          <w:rFonts w:eastAsia="Times New Roman"/>
          <w:color w:val="000000"/>
          <w:sz w:val="16"/>
          <w:szCs w:val="16"/>
        </w:rPr>
        <w:t>eceive more than one type of concession as part of the modification.</w:t>
      </w:r>
    </w:p>
    <w:p w:rsidR="00000000" w:rsidRDefault="00E92DBE">
      <w:pPr>
        <w:ind w:hanging="360"/>
        <w:jc w:val="both"/>
        <w:divId w:val="122174687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Due to multiple concessions granted to some troubled borrowers, percentages may total more than 100% for certain loan types.</w:t>
      </w:r>
    </w:p>
    <w:p w:rsidR="00000000" w:rsidRDefault="00E92DBE">
      <w:pPr>
        <w:divId w:val="1088648136"/>
        <w:rPr>
          <w:rFonts w:eastAsia="Times New Roman"/>
        </w:rPr>
      </w:pPr>
      <w:r>
        <w:rPr>
          <w:rFonts w:eastAsia="Times New Roman"/>
          <w:b/>
          <w:bCs/>
          <w:i/>
          <w:iCs/>
          <w:color w:val="000000"/>
          <w:sz w:val="20"/>
          <w:szCs w:val="20"/>
        </w:rPr>
        <w:t>Subsequent Defaults of Completed TDR Modifications</w:t>
      </w:r>
    </w:p>
    <w:p w:rsidR="00000000" w:rsidRDefault="00E92DBE">
      <w:pPr>
        <w:jc w:val="both"/>
        <w:divId w:val="1584681573"/>
        <w:rPr>
          <w:rFonts w:eastAsia="Times New Roman"/>
        </w:rPr>
      </w:pPr>
      <w:r>
        <w:rPr>
          <w:rFonts w:eastAsia="Times New Roman"/>
          <w:color w:val="000000"/>
          <w:sz w:val="20"/>
          <w:szCs w:val="20"/>
        </w:rPr>
        <w:t>The following table presents the type, number and amortized cost of loans modified in TDRs that experienced a default during the period and had completed a modification event in the twelve months prior to the default. A default occurs if the loan is either</w:t>
      </w:r>
      <w:r>
        <w:rPr>
          <w:rFonts w:eastAsia="Times New Roman"/>
          <w:color w:val="000000"/>
          <w:sz w:val="20"/>
          <w:szCs w:val="20"/>
        </w:rPr>
        <w:t xml:space="preserve"> 90 days or more delinquent, has been charged off as of the end of the period presented or has been reclassified from accrual to nonaccrual status.</w:t>
      </w:r>
    </w:p>
    <w:p w:rsidR="00000000" w:rsidRDefault="00E92DBE">
      <w:pPr>
        <w:divId w:val="216550583"/>
        <w:rPr>
          <w:rFonts w:eastAsia="Times New Roman"/>
        </w:rPr>
      </w:pPr>
      <w:r>
        <w:rPr>
          <w:rFonts w:eastAsia="Times New Roman"/>
          <w:b/>
          <w:bCs/>
          <w:color w:val="000000"/>
          <w:sz w:val="18"/>
          <w:szCs w:val="18"/>
        </w:rPr>
        <w:t>Table 3.7: TDRs—Subsequent Defaults</w:t>
      </w:r>
    </w:p>
    <w:tbl>
      <w:tblPr>
        <w:tblW w:w="4970" w:type="pct"/>
        <w:tblCellMar>
          <w:top w:w="15" w:type="dxa"/>
          <w:left w:w="15" w:type="dxa"/>
          <w:bottom w:w="15" w:type="dxa"/>
          <w:right w:w="15" w:type="dxa"/>
        </w:tblCellMar>
        <w:tblLook w:val="04A0" w:firstRow="1" w:lastRow="0" w:firstColumn="1" w:lastColumn="0" w:noHBand="0" w:noVBand="1"/>
      </w:tblPr>
      <w:tblGrid>
        <w:gridCol w:w="39"/>
        <w:gridCol w:w="3687"/>
        <w:gridCol w:w="38"/>
        <w:gridCol w:w="36"/>
        <w:gridCol w:w="36"/>
        <w:gridCol w:w="36"/>
        <w:gridCol w:w="36"/>
        <w:gridCol w:w="36"/>
        <w:gridCol w:w="83"/>
        <w:gridCol w:w="83"/>
        <w:gridCol w:w="132"/>
        <w:gridCol w:w="119"/>
        <w:gridCol w:w="111"/>
        <w:gridCol w:w="106"/>
        <w:gridCol w:w="94"/>
        <w:gridCol w:w="680"/>
        <w:gridCol w:w="36"/>
        <w:gridCol w:w="36"/>
        <w:gridCol w:w="36"/>
        <w:gridCol w:w="36"/>
        <w:gridCol w:w="111"/>
        <w:gridCol w:w="522"/>
        <w:gridCol w:w="36"/>
        <w:gridCol w:w="36"/>
        <w:gridCol w:w="36"/>
        <w:gridCol w:w="36"/>
        <w:gridCol w:w="94"/>
        <w:gridCol w:w="680"/>
        <w:gridCol w:w="36"/>
        <w:gridCol w:w="36"/>
        <w:gridCol w:w="36"/>
        <w:gridCol w:w="36"/>
        <w:gridCol w:w="111"/>
        <w:gridCol w:w="522"/>
        <w:gridCol w:w="36"/>
        <w:gridCol w:w="36"/>
        <w:gridCol w:w="36"/>
        <w:gridCol w:w="36"/>
        <w:gridCol w:w="36"/>
        <w:gridCol w:w="36"/>
        <w:gridCol w:w="36"/>
        <w:gridCol w:w="36"/>
        <w:gridCol w:w="36"/>
        <w:gridCol w:w="36"/>
        <w:gridCol w:w="36"/>
        <w:gridCol w:w="36"/>
      </w:tblGrid>
      <w:tr w:rsidR="00000000">
        <w:trPr>
          <w:divId w:val="1221985088"/>
        </w:trPr>
        <w:tc>
          <w:tcPr>
            <w:tcW w:w="50" w:type="pct"/>
            <w:vAlign w:val="center"/>
            <w:hideMark/>
          </w:tcPr>
          <w:p w:rsidR="00000000" w:rsidRDefault="00E92DBE">
            <w:pPr>
              <w:rPr>
                <w:rFonts w:eastAsia="Times New Roman"/>
              </w:rPr>
            </w:pPr>
          </w:p>
        </w:tc>
        <w:tc>
          <w:tcPr>
            <w:tcW w:w="312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221985088"/>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221985088"/>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Number </w:t>
            </w:r>
            <w:r>
              <w:rPr>
                <w:rFonts w:eastAsia="Times New Roman"/>
                <w:b/>
                <w:bCs/>
                <w:color w:val="000000"/>
                <w:sz w:val="16"/>
                <w:szCs w:val="16"/>
              </w:rPr>
              <w:t>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Amount</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5,134</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2C2C2C"/>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10</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10,886 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17,202</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28</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17,857 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22,336</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38</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28,743 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2,031</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29</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1,275 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5</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0</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2,036</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29</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1,276 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0</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0</w:t>
            </w:r>
            <w:r>
              <w:rPr>
                <w:rFonts w:eastAsia="Times New Roman"/>
                <w:color w:val="2C2C2C"/>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0</w:t>
            </w:r>
            <w:r>
              <w:rPr>
                <w:rFonts w:eastAsia="Times New Roman"/>
                <w:color w:val="2C2C2C"/>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r w:rsidR="00000000">
        <w:trPr>
          <w:divId w:val="122198508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24,372</w:t>
            </w:r>
            <w:r>
              <w:rPr>
                <w:rFonts w:eastAsia="Times New Roman"/>
                <w:color w:val="2C2C2C"/>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2C2C2C"/>
                <w:sz w:val="18"/>
                <w:szCs w:val="18"/>
              </w:rPr>
              <w:t>67</w:t>
            </w:r>
            <w:r>
              <w:rPr>
                <w:rFonts w:eastAsia="Times New Roman"/>
                <w:color w:val="2C2C2C"/>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30,025 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2C2C2C"/>
                <w:sz w:val="18"/>
                <w:szCs w:val="18"/>
              </w:rPr>
              <w:t>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83</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08" style="width:0;height:1.5pt" o:hralign="center" o:hrstd="t" o:hr="t" fillcolor="#a0a0a0" stroked="f"/>
        </w:pict>
      </w:r>
    </w:p>
    <w:p w:rsidR="00000000" w:rsidRDefault="00E92DBE">
      <w:pPr>
        <w:jc w:val="both"/>
        <w:divId w:val="130142638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301426389"/>
        <w:rPr>
          <w:rFonts w:eastAsia="Times New Roman"/>
        </w:rPr>
      </w:pPr>
    </w:p>
    <w:p w:rsidR="00000000" w:rsidRDefault="00E92DBE">
      <w:pPr>
        <w:jc w:val="both"/>
        <w:divId w:val="1802385556"/>
        <w:rPr>
          <w:rFonts w:eastAsia="Times New Roman"/>
        </w:rPr>
      </w:pPr>
      <w:r>
        <w:rPr>
          <w:rFonts w:eastAsia="Times New Roman"/>
          <w:b/>
          <w:bCs/>
          <w:color w:val="000000"/>
          <w:sz w:val="20"/>
          <w:szCs w:val="20"/>
        </w:rPr>
        <w:t>Loans Pledged</w:t>
      </w:r>
    </w:p>
    <w:p w:rsidR="00000000" w:rsidRDefault="00E92DBE">
      <w:pPr>
        <w:jc w:val="both"/>
        <w:divId w:val="322659466"/>
        <w:rPr>
          <w:rFonts w:eastAsia="Times New Roman"/>
        </w:rPr>
      </w:pPr>
      <w:r>
        <w:rPr>
          <w:rFonts w:eastAsia="Times New Roman"/>
          <w:color w:val="000000"/>
          <w:sz w:val="20"/>
          <w:szCs w:val="20"/>
        </w:rPr>
        <w:t>We pledged loan collateral of $12.8 billion and $14.1 billion to secure the majority of our FHLB borrowing capacity of $18.4 bil</w:t>
      </w:r>
      <w:r>
        <w:rPr>
          <w:rFonts w:eastAsia="Times New Roman"/>
          <w:color w:val="000000"/>
          <w:sz w:val="20"/>
          <w:szCs w:val="20"/>
        </w:rPr>
        <w:t>lion and $19.6 billion as of March 31, 2021 and December 31, 2020, respectively. We also pledged loan collateral of $28.8 billion and $25.5 billion to secure our Federal Reserve Discount Window borrowing capacity of $22.9 billion and $20.0 billion as of Ma</w:t>
      </w:r>
      <w:r>
        <w:rPr>
          <w:rFonts w:eastAsia="Times New Roman"/>
          <w:color w:val="000000"/>
          <w:sz w:val="20"/>
          <w:szCs w:val="20"/>
        </w:rPr>
        <w:t>rch 31, 2021 and December 31, 2020, respectively. In addition to loans pledged, we have securitized a portion of our credit card and auto loan portfolios. See “Note 5—Variable Interest Entities and Securitizations” for additional information.</w:t>
      </w:r>
    </w:p>
    <w:p w:rsidR="00000000" w:rsidRDefault="00E92DBE">
      <w:pPr>
        <w:divId w:val="732318485"/>
        <w:rPr>
          <w:rFonts w:eastAsia="Times New Roman"/>
        </w:rPr>
      </w:pPr>
      <w:r>
        <w:rPr>
          <w:rFonts w:eastAsia="Times New Roman"/>
          <w:b/>
          <w:bCs/>
          <w:color w:val="000000"/>
          <w:sz w:val="20"/>
          <w:szCs w:val="20"/>
        </w:rPr>
        <w:t>Revolving Loa</w:t>
      </w:r>
      <w:r>
        <w:rPr>
          <w:rFonts w:eastAsia="Times New Roman"/>
          <w:b/>
          <w:bCs/>
          <w:color w:val="000000"/>
          <w:sz w:val="20"/>
          <w:szCs w:val="20"/>
        </w:rPr>
        <w:t>ns Converted to Term Loans</w:t>
      </w:r>
    </w:p>
    <w:p w:rsidR="00000000" w:rsidRDefault="00E92DBE">
      <w:pPr>
        <w:jc w:val="both"/>
        <w:divId w:val="33232864"/>
        <w:rPr>
          <w:rFonts w:eastAsia="Times New Roman"/>
        </w:rPr>
      </w:pPr>
      <w:r>
        <w:rPr>
          <w:rFonts w:eastAsia="Times New Roman"/>
          <w:color w:val="000000"/>
          <w:sz w:val="20"/>
          <w:szCs w:val="20"/>
        </w:rPr>
        <w:t>For the three months ended March 31, 2021 and 2020, respectively, we converted $97 million and $160 </w:t>
      </w:r>
      <w:r>
        <w:rPr>
          <w:rFonts w:eastAsia="Times New Roman"/>
          <w:color w:val="000000"/>
          <w:sz w:val="20"/>
          <w:szCs w:val="20"/>
        </w:rPr>
        <w:t>million of revolving loans to term loans, primarily in our domestic credit card and commercial banking loan portfolios.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08851149"/>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608851149"/>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608851149"/>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84</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09" style="width:0;height:1.5pt" o:hralign="center" o:hrstd="t" o:hr="t" fillcolor="#a0a0a0" stroked="f"/>
        </w:pict>
      </w:r>
    </w:p>
    <w:p w:rsidR="00000000" w:rsidRDefault="00E92DBE">
      <w:pPr>
        <w:jc w:val="both"/>
        <w:divId w:val="190278990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90278990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762919206"/>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76291920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NOTE 4—ALLOWANCE FOR CREDIT LOSSES AND RESERVE FOR UNFUNDED LENDING COMMITMENTS</w:t>
            </w:r>
          </w:p>
        </w:tc>
      </w:tr>
    </w:tbl>
    <w:p w:rsidR="00000000" w:rsidRDefault="00E92DBE">
      <w:pPr>
        <w:jc w:val="both"/>
        <w:divId w:val="1631856700"/>
        <w:rPr>
          <w:rFonts w:eastAsia="Times New Roman"/>
        </w:rPr>
      </w:pPr>
      <w:r>
        <w:rPr>
          <w:rFonts w:eastAsia="Times New Roman"/>
          <w:color w:val="000000"/>
          <w:sz w:val="20"/>
          <w:szCs w:val="20"/>
        </w:rPr>
        <w:t xml:space="preserve">Our allowance for credit losses represents management’s current estimate of expected credit losses over the contractual terms of our loans held for investment as of each balance sheet date. Expected recoveries of amounts previously charged off or expected </w:t>
      </w:r>
      <w:r>
        <w:rPr>
          <w:rFonts w:eastAsia="Times New Roman"/>
          <w:color w:val="000000"/>
          <w:sz w:val="20"/>
          <w:szCs w:val="20"/>
        </w:rPr>
        <w:t>to be charged off are recognized within the allowance. When developing an estimate of expected credit losses, we use both quantitative and qualitative methods in considering all available information relevant to assessing collectability. This may include i</w:t>
      </w:r>
      <w:r>
        <w:rPr>
          <w:rFonts w:eastAsia="Times New Roman"/>
          <w:color w:val="000000"/>
          <w:sz w:val="20"/>
          <w:szCs w:val="20"/>
        </w:rPr>
        <w:t>nternal information, external information or a combination of both relating to past events, current conditions, and reasonable and supportable forecasts. Management will consider and may qualitatively adjust for conditions, changes and trends in loan portf</w:t>
      </w:r>
      <w:r>
        <w:rPr>
          <w:rFonts w:eastAsia="Times New Roman"/>
          <w:color w:val="000000"/>
          <w:sz w:val="20"/>
          <w:szCs w:val="20"/>
        </w:rPr>
        <w:t>olios that may not be captured in modeled results. These adjustments are referred to as qualitative factors and represent management’s judgment of the imprecision and risks inherent in the processes and assumptions used in establishing the allowance for cr</w:t>
      </w:r>
      <w:r>
        <w:rPr>
          <w:rFonts w:eastAsia="Times New Roman"/>
          <w:color w:val="000000"/>
          <w:sz w:val="20"/>
          <w:szCs w:val="20"/>
        </w:rPr>
        <w:t>edit losses. Significant judgment is applied in our estimation of lifetime credit losses.</w:t>
      </w:r>
    </w:p>
    <w:p w:rsidR="00000000" w:rsidRDefault="00E92DBE">
      <w:pPr>
        <w:jc w:val="both"/>
        <w:divId w:val="651787445"/>
        <w:rPr>
          <w:rFonts w:eastAsia="Times New Roman"/>
        </w:rPr>
      </w:pPr>
      <w:r>
        <w:rPr>
          <w:rFonts w:eastAsia="Times New Roman"/>
          <w:color w:val="000000"/>
          <w:sz w:val="20"/>
          <w:szCs w:val="20"/>
        </w:rPr>
        <w:t>We have unfunded lending commitments in our Commercial Banking business that are not unconditionally cancellable by us and for which we estimate expected credit losse</w:t>
      </w:r>
      <w:r>
        <w:rPr>
          <w:rFonts w:eastAsia="Times New Roman"/>
          <w:color w:val="000000"/>
          <w:sz w:val="20"/>
          <w:szCs w:val="20"/>
        </w:rPr>
        <w:t>s in establishing a reserve. This reserve is measured using the same measurement objectives as the allowance for loans held for investment. We build or release the reserve for unfunded lending commitments through the provision for credit losses in our cons</w:t>
      </w:r>
      <w:r>
        <w:rPr>
          <w:rFonts w:eastAsia="Times New Roman"/>
          <w:color w:val="000000"/>
          <w:sz w:val="20"/>
          <w:szCs w:val="20"/>
        </w:rPr>
        <w:t xml:space="preserve">olidated statements of income, and the related reserve for unfunded lending commitments is included in other liabilities on our consolidated balance sheets. </w:t>
      </w:r>
    </w:p>
    <w:p w:rsidR="00000000" w:rsidRDefault="00E92DBE">
      <w:pPr>
        <w:jc w:val="both"/>
        <w:divId w:val="1713655400"/>
        <w:rPr>
          <w:rFonts w:eastAsia="Times New Roman"/>
        </w:rPr>
      </w:pPr>
      <w:r>
        <w:rPr>
          <w:rFonts w:eastAsia="Times New Roman"/>
          <w:color w:val="000000"/>
          <w:sz w:val="20"/>
          <w:szCs w:val="20"/>
        </w:rPr>
        <w:t>See “Note 1—Summary of Significant Accounting Policies” in our 2020 Form 10-K for further discussi</w:t>
      </w:r>
      <w:r>
        <w:rPr>
          <w:rFonts w:eastAsia="Times New Roman"/>
          <w:color w:val="000000"/>
          <w:sz w:val="20"/>
          <w:szCs w:val="20"/>
        </w:rPr>
        <w:t>on of the methodology and policy for determining our allowance for credit losses for each of our loan portfolio segments, as well as information on our reserve for unfunded lending commitments.</w:t>
      </w:r>
    </w:p>
    <w:p w:rsidR="00000000" w:rsidRDefault="00E92DBE">
      <w:pPr>
        <w:divId w:val="460075906"/>
        <w:rPr>
          <w:rFonts w:eastAsia="Times New Roman"/>
        </w:rPr>
      </w:pPr>
      <w:r>
        <w:rPr>
          <w:rFonts w:eastAsia="Times New Roman"/>
          <w:b/>
          <w:bCs/>
          <w:color w:val="000000"/>
          <w:sz w:val="20"/>
          <w:szCs w:val="20"/>
        </w:rPr>
        <w:t>Allowance for Credit Losses and Reserve for Unfunded Lending Commitments Activity</w:t>
      </w:r>
    </w:p>
    <w:p w:rsidR="00000000" w:rsidRDefault="00E92DBE">
      <w:pPr>
        <w:jc w:val="both"/>
        <w:divId w:val="225264959"/>
        <w:rPr>
          <w:rFonts w:eastAsia="Times New Roman"/>
        </w:rPr>
      </w:pPr>
      <w:r>
        <w:rPr>
          <w:rFonts w:eastAsia="Times New Roman"/>
          <w:color w:val="000000"/>
          <w:sz w:val="20"/>
          <w:szCs w:val="20"/>
        </w:rPr>
        <w:t>The table below summarizes changes in the allowance for credit losses and reserve for unfunded lending commitments by portfolio segment for the three months ended March 31, 2</w:t>
      </w:r>
      <w:r>
        <w:rPr>
          <w:rFonts w:eastAsia="Times New Roman"/>
          <w:color w:val="000000"/>
          <w:sz w:val="20"/>
          <w:szCs w:val="20"/>
        </w:rPr>
        <w:t>021 and 2020. Our allowance for credit losses decreased by $1.5 billion to $14.0 billion as of March 31, 2021 from December 31, 2020, primarily driven by strong credit performance and an improved economic outlook.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94637873"/>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794637873"/>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794637873"/>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85</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10" style="width:0;height:1.5pt" o:hralign="center" o:hrstd="t" o:hr="t" fillcolor="#a0a0a0" stroked="f"/>
        </w:pict>
      </w:r>
    </w:p>
    <w:p w:rsidR="00000000" w:rsidRDefault="00E92DBE">
      <w:pPr>
        <w:jc w:val="both"/>
        <w:divId w:val="31569205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315692059"/>
        <w:rPr>
          <w:rFonts w:eastAsia="Times New Roman"/>
        </w:rPr>
      </w:pPr>
    </w:p>
    <w:p w:rsidR="00000000" w:rsidRDefault="00E92DBE">
      <w:pPr>
        <w:divId w:val="1840925862"/>
        <w:rPr>
          <w:rFonts w:eastAsia="Times New Roman"/>
        </w:rPr>
      </w:pPr>
      <w:r>
        <w:rPr>
          <w:rFonts w:eastAsia="Times New Roman"/>
          <w:b/>
          <w:bCs/>
          <w:color w:val="000000"/>
          <w:sz w:val="18"/>
          <w:szCs w:val="18"/>
        </w:rPr>
        <w:t>Table 4.1: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110"/>
        <w:gridCol w:w="540"/>
        <w:gridCol w:w="36"/>
      </w:tblGrid>
      <w:tr w:rsidR="00000000">
        <w:trPr>
          <w:divId w:val="2098095968"/>
        </w:trPr>
        <w:tc>
          <w:tcPr>
            <w:tcW w:w="50" w:type="pct"/>
            <w:vAlign w:val="center"/>
            <w:hideMark/>
          </w:tcPr>
          <w:p w:rsidR="00000000" w:rsidRDefault="00E92DBE">
            <w:pPr>
              <w:rPr>
                <w:rFonts w:eastAsia="Times New Roman"/>
              </w:rPr>
            </w:pPr>
          </w:p>
        </w:tc>
        <w:tc>
          <w:tcPr>
            <w:tcW w:w="283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2098095968"/>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 2021</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9809596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p>
        </w:tc>
      </w:tr>
      <w:tr w:rsidR="00000000">
        <w:trPr>
          <w:divId w:val="209809596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209809596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11,191 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1,658 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15,564 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98095968"/>
        </w:trPr>
        <w:tc>
          <w:tcPr>
            <w:tcW w:w="0" w:type="auto"/>
            <w:gridSpan w:val="3"/>
            <w:shd w:val="clear" w:color="auto" w:fill="CCEEFF"/>
            <w:tcMar>
              <w:top w:w="30" w:type="dxa"/>
              <w:left w:w="20" w:type="dxa"/>
              <w:bottom w:w="30" w:type="dxa"/>
              <w:right w:w="20" w:type="dxa"/>
            </w:tcMar>
            <w:vAlign w:val="center"/>
            <w:hideMark/>
          </w:tcPr>
          <w:p w:rsidR="00000000" w:rsidRDefault="00E92DBE">
            <w:pPr>
              <w:divId w:val="740366168"/>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(342)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(1,354)</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98095968"/>
        </w:trPr>
        <w:tc>
          <w:tcPr>
            <w:tcW w:w="0" w:type="auto"/>
            <w:gridSpan w:val="3"/>
            <w:shd w:val="clear" w:color="auto" w:fill="FFFFFF"/>
            <w:tcMar>
              <w:top w:w="30" w:type="dxa"/>
              <w:left w:w="20" w:type="dxa"/>
              <w:bottom w:w="30" w:type="dxa"/>
              <w:right w:w="20" w:type="dxa"/>
            </w:tcMar>
            <w:vAlign w:val="center"/>
            <w:hideMark/>
          </w:tcPr>
          <w:p w:rsidR="00000000" w:rsidRDefault="00E92DBE">
            <w:pPr>
              <w:divId w:val="719086921"/>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9809596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w:t>
            </w:r>
            <w:r>
              <w:rPr>
                <w:rFonts w:eastAsia="Times New Roman"/>
                <w:b/>
                <w:bCs/>
                <w:color w:val="000000"/>
                <w:sz w:val="18"/>
                <w:szCs w:val="18"/>
              </w:rPr>
              <w:t>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9809596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(492)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(813)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9809596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(1,125)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(1,553)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98095968"/>
        </w:trPr>
        <w:tc>
          <w:tcPr>
            <w:tcW w:w="0" w:type="auto"/>
            <w:gridSpan w:val="3"/>
            <w:shd w:val="clear" w:color="auto" w:fill="FFFFFF"/>
            <w:tcMar>
              <w:top w:w="30" w:type="dxa"/>
              <w:left w:w="20" w:type="dxa"/>
              <w:bottom w:w="30" w:type="dxa"/>
              <w:right w:w="20" w:type="dxa"/>
            </w:tcMar>
            <w:vAlign w:val="center"/>
            <w:hideMark/>
          </w:tcPr>
          <w:p w:rsidR="00000000" w:rsidRDefault="00E92DBE">
            <w:pPr>
              <w:divId w:val="1093862356"/>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9809596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10,072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2,498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14,017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9809596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209809596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9809596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9809596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9809596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Combined allowance and reserve as of March 31, 2021</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2,498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1,634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14,204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2098095968"/>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9809596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9809596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9809596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9809596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9809596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9809596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9809596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9809596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9809596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9809596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9809596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9809596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209809596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716"/>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480"/>
        <w:gridCol w:w="480"/>
        <w:gridCol w:w="480"/>
        <w:gridCol w:w="480"/>
        <w:gridCol w:w="144"/>
        <w:gridCol w:w="722"/>
        <w:gridCol w:w="144"/>
      </w:tblGrid>
      <w:tr w:rsidR="00000000">
        <w:tc>
          <w:tcPr>
            <w:tcW w:w="50" w:type="pct"/>
            <w:vAlign w:val="center"/>
            <w:hideMark/>
          </w:tcPr>
          <w:p w:rsidR="00000000" w:rsidRDefault="00E92DBE">
            <w:pPr>
              <w:jc w:val="both"/>
              <w:rPr>
                <w:rFonts w:eastAsia="Times New Roman"/>
              </w:rPr>
            </w:pPr>
          </w:p>
        </w:tc>
        <w:tc>
          <w:tcPr>
            <w:tcW w:w="283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 2020</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5,395 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1,038 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775 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7,208 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2,241 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2,845 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92DBE">
            <w:pPr>
              <w:divId w:val="1678380305"/>
              <w:rPr>
                <w:rFonts w:eastAsia="Times New Roman"/>
              </w:rPr>
            </w:pPr>
            <w:r>
              <w:rPr>
                <w:rFonts w:eastAsia="Times New Roman"/>
                <w:color w:val="000000"/>
                <w:sz w:val="18"/>
                <w:szCs w:val="18"/>
              </w:rPr>
              <w:t>Finance charge and fee reserve reclassificatio</w:t>
            </w:r>
            <w:r>
              <w:rPr>
                <w:rFonts w:eastAsia="Times New Roman"/>
                <w:color w:val="000000"/>
                <w:sz w:val="18"/>
                <w:szCs w:val="18"/>
              </w:rPr>
              <w:t>n</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Balance as of January 1, 2020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8,098 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10,515 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divId w:val="1270744972"/>
              <w:rPr>
                <w:rFonts w:eastAsia="Times New Roman"/>
              </w:rPr>
            </w:pPr>
            <w:r>
              <w:rPr>
                <w:rFonts w:eastAsia="Times New Roman"/>
                <w:color w:val="000000"/>
                <w:sz w:val="18"/>
                <w:szCs w:val="18"/>
              </w:rPr>
              <w:t>Charge-offs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(1,849)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(496)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(2,457)</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2134246411"/>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413 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666 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(1,436)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w:t>
            </w:r>
            <w:r>
              <w:rPr>
                <w:rFonts w:eastAsia="Times New Roman"/>
                <w:color w:val="000000"/>
                <w:sz w:val="18"/>
                <w:szCs w:val="18"/>
              </w:rPr>
              <w:t>246)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(1,791)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3,702 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860 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805 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5,367 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Allowance build (release) for credit losses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2,266 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3,576 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367419059"/>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Balance as of March 31, 2020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10,346 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1,573 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14,073 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Reserve for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8"/>
                <w:szCs w:val="18"/>
              </w:rPr>
              <w:t>Balance as of January 1, 2020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Balance as of March 31, 2020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182863528"/>
              <w:rPr>
                <w:rFonts w:eastAsia="Times New Roman"/>
              </w:rPr>
            </w:pPr>
            <w:r>
              <w:rPr>
                <w:rFonts w:eastAsia="Times New Roman"/>
                <w:b/>
                <w:bCs/>
                <w:color w:val="000000"/>
                <w:sz w:val="18"/>
                <w:szCs w:val="18"/>
              </w:rPr>
              <w:t>Combined allowance and reserve as of March 31, 2020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10,346 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14,296 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1444029891"/>
        <w:rPr>
          <w:rFonts w:eastAsia="Times New Roman"/>
        </w:rPr>
      </w:pPr>
      <w:r>
        <w:rPr>
          <w:rFonts w:eastAsia="Times New Roman"/>
          <w:color w:val="000000"/>
          <w:sz w:val="20"/>
          <w:szCs w:val="20"/>
        </w:rPr>
        <w:t>__________</w:t>
      </w:r>
    </w:p>
    <w:p w:rsidR="00000000" w:rsidRDefault="00E92DBE">
      <w:pPr>
        <w:ind w:hanging="360"/>
        <w:jc w:val="both"/>
        <w:divId w:val="121080381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w:t>
      </w:r>
      <w:r>
        <w:rPr>
          <w:rFonts w:eastAsia="Times New Roman"/>
          <w:color w:val="000000"/>
          <w:sz w:val="16"/>
          <w:szCs w:val="16"/>
        </w:rPr>
        <w:t xml:space="preserve">lection strategies, which are based on customer behavior and risk profile and include direct customer communications, repossession of collateral, the periodic sale of charged off loans as well as additional strategies, such as litigation. </w:t>
      </w:r>
    </w:p>
    <w:p w:rsidR="00000000" w:rsidRDefault="00E92DBE">
      <w:pPr>
        <w:ind w:hanging="360"/>
        <w:jc w:val="both"/>
        <w:divId w:val="12304355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fo</w:t>
      </w:r>
      <w:r>
        <w:rPr>
          <w:rFonts w:eastAsia="Times New Roman"/>
          <w:color w:val="000000"/>
          <w:sz w:val="16"/>
          <w:szCs w:val="16"/>
        </w:rPr>
        <w:t>reign currency translation adjustments.</w:t>
      </w:r>
    </w:p>
    <w:p w:rsidR="00000000" w:rsidRDefault="00E92DBE">
      <w:pPr>
        <w:ind w:hanging="360"/>
        <w:jc w:val="both"/>
        <w:divId w:val="581455630"/>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Concurrent with our adoption of the CECL standard in the first quarter of 2020, we reclassified our finance charge and fee reserve to our allowance for credit losses, with a corresponding increase to credit card l</w:t>
      </w:r>
      <w:r>
        <w:rPr>
          <w:rFonts w:eastAsia="Times New Roman"/>
          <w:color w:val="000000"/>
          <w:sz w:val="16"/>
          <w:szCs w:val="16"/>
        </w:rPr>
        <w:t>oans held for investment.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77259352"/>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777259352"/>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777259352"/>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86</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11" style="width:0;height:1.5pt" o:hralign="center" o:hrstd="t" o:hr="t" fillcolor="#a0a0a0" stroked="f"/>
        </w:pict>
      </w:r>
    </w:p>
    <w:p w:rsidR="00000000" w:rsidRDefault="00E92DBE">
      <w:pPr>
        <w:jc w:val="both"/>
        <w:divId w:val="184834164"/>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84834164"/>
        <w:rPr>
          <w:rFonts w:eastAsia="Times New Roman"/>
        </w:rPr>
      </w:pPr>
    </w:p>
    <w:p w:rsidR="00000000" w:rsidRDefault="00E92DBE">
      <w:pPr>
        <w:divId w:val="2134444750"/>
        <w:rPr>
          <w:rFonts w:eastAsia="Times New Roman"/>
        </w:rPr>
      </w:pPr>
      <w:r>
        <w:rPr>
          <w:rFonts w:eastAsia="Times New Roman"/>
          <w:b/>
          <w:bCs/>
          <w:color w:val="000000"/>
          <w:sz w:val="20"/>
          <w:szCs w:val="20"/>
        </w:rPr>
        <w:t xml:space="preserve">Credit Card Partnership Loss Sharing Arrangements </w:t>
      </w:r>
    </w:p>
    <w:p w:rsidR="00000000" w:rsidRDefault="00E92DBE">
      <w:pPr>
        <w:jc w:val="both"/>
        <w:divId w:val="249315035"/>
        <w:rPr>
          <w:rFonts w:eastAsia="Times New Roman"/>
        </w:rPr>
      </w:pPr>
      <w:r>
        <w:rPr>
          <w:rFonts w:eastAsia="Times New Roman"/>
          <w:color w:val="000000"/>
          <w:sz w:val="20"/>
          <w:szCs w:val="20"/>
        </w:rPr>
        <w:t>We have certain credit card partnership agreements that are presented within our consolidated financial statements on a net basis, in which our partner agrees to share a portion of the credit losses on the underlying loan portfolio. The expected reimbursem</w:t>
      </w:r>
      <w:r>
        <w:rPr>
          <w:rFonts w:eastAsia="Times New Roman"/>
          <w:color w:val="000000"/>
          <w:sz w:val="20"/>
          <w:szCs w:val="20"/>
        </w:rPr>
        <w:t>ents from these partners are netted against our allowance for credit losses. Our methodology for estimating reimbursements is consistent with the methodology we use to estimate the allowance for credit losses on our credit card loan receivables. These expe</w:t>
      </w:r>
      <w:r>
        <w:rPr>
          <w:rFonts w:eastAsia="Times New Roman"/>
          <w:color w:val="000000"/>
          <w:sz w:val="20"/>
          <w:szCs w:val="20"/>
        </w:rPr>
        <w:t>cted reimbursements result in reductions to net charge-offs and the provision for credit losses. See “Note 1—Summary of Significant Accounting Policies” in our 2020 Form 10-K for further discussion of our credit card partnership agreements.</w:t>
      </w:r>
    </w:p>
    <w:p w:rsidR="00000000" w:rsidRDefault="00E92DBE">
      <w:pPr>
        <w:jc w:val="both"/>
        <w:divId w:val="1808667424"/>
        <w:rPr>
          <w:rFonts w:eastAsia="Times New Roman"/>
        </w:rPr>
      </w:pPr>
      <w:r>
        <w:rPr>
          <w:rFonts w:eastAsia="Times New Roman"/>
          <w:color w:val="000000"/>
          <w:sz w:val="20"/>
          <w:szCs w:val="20"/>
        </w:rPr>
        <w:t>The table below</w:t>
      </w:r>
      <w:r>
        <w:rPr>
          <w:rFonts w:eastAsia="Times New Roman"/>
          <w:color w:val="000000"/>
          <w:sz w:val="20"/>
          <w:szCs w:val="20"/>
        </w:rPr>
        <w:t xml:space="preserve"> summarizes the changes in the estimated reimbursements from these partners for the three months ended March 31, 2021 and 2020.</w:t>
      </w:r>
    </w:p>
    <w:p w:rsidR="00000000" w:rsidRDefault="00E92DBE">
      <w:pPr>
        <w:divId w:val="934096284"/>
        <w:rPr>
          <w:rFonts w:eastAsia="Times New Roman"/>
        </w:rPr>
      </w:pPr>
      <w:r>
        <w:rPr>
          <w:rFonts w:eastAsia="Times New Roman"/>
          <w:b/>
          <w:bCs/>
          <w:color w:val="000000"/>
          <w:sz w:val="18"/>
          <w:szCs w:val="18"/>
        </w:rPr>
        <w:t>Table 4.2: Summary of Credit Card Partnership Loss Sharing Arrangements Impacts</w:t>
      </w:r>
    </w:p>
    <w:tbl>
      <w:tblPr>
        <w:tblW w:w="5000" w:type="pct"/>
        <w:tblCellMar>
          <w:top w:w="15" w:type="dxa"/>
          <w:left w:w="15" w:type="dxa"/>
          <w:bottom w:w="15" w:type="dxa"/>
          <w:right w:w="15" w:type="dxa"/>
        </w:tblCellMar>
        <w:tblLook w:val="04A0" w:firstRow="1" w:lastRow="0" w:firstColumn="1" w:lastColumn="0" w:noHBand="0" w:noVBand="1"/>
      </w:tblPr>
      <w:tblGrid>
        <w:gridCol w:w="41"/>
        <w:gridCol w:w="6058"/>
        <w:gridCol w:w="37"/>
        <w:gridCol w:w="36"/>
        <w:gridCol w:w="36"/>
        <w:gridCol w:w="36"/>
        <w:gridCol w:w="110"/>
        <w:gridCol w:w="795"/>
        <w:gridCol w:w="36"/>
        <w:gridCol w:w="36"/>
        <w:gridCol w:w="36"/>
        <w:gridCol w:w="36"/>
        <w:gridCol w:w="110"/>
        <w:gridCol w:w="795"/>
        <w:gridCol w:w="36"/>
        <w:gridCol w:w="36"/>
        <w:gridCol w:w="36"/>
      </w:tblGrid>
      <w:tr w:rsidR="00000000">
        <w:trPr>
          <w:divId w:val="1952469965"/>
        </w:trPr>
        <w:tc>
          <w:tcPr>
            <w:tcW w:w="50" w:type="pct"/>
            <w:vAlign w:val="center"/>
            <w:hideMark/>
          </w:tcPr>
          <w:p w:rsidR="00000000" w:rsidRDefault="00E92DBE">
            <w:pPr>
              <w:rPr>
                <w:rFonts w:eastAsia="Times New Roman"/>
              </w:rPr>
            </w:pPr>
          </w:p>
        </w:tc>
        <w:tc>
          <w:tcPr>
            <w:tcW w:w="370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952469965"/>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1952469965"/>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195246996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Estimated reimbursements from partners, beginning of period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952469965"/>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952469965"/>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Amounts estimated to be charged (from) to partners which reduced 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789 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952469965"/>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2,005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87</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12" style="width:0;height:1.5pt" o:hralign="center" o:hrstd="t" o:hr="t" fillcolor="#a0a0a0" stroked="f"/>
        </w:pict>
      </w:r>
    </w:p>
    <w:p w:rsidR="00000000" w:rsidRDefault="00E92DBE">
      <w:pPr>
        <w:jc w:val="both"/>
        <w:divId w:val="298263251"/>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29826325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716848266"/>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71684826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NOTE 5—VARIABLE INTEREST ENTITIES AND SECURITIZATIONS</w:t>
            </w:r>
          </w:p>
        </w:tc>
      </w:tr>
    </w:tbl>
    <w:p w:rsidR="00000000" w:rsidRDefault="00E92DBE">
      <w:pPr>
        <w:jc w:val="both"/>
        <w:divId w:val="1941258622"/>
        <w:rPr>
          <w:rFonts w:eastAsia="Times New Roman"/>
        </w:rPr>
      </w:pPr>
      <w:r>
        <w:rPr>
          <w:rFonts w:eastAsia="Times New Roman"/>
          <w:color w:val="000000"/>
          <w:sz w:val="20"/>
          <w:szCs w:val="20"/>
        </w:rPr>
        <w:t xml:space="preserve">In the normal course of business, we enter into various types of transactions with entities that are considered to be variable interest entities (“VIEs”). Our primary involvement with VIEs is related to our securitization transactions in which we transfer </w:t>
      </w:r>
      <w:r>
        <w:rPr>
          <w:rFonts w:eastAsia="Times New Roman"/>
          <w:color w:val="000000"/>
          <w:sz w:val="20"/>
          <w:szCs w:val="20"/>
        </w:rPr>
        <w:t>assets to securitization trusts. We primarily securitize credit card and auto loans, which have provided a source of funding for us and enabled us to transfer a certain portion of the economic risk of the loans or related debt securities to third parties.</w:t>
      </w:r>
    </w:p>
    <w:p w:rsidR="00000000" w:rsidRDefault="00E92DBE">
      <w:pPr>
        <w:jc w:val="both"/>
        <w:divId w:val="438640890"/>
        <w:rPr>
          <w:rFonts w:eastAsia="Times New Roman"/>
        </w:rPr>
      </w:pPr>
      <w:r>
        <w:rPr>
          <w:rFonts w:eastAsia="Times New Roman"/>
          <w:color w:val="000000"/>
          <w:sz w:val="20"/>
          <w:szCs w:val="20"/>
        </w:rPr>
        <w:t>The entity that has a controlling financial interest in a VIE is referred to as the primary beneficiary and is required to consolidate the VIE. The majority of the VIEs in which we are involved have been consolidated in our financial statements.</w:t>
      </w:r>
    </w:p>
    <w:p w:rsidR="00000000" w:rsidRDefault="00E92DBE">
      <w:pPr>
        <w:jc w:val="both"/>
        <w:divId w:val="482434161"/>
        <w:rPr>
          <w:rFonts w:eastAsia="Times New Roman"/>
        </w:rPr>
      </w:pPr>
      <w:r>
        <w:rPr>
          <w:rFonts w:eastAsia="Times New Roman"/>
          <w:b/>
          <w:bCs/>
          <w:color w:val="000000"/>
          <w:sz w:val="20"/>
          <w:szCs w:val="20"/>
        </w:rPr>
        <w:t>Summary of</w:t>
      </w:r>
      <w:r>
        <w:rPr>
          <w:rFonts w:eastAsia="Times New Roman"/>
          <w:b/>
          <w:bCs/>
          <w:color w:val="000000"/>
          <w:sz w:val="20"/>
          <w:szCs w:val="20"/>
        </w:rPr>
        <w:t xml:space="preserve"> Consolidated and Unconsolidated VIEs</w:t>
      </w:r>
    </w:p>
    <w:p w:rsidR="00000000" w:rsidRDefault="00E92DBE">
      <w:pPr>
        <w:jc w:val="both"/>
        <w:divId w:val="1972663975"/>
        <w:rPr>
          <w:rFonts w:eastAsia="Times New Roman"/>
        </w:rPr>
      </w:pPr>
      <w:r>
        <w:rPr>
          <w:rFonts w:eastAsia="Times New Roman"/>
          <w:color w:val="000000"/>
          <w:sz w:val="20"/>
          <w:szCs w:val="20"/>
        </w:rPr>
        <w:t>The assets of our consolidated VIEs primarily consist of cash, loan receivables and the related allowance for credit losses, which we report on our consolidated balance sheets under restricted cash for securitization i</w:t>
      </w:r>
      <w:r>
        <w:rPr>
          <w:rFonts w:eastAsia="Times New Roman"/>
          <w:color w:val="000000"/>
          <w:sz w:val="20"/>
          <w:szCs w:val="20"/>
        </w:rPr>
        <w:t>nvestors, loans held in consolidated trusts and allowance for credit losses, respectively. The assets of a particular VIE are the primary source of funds to settle its obligations. Creditors of these VIEs typically do not have recourse to our general credi</w:t>
      </w:r>
      <w:r>
        <w:rPr>
          <w:rFonts w:eastAsia="Times New Roman"/>
          <w:color w:val="000000"/>
          <w:sz w:val="20"/>
          <w:szCs w:val="20"/>
        </w:rPr>
        <w:t>t. Liabilities primarily consist of debt securities issued by the VIEs, which we report under securitized debt obligations on our consolidated balance sheets. For unconsolidated VIEs, we present the carrying amount of assets and liabilities reflected on ou</w:t>
      </w:r>
      <w:r>
        <w:rPr>
          <w:rFonts w:eastAsia="Times New Roman"/>
          <w:color w:val="000000"/>
          <w:sz w:val="20"/>
          <w:szCs w:val="20"/>
        </w:rPr>
        <w:t>r consolidated balance sheets and our maximum exposure to loss. Our maximum exposure to loss is estimated based on the unlikely event that all of the assets in the VIEs become worthless and we are required to meet our maximum remaining funding obligations.</w:t>
      </w:r>
    </w:p>
    <w:p w:rsidR="00000000" w:rsidRDefault="00E92DBE">
      <w:pPr>
        <w:jc w:val="both"/>
        <w:divId w:val="78330453"/>
        <w:rPr>
          <w:rFonts w:eastAsia="Times New Roman"/>
        </w:rPr>
      </w:pPr>
      <w:r>
        <w:rPr>
          <w:rFonts w:eastAsia="Times New Roman"/>
          <w:color w:val="000000"/>
          <w:sz w:val="20"/>
          <w:szCs w:val="20"/>
        </w:rPr>
        <w:t xml:space="preserve">The tables below present a summary of VIEs in which we had continuing involvement or held a significant variable interest, aggregated based on VIEs with similar characteristics as of March 31, 2021 and December 31, 2020. We separately present information </w:t>
      </w:r>
      <w:r>
        <w:rPr>
          <w:rFonts w:eastAsia="Times New Roman"/>
          <w:color w:val="000000"/>
          <w:sz w:val="20"/>
          <w:szCs w:val="20"/>
        </w:rPr>
        <w:t>for consolidated and unconsolidated VIEs.</w:t>
      </w:r>
    </w:p>
    <w:p w:rsidR="00000000" w:rsidRDefault="00E92DBE">
      <w:pPr>
        <w:divId w:val="1954093412"/>
        <w:rPr>
          <w:rFonts w:eastAsia="Times New Roman"/>
        </w:rPr>
      </w:pPr>
      <w:r>
        <w:rPr>
          <w:rFonts w:eastAsia="Times New Roman"/>
          <w:b/>
          <w:bCs/>
          <w:color w:val="000000"/>
          <w:sz w:val="18"/>
          <w:szCs w:val="18"/>
        </w:rPr>
        <w:t>Table 5.1: Carrying Amount of Consolidated and Unconsolidated VIEs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trPr>
          <w:divId w:val="1944221544"/>
        </w:trPr>
        <w:tc>
          <w:tcPr>
            <w:tcW w:w="50" w:type="pct"/>
            <w:vAlign w:val="center"/>
            <w:hideMark/>
          </w:tcPr>
          <w:p w:rsidR="00000000" w:rsidRDefault="00E92DBE">
            <w:pPr>
              <w:rPr>
                <w:rFonts w:eastAsia="Times New Roman"/>
              </w:rPr>
            </w:pPr>
          </w:p>
        </w:tc>
        <w:tc>
          <w:tcPr>
            <w:tcW w:w="245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944221544"/>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r>
      <w:tr w:rsidR="00000000">
        <w:trPr>
          <w:divId w:val="1944221544"/>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Unconsolidated</w:t>
            </w:r>
          </w:p>
        </w:tc>
      </w:tr>
      <w:tr w:rsidR="00000000">
        <w:trPr>
          <w:divId w:val="1944221544"/>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Maximum Exposure to Loss</w:t>
            </w:r>
          </w:p>
        </w:tc>
      </w:tr>
      <w:tr w:rsidR="00000000">
        <w:trPr>
          <w:divId w:val="194422154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577128820"/>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944221544"/>
        </w:trPr>
        <w:tc>
          <w:tcPr>
            <w:tcW w:w="0" w:type="auto"/>
            <w:gridSpan w:val="3"/>
            <w:shd w:val="clear" w:color="auto" w:fill="FFFFFF"/>
            <w:tcMar>
              <w:top w:w="30" w:type="dxa"/>
              <w:left w:w="20" w:type="dxa"/>
              <w:bottom w:w="30" w:type="dxa"/>
              <w:right w:w="20" w:type="dxa"/>
            </w:tcMar>
            <w:vAlign w:val="center"/>
            <w:hideMark/>
          </w:tcPr>
          <w:p w:rsidR="00000000" w:rsidRDefault="00E92DBE">
            <w:pPr>
              <w:divId w:val="2036420034"/>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22,146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10,339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4422154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44221544"/>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4422154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24,213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12,123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44221544"/>
        </w:trPr>
        <w:tc>
          <w:tcPr>
            <w:tcW w:w="0" w:type="auto"/>
            <w:gridSpan w:val="3"/>
            <w:shd w:val="clear" w:color="auto" w:fill="CCEEFF"/>
            <w:tcMar>
              <w:top w:w="30" w:type="dxa"/>
              <w:left w:w="20" w:type="dxa"/>
              <w:bottom w:w="30" w:type="dxa"/>
              <w:right w:w="20" w:type="dxa"/>
            </w:tcMar>
            <w:vAlign w:val="center"/>
            <w:hideMark/>
          </w:tcPr>
          <w:p w:rsidR="00000000" w:rsidRDefault="00E92DBE">
            <w:pPr>
              <w:divId w:val="1030957948"/>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94422154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4,676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4,676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4422154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4422154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4422154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4422154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26,463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12,166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5,087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1,319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5,087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88</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13" style="width:0;height:1.5pt" o:hralign="center" o:hrstd="t" o:hr="t" fillcolor="#a0a0a0" stroked="f"/>
        </w:pict>
      </w:r>
    </w:p>
    <w:p w:rsidR="00000000" w:rsidRDefault="00E92DBE">
      <w:pPr>
        <w:jc w:val="both"/>
        <w:divId w:val="1888101205"/>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88810120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trPr>
          <w:divId w:val="1565485701"/>
        </w:trPr>
        <w:tc>
          <w:tcPr>
            <w:tcW w:w="50" w:type="pct"/>
            <w:vAlign w:val="center"/>
            <w:hideMark/>
          </w:tcPr>
          <w:p w:rsidR="00000000" w:rsidRDefault="00E92DBE">
            <w:pPr>
              <w:jc w:val="center"/>
              <w:rPr>
                <w:rFonts w:eastAsia="Times New Roman"/>
              </w:rPr>
            </w:pPr>
          </w:p>
        </w:tc>
        <w:tc>
          <w:tcPr>
            <w:tcW w:w="245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56548570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156548570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Unconsolidated</w:t>
            </w:r>
          </w:p>
        </w:tc>
      </w:tr>
      <w:tr w:rsidR="00000000">
        <w:trPr>
          <w:divId w:val="156548570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Maximum Exposure to Loss</w:t>
            </w:r>
          </w:p>
        </w:tc>
      </w:tr>
      <w:tr w:rsidR="00000000">
        <w:trPr>
          <w:divId w:val="156548570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196742524"/>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565485701"/>
        </w:trPr>
        <w:tc>
          <w:tcPr>
            <w:tcW w:w="0" w:type="auto"/>
            <w:gridSpan w:val="3"/>
            <w:shd w:val="clear" w:color="auto" w:fill="FFFFFF"/>
            <w:tcMar>
              <w:top w:w="30" w:type="dxa"/>
              <w:left w:w="20" w:type="dxa"/>
              <w:bottom w:w="30" w:type="dxa"/>
              <w:right w:w="20" w:type="dxa"/>
            </w:tcMar>
            <w:vAlign w:val="center"/>
            <w:hideMark/>
          </w:tcPr>
          <w:p w:rsidR="00000000" w:rsidRDefault="00E92DBE">
            <w:pPr>
              <w:divId w:val="1625043742"/>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22,066 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10,338 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65485701"/>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2,360 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2,055 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65485701"/>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6548570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24,426 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12,393 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65485701"/>
        </w:trPr>
        <w:tc>
          <w:tcPr>
            <w:tcW w:w="0" w:type="auto"/>
            <w:gridSpan w:val="3"/>
            <w:shd w:val="clear" w:color="auto" w:fill="CCEEFF"/>
            <w:tcMar>
              <w:top w:w="30" w:type="dxa"/>
              <w:left w:w="20" w:type="dxa"/>
              <w:bottom w:w="30" w:type="dxa"/>
              <w:right w:w="20" w:type="dxa"/>
            </w:tcMar>
            <w:vAlign w:val="center"/>
            <w:hideMark/>
          </w:tcPr>
          <w:p w:rsidR="00000000" w:rsidRDefault="00E92DBE">
            <w:pPr>
              <w:divId w:val="778717479"/>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565485701"/>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4,602 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1,240 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4,602 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65485701"/>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1,951 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65485701"/>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436 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436 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6548570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2,193 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6548570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26,619 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12,436 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163013323"/>
        <w:rPr>
          <w:rFonts w:eastAsia="Times New Roman"/>
        </w:rPr>
      </w:pPr>
      <w:r>
        <w:rPr>
          <w:rFonts w:eastAsia="Times New Roman"/>
          <w:color w:val="000000"/>
          <w:sz w:val="20"/>
          <w:szCs w:val="20"/>
        </w:rPr>
        <w:t>__________</w:t>
      </w:r>
    </w:p>
    <w:p w:rsidR="00000000" w:rsidRDefault="00E92DBE">
      <w:pPr>
        <w:ind w:hanging="360"/>
        <w:jc w:val="both"/>
        <w:divId w:val="52271701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Excludes insignificant VIEs from previously exited businesses.</w:t>
      </w:r>
    </w:p>
    <w:p w:rsidR="00000000" w:rsidRDefault="00E92DBE">
      <w:pPr>
        <w:ind w:hanging="360"/>
        <w:jc w:val="both"/>
        <w:divId w:val="76365407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the carrying amount of assets and liabilities owned by the VIE, which includes the seller’s interest and repurchased notes held by other related parties.</w:t>
      </w:r>
    </w:p>
    <w:p w:rsidR="00000000" w:rsidRDefault="00E92DBE">
      <w:pPr>
        <w:ind w:hanging="360"/>
        <w:jc w:val="both"/>
        <w:divId w:val="205534622"/>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In certain investment </w:t>
      </w:r>
      <w:r>
        <w:rPr>
          <w:rFonts w:eastAsia="Times New Roman"/>
          <w:color w:val="000000"/>
          <w:sz w:val="16"/>
          <w:szCs w:val="16"/>
        </w:rPr>
        <w:t>structures, we consolidate a VIE which in turn holds as its primary asset an investment in an unconsolidated VIE. In these instances, we disclose the carrying amount of assets and liabilities on our consolidated balance sheets as unconsolidated VIEs to avo</w:t>
      </w:r>
      <w:r>
        <w:rPr>
          <w:rFonts w:eastAsia="Times New Roman"/>
          <w:color w:val="000000"/>
          <w:sz w:val="16"/>
          <w:szCs w:val="16"/>
        </w:rPr>
        <w:t>id duplicating our exposure, as the unconsolidated VIEs are generally the operating entities generating the exposure. The carrying amount of assets and liabilities included in the unconsolidated VIE columns above related to these investment structures were</w:t>
      </w:r>
      <w:r>
        <w:rPr>
          <w:rFonts w:eastAsia="Times New Roman"/>
          <w:color w:val="000000"/>
          <w:sz w:val="16"/>
          <w:szCs w:val="16"/>
        </w:rPr>
        <w:t xml:space="preserve"> $2.2 billion of assets and $575 million of liabilities as of March 31, 2021, and $2.3 billion of assets and $596 million of liabilities as of December 31, 2020. </w:t>
      </w:r>
    </w:p>
    <w:p w:rsidR="00000000" w:rsidRDefault="00E92DBE">
      <w:pPr>
        <w:jc w:val="both"/>
        <w:divId w:val="78645564"/>
        <w:rPr>
          <w:rFonts w:eastAsia="Times New Roman"/>
        </w:rPr>
      </w:pPr>
      <w:r>
        <w:rPr>
          <w:rFonts w:eastAsia="Times New Roman"/>
          <w:b/>
          <w:bCs/>
          <w:color w:val="000000"/>
          <w:sz w:val="20"/>
          <w:szCs w:val="20"/>
        </w:rPr>
        <w:t>Securitization-Related VIEs</w:t>
      </w:r>
    </w:p>
    <w:p w:rsidR="00000000" w:rsidRDefault="00E92DBE">
      <w:pPr>
        <w:jc w:val="both"/>
        <w:divId w:val="1603609831"/>
        <w:rPr>
          <w:rFonts w:eastAsia="Times New Roman"/>
        </w:rPr>
      </w:pPr>
      <w:r>
        <w:rPr>
          <w:rFonts w:eastAsia="Times New Roman"/>
          <w:color w:val="000000"/>
          <w:sz w:val="20"/>
          <w:szCs w:val="20"/>
        </w:rPr>
        <w:t>In a securitization transaction, assets are transferred to a trus</w:t>
      </w:r>
      <w:r>
        <w:rPr>
          <w:rFonts w:eastAsia="Times New Roman"/>
          <w:color w:val="000000"/>
          <w:sz w:val="20"/>
          <w:szCs w:val="20"/>
        </w:rPr>
        <w:t>t, which generally meets the definition of a VIE. We engage in securitization activities as an issuer and an investor. Our primary securitization issuance activity includes credit card and auto securitizations, conducted through securitization trusts which</w:t>
      </w:r>
      <w:r>
        <w:rPr>
          <w:rFonts w:eastAsia="Times New Roman"/>
          <w:color w:val="000000"/>
          <w:sz w:val="20"/>
          <w:szCs w:val="20"/>
        </w:rPr>
        <w:t xml:space="preserve"> we consolidate. Our continuing involvement in these securitization transactions mainly consists of acting as the primary servicer and holding certain retained interests.</w:t>
      </w:r>
    </w:p>
    <w:p w:rsidR="00000000" w:rsidRDefault="00E92DBE">
      <w:pPr>
        <w:jc w:val="both"/>
        <w:divId w:val="881944136"/>
        <w:rPr>
          <w:rFonts w:eastAsia="Times New Roman"/>
        </w:rPr>
      </w:pPr>
      <w:r>
        <w:rPr>
          <w:rFonts w:eastAsia="Times New Roman"/>
          <w:color w:val="000000"/>
          <w:sz w:val="20"/>
          <w:szCs w:val="20"/>
        </w:rPr>
        <w:t>In our multifamily agency business, we originate multifamily commercial real estate l</w:t>
      </w:r>
      <w:r>
        <w:rPr>
          <w:rFonts w:eastAsia="Times New Roman"/>
          <w:color w:val="000000"/>
          <w:sz w:val="20"/>
          <w:szCs w:val="20"/>
        </w:rPr>
        <w:t>oans and transfer them to Government-sponsored enterprise (“GSEs”) who may, in turn, securitize them. We retain the related mortgage servicing rights (“MSRs”) and service the transferred loans pursuant to the guidelines set forth by the GSEs. As an investo</w:t>
      </w:r>
      <w:r>
        <w:rPr>
          <w:rFonts w:eastAsia="Times New Roman"/>
          <w:color w:val="000000"/>
          <w:sz w:val="20"/>
          <w:szCs w:val="20"/>
        </w:rPr>
        <w:t>r, we hold primarily RMBS, CMBS, and ABS in our investment securities portfolio, which represent variable interests in the respective securitization trusts from which those securities were issued. We do not consolidate the securitization trusts employed in</w:t>
      </w:r>
      <w:r>
        <w:rPr>
          <w:rFonts w:eastAsia="Times New Roman"/>
          <w:color w:val="000000"/>
          <w:sz w:val="20"/>
          <w:szCs w:val="20"/>
        </w:rPr>
        <w:t xml:space="preserve"> these transactions as we do not have the power to direct the activities that most significantly impact the economic performance of these securitization trusts. We exclude these VIEs from the tables within this note because we do not consider our continuin</w:t>
      </w:r>
      <w:r>
        <w:rPr>
          <w:rFonts w:eastAsia="Times New Roman"/>
          <w:color w:val="000000"/>
          <w:sz w:val="20"/>
          <w:szCs w:val="20"/>
        </w:rPr>
        <w:t>g involvement with these VIEs to be significant as we either invest in securities issued by the VIE and were not involved in the design of the VIE or no transfers have occurred between the VIE and us. Our maximum exposure to loss as a result of our involve</w:t>
      </w:r>
      <w:r>
        <w:rPr>
          <w:rFonts w:eastAsia="Times New Roman"/>
          <w:color w:val="000000"/>
          <w:sz w:val="20"/>
          <w:szCs w:val="20"/>
        </w:rPr>
        <w:t xml:space="preserve">ment with these VIEs is the carrying value of the MSRs and investment securities on our consolidated balance sheets as well as our contractual obligations under loss sharing arrangements. See “Note 6—Goodwill and Intangible Assets” for information related </w:t>
      </w:r>
      <w:r>
        <w:rPr>
          <w:rFonts w:eastAsia="Times New Roman"/>
          <w:color w:val="000000"/>
          <w:sz w:val="20"/>
          <w:szCs w:val="20"/>
        </w:rPr>
        <w:t>to our MSRs associated with these securitizations and “Note 2—Investment Securities” for more information on the securities held in our investment securities portfolio. In addition, where we have certain lending arrangements in the normal course of busines</w:t>
      </w:r>
      <w:r>
        <w:rPr>
          <w:rFonts w:eastAsia="Times New Roman"/>
          <w:color w:val="000000"/>
          <w:sz w:val="20"/>
          <w:szCs w:val="20"/>
        </w:rPr>
        <w:t>s with entities that could be VIEs, we have also excluded these VIEs from the tables presented in this note. See “Note 3—Loans” for additional information regarding our lending arrangements in the normal course of business.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58966427"/>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2058966427"/>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2058966427"/>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89</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14" style="width:0;height:1.5pt" o:hralign="center" o:hrstd="t" o:hr="t" fillcolor="#a0a0a0" stroked="f"/>
        </w:pict>
      </w:r>
    </w:p>
    <w:p w:rsidR="00000000" w:rsidRDefault="00E92DBE">
      <w:pPr>
        <w:jc w:val="both"/>
        <w:divId w:val="577136495"/>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577136495"/>
        <w:rPr>
          <w:rFonts w:eastAsia="Times New Roman"/>
        </w:rPr>
      </w:pPr>
    </w:p>
    <w:p w:rsidR="00000000" w:rsidRDefault="00E92DBE">
      <w:pPr>
        <w:divId w:val="572396823"/>
        <w:rPr>
          <w:rFonts w:eastAsia="Times New Roman"/>
        </w:rPr>
      </w:pPr>
      <w:r>
        <w:rPr>
          <w:rFonts w:eastAsia="Times New Roman"/>
          <w:color w:val="000000"/>
          <w:sz w:val="20"/>
          <w:szCs w:val="20"/>
        </w:rPr>
        <w:t xml:space="preserve">The table below presents our continuing involvement in certain securitization-related VIEs as of March 31, 2021 and December 31, 2020. </w:t>
      </w:r>
    </w:p>
    <w:p w:rsidR="00000000" w:rsidRDefault="00E92DBE">
      <w:pPr>
        <w:divId w:val="644310783"/>
        <w:rPr>
          <w:rFonts w:eastAsia="Times New Roman"/>
        </w:rPr>
      </w:pPr>
      <w:r>
        <w:rPr>
          <w:rFonts w:eastAsia="Times New Roman"/>
          <w:b/>
          <w:bCs/>
          <w:color w:val="000000"/>
          <w:sz w:val="18"/>
          <w:szCs w:val="18"/>
        </w:rPr>
        <w:t>Table 5.2: Continuing Involvement in Securitization-Related VIEs</w:t>
      </w:r>
    </w:p>
    <w:tbl>
      <w:tblPr>
        <w:tblW w:w="5000" w:type="pct"/>
        <w:tblCellMar>
          <w:top w:w="15" w:type="dxa"/>
          <w:left w:w="15" w:type="dxa"/>
          <w:bottom w:w="15" w:type="dxa"/>
          <w:right w:w="15" w:type="dxa"/>
        </w:tblCellMar>
        <w:tblLook w:val="04A0" w:firstRow="1" w:lastRow="0" w:firstColumn="1" w:lastColumn="0" w:noHBand="0" w:noVBand="1"/>
      </w:tblPr>
      <w:tblGrid>
        <w:gridCol w:w="40"/>
        <w:gridCol w:w="6227"/>
        <w:gridCol w:w="39"/>
        <w:gridCol w:w="36"/>
        <w:gridCol w:w="36"/>
        <w:gridCol w:w="36"/>
        <w:gridCol w:w="110"/>
        <w:gridCol w:w="710"/>
        <w:gridCol w:w="36"/>
        <w:gridCol w:w="36"/>
        <w:gridCol w:w="36"/>
        <w:gridCol w:w="36"/>
        <w:gridCol w:w="110"/>
        <w:gridCol w:w="710"/>
        <w:gridCol w:w="36"/>
        <w:gridCol w:w="36"/>
        <w:gridCol w:w="36"/>
      </w:tblGrid>
      <w:tr w:rsidR="00000000">
        <w:trPr>
          <w:divId w:val="734477986"/>
        </w:trPr>
        <w:tc>
          <w:tcPr>
            <w:tcW w:w="50" w:type="pct"/>
            <w:vAlign w:val="center"/>
            <w:hideMark/>
          </w:tcPr>
          <w:p w:rsidR="00000000" w:rsidRDefault="00E92DBE">
            <w:pPr>
              <w:rPr>
                <w:rFonts w:eastAsia="Times New Roman"/>
              </w:rPr>
            </w:pPr>
          </w:p>
        </w:tc>
        <w:tc>
          <w:tcPr>
            <w:tcW w:w="380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34477986"/>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Auto</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73447798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March 31, 2021:</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3447798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10,288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3447798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Receivables in the trust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22,008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3447798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3447798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Yes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73447798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Yes</w:t>
            </w: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Yes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73447798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3447798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10,361 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2,053 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3447798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Receivables in the trust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23,683 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2,243 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3447798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3447798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Yes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73447798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Yes</w:t>
            </w:r>
          </w:p>
        </w:tc>
        <w:tc>
          <w:tcPr>
            <w:tcW w:w="0" w:type="auto"/>
            <w:gridSpan w:val="3"/>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Yes</w:t>
            </w:r>
          </w:p>
        </w:tc>
        <w:tc>
          <w:tcPr>
            <w:tcW w:w="0" w:type="auto"/>
            <w:vAlign w:val="center"/>
            <w:hideMark/>
          </w:tcPr>
          <w:p w:rsidR="00000000" w:rsidRDefault="00E92DBE">
            <w:pPr>
              <w:jc w:val="right"/>
              <w:rPr>
                <w:rFonts w:eastAsia="Times New Roman"/>
              </w:rPr>
            </w:pPr>
          </w:p>
        </w:tc>
        <w:tc>
          <w:tcPr>
            <w:tcW w:w="0" w:type="auto"/>
            <w:vAlign w:val="center"/>
            <w:hideMark/>
          </w:tcPr>
          <w:p w:rsidR="00000000" w:rsidRDefault="00E92DBE">
            <w:pPr>
              <w:rPr>
                <w:rFonts w:eastAsia="Times New Roman"/>
                <w:sz w:val="20"/>
                <w:szCs w:val="20"/>
              </w:rPr>
            </w:pPr>
          </w:p>
        </w:tc>
      </w:tr>
    </w:tbl>
    <w:p w:rsidR="00000000" w:rsidRDefault="00E92DBE">
      <w:pPr>
        <w:divId w:val="1707483889"/>
        <w:rPr>
          <w:rFonts w:eastAsia="Times New Roman"/>
        </w:rPr>
      </w:pPr>
      <w:r>
        <w:rPr>
          <w:rFonts w:eastAsia="Times New Roman"/>
          <w:b/>
          <w:bCs/>
          <w:i/>
          <w:iCs/>
          <w:color w:val="000000"/>
          <w:sz w:val="20"/>
          <w:szCs w:val="20"/>
        </w:rPr>
        <w:t>Credit Card Securitizations</w:t>
      </w:r>
    </w:p>
    <w:p w:rsidR="00000000" w:rsidRDefault="00E92DBE">
      <w:pPr>
        <w:jc w:val="both"/>
        <w:divId w:val="2039550558"/>
        <w:rPr>
          <w:rFonts w:eastAsia="Times New Roman"/>
        </w:rPr>
      </w:pPr>
      <w:r>
        <w:rPr>
          <w:rFonts w:eastAsia="Times New Roman"/>
          <w:color w:val="000000"/>
          <w:sz w:val="20"/>
          <w:szCs w:val="20"/>
        </w:rPr>
        <w:t xml:space="preserve">We securitize a portion of our credit card loans which provides a source of funding for us. Credit card securitizations involve the transfer of credit card receivables to securitization trusts. These trusts then issue debt securities collateralized by the </w:t>
      </w:r>
      <w:r>
        <w:rPr>
          <w:rFonts w:eastAsia="Times New Roman"/>
          <w:color w:val="000000"/>
          <w:sz w:val="20"/>
          <w:szCs w:val="20"/>
        </w:rPr>
        <w:t>transferred receivables to third-party investors. We hold certain retained interests in our credit card securitizations and continue to service the receivables in these trusts. We consolidate these trusts because we are deemed to be the primary beneficiary</w:t>
      </w:r>
      <w:r>
        <w:rPr>
          <w:rFonts w:eastAsia="Times New Roman"/>
          <w:color w:val="000000"/>
          <w:sz w:val="20"/>
          <w:szCs w:val="20"/>
        </w:rPr>
        <w:t xml:space="preserve"> as we have the power to direct the activities that most significantly impact the economic performance of the trusts, and the right to receive benefits or the obligation to absorb losses that could potentially be significant to the trusts. </w:t>
      </w:r>
    </w:p>
    <w:p w:rsidR="00000000" w:rsidRDefault="00E92DBE">
      <w:pPr>
        <w:divId w:val="1021279872"/>
        <w:rPr>
          <w:rFonts w:eastAsia="Times New Roman"/>
        </w:rPr>
      </w:pPr>
      <w:r>
        <w:rPr>
          <w:rFonts w:eastAsia="Times New Roman"/>
          <w:b/>
          <w:bCs/>
          <w:i/>
          <w:iCs/>
          <w:color w:val="000000"/>
          <w:sz w:val="20"/>
          <w:szCs w:val="20"/>
        </w:rPr>
        <w:t>Auto Securitiza</w:t>
      </w:r>
      <w:r>
        <w:rPr>
          <w:rFonts w:eastAsia="Times New Roman"/>
          <w:b/>
          <w:bCs/>
          <w:i/>
          <w:iCs/>
          <w:color w:val="000000"/>
          <w:sz w:val="20"/>
          <w:szCs w:val="20"/>
        </w:rPr>
        <w:t>tions</w:t>
      </w:r>
    </w:p>
    <w:p w:rsidR="00000000" w:rsidRDefault="00E92DBE">
      <w:pPr>
        <w:jc w:val="both"/>
        <w:divId w:val="510267273"/>
        <w:rPr>
          <w:rFonts w:eastAsia="Times New Roman"/>
        </w:rPr>
      </w:pPr>
      <w:r>
        <w:rPr>
          <w:rFonts w:eastAsia="Times New Roman"/>
          <w:color w:val="000000"/>
          <w:sz w:val="20"/>
          <w:szCs w:val="20"/>
        </w:rPr>
        <w:t>Similar to our credit card securitizations, we securitize a portion of our auto loans which provides a source of funding for us. Auto securitization involves the transfer of auto loans to securitization trusts. These trusts then issue debt securities</w:t>
      </w:r>
      <w:r>
        <w:rPr>
          <w:rFonts w:eastAsia="Times New Roman"/>
          <w:color w:val="000000"/>
          <w:sz w:val="20"/>
          <w:szCs w:val="20"/>
        </w:rPr>
        <w:t xml:space="preserve"> collateralized by the transferred loans to third-party investors. We hold certain retained interests and continue to service the loans in these trusts. We consolidate these trusts because we are deemed to be the primary beneficiary as we have the power to</w:t>
      </w:r>
      <w:r>
        <w:rPr>
          <w:rFonts w:eastAsia="Times New Roman"/>
          <w:color w:val="000000"/>
          <w:sz w:val="20"/>
          <w:szCs w:val="20"/>
        </w:rPr>
        <w:t xml:space="preserve"> direct the activities that most significantly impact the economic performance of the trusts, and the right to receive benefits or the obligation to absorb losses that could potentially be significant to the trusts.</w:t>
      </w:r>
    </w:p>
    <w:p w:rsidR="00000000" w:rsidRDefault="00E92DBE">
      <w:pPr>
        <w:jc w:val="both"/>
        <w:divId w:val="26637115"/>
        <w:rPr>
          <w:rFonts w:eastAsia="Times New Roman"/>
        </w:rPr>
      </w:pPr>
      <w:r>
        <w:rPr>
          <w:rFonts w:eastAsia="Times New Roman"/>
          <w:b/>
          <w:bCs/>
          <w:color w:val="000000"/>
          <w:sz w:val="20"/>
          <w:szCs w:val="20"/>
        </w:rPr>
        <w:t>Other VIEs</w:t>
      </w:r>
    </w:p>
    <w:p w:rsidR="00000000" w:rsidRDefault="00E92DBE">
      <w:pPr>
        <w:jc w:val="both"/>
        <w:divId w:val="1358657882"/>
        <w:rPr>
          <w:rFonts w:eastAsia="Times New Roman"/>
        </w:rPr>
      </w:pPr>
      <w:r>
        <w:rPr>
          <w:rFonts w:eastAsia="Times New Roman"/>
          <w:b/>
          <w:bCs/>
          <w:i/>
          <w:iCs/>
          <w:color w:val="000000"/>
          <w:sz w:val="20"/>
          <w:szCs w:val="20"/>
        </w:rPr>
        <w:t>Affordable Housing Entities</w:t>
      </w:r>
    </w:p>
    <w:p w:rsidR="00000000" w:rsidRDefault="00E92DBE">
      <w:pPr>
        <w:jc w:val="both"/>
        <w:divId w:val="671566650"/>
        <w:rPr>
          <w:rFonts w:eastAsia="Times New Roman"/>
        </w:rPr>
      </w:pPr>
      <w:r>
        <w:rPr>
          <w:rFonts w:eastAsia="Times New Roman"/>
          <w:color w:val="000000"/>
          <w:sz w:val="20"/>
          <w:szCs w:val="20"/>
        </w:rPr>
        <w:t>A</w:t>
      </w:r>
      <w:r>
        <w:rPr>
          <w:rFonts w:eastAsia="Times New Roman"/>
          <w:color w:val="000000"/>
          <w:sz w:val="20"/>
          <w:szCs w:val="20"/>
        </w:rPr>
        <w:t>s part of our community reinvestment initiatives, we invest in private investment funds that make equity investments in multifamily affordable housing properties. We receive affordable housing tax credits for these investments. The activities of these enti</w:t>
      </w:r>
      <w:r>
        <w:rPr>
          <w:rFonts w:eastAsia="Times New Roman"/>
          <w:color w:val="000000"/>
          <w:sz w:val="20"/>
          <w:szCs w:val="20"/>
        </w:rPr>
        <w:t>ties are financed with a combination of invested equity capital and debt. We account for certain investments in qualified affordable housing projects using the proportional amortization method if certain criteria are met. The proportional amortization meth</w:t>
      </w:r>
      <w:r>
        <w:rPr>
          <w:rFonts w:eastAsia="Times New Roman"/>
          <w:color w:val="000000"/>
          <w:sz w:val="20"/>
          <w:szCs w:val="20"/>
        </w:rPr>
        <w:t>od amortizes the cost of the investment over the period in which the investor expects to receive tax credits and other tax benefits, and the resulting amortization is recognized as a component of income tax expense attributable to continuing operations. Fo</w:t>
      </w:r>
      <w:r>
        <w:rPr>
          <w:rFonts w:eastAsia="Times New Roman"/>
          <w:color w:val="000000"/>
          <w:sz w:val="20"/>
          <w:szCs w:val="20"/>
        </w:rPr>
        <w:t xml:space="preserve">r the first three months of 2021 and 2020, we recognized amortization of $156 million and $139 million, respectively, and tax credits of $258 million and $155 million, respectively, associated with these investments within income tax provision or benefit. </w:t>
      </w:r>
      <w:r>
        <w:rPr>
          <w:rFonts w:eastAsia="Times New Roman"/>
          <w:color w:val="000000"/>
          <w:sz w:val="20"/>
          <w:szCs w:val="20"/>
        </w:rPr>
        <w:t>The carrying value of our equity investments in these qualified affordable housing projects was $4.6 billion and $4.5 billion as of March 31, 2021 and December 31, 2020, respectively. We are periodically required to provide additional financial or other su</w:t>
      </w:r>
      <w:r>
        <w:rPr>
          <w:rFonts w:eastAsia="Times New Roman"/>
          <w:color w:val="000000"/>
          <w:sz w:val="20"/>
          <w:szCs w:val="20"/>
        </w:rPr>
        <w:t>pport during the period of the investments. Our liability for these unfunded commitments was $1.5 billion as of both March 31, 2021 and December 31, 2020, and is largely expected to be paid from 2021 to 2023.</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6776822"/>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26776822"/>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26776822"/>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90</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15" style="width:0;height:1.5pt" o:hralign="center" o:hrstd="t" o:hr="t" fillcolor="#a0a0a0" stroked="f"/>
        </w:pict>
      </w:r>
    </w:p>
    <w:p w:rsidR="00000000" w:rsidRDefault="00E92DBE">
      <w:pPr>
        <w:jc w:val="both"/>
        <w:divId w:val="214724009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2147240098"/>
        <w:rPr>
          <w:rFonts w:eastAsia="Times New Roman"/>
        </w:rPr>
      </w:pPr>
    </w:p>
    <w:p w:rsidR="00000000" w:rsidRDefault="00E92DBE">
      <w:pPr>
        <w:jc w:val="both"/>
        <w:divId w:val="507522879"/>
        <w:rPr>
          <w:rFonts w:eastAsia="Times New Roman"/>
        </w:rPr>
      </w:pPr>
      <w:r>
        <w:rPr>
          <w:rFonts w:eastAsia="Times New Roman"/>
          <w:color w:val="000000"/>
          <w:sz w:val="20"/>
          <w:szCs w:val="20"/>
        </w:rPr>
        <w:t>For those investment funds considered to be VIEs, we are not required to consolidate them if we do not have the power to direct the activities that most significantly impact the economic performance of those entities. We record our interests in these uncon</w:t>
      </w:r>
      <w:r>
        <w:rPr>
          <w:rFonts w:eastAsia="Times New Roman"/>
          <w:color w:val="000000"/>
          <w:sz w:val="20"/>
          <w:szCs w:val="20"/>
        </w:rPr>
        <w:t xml:space="preserve">solidated VIEs in loans held for investment, other assets and other liabilities on our consolidated balance sheets. Our maximum exposure to these entities is limited to our variable interests in the entities which consisted of assets of approximately $4.7 </w:t>
      </w:r>
      <w:r>
        <w:rPr>
          <w:rFonts w:eastAsia="Times New Roman"/>
          <w:color w:val="000000"/>
          <w:sz w:val="20"/>
          <w:szCs w:val="20"/>
        </w:rPr>
        <w:t>billion and $4.6 billion as of March 31, 2021 and December 31, 2020, respectively. The creditors of the VIEs have no recourse to our general credit and we do not provide additional financial or other support other than during the period that we are contrac</w:t>
      </w:r>
      <w:r>
        <w:rPr>
          <w:rFonts w:eastAsia="Times New Roman"/>
          <w:color w:val="000000"/>
          <w:sz w:val="20"/>
          <w:szCs w:val="20"/>
        </w:rPr>
        <w:t>tually required to provide it. The total assets of the unconsolidated VIE investment funds were approximately $11.0 billion as of both March 31, 2021 and December 31, 2020.</w:t>
      </w:r>
    </w:p>
    <w:p w:rsidR="00000000" w:rsidRDefault="00E92DBE">
      <w:pPr>
        <w:jc w:val="both"/>
        <w:divId w:val="435951766"/>
        <w:rPr>
          <w:rFonts w:eastAsia="Times New Roman"/>
        </w:rPr>
      </w:pPr>
      <w:r>
        <w:rPr>
          <w:rFonts w:eastAsia="Times New Roman"/>
          <w:b/>
          <w:bCs/>
          <w:i/>
          <w:iCs/>
          <w:color w:val="000000"/>
          <w:sz w:val="20"/>
          <w:szCs w:val="20"/>
        </w:rPr>
        <w:t xml:space="preserve">Entities that Provide Capital to Low-Income and Rural Communities </w:t>
      </w:r>
    </w:p>
    <w:p w:rsidR="00000000" w:rsidRDefault="00E92DBE">
      <w:pPr>
        <w:jc w:val="both"/>
        <w:divId w:val="825243830"/>
        <w:rPr>
          <w:rFonts w:eastAsia="Times New Roman"/>
        </w:rPr>
      </w:pPr>
      <w:r>
        <w:rPr>
          <w:rFonts w:eastAsia="Times New Roman"/>
          <w:color w:val="000000"/>
          <w:sz w:val="20"/>
          <w:szCs w:val="20"/>
        </w:rPr>
        <w:t>We hold variable</w:t>
      </w:r>
      <w:r>
        <w:rPr>
          <w:rFonts w:eastAsia="Times New Roman"/>
          <w:color w:val="000000"/>
          <w:sz w:val="20"/>
          <w:szCs w:val="20"/>
        </w:rPr>
        <w:t xml:space="preserve"> interests in entities (“Investor Entities”) that invest in community development entities (“CDEs”) that provide debt financing to businesses and non-profit entities in low-income and rural communities. Variable interests in the CDEs held by the consolidat</w:t>
      </w:r>
      <w:r>
        <w:rPr>
          <w:rFonts w:eastAsia="Times New Roman"/>
          <w:color w:val="000000"/>
          <w:sz w:val="20"/>
          <w:szCs w:val="20"/>
        </w:rPr>
        <w:t>ed Investor Entities are also our variable interests. The activities of the Investor Entities are financed with a combination of invested equity capital and debt. The activities of the CDEs are financed solely with invested equity capital. We receive feder</w:t>
      </w:r>
      <w:r>
        <w:rPr>
          <w:rFonts w:eastAsia="Times New Roman"/>
          <w:color w:val="000000"/>
          <w:sz w:val="20"/>
          <w:szCs w:val="20"/>
        </w:rPr>
        <w:t xml:space="preserve">al and state tax credits for these investments. We consolidate the VIEs in which we have the power to direct the activities that most significantly impact the VIE’s economic performance and where we have the obligation to absorb losses or right to receive </w:t>
      </w:r>
      <w:r>
        <w:rPr>
          <w:rFonts w:eastAsia="Times New Roman"/>
          <w:color w:val="000000"/>
          <w:sz w:val="20"/>
          <w:szCs w:val="20"/>
        </w:rPr>
        <w:t>benefits that could be potentially significant to the VIE. We consolidate other investments and CDEs that are not considered to be VIEs, but where we hold a controlling financial interest. The assets of the VIEs that we consolidated, which totaled approxim</w:t>
      </w:r>
      <w:r>
        <w:rPr>
          <w:rFonts w:eastAsia="Times New Roman"/>
          <w:color w:val="000000"/>
          <w:sz w:val="20"/>
          <w:szCs w:val="20"/>
        </w:rPr>
        <w:t>ately $2.0 billion as of both of March 31, 2021 and December 31, 2020, are reflected on our consolidated balance sheets in cash, loans held for investment, and other assets. The liabilities are reflected in other liabilities. The creditors of the VIEs have</w:t>
      </w:r>
      <w:r>
        <w:rPr>
          <w:rFonts w:eastAsia="Times New Roman"/>
          <w:color w:val="000000"/>
          <w:sz w:val="20"/>
          <w:szCs w:val="20"/>
        </w:rPr>
        <w:t xml:space="preserve"> no recourse to our general credit. We have not provided additional financial or other support other than during the period that we are contractually required to provide it.</w:t>
      </w:r>
    </w:p>
    <w:p w:rsidR="00000000" w:rsidRDefault="00E92DBE">
      <w:pPr>
        <w:jc w:val="both"/>
        <w:divId w:val="771314267"/>
        <w:rPr>
          <w:rFonts w:eastAsia="Times New Roman"/>
        </w:rPr>
      </w:pPr>
      <w:r>
        <w:rPr>
          <w:rFonts w:eastAsia="Times New Roman"/>
          <w:b/>
          <w:bCs/>
          <w:i/>
          <w:iCs/>
          <w:color w:val="000000"/>
          <w:sz w:val="20"/>
          <w:szCs w:val="20"/>
        </w:rPr>
        <w:t>Other</w:t>
      </w:r>
    </w:p>
    <w:p w:rsidR="00000000" w:rsidRDefault="00E92DBE">
      <w:pPr>
        <w:jc w:val="both"/>
        <w:divId w:val="98961262"/>
        <w:rPr>
          <w:rFonts w:eastAsia="Times New Roman"/>
        </w:rPr>
      </w:pPr>
      <w:r>
        <w:rPr>
          <w:rFonts w:eastAsia="Times New Roman"/>
          <w:color w:val="000000"/>
          <w:sz w:val="20"/>
          <w:szCs w:val="20"/>
        </w:rPr>
        <w:t>We hold variable interests in other VIEs, including companies that promote r</w:t>
      </w:r>
      <w:r>
        <w:rPr>
          <w:rFonts w:eastAsia="Times New Roman"/>
          <w:color w:val="000000"/>
          <w:sz w:val="20"/>
          <w:szCs w:val="20"/>
        </w:rPr>
        <w:t>enewable energy sources and other equity method investments. We were not required to consolidate these VIEs because we do not have the power to direct the activities that most significantly impact their economic performance. Our maximum exposure to these V</w:t>
      </w:r>
      <w:r>
        <w:rPr>
          <w:rFonts w:eastAsia="Times New Roman"/>
          <w:color w:val="000000"/>
          <w:sz w:val="20"/>
          <w:szCs w:val="20"/>
        </w:rPr>
        <w:t>IEs is limited to the investments on our consolidated balance sheets of $411 million and $436 million as of March 31, 2021 and December 31, 2020, respectively. The creditors of the other VIEs have no recourse to our general credit. We have not provided add</w:t>
      </w:r>
      <w:r>
        <w:rPr>
          <w:rFonts w:eastAsia="Times New Roman"/>
          <w:color w:val="000000"/>
          <w:sz w:val="20"/>
          <w:szCs w:val="20"/>
        </w:rPr>
        <w:t>itional financial or other support other than during the period that we are contractually required to provide it.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24570649"/>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2124570649"/>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2124570649"/>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91</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16" style="width:0;height:1.5pt" o:hralign="center" o:hrstd="t" o:hr="t" fillcolor="#a0a0a0" stroked="f"/>
        </w:pict>
      </w:r>
    </w:p>
    <w:p w:rsidR="00000000" w:rsidRDefault="00E92DBE">
      <w:pPr>
        <w:jc w:val="both"/>
        <w:divId w:val="137149527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37149527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87736303"/>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98773630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NOTE 6—GOODWILL AND INTANGIBLE ASSETS</w:t>
            </w:r>
          </w:p>
        </w:tc>
      </w:tr>
    </w:tbl>
    <w:p w:rsidR="00000000" w:rsidRDefault="00E92DBE">
      <w:pPr>
        <w:divId w:val="1690721959"/>
        <w:rPr>
          <w:rFonts w:eastAsia="Times New Roman"/>
        </w:rPr>
      </w:pPr>
      <w:r>
        <w:rPr>
          <w:rFonts w:eastAsia="Times New Roman"/>
          <w:color w:val="000000"/>
          <w:sz w:val="20"/>
          <w:szCs w:val="20"/>
        </w:rPr>
        <w:t>The table below presents our goodwill, intangible assets and MSRs as of March 31, 2021 and December 31, 2020. Goodwill is presented separately, while intangible assets and MSRs are included in other assets on our consolidated balance sheets.</w:t>
      </w:r>
    </w:p>
    <w:p w:rsidR="00000000" w:rsidRDefault="00E92DBE">
      <w:pPr>
        <w:divId w:val="1442841186"/>
        <w:rPr>
          <w:rFonts w:eastAsia="Times New Roman"/>
        </w:rPr>
      </w:pPr>
      <w:r>
        <w:rPr>
          <w:rFonts w:eastAsia="Times New Roman"/>
          <w:b/>
          <w:bCs/>
          <w:color w:val="000000"/>
          <w:sz w:val="18"/>
          <w:szCs w:val="18"/>
        </w:rPr>
        <w:t>Table 6.1: Com</w:t>
      </w:r>
      <w:r>
        <w:rPr>
          <w:rFonts w:eastAsia="Times New Roman"/>
          <w:b/>
          <w:bCs/>
          <w:color w:val="000000"/>
          <w:sz w:val="18"/>
          <w:szCs w:val="18"/>
        </w:rPr>
        <w:t>ponents of Goodwill, Intangible Assets and MSRs</w:t>
      </w:r>
    </w:p>
    <w:tbl>
      <w:tblPr>
        <w:tblW w:w="4985" w:type="pct"/>
        <w:tblCellMar>
          <w:top w:w="15" w:type="dxa"/>
          <w:left w:w="15" w:type="dxa"/>
          <w:bottom w:w="15" w:type="dxa"/>
          <w:right w:w="15" w:type="dxa"/>
        </w:tblCellMar>
        <w:tblLook w:val="04A0" w:firstRow="1" w:lastRow="0" w:firstColumn="1" w:lastColumn="0" w:noHBand="0" w:noVBand="1"/>
      </w:tblPr>
      <w:tblGrid>
        <w:gridCol w:w="39"/>
        <w:gridCol w:w="5286"/>
        <w:gridCol w:w="38"/>
        <w:gridCol w:w="36"/>
        <w:gridCol w:w="36"/>
        <w:gridCol w:w="36"/>
        <w:gridCol w:w="111"/>
        <w:gridCol w:w="690"/>
        <w:gridCol w:w="36"/>
        <w:gridCol w:w="36"/>
        <w:gridCol w:w="36"/>
        <w:gridCol w:w="36"/>
        <w:gridCol w:w="111"/>
        <w:gridCol w:w="852"/>
        <w:gridCol w:w="36"/>
        <w:gridCol w:w="36"/>
        <w:gridCol w:w="36"/>
        <w:gridCol w:w="36"/>
        <w:gridCol w:w="110"/>
        <w:gridCol w:w="540"/>
        <w:gridCol w:w="36"/>
        <w:gridCol w:w="36"/>
        <w:gridCol w:w="36"/>
      </w:tblGrid>
      <w:tr w:rsidR="00000000">
        <w:trPr>
          <w:divId w:val="2087141334"/>
        </w:trPr>
        <w:tc>
          <w:tcPr>
            <w:tcW w:w="50" w:type="pct"/>
            <w:vAlign w:val="center"/>
            <w:hideMark/>
          </w:tcPr>
          <w:p w:rsidR="00000000" w:rsidRDefault="00E92DBE">
            <w:pPr>
              <w:rPr>
                <w:rFonts w:eastAsia="Times New Roman"/>
              </w:rPr>
            </w:pPr>
          </w:p>
        </w:tc>
        <w:tc>
          <w:tcPr>
            <w:tcW w:w="33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 Carrying Amount</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14,654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14,654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Intangible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Purchased credit card relationship (“PCCR”) intangibles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shd w:val="clear" w:color="auto" w:fill="FFFFFF"/>
            <w:tcMar>
              <w:top w:w="30" w:type="dxa"/>
              <w:left w:w="20" w:type="dxa"/>
              <w:bottom w:w="30" w:type="dxa"/>
              <w:right w:w="20" w:type="dxa"/>
            </w:tcMar>
            <w:vAlign w:val="center"/>
            <w:hideMark/>
          </w:tcPr>
          <w:p w:rsidR="00000000" w:rsidRDefault="00E92DBE">
            <w:pPr>
              <w:divId w:val="1832595046"/>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intangible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goodwill and intangible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14,985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14,738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shd w:val="clear" w:color="auto" w:fill="CCEEFF"/>
            <w:tcMar>
              <w:top w:w="30" w:type="dxa"/>
              <w:left w:w="20" w:type="dxa"/>
              <w:bottom w:w="30" w:type="dxa"/>
              <w:right w:w="20" w:type="dxa"/>
            </w:tcMar>
            <w:vAlign w:val="center"/>
            <w:hideMark/>
          </w:tcPr>
          <w:p w:rsidR="00000000" w:rsidRDefault="00E92DBE">
            <w:pPr>
              <w:divId w:val="267397688"/>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562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(183)</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379</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Height w:val="28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 Carrying Amount</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Intangible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PCCR intangibles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shd w:val="clear" w:color="auto" w:fill="FFFFFF"/>
            <w:tcMar>
              <w:top w:w="30" w:type="dxa"/>
              <w:left w:w="20" w:type="dxa"/>
              <w:bottom w:w="30" w:type="dxa"/>
              <w:right w:w="20" w:type="dxa"/>
            </w:tcMar>
            <w:vAlign w:val="center"/>
            <w:hideMark/>
          </w:tcPr>
          <w:p w:rsidR="00000000" w:rsidRDefault="00E92DBE">
            <w:pPr>
              <w:divId w:val="913661349"/>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intangible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goodwill and intangible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15,049 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14,743 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2087141334"/>
        </w:trPr>
        <w:tc>
          <w:tcPr>
            <w:tcW w:w="0" w:type="auto"/>
            <w:gridSpan w:val="3"/>
            <w:shd w:val="clear" w:color="auto" w:fill="CCEEFF"/>
            <w:tcMar>
              <w:top w:w="30" w:type="dxa"/>
              <w:left w:w="20" w:type="dxa"/>
              <w:bottom w:w="30" w:type="dxa"/>
              <w:right w:w="20" w:type="dxa"/>
            </w:tcMar>
            <w:vAlign w:val="center"/>
            <w:hideMark/>
          </w:tcPr>
          <w:p w:rsidR="00000000" w:rsidRDefault="00E92DBE">
            <w:pPr>
              <w:divId w:val="429814435"/>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542 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(175)</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367 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r>
    </w:tbl>
    <w:p w:rsidR="00000000" w:rsidRDefault="00E92DBE">
      <w:pPr>
        <w:divId w:val="2117747103"/>
        <w:rPr>
          <w:rFonts w:eastAsia="Times New Roman"/>
        </w:rPr>
      </w:pPr>
      <w:r>
        <w:rPr>
          <w:rFonts w:eastAsia="Times New Roman"/>
          <w:color w:val="000000"/>
          <w:sz w:val="20"/>
          <w:szCs w:val="20"/>
        </w:rPr>
        <w:t>__________</w:t>
      </w:r>
    </w:p>
    <w:p w:rsidR="00000000" w:rsidRDefault="00E92DBE">
      <w:pPr>
        <w:ind w:hanging="360"/>
        <w:jc w:val="both"/>
        <w:divId w:val="37624419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Primarily consists of intangibles for sponsorship, customer and merchant relationships, partnership, trade name and other contract intangibles.</w:t>
      </w:r>
    </w:p>
    <w:p w:rsidR="00000000" w:rsidRDefault="00E92DBE">
      <w:pPr>
        <w:ind w:hanging="360"/>
        <w:jc w:val="both"/>
        <w:divId w:val="35809374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Commercial MSRs are accounted for </w:t>
      </w:r>
      <w:r>
        <w:rPr>
          <w:rFonts w:eastAsia="Times New Roman"/>
          <w:color w:val="000000"/>
          <w:sz w:val="16"/>
          <w:szCs w:val="16"/>
        </w:rPr>
        <w:t xml:space="preserve">under the amortization method on our consolidated balance sheets. </w:t>
      </w:r>
    </w:p>
    <w:p w:rsidR="00000000" w:rsidRDefault="00E92DBE">
      <w:pPr>
        <w:jc w:val="both"/>
        <w:divId w:val="549071586"/>
        <w:rPr>
          <w:rFonts w:eastAsia="Times New Roman"/>
        </w:rPr>
      </w:pPr>
      <w:r>
        <w:rPr>
          <w:rFonts w:eastAsia="Times New Roman"/>
          <w:color w:val="000000"/>
          <w:sz w:val="20"/>
          <w:szCs w:val="20"/>
        </w:rPr>
        <w:t>Amortization expense for amortizable intangible assets, which is presented separately in our consolidated statements of income, totaled $6 million and $22 million of amortization expense fo</w:t>
      </w:r>
      <w:r>
        <w:rPr>
          <w:rFonts w:eastAsia="Times New Roman"/>
          <w:color w:val="000000"/>
          <w:sz w:val="20"/>
          <w:szCs w:val="20"/>
        </w:rPr>
        <w:t>r the three months ended March 31, 2021 and 2020, respectively.</w:t>
      </w:r>
    </w:p>
    <w:p w:rsidR="00000000" w:rsidRDefault="00E92DBE">
      <w:pPr>
        <w:divId w:val="1157041017"/>
        <w:rPr>
          <w:rFonts w:eastAsia="Times New Roman"/>
        </w:rPr>
      </w:pPr>
      <w:r>
        <w:rPr>
          <w:rFonts w:eastAsia="Times New Roman"/>
          <w:b/>
          <w:bCs/>
          <w:color w:val="000000"/>
          <w:sz w:val="20"/>
          <w:szCs w:val="20"/>
        </w:rPr>
        <w:t>Goodwill</w:t>
      </w:r>
    </w:p>
    <w:p w:rsidR="00000000" w:rsidRDefault="00E92DBE">
      <w:pPr>
        <w:divId w:val="435298327"/>
        <w:rPr>
          <w:rFonts w:eastAsia="Times New Roman"/>
        </w:rPr>
      </w:pPr>
      <w:r>
        <w:rPr>
          <w:rFonts w:eastAsia="Times New Roman"/>
          <w:color w:val="000000"/>
          <w:sz w:val="20"/>
          <w:szCs w:val="20"/>
        </w:rPr>
        <w:t>The following table presents changes in carrying amount of goodwill by each of our business segments as of March 31, 2021 and December 31, 2020.</w:t>
      </w:r>
    </w:p>
    <w:p w:rsidR="00000000" w:rsidRDefault="00E92DBE">
      <w:pPr>
        <w:divId w:val="637422449"/>
        <w:rPr>
          <w:rFonts w:eastAsia="Times New Roman"/>
        </w:rPr>
      </w:pPr>
      <w:r>
        <w:rPr>
          <w:rFonts w:eastAsia="Times New Roman"/>
          <w:b/>
          <w:bCs/>
          <w:color w:val="000000"/>
          <w:sz w:val="18"/>
          <w:szCs w:val="18"/>
        </w:rPr>
        <w:t>Table 6.2: Goodwill by Business Segmen</w:t>
      </w:r>
      <w:r>
        <w:rPr>
          <w:rFonts w:eastAsia="Times New Roman"/>
          <w:b/>
          <w:bCs/>
          <w:color w:val="000000"/>
          <w:sz w:val="18"/>
          <w:szCs w:val="18"/>
        </w:rPr>
        <w:t>ts</w:t>
      </w:r>
    </w:p>
    <w:tbl>
      <w:tblPr>
        <w:tblW w:w="4978" w:type="pct"/>
        <w:tblCellMar>
          <w:top w:w="15" w:type="dxa"/>
          <w:left w:w="15" w:type="dxa"/>
          <w:bottom w:w="15" w:type="dxa"/>
          <w:right w:w="15" w:type="dxa"/>
        </w:tblCellMar>
        <w:tblLook w:val="04A0" w:firstRow="1" w:lastRow="0" w:firstColumn="1" w:lastColumn="0" w:noHBand="0" w:noVBand="1"/>
      </w:tblPr>
      <w:tblGrid>
        <w:gridCol w:w="39"/>
        <w:gridCol w:w="4652"/>
        <w:gridCol w:w="38"/>
        <w:gridCol w:w="36"/>
        <w:gridCol w:w="36"/>
        <w:gridCol w:w="36"/>
        <w:gridCol w:w="110"/>
        <w:gridCol w:w="533"/>
        <w:gridCol w:w="36"/>
        <w:gridCol w:w="36"/>
        <w:gridCol w:w="36"/>
        <w:gridCol w:w="36"/>
        <w:gridCol w:w="111"/>
        <w:gridCol w:w="666"/>
        <w:gridCol w:w="36"/>
        <w:gridCol w:w="36"/>
        <w:gridCol w:w="36"/>
        <w:gridCol w:w="36"/>
        <w:gridCol w:w="111"/>
        <w:gridCol w:w="783"/>
        <w:gridCol w:w="36"/>
        <w:gridCol w:w="36"/>
        <w:gridCol w:w="36"/>
        <w:gridCol w:w="36"/>
        <w:gridCol w:w="110"/>
        <w:gridCol w:w="540"/>
        <w:gridCol w:w="36"/>
      </w:tblGrid>
      <w:tr w:rsidR="00000000">
        <w:trPr>
          <w:divId w:val="324405058"/>
        </w:trPr>
        <w:tc>
          <w:tcPr>
            <w:tcW w:w="50" w:type="pct"/>
            <w:vAlign w:val="center"/>
            <w:hideMark/>
          </w:tcPr>
          <w:p w:rsidR="00000000" w:rsidRDefault="00E92DBE">
            <w:pPr>
              <w:rPr>
                <w:rFonts w:eastAsia="Times New Roman"/>
              </w:rPr>
            </w:pPr>
          </w:p>
        </w:tc>
        <w:tc>
          <w:tcPr>
            <w:tcW w:w="288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324405058"/>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Consumer Banking</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Commercial Banking</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p>
        </w:tc>
      </w:tr>
      <w:tr w:rsidR="00000000">
        <w:trPr>
          <w:divId w:val="324405058"/>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2440505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2440505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2440505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2440505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2440505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2440505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2440505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2440505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4,920 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24405058"/>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2440505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24405058"/>
        </w:trPr>
        <w:tc>
          <w:tcPr>
            <w:tcW w:w="0" w:type="auto"/>
            <w:gridSpan w:val="3"/>
            <w:shd w:val="clear" w:color="auto" w:fill="FFFFFF"/>
            <w:tcMar>
              <w:top w:w="30" w:type="dxa"/>
              <w:left w:w="20" w:type="dxa"/>
              <w:bottom w:w="30" w:type="dxa"/>
              <w:right w:w="20" w:type="dxa"/>
            </w:tcMar>
            <w:vAlign w:val="center"/>
            <w:hideMark/>
          </w:tcPr>
          <w:p w:rsidR="00000000" w:rsidRDefault="00E92DBE">
            <w:pPr>
              <w:divId w:val="1021859020"/>
              <w:rPr>
                <w:rFonts w:eastAsia="Times New Roman"/>
              </w:rPr>
            </w:pPr>
            <w:r>
              <w:rPr>
                <w:rFonts w:eastAsia="Times New Roman"/>
                <w:color w:val="000000"/>
                <w:sz w:val="18"/>
                <w:szCs w:val="18"/>
              </w:rPr>
              <w:t>Other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32440505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4,645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4,920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14,654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30808867"/>
        <w:rPr>
          <w:rFonts w:eastAsia="Times New Roman"/>
        </w:rPr>
      </w:pPr>
      <w:r>
        <w:rPr>
          <w:rFonts w:eastAsia="Times New Roman"/>
          <w:color w:val="000000"/>
          <w:sz w:val="20"/>
          <w:szCs w:val="20"/>
        </w:rPr>
        <w:t>__________</w:t>
      </w:r>
    </w:p>
    <w:p w:rsidR="00000000" w:rsidRDefault="00E92DBE">
      <w:pPr>
        <w:ind w:hanging="360"/>
        <w:jc w:val="both"/>
        <w:divId w:val="60007170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foreign currency translation adjustments.</w:t>
      </w:r>
    </w:p>
    <w:tbl>
      <w:tblPr>
        <w:tblW w:w="4992" w:type="pct"/>
        <w:tblCellMar>
          <w:top w:w="15" w:type="dxa"/>
          <w:left w:w="15" w:type="dxa"/>
          <w:bottom w:w="15" w:type="dxa"/>
          <w:right w:w="15" w:type="dxa"/>
        </w:tblCellMar>
        <w:tblLook w:val="04A0" w:firstRow="1" w:lastRow="0" w:firstColumn="1" w:lastColumn="0" w:noHBand="0" w:noVBand="1"/>
      </w:tblPr>
      <w:tblGrid>
        <w:gridCol w:w="61"/>
        <w:gridCol w:w="7282"/>
        <w:gridCol w:w="36"/>
        <w:gridCol w:w="36"/>
        <w:gridCol w:w="36"/>
        <w:gridCol w:w="36"/>
        <w:gridCol w:w="46"/>
        <w:gridCol w:w="724"/>
        <w:gridCol w:w="36"/>
      </w:tblGrid>
      <w:tr w:rsidR="00000000">
        <w:trPr>
          <w:divId w:val="1161968159"/>
        </w:trPr>
        <w:tc>
          <w:tcPr>
            <w:tcW w:w="50" w:type="pct"/>
            <w:vAlign w:val="center"/>
            <w:hideMark/>
          </w:tcPr>
          <w:p w:rsidR="00000000" w:rsidRDefault="00E92DBE">
            <w:pPr>
              <w:ind w:hanging="360"/>
              <w:jc w:val="both"/>
              <w:rPr>
                <w:rFonts w:eastAsia="Times New Roman"/>
              </w:rPr>
            </w:pPr>
          </w:p>
        </w:tc>
        <w:tc>
          <w:tcPr>
            <w:tcW w:w="440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161968159"/>
          <w:trHeight w:val="60"/>
        </w:trPr>
        <w:tc>
          <w:tcPr>
            <w:tcW w:w="0" w:type="auto"/>
            <w:gridSpan w:val="9"/>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161968159"/>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161968159"/>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161968159"/>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161968159"/>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161968159"/>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161968159"/>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161968159"/>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161968159"/>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161968159"/>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161968159"/>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161968159"/>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161968159"/>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161968159"/>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92</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17" style="width:0;height:1.5pt" o:hralign="center" o:hrstd="t" o:hr="t" fillcolor="#a0a0a0" stroked="f"/>
        </w:pict>
      </w:r>
    </w:p>
    <w:p w:rsidR="00000000" w:rsidRDefault="00E92DBE">
      <w:pPr>
        <w:jc w:val="both"/>
        <w:divId w:val="610942713"/>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61094271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438062159"/>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43806215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NOTE 7—DEPOSITS AND BORROWINGS</w:t>
            </w:r>
          </w:p>
        </w:tc>
      </w:tr>
    </w:tbl>
    <w:p w:rsidR="00000000" w:rsidRDefault="00E92DBE">
      <w:pPr>
        <w:jc w:val="both"/>
        <w:divId w:val="1775327135"/>
        <w:rPr>
          <w:rFonts w:eastAsia="Times New Roman"/>
        </w:rPr>
      </w:pPr>
      <w:r>
        <w:rPr>
          <w:rFonts w:eastAsia="Times New Roman"/>
          <w:color w:val="000000"/>
          <w:sz w:val="20"/>
          <w:szCs w:val="20"/>
        </w:rPr>
        <w:t xml:space="preserve">Our deposits represent our largest source of funding for our assets and operations, which include checking accounts, money market deposits, negotiable order of withdrawals, savings deposits and time deposits. We also use a variety of other funding sources </w:t>
      </w:r>
      <w:r>
        <w:rPr>
          <w:rFonts w:eastAsia="Times New Roman"/>
          <w:color w:val="000000"/>
          <w:sz w:val="20"/>
          <w:szCs w:val="20"/>
        </w:rPr>
        <w:t>including short-term borrowings, senior and subordinated notes, securitized debt obligations and other borrowings. Securitized debt obligations are presented separately on our consolidated balance sheets, as they represent obligations of consolidated secur</w:t>
      </w:r>
      <w:r>
        <w:rPr>
          <w:rFonts w:eastAsia="Times New Roman"/>
          <w:color w:val="000000"/>
          <w:sz w:val="20"/>
          <w:szCs w:val="20"/>
        </w:rPr>
        <w:t>itization trusts, while federal funds purchased and securities loaned or sold under agreements to repurchase, senior and subordinated notes and other borrowings, including FHLB advances, are included in other debt on our consolidated balance sheets.</w:t>
      </w:r>
    </w:p>
    <w:p w:rsidR="00000000" w:rsidRDefault="00E92DBE">
      <w:pPr>
        <w:jc w:val="both"/>
        <w:divId w:val="336007745"/>
        <w:rPr>
          <w:rFonts w:eastAsia="Times New Roman"/>
        </w:rPr>
      </w:pPr>
      <w:r>
        <w:rPr>
          <w:rFonts w:eastAsia="Times New Roman"/>
          <w:color w:val="000000"/>
          <w:sz w:val="20"/>
          <w:szCs w:val="20"/>
        </w:rPr>
        <w:t>Our to</w:t>
      </w:r>
      <w:r>
        <w:rPr>
          <w:rFonts w:eastAsia="Times New Roman"/>
          <w:color w:val="000000"/>
          <w:sz w:val="20"/>
          <w:szCs w:val="20"/>
        </w:rPr>
        <w:t>tal short-term borrowings generally consist of federal funds purchased and securities loaned or sold under agreements to repurchase. Our long-term debt consists of borrowings with an original contractual maturity of greater than one year. The following tab</w:t>
      </w:r>
      <w:r>
        <w:rPr>
          <w:rFonts w:eastAsia="Times New Roman"/>
          <w:color w:val="000000"/>
          <w:sz w:val="20"/>
          <w:szCs w:val="20"/>
        </w:rPr>
        <w:t>les summarize the components of our deposits, short-term borrowings and long-term debt as of March 31, 2021 and December 31, 2020. The carrying value presented below for these borrowings includes unamortized debt premiums and discounts, net of debt issuanc</w:t>
      </w:r>
      <w:r>
        <w:rPr>
          <w:rFonts w:eastAsia="Times New Roman"/>
          <w:color w:val="000000"/>
          <w:sz w:val="20"/>
          <w:szCs w:val="20"/>
        </w:rPr>
        <w:t>e costs and fair value hedge accounting adjustments.</w:t>
      </w:r>
    </w:p>
    <w:p w:rsidR="00000000" w:rsidRDefault="00E92DBE">
      <w:pPr>
        <w:divId w:val="1105541783"/>
        <w:rPr>
          <w:rFonts w:eastAsia="Times New Roman"/>
        </w:rPr>
      </w:pPr>
      <w:r>
        <w:rPr>
          <w:rFonts w:eastAsia="Times New Roman"/>
          <w:b/>
          <w:bCs/>
          <w:color w:val="000000"/>
          <w:sz w:val="18"/>
          <w:szCs w:val="18"/>
        </w:rPr>
        <w:t>Table 7.1: Components of Deposits, Short-Term Borrowings and Long-Term Debt</w:t>
      </w:r>
    </w:p>
    <w:tbl>
      <w:tblPr>
        <w:tblW w:w="5000" w:type="pct"/>
        <w:tblCellMar>
          <w:top w:w="15" w:type="dxa"/>
          <w:left w:w="15" w:type="dxa"/>
          <w:bottom w:w="15" w:type="dxa"/>
          <w:right w:w="15" w:type="dxa"/>
        </w:tblCellMar>
        <w:tblLook w:val="04A0" w:firstRow="1" w:lastRow="0" w:firstColumn="1" w:lastColumn="0" w:noHBand="0" w:noVBand="1"/>
      </w:tblPr>
      <w:tblGrid>
        <w:gridCol w:w="41"/>
        <w:gridCol w:w="6269"/>
        <w:gridCol w:w="40"/>
        <w:gridCol w:w="36"/>
        <w:gridCol w:w="36"/>
        <w:gridCol w:w="36"/>
        <w:gridCol w:w="110"/>
        <w:gridCol w:w="742"/>
        <w:gridCol w:w="36"/>
        <w:gridCol w:w="36"/>
        <w:gridCol w:w="36"/>
        <w:gridCol w:w="36"/>
        <w:gridCol w:w="110"/>
        <w:gridCol w:w="706"/>
        <w:gridCol w:w="36"/>
      </w:tblGrid>
      <w:tr w:rsidR="00000000">
        <w:trPr>
          <w:divId w:val="708727406"/>
        </w:trPr>
        <w:tc>
          <w:tcPr>
            <w:tcW w:w="50" w:type="pct"/>
            <w:vAlign w:val="center"/>
            <w:hideMark/>
          </w:tcPr>
          <w:p w:rsidR="00000000" w:rsidRDefault="00E92DBE">
            <w:pPr>
              <w:rPr>
                <w:rFonts w:eastAsia="Times New Roman"/>
              </w:rPr>
            </w:pPr>
          </w:p>
        </w:tc>
        <w:tc>
          <w:tcPr>
            <w:tcW w:w="37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708727406"/>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7087274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70872740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34,003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31,142 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08727406"/>
        </w:trPr>
        <w:tc>
          <w:tcPr>
            <w:tcW w:w="0" w:type="auto"/>
            <w:gridSpan w:val="3"/>
            <w:shd w:val="clear" w:color="auto" w:fill="CCEEFF"/>
            <w:tcMar>
              <w:top w:w="30" w:type="dxa"/>
              <w:left w:w="20" w:type="dxa"/>
              <w:bottom w:w="30" w:type="dxa"/>
              <w:right w:w="20" w:type="dxa"/>
            </w:tcMar>
            <w:vAlign w:val="center"/>
            <w:hideMark/>
          </w:tcPr>
          <w:p w:rsidR="00000000" w:rsidRDefault="00E92DBE">
            <w:pPr>
              <w:divId w:val="1479103943"/>
              <w:rPr>
                <w:rFonts w:eastAsia="Times New Roman"/>
              </w:rPr>
            </w:pPr>
            <w:r>
              <w:rPr>
                <w:rFonts w:eastAsia="Times New Roman"/>
                <w:color w:val="000000"/>
                <w:sz w:val="18"/>
                <w:szCs w:val="18"/>
              </w:rPr>
              <w:t>Interest-bearing deposit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276,325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274,300 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08727406"/>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310,328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305,442 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0872740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Short-term borrowings: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70872740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842</w:t>
            </w: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708727406"/>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8727406"/>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short-term borrowings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842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3089"/>
        <w:gridCol w:w="40"/>
        <w:gridCol w:w="36"/>
        <w:gridCol w:w="36"/>
        <w:gridCol w:w="36"/>
        <w:gridCol w:w="61"/>
        <w:gridCol w:w="689"/>
        <w:gridCol w:w="36"/>
        <w:gridCol w:w="36"/>
        <w:gridCol w:w="36"/>
        <w:gridCol w:w="36"/>
        <w:gridCol w:w="75"/>
        <w:gridCol w:w="914"/>
        <w:gridCol w:w="36"/>
        <w:gridCol w:w="36"/>
        <w:gridCol w:w="36"/>
        <w:gridCol w:w="36"/>
        <w:gridCol w:w="86"/>
        <w:gridCol w:w="839"/>
        <w:gridCol w:w="200"/>
        <w:gridCol w:w="36"/>
        <w:gridCol w:w="36"/>
        <w:gridCol w:w="36"/>
        <w:gridCol w:w="110"/>
        <w:gridCol w:w="645"/>
        <w:gridCol w:w="36"/>
        <w:gridCol w:w="36"/>
        <w:gridCol w:w="36"/>
        <w:gridCol w:w="36"/>
        <w:gridCol w:w="111"/>
        <w:gridCol w:w="722"/>
        <w:gridCol w:w="36"/>
      </w:tblGrid>
      <w:tr w:rsidR="00000000">
        <w:trPr>
          <w:divId w:val="1304434236"/>
        </w:trPr>
        <w:tc>
          <w:tcPr>
            <w:tcW w:w="50" w:type="pct"/>
            <w:vAlign w:val="center"/>
            <w:hideMark/>
          </w:tcPr>
          <w:p w:rsidR="00000000" w:rsidRDefault="00E92DBE">
            <w:pPr>
              <w:jc w:val="both"/>
              <w:rPr>
                <w:rFonts w:eastAsia="Times New Roman"/>
              </w:rPr>
            </w:pPr>
          </w:p>
        </w:tc>
        <w:tc>
          <w:tcPr>
            <w:tcW w:w="189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304434236"/>
        </w:trPr>
        <w:tc>
          <w:tcPr>
            <w:tcW w:w="0" w:type="auto"/>
            <w:gridSpan w:val="3"/>
            <w:tcMar>
              <w:top w:w="30" w:type="dxa"/>
              <w:left w:w="515"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21"/>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1304434236"/>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Maturity Dates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Stated Interest Rates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Weighted-Average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Value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Value</w:t>
            </w:r>
          </w:p>
        </w:tc>
      </w:tr>
      <w:tr w:rsidR="00000000">
        <w:trPr>
          <w:divId w:val="130443423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04434236"/>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2021-2026</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0.46% - 3.01%</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12,071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12,414 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0443423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04434236"/>
        </w:trPr>
        <w:tc>
          <w:tcPr>
            <w:tcW w:w="0" w:type="auto"/>
            <w:gridSpan w:val="3"/>
            <w:shd w:val="clear" w:color="auto" w:fill="FFFFFF"/>
            <w:tcMar>
              <w:top w:w="30" w:type="dxa"/>
              <w:left w:w="20" w:type="dxa"/>
              <w:bottom w:w="30" w:type="dxa"/>
              <w:right w:w="20" w:type="dxa"/>
            </w:tcMar>
            <w:vAlign w:val="center"/>
            <w:hideMark/>
          </w:tcPr>
          <w:p w:rsidR="00000000" w:rsidRDefault="00E92DBE">
            <w:pPr>
              <w:divId w:val="1850825377"/>
              <w:rPr>
                <w:rFonts w:eastAsia="Times New Roman"/>
              </w:rPr>
            </w:pPr>
            <w:r>
              <w:rPr>
                <w:rFonts w:eastAsia="Times New Roman"/>
                <w:color w:val="000000"/>
                <w:sz w:val="18"/>
                <w:szCs w:val="18"/>
              </w:rPr>
              <w:t>Fixed unsecured senior deb</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2021-2029</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0.80 - 4.75</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19,478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21,045 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04434236"/>
        </w:trPr>
        <w:tc>
          <w:tcPr>
            <w:tcW w:w="0" w:type="auto"/>
            <w:gridSpan w:val="3"/>
            <w:shd w:val="clear" w:color="auto" w:fill="CCEEFF"/>
            <w:tcMar>
              <w:top w:w="30" w:type="dxa"/>
              <w:left w:w="51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Floating unsecured senior debt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2022-2023</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0.93 - 1.36</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1,609 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04434236"/>
        </w:trPr>
        <w:tc>
          <w:tcPr>
            <w:tcW w:w="0" w:type="auto"/>
            <w:gridSpan w:val="15"/>
            <w:shd w:val="clear" w:color="auto" w:fill="FFFFFF"/>
            <w:tcMar>
              <w:top w:w="30" w:type="dxa"/>
              <w:left w:w="605"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unsecured senior debt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20,837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22,654 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04434236"/>
        </w:trPr>
        <w:tc>
          <w:tcPr>
            <w:tcW w:w="0" w:type="auto"/>
            <w:gridSpan w:val="3"/>
            <w:shd w:val="clear" w:color="auto" w:fill="CCEEFF"/>
            <w:tcMar>
              <w:top w:w="30" w:type="dxa"/>
              <w:left w:w="51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Fixed unsecured subordinated debt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2023-2026</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3.38 - 4.20</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4,630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4,728 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04434236"/>
        </w:trPr>
        <w:tc>
          <w:tcPr>
            <w:tcW w:w="0" w:type="auto"/>
            <w:gridSpan w:val="21"/>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25,467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27,382 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04434236"/>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long-term borrowings: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0443423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04434236"/>
        </w:trPr>
        <w:tc>
          <w:tcPr>
            <w:tcW w:w="0" w:type="auto"/>
            <w:gridSpan w:val="3"/>
            <w:shd w:val="clear" w:color="auto" w:fill="FFFFFF"/>
            <w:tcMar>
              <w:top w:w="30" w:type="dxa"/>
              <w:left w:w="51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Finance lease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2021-2031</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0.26 - 9.91</w:t>
            </w: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04434236"/>
        </w:trPr>
        <w:tc>
          <w:tcPr>
            <w:tcW w:w="0" w:type="auto"/>
            <w:gridSpan w:val="21"/>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other long-term borrowings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04434236"/>
        </w:trPr>
        <w:tc>
          <w:tcPr>
            <w:tcW w:w="0" w:type="auto"/>
            <w:gridSpan w:val="21"/>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long-term debt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37,608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39,871 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304434236"/>
        </w:trPr>
        <w:tc>
          <w:tcPr>
            <w:tcW w:w="0" w:type="auto"/>
            <w:gridSpan w:val="21"/>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short-term borrowings and long-term debt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38,450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40,539 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298844337"/>
        <w:rPr>
          <w:rFonts w:eastAsia="Times New Roman"/>
        </w:rPr>
      </w:pPr>
      <w:r>
        <w:rPr>
          <w:rFonts w:eastAsia="Times New Roman"/>
          <w:color w:val="000000"/>
          <w:sz w:val="20"/>
          <w:szCs w:val="20"/>
        </w:rPr>
        <w:t>__________</w:t>
      </w:r>
    </w:p>
    <w:p w:rsidR="00000000" w:rsidRDefault="00E92DBE">
      <w:pPr>
        <w:ind w:hanging="360"/>
        <w:jc w:val="both"/>
        <w:divId w:val="12997819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$3.0 billion and $4.2 </w:t>
      </w:r>
      <w:r>
        <w:rPr>
          <w:rFonts w:eastAsia="Times New Roman"/>
          <w:color w:val="000000"/>
          <w:sz w:val="16"/>
          <w:szCs w:val="16"/>
        </w:rPr>
        <w:t>billion of time deposits in denominations in excess of the $250,000 federal insurance limit as of March 31, 2021 and December 31, 2020, respectively.</w:t>
      </w:r>
    </w:p>
    <w:p w:rsidR="00000000" w:rsidRDefault="00E92DBE">
      <w:pPr>
        <w:ind w:hanging="360"/>
        <w:jc w:val="both"/>
        <w:divId w:val="210819368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$1.5 billion and $1.6 billion of EUR-denominated unsecured notes as of March 31, 2021</w:t>
      </w:r>
      <w:r>
        <w:rPr>
          <w:rFonts w:eastAsia="Times New Roman"/>
          <w:color w:val="000000"/>
          <w:sz w:val="20"/>
          <w:szCs w:val="20"/>
        </w:rPr>
        <w:t xml:space="preserve"> </w:t>
      </w:r>
      <w:r>
        <w:rPr>
          <w:rFonts w:eastAsia="Times New Roman"/>
          <w:color w:val="000000"/>
          <w:sz w:val="16"/>
          <w:szCs w:val="16"/>
        </w:rPr>
        <w:t>and</w:t>
      </w:r>
      <w:r>
        <w:rPr>
          <w:rFonts w:eastAsia="Times New Roman"/>
          <w:color w:val="000000"/>
          <w:sz w:val="20"/>
          <w:szCs w:val="20"/>
        </w:rPr>
        <w:t xml:space="preserve"> </w:t>
      </w:r>
      <w:r>
        <w:rPr>
          <w:rFonts w:eastAsia="Times New Roman"/>
          <w:color w:val="000000"/>
          <w:sz w:val="16"/>
          <w:szCs w:val="16"/>
        </w:rPr>
        <w:t>Dece</w:t>
      </w:r>
      <w:r>
        <w:rPr>
          <w:rFonts w:eastAsia="Times New Roman"/>
          <w:color w:val="000000"/>
          <w:sz w:val="16"/>
          <w:szCs w:val="16"/>
        </w:rPr>
        <w:t>mber 31, 2020, respectively.</w:t>
      </w:r>
    </w:p>
    <w:tbl>
      <w:tblPr>
        <w:tblW w:w="4963" w:type="pct"/>
        <w:tblCellMar>
          <w:top w:w="15" w:type="dxa"/>
          <w:left w:w="15" w:type="dxa"/>
          <w:bottom w:w="15" w:type="dxa"/>
          <w:right w:w="15" w:type="dxa"/>
        </w:tblCellMar>
        <w:tblLook w:val="04A0" w:firstRow="1" w:lastRow="0" w:firstColumn="1" w:lastColumn="0" w:noHBand="0" w:noVBand="1"/>
      </w:tblPr>
      <w:tblGrid>
        <w:gridCol w:w="55"/>
        <w:gridCol w:w="2864"/>
        <w:gridCol w:w="36"/>
        <w:gridCol w:w="36"/>
        <w:gridCol w:w="36"/>
        <w:gridCol w:w="36"/>
        <w:gridCol w:w="36"/>
        <w:gridCol w:w="574"/>
        <w:gridCol w:w="36"/>
        <w:gridCol w:w="36"/>
        <w:gridCol w:w="36"/>
        <w:gridCol w:w="36"/>
        <w:gridCol w:w="36"/>
        <w:gridCol w:w="574"/>
        <w:gridCol w:w="36"/>
        <w:gridCol w:w="36"/>
        <w:gridCol w:w="36"/>
        <w:gridCol w:w="36"/>
        <w:gridCol w:w="36"/>
        <w:gridCol w:w="574"/>
        <w:gridCol w:w="36"/>
        <w:gridCol w:w="36"/>
        <w:gridCol w:w="36"/>
        <w:gridCol w:w="36"/>
        <w:gridCol w:w="36"/>
        <w:gridCol w:w="575"/>
        <w:gridCol w:w="36"/>
        <w:gridCol w:w="36"/>
        <w:gridCol w:w="36"/>
        <w:gridCol w:w="36"/>
        <w:gridCol w:w="37"/>
        <w:gridCol w:w="576"/>
        <w:gridCol w:w="36"/>
        <w:gridCol w:w="36"/>
        <w:gridCol w:w="36"/>
        <w:gridCol w:w="36"/>
        <w:gridCol w:w="37"/>
        <w:gridCol w:w="576"/>
        <w:gridCol w:w="36"/>
        <w:gridCol w:w="36"/>
        <w:gridCol w:w="36"/>
        <w:gridCol w:w="36"/>
        <w:gridCol w:w="37"/>
        <w:gridCol w:w="578"/>
        <w:gridCol w:w="36"/>
      </w:tblGrid>
      <w:tr w:rsidR="00000000">
        <w:trPr>
          <w:divId w:val="1427462221"/>
        </w:trPr>
        <w:tc>
          <w:tcPr>
            <w:tcW w:w="50" w:type="pct"/>
            <w:vAlign w:val="center"/>
            <w:hideMark/>
          </w:tcPr>
          <w:p w:rsidR="00000000" w:rsidRDefault="00E92DBE">
            <w:pPr>
              <w:ind w:hanging="360"/>
              <w:jc w:val="both"/>
              <w:rPr>
                <w:rFonts w:eastAsia="Times New Roman"/>
              </w:rPr>
            </w:pPr>
          </w:p>
        </w:tc>
        <w:tc>
          <w:tcPr>
            <w:tcW w:w="174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427462221"/>
          <w:trHeight w:val="60"/>
        </w:trPr>
        <w:tc>
          <w:tcPr>
            <w:tcW w:w="0" w:type="auto"/>
            <w:gridSpan w:val="45"/>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42746222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2746222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2746222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2746222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2746222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2746222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42746222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93</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18" style="width:0;height:1.5pt" o:hralign="center" o:hrstd="t" o:hr="t" fillcolor="#a0a0a0" stroked="f"/>
        </w:pict>
      </w:r>
    </w:p>
    <w:p w:rsidR="00000000" w:rsidRDefault="00E92DBE">
      <w:pPr>
        <w:jc w:val="both"/>
        <w:divId w:val="1606882192"/>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60688219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13714467"/>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81371446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NOTE 8—DERIVATIVE INSTRUMENTS AND HEDGING ACTIVITIES</w:t>
            </w:r>
          </w:p>
        </w:tc>
      </w:tr>
    </w:tbl>
    <w:p w:rsidR="00000000" w:rsidRDefault="00E92DBE">
      <w:pPr>
        <w:divId w:val="1213925695"/>
        <w:rPr>
          <w:rFonts w:eastAsia="Times New Roman"/>
        </w:rPr>
      </w:pPr>
      <w:r>
        <w:rPr>
          <w:rFonts w:eastAsia="Times New Roman"/>
          <w:b/>
          <w:bCs/>
          <w:color w:val="000000"/>
          <w:sz w:val="20"/>
          <w:szCs w:val="20"/>
        </w:rPr>
        <w:t>Use of Derivatives and Accounting for Derivatives</w:t>
      </w:r>
    </w:p>
    <w:p w:rsidR="00000000" w:rsidRDefault="00E92DBE">
      <w:pPr>
        <w:jc w:val="both"/>
        <w:divId w:val="928974034"/>
        <w:rPr>
          <w:rFonts w:eastAsia="Times New Roman"/>
        </w:rPr>
      </w:pPr>
      <w:r>
        <w:rPr>
          <w:rFonts w:eastAsia="Times New Roman"/>
          <w:color w:val="000000"/>
          <w:sz w:val="20"/>
          <w:szCs w:val="20"/>
        </w:rPr>
        <w:t>We regularly enter into derivative transactions to support our overall risk management activities. Our primary market risks stem from the impact on our earnings and economic value of equity due to changes i</w:t>
      </w:r>
      <w:r>
        <w:rPr>
          <w:rFonts w:eastAsia="Times New Roman"/>
          <w:color w:val="000000"/>
          <w:sz w:val="20"/>
          <w:szCs w:val="20"/>
        </w:rPr>
        <w:t>n interest rates and, to a lesser extent, changes in foreign exchange rates. We manage our interest rate sensitivity by employing several techniques, which include changing the duration and re-pricing characteristics of various assets and liabilities by us</w:t>
      </w:r>
      <w:r>
        <w:rPr>
          <w:rFonts w:eastAsia="Times New Roman"/>
          <w:color w:val="000000"/>
          <w:sz w:val="20"/>
          <w:szCs w:val="20"/>
        </w:rPr>
        <w:t>ing interest rate derivatives. We also use foreign currency derivatives to limit our earnings and capital exposures to foreign exchange risk by hedging exposures denominated in foreign currencies. We primarily use interest rate and foreign currency derivat</w:t>
      </w:r>
      <w:r>
        <w:rPr>
          <w:rFonts w:eastAsia="Times New Roman"/>
          <w:color w:val="000000"/>
          <w:sz w:val="20"/>
          <w:szCs w:val="20"/>
        </w:rPr>
        <w:t>ives to hedge, but we may also use a variety of other derivative instruments, including caps, floors, options, futures and forward contracts, to manage our interest rate and foreign exchange risks. We designate these risk management derivatives as either q</w:t>
      </w:r>
      <w:r>
        <w:rPr>
          <w:rFonts w:eastAsia="Times New Roman"/>
          <w:color w:val="000000"/>
          <w:sz w:val="20"/>
          <w:szCs w:val="20"/>
        </w:rPr>
        <w:t>ualifying accounting hedges or free-standing derivatives. Qualifying accounting hedges are further designated as fair value hedges, cash flow hedges or net investment hedges. Free-standing derivatives are economic hedges that do not qualify for hedge accou</w:t>
      </w:r>
      <w:r>
        <w:rPr>
          <w:rFonts w:eastAsia="Times New Roman"/>
          <w:color w:val="000000"/>
          <w:sz w:val="20"/>
          <w:szCs w:val="20"/>
        </w:rPr>
        <w:t xml:space="preserve">nting. </w:t>
      </w:r>
    </w:p>
    <w:p w:rsidR="00000000" w:rsidRDefault="00E92DBE">
      <w:pPr>
        <w:jc w:val="both"/>
        <w:divId w:val="117380765"/>
        <w:rPr>
          <w:rFonts w:eastAsia="Times New Roman"/>
        </w:rPr>
      </w:pPr>
      <w:r>
        <w:rPr>
          <w:rFonts w:eastAsia="Times New Roman"/>
          <w:color w:val="000000"/>
          <w:sz w:val="20"/>
          <w:szCs w:val="20"/>
        </w:rPr>
        <w:t>We also offer interest rate, commodity, foreign currency derivatives and other contracts as an accommodation to our customers within our Commercial Banking business. We enter into these derivatives with our customers primarily to help them manage t</w:t>
      </w:r>
      <w:r>
        <w:rPr>
          <w:rFonts w:eastAsia="Times New Roman"/>
          <w:color w:val="000000"/>
          <w:sz w:val="20"/>
          <w:szCs w:val="20"/>
        </w:rPr>
        <w:t xml:space="preserve">heir interest rate risks, hedge their energy and other commodities exposures, and manage foreign currency fluctuations. We then enter into derivative contracts with counterparties to economically hedge substantially all of our subsequent exposures. </w:t>
      </w:r>
    </w:p>
    <w:p w:rsidR="00000000" w:rsidRDefault="00E92DBE">
      <w:pPr>
        <w:jc w:val="both"/>
        <w:divId w:val="35739913"/>
        <w:rPr>
          <w:rFonts w:eastAsia="Times New Roman"/>
        </w:rPr>
      </w:pPr>
      <w:r>
        <w:rPr>
          <w:rFonts w:eastAsia="Times New Roman"/>
          <w:color w:val="000000"/>
          <w:sz w:val="20"/>
          <w:szCs w:val="20"/>
        </w:rPr>
        <w:t>See be</w:t>
      </w:r>
      <w:r>
        <w:rPr>
          <w:rFonts w:eastAsia="Times New Roman"/>
          <w:color w:val="000000"/>
          <w:sz w:val="20"/>
          <w:szCs w:val="20"/>
        </w:rPr>
        <w:t>low for additional information on our use of derivatives and how we account for them:</w:t>
      </w:r>
    </w:p>
    <w:p w:rsidR="00000000" w:rsidRDefault="00E92DBE">
      <w:pPr>
        <w:ind w:hanging="360"/>
        <w:jc w:val="both"/>
        <w:divId w:val="1205173587"/>
        <w:rPr>
          <w:rFonts w:eastAsia="Times New Roman"/>
        </w:rPr>
      </w:pPr>
      <w:r>
        <w:rPr>
          <w:rFonts w:eastAsia="Times New Roman"/>
          <w:i/>
          <w:iCs/>
          <w:color w:val="000000"/>
          <w:sz w:val="20"/>
          <w:szCs w:val="20"/>
        </w:rPr>
        <w:t>•Fair Value Hedges:</w:t>
      </w:r>
      <w:r>
        <w:rPr>
          <w:rFonts w:eastAsia="Times New Roman"/>
          <w:color w:val="000000"/>
          <w:sz w:val="20"/>
          <w:szCs w:val="20"/>
        </w:rPr>
        <w:t xml:space="preserve"> We designate derivatives as fair value hedges when they are used to manage our exposure to changes in the fair value of certain financial assets and l</w:t>
      </w:r>
      <w:r>
        <w:rPr>
          <w:rFonts w:eastAsia="Times New Roman"/>
          <w:color w:val="000000"/>
          <w:sz w:val="20"/>
          <w:szCs w:val="20"/>
        </w:rPr>
        <w:t>iabilities, which fluctuate in value as a result of movements in interest rates. Changes in the fair value of derivatives designated as fair value hedges are presented in the same line item in our consolidated statements of income as the earnings effect of</w:t>
      </w:r>
      <w:r>
        <w:rPr>
          <w:rFonts w:eastAsia="Times New Roman"/>
          <w:color w:val="000000"/>
          <w:sz w:val="20"/>
          <w:szCs w:val="20"/>
        </w:rPr>
        <w:t xml:space="preserve"> the hedged items. Our fair value hedges primarily consist of interest rate swaps that are intended to modify our exposure to interest rate risk on various fixed-rate financial assets and liabilities.</w:t>
      </w:r>
    </w:p>
    <w:p w:rsidR="00000000" w:rsidRDefault="00E92DBE">
      <w:pPr>
        <w:ind w:hanging="360"/>
        <w:jc w:val="both"/>
        <w:divId w:val="176693825"/>
        <w:rPr>
          <w:rFonts w:eastAsia="Times New Roman"/>
        </w:rPr>
      </w:pPr>
      <w:r>
        <w:rPr>
          <w:rFonts w:eastAsia="Times New Roman"/>
          <w:i/>
          <w:iCs/>
          <w:color w:val="000000"/>
          <w:sz w:val="20"/>
          <w:szCs w:val="20"/>
        </w:rPr>
        <w:t>•Cash Flow Hedges:</w:t>
      </w:r>
      <w:r>
        <w:rPr>
          <w:rFonts w:eastAsia="Times New Roman"/>
          <w:color w:val="000000"/>
          <w:sz w:val="20"/>
          <w:szCs w:val="20"/>
        </w:rPr>
        <w:t xml:space="preserve"> We designate derivatives as cash flo</w:t>
      </w:r>
      <w:r>
        <w:rPr>
          <w:rFonts w:eastAsia="Times New Roman"/>
          <w:color w:val="000000"/>
          <w:sz w:val="20"/>
          <w:szCs w:val="20"/>
        </w:rPr>
        <w:t xml:space="preserve">w hedges when they are used to manage our exposure to variability in cash flows related to forecasted transactions. Changes in the fair value of derivatives designated as cash flow hedges are recorded as a component of AOCI. Those amounts are reclassified </w:t>
      </w:r>
      <w:r>
        <w:rPr>
          <w:rFonts w:eastAsia="Times New Roman"/>
          <w:color w:val="000000"/>
          <w:sz w:val="20"/>
          <w:szCs w:val="20"/>
        </w:rPr>
        <w:t xml:space="preserve">into earnings in the same period during which the forecasted transactions impact earnings and presented in the same line item in our consolidated statements of income as the earnings effect of the hedged items. Our cash flow hedges use interest rate swaps </w:t>
      </w:r>
      <w:r>
        <w:rPr>
          <w:rFonts w:eastAsia="Times New Roman"/>
          <w:color w:val="000000"/>
          <w:sz w:val="20"/>
          <w:szCs w:val="20"/>
        </w:rPr>
        <w:t>and floors that are intended to hedge the variability in interest receipts or interest payments on some of our variable-rate financial assets or liabilities. We also enter into foreign currency forward contracts to hedge our exposure to variability in cash</w:t>
      </w:r>
      <w:r>
        <w:rPr>
          <w:rFonts w:eastAsia="Times New Roman"/>
          <w:color w:val="000000"/>
          <w:sz w:val="20"/>
          <w:szCs w:val="20"/>
        </w:rPr>
        <w:t xml:space="preserve"> flows related to intercompany borrowings denominated in foreign currencies.</w:t>
      </w:r>
    </w:p>
    <w:p w:rsidR="00000000" w:rsidRDefault="00E92DBE">
      <w:pPr>
        <w:ind w:hanging="360"/>
        <w:jc w:val="both"/>
        <w:divId w:val="707343587"/>
        <w:rPr>
          <w:rFonts w:eastAsia="Times New Roman"/>
        </w:rPr>
      </w:pPr>
      <w:r>
        <w:rPr>
          <w:rFonts w:eastAsia="Times New Roman"/>
          <w:color w:val="000000"/>
          <w:sz w:val="20"/>
          <w:szCs w:val="20"/>
        </w:rPr>
        <w:t>•</w:t>
      </w:r>
      <w:r>
        <w:rPr>
          <w:rFonts w:eastAsia="Times New Roman"/>
          <w:i/>
          <w:iCs/>
          <w:color w:val="000000"/>
          <w:sz w:val="20"/>
          <w:szCs w:val="20"/>
        </w:rPr>
        <w:t xml:space="preserve">Net Investment Hedges: </w:t>
      </w:r>
      <w:r>
        <w:rPr>
          <w:rFonts w:eastAsia="Times New Roman"/>
          <w:color w:val="000000"/>
          <w:sz w:val="20"/>
          <w:szCs w:val="20"/>
        </w:rPr>
        <w:t>We use net investment hedges to manage the foreign currency exposure related to our net investments in foreign operations that have functional currencies other than the U.S. dollar. Changes in the fair value of net investment hedges are recorded in the tra</w:t>
      </w:r>
      <w:r>
        <w:rPr>
          <w:rFonts w:eastAsia="Times New Roman"/>
          <w:color w:val="000000"/>
          <w:sz w:val="20"/>
          <w:szCs w:val="20"/>
        </w:rPr>
        <w:t>nslation adjustment component of AOCI, offsetting the translation gain or loss from those foreign operations. We execute net investment hedges using foreign currency forward contracts to hedge the translation exposure of the net investment in our foreign o</w:t>
      </w:r>
      <w:r>
        <w:rPr>
          <w:rFonts w:eastAsia="Times New Roman"/>
          <w:color w:val="000000"/>
          <w:sz w:val="20"/>
          <w:szCs w:val="20"/>
        </w:rPr>
        <w:t>perations under the forward method.</w:t>
      </w:r>
    </w:p>
    <w:p w:rsidR="00000000" w:rsidRDefault="00E92DBE">
      <w:pPr>
        <w:ind w:hanging="360"/>
        <w:jc w:val="both"/>
        <w:divId w:val="1844590189"/>
        <w:rPr>
          <w:rFonts w:eastAsia="Times New Roman"/>
        </w:rPr>
      </w:pPr>
      <w:r>
        <w:rPr>
          <w:rFonts w:eastAsia="Times New Roman"/>
          <w:i/>
          <w:iCs/>
          <w:color w:val="000000"/>
          <w:sz w:val="20"/>
          <w:szCs w:val="20"/>
        </w:rPr>
        <w:t>•Free-Standing Derivatives:</w:t>
      </w:r>
      <w:r>
        <w:rPr>
          <w:rFonts w:eastAsia="Times New Roman"/>
          <w:color w:val="000000"/>
          <w:sz w:val="20"/>
          <w:szCs w:val="20"/>
        </w:rPr>
        <w:t xml:space="preserve"> Our free-standing derivatives primarily consist of our customer accommodation derivatives and other economic hedges. The customer accommodation derivatives and the related offsetting contracts</w:t>
      </w:r>
      <w:r>
        <w:rPr>
          <w:rFonts w:eastAsia="Times New Roman"/>
          <w:color w:val="000000"/>
          <w:sz w:val="20"/>
          <w:szCs w:val="20"/>
        </w:rPr>
        <w:t xml:space="preserve"> are mainly interest rate, commodity and foreign currency contracts. The other free-standing derivatives are primarily used to economically hedge the risk of changes in the fair value of our commercial mortgage loan origination and purchase commitments as </w:t>
      </w:r>
      <w:r>
        <w:rPr>
          <w:rFonts w:eastAsia="Times New Roman"/>
          <w:color w:val="000000"/>
          <w:sz w:val="20"/>
          <w:szCs w:val="20"/>
        </w:rPr>
        <w:t>well as other interests held. Changes in the fair value of free-standing derivatives are recorded in earnings as a component of other non-interest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05542492"/>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805542492"/>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805542492"/>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94</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19" style="width:0;height:1.5pt" o:hralign="center" o:hrstd="t" o:hr="t" fillcolor="#a0a0a0" stroked="f"/>
        </w:pict>
      </w:r>
    </w:p>
    <w:p w:rsidR="00000000" w:rsidRDefault="00E92DBE">
      <w:pPr>
        <w:jc w:val="both"/>
        <w:divId w:val="1033653975"/>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033653975"/>
        <w:rPr>
          <w:rFonts w:eastAsia="Times New Roman"/>
        </w:rPr>
      </w:pPr>
    </w:p>
    <w:p w:rsidR="00000000" w:rsidRDefault="00E92DBE">
      <w:pPr>
        <w:divId w:val="914361401"/>
        <w:rPr>
          <w:rFonts w:eastAsia="Times New Roman"/>
        </w:rPr>
      </w:pPr>
      <w:r>
        <w:rPr>
          <w:rFonts w:eastAsia="Times New Roman"/>
          <w:b/>
          <w:bCs/>
          <w:color w:val="000000"/>
          <w:sz w:val="20"/>
          <w:szCs w:val="20"/>
        </w:rPr>
        <w:t>Derivatives Counterparty Credit Risk</w:t>
      </w:r>
    </w:p>
    <w:p w:rsidR="00000000" w:rsidRDefault="00E92DBE">
      <w:pPr>
        <w:divId w:val="1992177825"/>
        <w:rPr>
          <w:rFonts w:eastAsia="Times New Roman"/>
        </w:rPr>
      </w:pPr>
      <w:r>
        <w:rPr>
          <w:rFonts w:eastAsia="Times New Roman"/>
          <w:b/>
          <w:bCs/>
          <w:i/>
          <w:iCs/>
          <w:color w:val="000000"/>
          <w:sz w:val="20"/>
          <w:szCs w:val="20"/>
        </w:rPr>
        <w:t>Counterparty Types</w:t>
      </w:r>
    </w:p>
    <w:p w:rsidR="00000000" w:rsidRDefault="00E92DBE">
      <w:pPr>
        <w:jc w:val="both"/>
        <w:divId w:val="485703731"/>
        <w:rPr>
          <w:rFonts w:eastAsia="Times New Roman"/>
        </w:rPr>
      </w:pPr>
      <w:r>
        <w:rPr>
          <w:rFonts w:eastAsia="Times New Roman"/>
          <w:color w:val="000000"/>
          <w:sz w:val="20"/>
          <w:szCs w:val="20"/>
        </w:rPr>
        <w:t>Derivative instruments contain an element of credit risk that arises from the potentia</w:t>
      </w:r>
      <w:r>
        <w:rPr>
          <w:rFonts w:eastAsia="Times New Roman"/>
          <w:color w:val="000000"/>
          <w:sz w:val="20"/>
          <w:szCs w:val="20"/>
        </w:rPr>
        <w:t>l failure of a counterparty to perform according to the terms of the contract, including making payments due upon maturity of certain derivative instruments. We execute our derivative contracts primarily in over-the-counter (“OTC”) markets. We also execute</w:t>
      </w:r>
      <w:r>
        <w:rPr>
          <w:rFonts w:eastAsia="Times New Roman"/>
          <w:color w:val="000000"/>
          <w:sz w:val="20"/>
          <w:szCs w:val="20"/>
        </w:rPr>
        <w:t xml:space="preserve"> interest rate and commodity futures in the exchange-traded derivative markets. Our OTC derivatives consist of both trades cleared through central counterparty clearinghouses (“CCPs”) and uncleared bilateral contracts. The Chicago Mercantile Exchange (“CME</w:t>
      </w:r>
      <w:r>
        <w:rPr>
          <w:rFonts w:eastAsia="Times New Roman"/>
          <w:color w:val="000000"/>
          <w:sz w:val="20"/>
          <w:szCs w:val="20"/>
        </w:rPr>
        <w:t xml:space="preserve">”) and the LCH Group (“LCH”) are our CCPs for our centrally cleared contracts. In our uncleared bilateral contracts, we enter into agreements directly with our derivative counterparties. </w:t>
      </w:r>
    </w:p>
    <w:p w:rsidR="00000000" w:rsidRDefault="00E92DBE">
      <w:pPr>
        <w:divId w:val="6520308"/>
        <w:rPr>
          <w:rFonts w:eastAsia="Times New Roman"/>
        </w:rPr>
      </w:pPr>
      <w:r>
        <w:rPr>
          <w:rFonts w:eastAsia="Times New Roman"/>
          <w:b/>
          <w:bCs/>
          <w:i/>
          <w:iCs/>
          <w:color w:val="000000"/>
          <w:sz w:val="20"/>
          <w:szCs w:val="20"/>
        </w:rPr>
        <w:t>Counterparty Credit Risk Management</w:t>
      </w:r>
    </w:p>
    <w:p w:rsidR="00000000" w:rsidRDefault="00E92DBE">
      <w:pPr>
        <w:jc w:val="both"/>
        <w:divId w:val="668751385"/>
        <w:rPr>
          <w:rFonts w:eastAsia="Times New Roman"/>
        </w:rPr>
      </w:pPr>
      <w:r>
        <w:rPr>
          <w:rFonts w:eastAsia="Times New Roman"/>
          <w:color w:val="000000"/>
          <w:sz w:val="20"/>
          <w:szCs w:val="20"/>
        </w:rPr>
        <w:t>We manage the counterparty credi</w:t>
      </w:r>
      <w:r>
        <w:rPr>
          <w:rFonts w:eastAsia="Times New Roman"/>
          <w:color w:val="000000"/>
          <w:sz w:val="20"/>
          <w:szCs w:val="20"/>
        </w:rPr>
        <w:t>t risk associated with derivative instruments by entering into legally enforceable master netting arrangements, where possible, and exchanging collateral with our counterparties, typically in the form of cash or high-quality liquid securities. The amount o</w:t>
      </w:r>
      <w:r>
        <w:rPr>
          <w:rFonts w:eastAsia="Times New Roman"/>
          <w:color w:val="000000"/>
          <w:sz w:val="20"/>
          <w:szCs w:val="20"/>
        </w:rPr>
        <w:t>f collateral exchanged is dependent upon the fair value of the derivative instruments as well as the fair value of the pledged collateral and will vary over time as market variables change. When valuing collateral, an estimate of the variation in price and</w:t>
      </w:r>
      <w:r>
        <w:rPr>
          <w:rFonts w:eastAsia="Times New Roman"/>
          <w:color w:val="000000"/>
          <w:sz w:val="20"/>
          <w:szCs w:val="20"/>
        </w:rPr>
        <w:t xml:space="preserve"> liquidity over time is subtracted in the form of a “haircut” to discount the value of the collateral pledged. Our exposure to derivative counterparty credit risk, at any point in time, is equal to the amount reported as a derivative asset on our balance s</w:t>
      </w:r>
      <w:r>
        <w:rPr>
          <w:rFonts w:eastAsia="Times New Roman"/>
          <w:color w:val="000000"/>
          <w:sz w:val="20"/>
          <w:szCs w:val="20"/>
        </w:rPr>
        <w:t>heet. The fair value of our derivatives is adjusted on an aggregate basis to take into consideration the effects of legally enforceable master netting agreements and any associated cash collateral received or pledged. See Table 8.3 for our net exposure ass</w:t>
      </w:r>
      <w:r>
        <w:rPr>
          <w:rFonts w:eastAsia="Times New Roman"/>
          <w:color w:val="000000"/>
          <w:sz w:val="20"/>
          <w:szCs w:val="20"/>
        </w:rPr>
        <w:t xml:space="preserve">ociated with derivatives. </w:t>
      </w:r>
    </w:p>
    <w:p w:rsidR="00000000" w:rsidRDefault="00E92DBE">
      <w:pPr>
        <w:jc w:val="both"/>
        <w:divId w:val="807014068"/>
        <w:rPr>
          <w:rFonts w:eastAsia="Times New Roman"/>
        </w:rPr>
      </w:pPr>
      <w:r>
        <w:rPr>
          <w:rFonts w:eastAsia="Times New Roman"/>
          <w:color w:val="000000"/>
          <w:sz w:val="20"/>
          <w:szCs w:val="20"/>
        </w:rPr>
        <w:t>The terms under which we collateralize our exposures differ between cleared exposures and uncleared bilateral exposures.</w:t>
      </w:r>
    </w:p>
    <w:p w:rsidR="00000000" w:rsidRDefault="00E92DBE">
      <w:pPr>
        <w:ind w:hanging="360"/>
        <w:jc w:val="both"/>
        <w:divId w:val="178933898"/>
        <w:rPr>
          <w:rFonts w:eastAsia="Times New Roman"/>
        </w:rPr>
      </w:pPr>
      <w:r>
        <w:rPr>
          <w:rFonts w:eastAsia="Times New Roman"/>
          <w:color w:val="000000"/>
          <w:sz w:val="20"/>
          <w:szCs w:val="20"/>
        </w:rPr>
        <w:t>•</w:t>
      </w:r>
      <w:r>
        <w:rPr>
          <w:rFonts w:eastAsia="Times New Roman"/>
          <w:i/>
          <w:iCs/>
          <w:color w:val="000000"/>
          <w:sz w:val="20"/>
          <w:szCs w:val="20"/>
        </w:rPr>
        <w:t>CCPs</w:t>
      </w:r>
      <w:r>
        <w:rPr>
          <w:rFonts w:eastAsia="Times New Roman"/>
          <w:color w:val="000000"/>
          <w:sz w:val="20"/>
          <w:szCs w:val="20"/>
        </w:rPr>
        <w:t>: We clear eligible OTC derivatives with CCPs as part of our regulatory requirements. Futures commission merchants (“FCMs”) serve as the intermediary between CCPs and us. CCPs require that we post initial and variation margin through our FCMs to mitigate t</w:t>
      </w:r>
      <w:r>
        <w:rPr>
          <w:rFonts w:eastAsia="Times New Roman"/>
          <w:color w:val="000000"/>
          <w:sz w:val="20"/>
          <w:szCs w:val="20"/>
        </w:rPr>
        <w:t>he risk of non-payment or default. Initial margin is required upfront by CCPs as collateral against potential losses on our cleared derivative contracts and variation margin is exchanged on a daily basis to account for mark-to-market changes in those deriv</w:t>
      </w:r>
      <w:r>
        <w:rPr>
          <w:rFonts w:eastAsia="Times New Roman"/>
          <w:color w:val="000000"/>
          <w:sz w:val="20"/>
          <w:szCs w:val="20"/>
        </w:rPr>
        <w:t>ative contracts. For CME and LCH-cleared OTC derivatives, we characterize variation margin cash payments as settlements. Our FCM agreements governing these derivative transactions include provisions that may require us to post additional collateral under c</w:t>
      </w:r>
      <w:r>
        <w:rPr>
          <w:rFonts w:eastAsia="Times New Roman"/>
          <w:color w:val="000000"/>
          <w:sz w:val="20"/>
          <w:szCs w:val="20"/>
        </w:rPr>
        <w:t xml:space="preserve">ertain circumstances. </w:t>
      </w:r>
    </w:p>
    <w:p w:rsidR="00000000" w:rsidRDefault="00E92DBE">
      <w:pPr>
        <w:ind w:hanging="360"/>
        <w:jc w:val="both"/>
        <w:divId w:val="1368873899"/>
        <w:rPr>
          <w:rFonts w:eastAsia="Times New Roman"/>
        </w:rPr>
      </w:pPr>
      <w:r>
        <w:rPr>
          <w:rFonts w:eastAsia="Times New Roman"/>
          <w:color w:val="000000"/>
          <w:sz w:val="20"/>
          <w:szCs w:val="20"/>
        </w:rPr>
        <w:t>•</w:t>
      </w:r>
      <w:r>
        <w:rPr>
          <w:rFonts w:eastAsia="Times New Roman"/>
          <w:i/>
          <w:iCs/>
          <w:color w:val="000000"/>
          <w:sz w:val="20"/>
          <w:szCs w:val="20"/>
        </w:rPr>
        <w:t>Bilateral Counterparties</w:t>
      </w:r>
      <w:r>
        <w:rPr>
          <w:rFonts w:eastAsia="Times New Roman"/>
          <w:color w:val="000000"/>
          <w:sz w:val="20"/>
          <w:szCs w:val="20"/>
        </w:rPr>
        <w:t>: We enter into legally enforceable master netting agreements and collateral agreements, where possible, with bilateral derivative counterparties to mitigate the risk of default. We review our collateral posi</w:t>
      </w:r>
      <w:r>
        <w:rPr>
          <w:rFonts w:eastAsia="Times New Roman"/>
          <w:color w:val="000000"/>
          <w:sz w:val="20"/>
          <w:szCs w:val="20"/>
        </w:rPr>
        <w:t>tions on a daily basis and exchange collateral with our counterparties in accordance with these agreements. These bilateral agreements typically provide the right to offset exposure with the same counterparty and require the party in a net liability positi</w:t>
      </w:r>
      <w:r>
        <w:rPr>
          <w:rFonts w:eastAsia="Times New Roman"/>
          <w:color w:val="000000"/>
          <w:sz w:val="20"/>
          <w:szCs w:val="20"/>
        </w:rPr>
        <w:t>on to post collateral. Agreements with certain bilateral counterparties require both parties to maintain collateral in the event the fair values of derivative instruments exceed established exposure thresholds. Certain of these bilateral agreements include</w:t>
      </w:r>
      <w:r>
        <w:rPr>
          <w:rFonts w:eastAsia="Times New Roman"/>
          <w:color w:val="000000"/>
          <w:sz w:val="20"/>
          <w:szCs w:val="20"/>
        </w:rPr>
        <w:t xml:space="preserve"> provisions requiring that our debt maintain a credit rating of investment grade or above by each of the major credit rating agencies. In the event of a downgrade of our debt credit rating below investment grade, some of our counterparties would have the r</w:t>
      </w:r>
      <w:r>
        <w:rPr>
          <w:rFonts w:eastAsia="Times New Roman"/>
          <w:color w:val="000000"/>
          <w:sz w:val="20"/>
          <w:szCs w:val="20"/>
        </w:rPr>
        <w:t xml:space="preserve">ight to terminate their derivative contract and close out existing positions. </w:t>
      </w:r>
    </w:p>
    <w:p w:rsidR="00000000" w:rsidRDefault="00E92DBE">
      <w:pPr>
        <w:divId w:val="1108545835"/>
        <w:rPr>
          <w:rFonts w:eastAsia="Times New Roman"/>
        </w:rPr>
      </w:pPr>
      <w:r>
        <w:rPr>
          <w:rFonts w:eastAsia="Times New Roman"/>
          <w:b/>
          <w:bCs/>
          <w:color w:val="000000"/>
          <w:sz w:val="20"/>
          <w:szCs w:val="20"/>
        </w:rPr>
        <w:t>Credit Risk Valuation Adjustments</w:t>
      </w:r>
    </w:p>
    <w:p w:rsidR="00000000" w:rsidRDefault="00E92DBE">
      <w:pPr>
        <w:jc w:val="both"/>
        <w:divId w:val="897937121"/>
        <w:rPr>
          <w:rFonts w:eastAsia="Times New Roman"/>
        </w:rPr>
      </w:pPr>
      <w:r>
        <w:rPr>
          <w:rFonts w:eastAsia="Times New Roman"/>
          <w:color w:val="000000"/>
          <w:sz w:val="20"/>
          <w:szCs w:val="20"/>
        </w:rPr>
        <w:t>We record counterparty credit valuation adjustments (“CVAs”) on our derivative assets to reflect the credit quality of our counterparties. We c</w:t>
      </w:r>
      <w:r>
        <w:rPr>
          <w:rFonts w:eastAsia="Times New Roman"/>
          <w:color w:val="000000"/>
          <w:sz w:val="20"/>
          <w:szCs w:val="20"/>
        </w:rPr>
        <w:t>onsider collateral and legally enforceable master netting agreements that mitigate our credit exposure to each counterparty in determining CVAs, which may be adjusted due to changes in the fair values of the derivative contracts, collateral, and creditwort</w:t>
      </w:r>
      <w:r>
        <w:rPr>
          <w:rFonts w:eastAsia="Times New Roman"/>
          <w:color w:val="000000"/>
          <w:sz w:val="20"/>
          <w:szCs w:val="20"/>
        </w:rPr>
        <w:t xml:space="preserve">hiness of the counterparty. We also record debit valuation adjustments (“DVAs”) to adjust the fair values of our derivative liabilities to reflect the impact of our own credit quality.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71836524"/>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671836524"/>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671836524"/>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95</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20" style="width:0;height:1.5pt" o:hralign="center" o:hrstd="t" o:hr="t" fillcolor="#a0a0a0" stroked="f"/>
        </w:pict>
      </w:r>
    </w:p>
    <w:p w:rsidR="00000000" w:rsidRDefault="00E92DBE">
      <w:pPr>
        <w:jc w:val="both"/>
        <w:divId w:val="727341554"/>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727341554"/>
        <w:rPr>
          <w:rFonts w:eastAsia="Times New Roman"/>
        </w:rPr>
      </w:pPr>
    </w:p>
    <w:p w:rsidR="00000000" w:rsidRDefault="00E92DBE">
      <w:pPr>
        <w:divId w:val="962735292"/>
        <w:rPr>
          <w:rFonts w:eastAsia="Times New Roman"/>
        </w:rPr>
      </w:pPr>
      <w:r>
        <w:rPr>
          <w:rFonts w:eastAsia="Times New Roman"/>
          <w:b/>
          <w:bCs/>
          <w:color w:val="000000"/>
          <w:sz w:val="20"/>
          <w:szCs w:val="20"/>
        </w:rPr>
        <w:t>Balance Sheet Presentation</w:t>
      </w:r>
    </w:p>
    <w:p w:rsidR="00000000" w:rsidRDefault="00E92DBE">
      <w:pPr>
        <w:jc w:val="both"/>
        <w:divId w:val="1132484102"/>
        <w:rPr>
          <w:rFonts w:eastAsia="Times New Roman"/>
        </w:rPr>
      </w:pPr>
      <w:r>
        <w:rPr>
          <w:rFonts w:eastAsia="Times New Roman"/>
          <w:color w:val="000000"/>
          <w:sz w:val="20"/>
          <w:szCs w:val="20"/>
        </w:rPr>
        <w:t>The following table summarizes the notional amounts and fair values of our derivative instruments as of March 31, 2021 and December 31, 2020, which are segregated by derivatives that are designated as accounting hedges and those that are not, and are furth</w:t>
      </w:r>
      <w:r>
        <w:rPr>
          <w:rFonts w:eastAsia="Times New Roman"/>
          <w:color w:val="000000"/>
          <w:sz w:val="20"/>
          <w:szCs w:val="20"/>
        </w:rPr>
        <w:t>er segregated by type of contract within those two categories. The total derivative assets and liabilities are adjusted on an aggregate basis to take into consideration the effects of legally enforceable master netting agreements and any associated cash co</w:t>
      </w:r>
      <w:r>
        <w:rPr>
          <w:rFonts w:eastAsia="Times New Roman"/>
          <w:color w:val="000000"/>
          <w:sz w:val="20"/>
          <w:szCs w:val="20"/>
        </w:rPr>
        <w:t>llateral received or pledged. Derivative assets and liabilities are included in other assets and other liabilities, respectively, on our consolidated balance sheets, and their related gains or losses are included in operating activities as changes in other</w:t>
      </w:r>
      <w:r>
        <w:rPr>
          <w:rFonts w:eastAsia="Times New Roman"/>
          <w:color w:val="000000"/>
          <w:sz w:val="20"/>
          <w:szCs w:val="20"/>
        </w:rPr>
        <w:t xml:space="preserve"> assets and other liabilities in the consolidated statements of cash flows. </w:t>
      </w:r>
    </w:p>
    <w:p w:rsidR="00000000" w:rsidRDefault="00E92DBE">
      <w:pPr>
        <w:divId w:val="1072579239"/>
        <w:rPr>
          <w:rFonts w:eastAsia="Times New Roman"/>
        </w:rPr>
      </w:pPr>
      <w:r>
        <w:rPr>
          <w:rFonts w:eastAsia="Times New Roman"/>
          <w:b/>
          <w:bCs/>
          <w:color w:val="000000"/>
          <w:sz w:val="18"/>
          <w:szCs w:val="18"/>
        </w:rPr>
        <w:t>Table 8.1: Derivative Assets and Liabilities at Fair Value</w:t>
      </w:r>
    </w:p>
    <w:tbl>
      <w:tblPr>
        <w:tblW w:w="4985" w:type="pct"/>
        <w:tblCellMar>
          <w:top w:w="15" w:type="dxa"/>
          <w:left w:w="15" w:type="dxa"/>
          <w:bottom w:w="15" w:type="dxa"/>
          <w:right w:w="15" w:type="dxa"/>
        </w:tblCellMar>
        <w:tblLook w:val="04A0" w:firstRow="1" w:lastRow="0" w:firstColumn="1" w:lastColumn="0" w:noHBand="0" w:noVBand="1"/>
      </w:tblPr>
      <w:tblGrid>
        <w:gridCol w:w="40"/>
        <w:gridCol w:w="2964"/>
        <w:gridCol w:w="39"/>
        <w:gridCol w:w="36"/>
        <w:gridCol w:w="36"/>
        <w:gridCol w:w="36"/>
        <w:gridCol w:w="111"/>
        <w:gridCol w:w="765"/>
        <w:gridCol w:w="36"/>
        <w:gridCol w:w="36"/>
        <w:gridCol w:w="36"/>
        <w:gridCol w:w="36"/>
        <w:gridCol w:w="110"/>
        <w:gridCol w:w="450"/>
        <w:gridCol w:w="36"/>
        <w:gridCol w:w="36"/>
        <w:gridCol w:w="36"/>
        <w:gridCol w:w="36"/>
        <w:gridCol w:w="111"/>
        <w:gridCol w:w="640"/>
        <w:gridCol w:w="36"/>
        <w:gridCol w:w="36"/>
        <w:gridCol w:w="36"/>
        <w:gridCol w:w="36"/>
        <w:gridCol w:w="111"/>
        <w:gridCol w:w="765"/>
        <w:gridCol w:w="36"/>
        <w:gridCol w:w="36"/>
        <w:gridCol w:w="36"/>
        <w:gridCol w:w="36"/>
        <w:gridCol w:w="110"/>
        <w:gridCol w:w="450"/>
        <w:gridCol w:w="36"/>
        <w:gridCol w:w="36"/>
        <w:gridCol w:w="36"/>
        <w:gridCol w:w="36"/>
        <w:gridCol w:w="111"/>
        <w:gridCol w:w="640"/>
        <w:gridCol w:w="36"/>
      </w:tblGrid>
      <w:tr w:rsidR="00000000">
        <w:trPr>
          <w:divId w:val="855391579"/>
        </w:trPr>
        <w:tc>
          <w:tcPr>
            <w:tcW w:w="50" w:type="pct"/>
            <w:vAlign w:val="center"/>
            <w:hideMark/>
          </w:tcPr>
          <w:p w:rsidR="00000000" w:rsidRDefault="00E92DBE">
            <w:pPr>
              <w:rPr>
                <w:rFonts w:eastAsia="Times New Roman"/>
              </w:rPr>
            </w:pPr>
          </w:p>
        </w:tc>
        <w:tc>
          <w:tcPr>
            <w:tcW w:w="190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855391579"/>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855391579"/>
          <w:trHeight w:val="28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855391579"/>
          <w:trHeight w:val="24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vMerge/>
            <w:tcBorders>
              <w:top w:val="single" w:sz="8" w:space="0" w:color="000000"/>
            </w:tcBorders>
            <w:vAlign w:val="center"/>
            <w:hideMark/>
          </w:tcPr>
          <w:p w:rsidR="00000000" w:rsidRDefault="00E92DBE">
            <w:pPr>
              <w:rPr>
                <w:rFonts w:eastAsia="Times New Roman"/>
              </w:rPr>
            </w:pPr>
          </w:p>
        </w:tc>
        <w:tc>
          <w:tcPr>
            <w:tcW w:w="0" w:type="auto"/>
            <w:gridSpan w:val="3"/>
            <w:vMerge/>
            <w:tcBorders>
              <w:top w:val="single" w:sz="8" w:space="0" w:color="000000"/>
            </w:tcBorders>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Liabilities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tcBorders>
              <w:top w:val="single" w:sz="8" w:space="0" w:color="000000"/>
            </w:tcBorders>
            <w:vAlign w:val="center"/>
            <w:hideMark/>
          </w:tcPr>
          <w:p w:rsidR="00000000" w:rsidRDefault="00E92DBE">
            <w:pPr>
              <w:rPr>
                <w:rFonts w:eastAsia="Times New Roman"/>
              </w:rPr>
            </w:pPr>
          </w:p>
        </w:tc>
        <w:tc>
          <w:tcPr>
            <w:tcW w:w="0" w:type="auto"/>
            <w:gridSpan w:val="3"/>
            <w:vMerge/>
            <w:tcBorders>
              <w:top w:val="single" w:sz="8" w:space="0" w:color="000000"/>
            </w:tcBorders>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Liabilities</w:t>
            </w:r>
          </w:p>
        </w:tc>
      </w:tr>
      <w:tr w:rsidR="00000000">
        <w:trPr>
          <w:divId w:val="85539157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Derivatives designated as accounting hedges: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5539157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55391579"/>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45,880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47,349 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84,150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82,150 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748 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130,030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129,499 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55391579"/>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1,527 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4,582 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investment hedges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3,116 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8,744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9,225 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357 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derivatives designated as accounting hedges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138,774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138,724 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Derivatives not designated as accounting hedges: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5539157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Customer accommodation:</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55391579"/>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68,333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68,459 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1,429 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16,881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16,871 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935 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820 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Foreign exchange and other contracts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4,027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4,677 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customer accommodation</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89,241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2,211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90,007 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FFFFFF"/>
            <w:tcMar>
              <w:top w:w="30" w:type="dxa"/>
              <w:left w:w="20" w:type="dxa"/>
              <w:bottom w:w="30" w:type="dxa"/>
              <w:right w:w="20" w:type="dxa"/>
            </w:tcMar>
            <w:vAlign w:val="center"/>
            <w:hideMark/>
          </w:tcPr>
          <w:p w:rsidR="00000000" w:rsidRDefault="00E92DBE">
            <w:pPr>
              <w:divId w:val="695810638"/>
              <w:rPr>
                <w:rFonts w:eastAsia="Times New Roman"/>
              </w:rPr>
            </w:pPr>
            <w:r>
              <w:rPr>
                <w:rFonts w:eastAsia="Times New Roman"/>
                <w:color w:val="000000"/>
                <w:sz w:val="18"/>
                <w:szCs w:val="18"/>
              </w:rPr>
              <w:t>Other interest rate exposure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1,770 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contracts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1,826 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derivatives not designated as accounting hedges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93,153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93,603 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2,494 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231,927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2,869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1,651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232,327 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9"/>
            <w:shd w:val="clear" w:color="auto" w:fill="FFFFFF"/>
            <w:tcMar>
              <w:top w:w="30" w:type="dxa"/>
              <w:left w:w="20" w:type="dxa"/>
              <w:bottom w:w="30" w:type="dxa"/>
              <w:right w:w="20" w:type="dxa"/>
            </w:tcMar>
            <w:vAlign w:val="center"/>
            <w:hideMark/>
          </w:tcPr>
          <w:p w:rsidR="00000000" w:rsidRDefault="00E92DBE">
            <w:pPr>
              <w:divId w:val="1512178892"/>
              <w:rPr>
                <w:rFonts w:eastAsia="Times New Roman"/>
              </w:rPr>
            </w:pPr>
            <w:r>
              <w:rPr>
                <w:rFonts w:eastAsia="Times New Roman"/>
                <w:color w:val="000000"/>
                <w:sz w:val="18"/>
                <w:szCs w:val="18"/>
              </w:rPr>
              <w:t>Less: netting adjustmen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(844)</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(679)</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(1,148)</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(739)</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55391579"/>
        </w:trPr>
        <w:tc>
          <w:tcPr>
            <w:tcW w:w="0" w:type="auto"/>
            <w:gridSpan w:val="9"/>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derivative assets/liabilities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2,025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1739671443"/>
        <w:rPr>
          <w:rFonts w:eastAsia="Times New Roman"/>
        </w:rPr>
      </w:pPr>
      <w:r>
        <w:rPr>
          <w:rFonts w:eastAsia="Times New Roman"/>
          <w:color w:val="000000"/>
          <w:sz w:val="20"/>
          <w:szCs w:val="20"/>
        </w:rPr>
        <w:t>__________</w:t>
      </w:r>
    </w:p>
    <w:p w:rsidR="00000000" w:rsidRDefault="00E92DBE">
      <w:pPr>
        <w:ind w:hanging="360"/>
        <w:jc w:val="both"/>
        <w:divId w:val="161108719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Does not reflect $26 million and $31 million</w:t>
      </w:r>
      <w:r>
        <w:rPr>
          <w:rFonts w:eastAsia="Times New Roman"/>
          <w:color w:val="000000"/>
          <w:sz w:val="16"/>
          <w:szCs w:val="16"/>
          <w:shd w:val="clear" w:color="auto" w:fill="FFFFFF"/>
        </w:rPr>
        <w:t xml:space="preserve"> </w:t>
      </w:r>
      <w:r>
        <w:rPr>
          <w:rFonts w:eastAsia="Times New Roman"/>
          <w:color w:val="000000"/>
          <w:sz w:val="16"/>
          <w:szCs w:val="16"/>
          <w:shd w:val="clear" w:color="auto" w:fill="FFFFFF"/>
        </w:rPr>
        <w:t xml:space="preserve">recognized as a net valuation allowance on derivative assets and liabilities for non-performance risk as of March 31, 2021 and </w:t>
      </w:r>
      <w:r>
        <w:rPr>
          <w:rFonts w:eastAsia="Times New Roman"/>
          <w:color w:val="000000"/>
          <w:sz w:val="16"/>
          <w:szCs w:val="16"/>
        </w:rPr>
        <w:t>December 31, 2020</w:t>
      </w:r>
      <w:r>
        <w:rPr>
          <w:rFonts w:eastAsia="Times New Roman"/>
          <w:color w:val="000000"/>
          <w:sz w:val="16"/>
          <w:szCs w:val="16"/>
          <w:shd w:val="clear" w:color="auto" w:fill="FFFFFF"/>
        </w:rPr>
        <w:t>, respectively. Non-performance risk is included in derivative assets and liabilities, which are part of other a</w:t>
      </w:r>
      <w:r>
        <w:rPr>
          <w:rFonts w:eastAsia="Times New Roman"/>
          <w:color w:val="000000"/>
          <w:sz w:val="16"/>
          <w:szCs w:val="16"/>
          <w:shd w:val="clear" w:color="auto" w:fill="FFFFFF"/>
        </w:rPr>
        <w:t>ssets and other liabilities on the consolidated balance sheets, and is offset through non-interest income in the consolidated statements of income.</w:t>
      </w:r>
    </w:p>
    <w:p w:rsidR="00000000" w:rsidRDefault="00E92DBE">
      <w:pPr>
        <w:ind w:hanging="360"/>
        <w:jc w:val="both"/>
        <w:divId w:val="155473234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Other interest rate exposures include commercial mortgage-related derivatives and interest rate swaps.</w:t>
      </w:r>
    </w:p>
    <w:p w:rsidR="00000000" w:rsidRDefault="00E92DBE">
      <w:pPr>
        <w:ind w:hanging="360"/>
        <w:jc w:val="both"/>
        <w:divId w:val="38629653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Represents balance sheet netting of derivative assets and liabilities, and related payables and receivables for cash collateral held or placed with the same counterparty.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57136238"/>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257136238"/>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257136238"/>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96</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21" style="width:0;height:1.5pt" o:hralign="center" o:hrstd="t" o:hr="t" fillcolor="#a0a0a0" stroked="f"/>
        </w:pict>
      </w:r>
    </w:p>
    <w:p w:rsidR="00000000" w:rsidRDefault="00E92DBE">
      <w:pPr>
        <w:jc w:val="both"/>
        <w:divId w:val="1483544140"/>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483544140"/>
        <w:rPr>
          <w:rFonts w:eastAsia="Times New Roman"/>
        </w:rPr>
      </w:pPr>
    </w:p>
    <w:p w:rsidR="00000000" w:rsidRDefault="00E92DBE">
      <w:pPr>
        <w:jc w:val="both"/>
        <w:divId w:val="33846246"/>
        <w:rPr>
          <w:rFonts w:eastAsia="Times New Roman"/>
        </w:rPr>
      </w:pPr>
      <w:r>
        <w:rPr>
          <w:rFonts w:eastAsia="Times New Roman"/>
          <w:color w:val="000000"/>
          <w:sz w:val="20"/>
          <w:szCs w:val="20"/>
        </w:rPr>
        <w:t>The following table summarizes the carrying value of our hedged assets and liabilities in fair value hedges and the associated cumulative basi</w:t>
      </w:r>
      <w:r>
        <w:rPr>
          <w:rFonts w:eastAsia="Times New Roman"/>
          <w:color w:val="000000"/>
          <w:sz w:val="20"/>
          <w:szCs w:val="20"/>
        </w:rPr>
        <w:t>s adjustments included in those carrying values, excluding basis adjustments related to foreign currency risk, as of March 31, 2021 and December 31, 2020.</w:t>
      </w:r>
    </w:p>
    <w:p w:rsidR="00000000" w:rsidRDefault="00E92DBE">
      <w:pPr>
        <w:divId w:val="1764230183"/>
        <w:rPr>
          <w:rFonts w:eastAsia="Times New Roman"/>
        </w:rPr>
      </w:pPr>
      <w:r>
        <w:rPr>
          <w:rFonts w:eastAsia="Times New Roman"/>
          <w:b/>
          <w:bCs/>
          <w:color w:val="000000"/>
          <w:sz w:val="18"/>
          <w:szCs w:val="18"/>
        </w:rPr>
        <w:t>Table 8.2: Hedged Items in Fair Value Hedging Relationships</w:t>
      </w:r>
    </w:p>
    <w:tbl>
      <w:tblPr>
        <w:tblW w:w="4985" w:type="pct"/>
        <w:tblCellMar>
          <w:top w:w="15" w:type="dxa"/>
          <w:left w:w="15" w:type="dxa"/>
          <w:bottom w:w="15" w:type="dxa"/>
          <w:right w:w="15" w:type="dxa"/>
        </w:tblCellMar>
        <w:tblLook w:val="04A0" w:firstRow="1" w:lastRow="0" w:firstColumn="1" w:lastColumn="0" w:noHBand="0" w:noVBand="1"/>
      </w:tblPr>
      <w:tblGrid>
        <w:gridCol w:w="38"/>
        <w:gridCol w:w="967"/>
        <w:gridCol w:w="37"/>
        <w:gridCol w:w="36"/>
        <w:gridCol w:w="36"/>
        <w:gridCol w:w="36"/>
        <w:gridCol w:w="124"/>
        <w:gridCol w:w="1167"/>
        <w:gridCol w:w="36"/>
        <w:gridCol w:w="36"/>
        <w:gridCol w:w="36"/>
        <w:gridCol w:w="36"/>
        <w:gridCol w:w="124"/>
        <w:gridCol w:w="1168"/>
        <w:gridCol w:w="37"/>
        <w:gridCol w:w="36"/>
        <w:gridCol w:w="36"/>
        <w:gridCol w:w="36"/>
        <w:gridCol w:w="111"/>
        <w:gridCol w:w="889"/>
        <w:gridCol w:w="37"/>
        <w:gridCol w:w="36"/>
        <w:gridCol w:w="36"/>
        <w:gridCol w:w="36"/>
        <w:gridCol w:w="124"/>
        <w:gridCol w:w="1167"/>
        <w:gridCol w:w="36"/>
        <w:gridCol w:w="36"/>
        <w:gridCol w:w="36"/>
        <w:gridCol w:w="36"/>
        <w:gridCol w:w="124"/>
        <w:gridCol w:w="1168"/>
        <w:gridCol w:w="37"/>
        <w:gridCol w:w="36"/>
        <w:gridCol w:w="36"/>
        <w:gridCol w:w="36"/>
        <w:gridCol w:w="111"/>
        <w:gridCol w:w="889"/>
        <w:gridCol w:w="37"/>
      </w:tblGrid>
      <w:tr w:rsidR="00000000">
        <w:trPr>
          <w:divId w:val="1991985214"/>
        </w:trPr>
        <w:tc>
          <w:tcPr>
            <w:tcW w:w="50" w:type="pct"/>
            <w:vAlign w:val="center"/>
            <w:hideMark/>
          </w:tcPr>
          <w:p w:rsidR="00000000" w:rsidRDefault="00E92DBE">
            <w:pPr>
              <w:rPr>
                <w:rFonts w:eastAsia="Times New Roman"/>
              </w:rPr>
            </w:pPr>
          </w:p>
        </w:tc>
        <w:tc>
          <w:tcPr>
            <w:tcW w:w="155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991985214"/>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1991985214"/>
          <w:trHeight w:val="54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Cumulative Amount of Basis Adjustments Included in the Carrying Amount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Cumulative Amount of Basis Adjustments Included in the Carrying Amount</w:t>
            </w:r>
          </w:p>
        </w:tc>
      </w:tr>
      <w:tr w:rsidR="00000000">
        <w:trPr>
          <w:divId w:val="1991985214"/>
          <w:trHeight w:val="54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vMerge/>
            <w:tcBorders>
              <w:top w:val="single" w:sz="8" w:space="0" w:color="000000"/>
            </w:tcBorders>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Discontinued-Hedging Relationships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tcBorders>
              <w:top w:val="single" w:sz="8" w:space="0" w:color="000000"/>
            </w:tcBorders>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Discontinued-Hedging Relationships</w:t>
            </w:r>
          </w:p>
        </w:tc>
      </w:tr>
      <w:tr w:rsidR="00000000">
        <w:trPr>
          <w:divId w:val="199198521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Line item on our consolidated balance sheets in which the hedged item is included: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991985214"/>
        </w:trPr>
        <w:tc>
          <w:tcPr>
            <w:tcW w:w="0" w:type="auto"/>
            <w:gridSpan w:val="3"/>
            <w:shd w:val="clear" w:color="auto" w:fill="FFFFFF"/>
            <w:tcMar>
              <w:top w:w="30" w:type="dxa"/>
              <w:left w:w="20" w:type="dxa"/>
              <w:bottom w:w="30" w:type="dxa"/>
              <w:right w:w="20" w:type="dxa"/>
            </w:tcMar>
            <w:vAlign w:val="center"/>
            <w:hideMark/>
          </w:tcPr>
          <w:p w:rsidR="00000000" w:rsidRDefault="00E92DBE">
            <w:pPr>
              <w:divId w:val="1416782766"/>
              <w:rPr>
                <w:rFonts w:eastAsia="Times New Roman"/>
              </w:rPr>
            </w:pPr>
            <w:r>
              <w:rPr>
                <w:rFonts w:eastAsia="Times New Roman"/>
                <w:color w:val="000000"/>
                <w:sz w:val="18"/>
                <w:szCs w:val="18"/>
              </w:rPr>
              <w:t>Investment securities available for sal</w:t>
            </w:r>
            <w:r>
              <w:rPr>
                <w:rFonts w:eastAsia="Times New Roman"/>
                <w:color w:val="000000"/>
                <w:sz w:val="18"/>
                <w:szCs w:val="18"/>
              </w:rPr>
              <w:t>e</w:t>
            </w:r>
            <w:r>
              <w:rPr>
                <w:rFonts w:eastAsia="Times New Roman"/>
                <w:color w:val="000000"/>
                <w:sz w:val="12"/>
                <w:szCs w:val="12"/>
              </w:rPr>
              <w:t>(1)(2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9,797 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590 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9198521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(10,820)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(11,312)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9198521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(7,536)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(7,609)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91985214"/>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(20,265)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(913)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(633)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(21,927)</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(1,282)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(666)</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348989856"/>
        <w:rPr>
          <w:rFonts w:eastAsia="Times New Roman"/>
        </w:rPr>
      </w:pPr>
      <w:r>
        <w:rPr>
          <w:rFonts w:eastAsia="Times New Roman"/>
          <w:color w:val="000000"/>
          <w:sz w:val="20"/>
          <w:szCs w:val="20"/>
        </w:rPr>
        <w:t>__________</w:t>
      </w:r>
    </w:p>
    <w:p w:rsidR="00000000" w:rsidRDefault="00E92DBE">
      <w:pPr>
        <w:ind w:hanging="360"/>
        <w:jc w:val="both"/>
        <w:divId w:val="186123905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These amounts include the amortized cost basis of our investment securities des</w:t>
      </w:r>
      <w:r>
        <w:rPr>
          <w:rFonts w:eastAsia="Times New Roman"/>
          <w:color w:val="000000"/>
          <w:sz w:val="16"/>
          <w:szCs w:val="16"/>
        </w:rPr>
        <w:t>ignated in hedging relationships for which the hedged item is the last layer expected to be remaining at the end of the hedging relationship. The amortized cost basis of this portfolio was $249 million, the amount of the designated hedged items was $225 mi</w:t>
      </w:r>
      <w:r>
        <w:rPr>
          <w:rFonts w:eastAsia="Times New Roman"/>
          <w:color w:val="000000"/>
          <w:sz w:val="16"/>
          <w:szCs w:val="16"/>
        </w:rPr>
        <w:t>llion, and the cumulative basis adjustments associated with these hedges was ($1 million) as of March 31, 2021. We had no such hedging relationships as of December 31, 2020.</w:t>
      </w:r>
    </w:p>
    <w:p w:rsidR="00000000" w:rsidRDefault="00E92DBE">
      <w:pPr>
        <w:ind w:hanging="360"/>
        <w:jc w:val="both"/>
        <w:divId w:val="103635196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Carrying value represents amortized cost.</w:t>
      </w:r>
    </w:p>
    <w:p w:rsidR="00000000" w:rsidRDefault="00E92DBE">
      <w:pPr>
        <w:divId w:val="2129472654"/>
        <w:rPr>
          <w:rFonts w:eastAsia="Times New Roman"/>
        </w:rPr>
      </w:pPr>
      <w:r>
        <w:rPr>
          <w:rFonts w:eastAsia="Times New Roman"/>
          <w:b/>
          <w:bCs/>
          <w:color w:val="000000"/>
          <w:sz w:val="20"/>
          <w:szCs w:val="20"/>
        </w:rPr>
        <w:t>Balance Sheet Offsetting of Financial</w:t>
      </w:r>
      <w:r>
        <w:rPr>
          <w:rFonts w:eastAsia="Times New Roman"/>
          <w:b/>
          <w:bCs/>
          <w:color w:val="000000"/>
          <w:sz w:val="20"/>
          <w:szCs w:val="20"/>
        </w:rPr>
        <w:t xml:space="preserve"> Assets and Liabilities</w:t>
      </w:r>
    </w:p>
    <w:p w:rsidR="00000000" w:rsidRDefault="00E92DBE">
      <w:pPr>
        <w:jc w:val="both"/>
        <w:divId w:val="1246765994"/>
        <w:rPr>
          <w:rFonts w:eastAsia="Times New Roman"/>
        </w:rPr>
      </w:pPr>
      <w:r>
        <w:rPr>
          <w:rFonts w:eastAsia="Times New Roman"/>
          <w:color w:val="000000"/>
          <w:sz w:val="20"/>
          <w:szCs w:val="20"/>
        </w:rPr>
        <w:t>Derivative contracts and repurchase agreements that we execute bilaterally in the OTC market are generally governed by enforceable master netting arrangements where we generally have the right to offset exposure with the same counte</w:t>
      </w:r>
      <w:r>
        <w:rPr>
          <w:rFonts w:eastAsia="Times New Roman"/>
          <w:color w:val="000000"/>
          <w:sz w:val="20"/>
          <w:szCs w:val="20"/>
        </w:rPr>
        <w:t>rparty. Either counterparty can generally request to net settle all contracts through a single payment upon default on, or termination of, any one contract. We elect to offset the derivative assets and liabilities under master netting arrangements for bala</w:t>
      </w:r>
      <w:r>
        <w:rPr>
          <w:rFonts w:eastAsia="Times New Roman"/>
          <w:color w:val="000000"/>
          <w:sz w:val="20"/>
          <w:szCs w:val="20"/>
        </w:rPr>
        <w:t>nce sheet presentation where a right of setoff exists. For derivative contracts entered into under master netting arrangements for which we have not been able to confirm the enforceability of the setoff rights, or those not subject to master netting arrang</w:t>
      </w:r>
      <w:r>
        <w:rPr>
          <w:rFonts w:eastAsia="Times New Roman"/>
          <w:color w:val="000000"/>
          <w:sz w:val="20"/>
          <w:szCs w:val="20"/>
        </w:rPr>
        <w:t>ements, we do not offset our derivative positions for balance sheet presentation.</w:t>
      </w:r>
    </w:p>
    <w:p w:rsidR="00000000" w:rsidRDefault="00E92DBE">
      <w:pPr>
        <w:jc w:val="both"/>
        <w:divId w:val="851651589"/>
        <w:rPr>
          <w:rFonts w:eastAsia="Times New Roman"/>
        </w:rPr>
      </w:pPr>
      <w:r>
        <w:rPr>
          <w:rFonts w:eastAsia="Times New Roman"/>
          <w:color w:val="000000"/>
          <w:sz w:val="20"/>
          <w:szCs w:val="20"/>
        </w:rPr>
        <w:t>The following table presents the gross and net fair values of our derivative assets, derivative liabilities, resale and repurchase agreements and the related offsetting amoun</w:t>
      </w:r>
      <w:r>
        <w:rPr>
          <w:rFonts w:eastAsia="Times New Roman"/>
          <w:color w:val="000000"/>
          <w:sz w:val="20"/>
          <w:szCs w:val="20"/>
        </w:rPr>
        <w:t>ts permitted under U.S. GAAP as of March 31, 2021 and December 31, 2020. The table also includes cash and non-cash collateral received or pledged in accordance with such arrangements. The amount of collateral presented, however, is limited to the amount of</w:t>
      </w:r>
      <w:r>
        <w:rPr>
          <w:rFonts w:eastAsia="Times New Roman"/>
          <w:color w:val="000000"/>
          <w:sz w:val="20"/>
          <w:szCs w:val="20"/>
        </w:rPr>
        <w:t xml:space="preserve"> the related net derivative fair values or outstanding balances; therefore, instances of over-collateralization are excluded.</w:t>
      </w:r>
    </w:p>
    <w:p w:rsidR="00000000" w:rsidRDefault="00E92DBE">
      <w:pPr>
        <w:jc w:val="both"/>
        <w:divId w:val="1212494270"/>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60042054"/>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660042054"/>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660042054"/>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97</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22" style="width:0;height:1.5pt" o:hralign="center" o:hrstd="t" o:hr="t" fillcolor="#a0a0a0" stroked="f"/>
        </w:pict>
      </w:r>
    </w:p>
    <w:p w:rsidR="00000000" w:rsidRDefault="00E92DBE">
      <w:pPr>
        <w:jc w:val="both"/>
        <w:divId w:val="113641470"/>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13641470"/>
        <w:rPr>
          <w:rFonts w:eastAsia="Times New Roman"/>
        </w:rPr>
      </w:pPr>
    </w:p>
    <w:p w:rsidR="00000000" w:rsidRDefault="00E92DBE">
      <w:pPr>
        <w:divId w:val="333923848"/>
        <w:rPr>
          <w:rFonts w:eastAsia="Times New Roman"/>
        </w:rPr>
      </w:pPr>
      <w:r>
        <w:rPr>
          <w:rFonts w:eastAsia="Times New Roman"/>
          <w:b/>
          <w:bCs/>
          <w:color w:val="000000"/>
          <w:sz w:val="18"/>
          <w:szCs w:val="18"/>
        </w:rPr>
        <w:t>Table 8.3: Offsetting of Financial Assets and Financial Liabilities</w:t>
      </w:r>
    </w:p>
    <w:tbl>
      <w:tblPr>
        <w:tblW w:w="4970" w:type="pct"/>
        <w:tblCellMar>
          <w:top w:w="15" w:type="dxa"/>
          <w:left w:w="15" w:type="dxa"/>
          <w:bottom w:w="15" w:type="dxa"/>
          <w:right w:w="15" w:type="dxa"/>
        </w:tblCellMar>
        <w:tblLook w:val="04A0" w:firstRow="1" w:lastRow="0" w:firstColumn="1" w:lastColumn="0" w:noHBand="0" w:noVBand="1"/>
      </w:tblPr>
      <w:tblGrid>
        <w:gridCol w:w="38"/>
        <w:gridCol w:w="2438"/>
        <w:gridCol w:w="37"/>
        <w:gridCol w:w="36"/>
        <w:gridCol w:w="36"/>
        <w:gridCol w:w="36"/>
        <w:gridCol w:w="111"/>
        <w:gridCol w:w="576"/>
        <w:gridCol w:w="36"/>
        <w:gridCol w:w="36"/>
        <w:gridCol w:w="36"/>
        <w:gridCol w:w="36"/>
        <w:gridCol w:w="111"/>
        <w:gridCol w:w="775"/>
        <w:gridCol w:w="37"/>
        <w:gridCol w:w="36"/>
        <w:gridCol w:w="36"/>
        <w:gridCol w:w="36"/>
        <w:gridCol w:w="111"/>
        <w:gridCol w:w="658"/>
        <w:gridCol w:w="37"/>
        <w:gridCol w:w="36"/>
        <w:gridCol w:w="36"/>
        <w:gridCol w:w="36"/>
        <w:gridCol w:w="111"/>
        <w:gridCol w:w="739"/>
        <w:gridCol w:w="36"/>
        <w:gridCol w:w="36"/>
        <w:gridCol w:w="36"/>
        <w:gridCol w:w="36"/>
        <w:gridCol w:w="111"/>
        <w:gridCol w:w="858"/>
        <w:gridCol w:w="36"/>
        <w:gridCol w:w="36"/>
        <w:gridCol w:w="36"/>
        <w:gridCol w:w="36"/>
        <w:gridCol w:w="111"/>
        <w:gridCol w:w="605"/>
        <w:gridCol w:w="36"/>
      </w:tblGrid>
      <w:tr w:rsidR="00000000">
        <w:trPr>
          <w:divId w:val="844899037"/>
        </w:trPr>
        <w:tc>
          <w:tcPr>
            <w:tcW w:w="50" w:type="pct"/>
            <w:vAlign w:val="center"/>
            <w:hideMark/>
          </w:tcPr>
          <w:p w:rsidR="00000000" w:rsidRDefault="00E92DBE">
            <w:pPr>
              <w:rPr>
                <w:rFonts w:eastAsia="Times New Roman"/>
              </w:rPr>
            </w:pPr>
          </w:p>
        </w:tc>
        <w:tc>
          <w:tcPr>
            <w:tcW w:w="154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3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8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5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844899037"/>
          <w:trHeight w:val="42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Securities Collateral Held Under Master Netting Agreements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44899037"/>
          <w:trHeight w:val="42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Cash Collateral Received</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 Exposure</w:t>
            </w:r>
          </w:p>
        </w:tc>
      </w:tr>
      <w:tr w:rsidR="00000000">
        <w:trPr>
          <w:divId w:val="8448990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As of March 31, 2021</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44899037"/>
        </w:trPr>
        <w:tc>
          <w:tcPr>
            <w:tcW w:w="0" w:type="auto"/>
            <w:gridSpan w:val="3"/>
            <w:shd w:val="clear" w:color="auto" w:fill="FFFFFF"/>
            <w:tcMar>
              <w:top w:w="30" w:type="dxa"/>
              <w:left w:w="20" w:type="dxa"/>
              <w:bottom w:w="30" w:type="dxa"/>
              <w:right w:w="20" w:type="dxa"/>
            </w:tcMar>
            <w:vAlign w:val="center"/>
            <w:hideMark/>
          </w:tcPr>
          <w:p w:rsidR="00000000" w:rsidRDefault="00E92DBE">
            <w:pPr>
              <w:divId w:val="1164277900"/>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(369)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(475)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844899037"/>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844899037"/>
        </w:trPr>
        <w:tc>
          <w:tcPr>
            <w:tcW w:w="0" w:type="auto"/>
            <w:gridSpan w:val="3"/>
            <w:shd w:val="clear" w:color="auto" w:fill="FFFFFF"/>
            <w:tcMar>
              <w:top w:w="30" w:type="dxa"/>
              <w:left w:w="20" w:type="dxa"/>
              <w:bottom w:w="30" w:type="dxa"/>
              <w:right w:w="20" w:type="dxa"/>
            </w:tcMar>
            <w:vAlign w:val="center"/>
            <w:hideMark/>
          </w:tcPr>
          <w:p w:rsidR="00000000" w:rsidRDefault="00E92DBE">
            <w:pPr>
              <w:divId w:val="996959619"/>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(383)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(765)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2,267 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2,267 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tbl>
      <w:tblPr>
        <w:tblW w:w="4970" w:type="pct"/>
        <w:tblCellMar>
          <w:top w:w="15" w:type="dxa"/>
          <w:left w:w="15" w:type="dxa"/>
          <w:bottom w:w="15" w:type="dxa"/>
          <w:right w:w="15" w:type="dxa"/>
        </w:tblCellMar>
        <w:tblLook w:val="04A0" w:firstRow="1" w:lastRow="0" w:firstColumn="1" w:lastColumn="0" w:noHBand="0" w:noVBand="1"/>
      </w:tblPr>
      <w:tblGrid>
        <w:gridCol w:w="144"/>
        <w:gridCol w:w="2542"/>
        <w:gridCol w:w="144"/>
        <w:gridCol w:w="144"/>
        <w:gridCol w:w="144"/>
        <w:gridCol w:w="144"/>
        <w:gridCol w:w="144"/>
        <w:gridCol w:w="601"/>
        <w:gridCol w:w="144"/>
        <w:gridCol w:w="144"/>
        <w:gridCol w:w="144"/>
        <w:gridCol w:w="144"/>
        <w:gridCol w:w="144"/>
        <w:gridCol w:w="696"/>
        <w:gridCol w:w="144"/>
        <w:gridCol w:w="144"/>
        <w:gridCol w:w="144"/>
        <w:gridCol w:w="144"/>
        <w:gridCol w:w="144"/>
        <w:gridCol w:w="880"/>
        <w:gridCol w:w="144"/>
        <w:gridCol w:w="144"/>
        <w:gridCol w:w="144"/>
        <w:gridCol w:w="144"/>
        <w:gridCol w:w="144"/>
        <w:gridCol w:w="794"/>
        <w:gridCol w:w="144"/>
        <w:gridCol w:w="144"/>
        <w:gridCol w:w="144"/>
        <w:gridCol w:w="144"/>
        <w:gridCol w:w="144"/>
        <w:gridCol w:w="1086"/>
        <w:gridCol w:w="144"/>
        <w:gridCol w:w="144"/>
        <w:gridCol w:w="144"/>
        <w:gridCol w:w="144"/>
        <w:gridCol w:w="144"/>
        <w:gridCol w:w="648"/>
        <w:gridCol w:w="144"/>
      </w:tblGrid>
      <w:tr w:rsidR="00000000">
        <w:tc>
          <w:tcPr>
            <w:tcW w:w="50" w:type="pct"/>
            <w:vAlign w:val="center"/>
            <w:hideMark/>
          </w:tcPr>
          <w:p w:rsidR="00000000" w:rsidRDefault="00E92DBE">
            <w:pPr>
              <w:rPr>
                <w:rFonts w:eastAsia="Times New Roman"/>
              </w:rPr>
            </w:pPr>
          </w:p>
        </w:tc>
        <w:tc>
          <w:tcPr>
            <w:tcW w:w="154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3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8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5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42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Securities Collateral Pledged Under Master Netting Agreements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trHeight w:val="42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Cash Collateral Pledged</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 Exposure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As of March 31, 2021</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divId w:val="186066394"/>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(369)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633557988"/>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(842)</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1661303916"/>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1,518 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(383)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(356)</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779 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779 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divId w:val="1518691279"/>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(668)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1640723110"/>
        <w:rPr>
          <w:rFonts w:eastAsia="Times New Roman"/>
        </w:rPr>
      </w:pPr>
      <w:r>
        <w:rPr>
          <w:rFonts w:eastAsia="Times New Roman"/>
          <w:color w:val="000000"/>
          <w:sz w:val="20"/>
          <w:szCs w:val="20"/>
        </w:rPr>
        <w:t>__________</w:t>
      </w:r>
    </w:p>
    <w:p w:rsidR="00000000" w:rsidRDefault="00E92DBE">
      <w:pPr>
        <w:ind w:hanging="360"/>
        <w:jc w:val="both"/>
        <w:divId w:val="181347543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received cash collateral from derivative counterparties totaling $562 million and $862 million as of March 31, 2021 and December 31, 2020, respectively. We also receive</w:t>
      </w:r>
      <w:r>
        <w:rPr>
          <w:rFonts w:eastAsia="Times New Roman"/>
          <w:color w:val="000000"/>
          <w:sz w:val="16"/>
          <w:szCs w:val="16"/>
        </w:rPr>
        <w:t>d securities from derivative counterparties with a fair value of approximately $1 million as of both March 31, 2021 and December 31, 2020, which we have the ability to re-pledge. We posted $1.7 billion and $1.5 billion of cash collateral as of March 31, 20</w:t>
      </w:r>
      <w:r>
        <w:rPr>
          <w:rFonts w:eastAsia="Times New Roman"/>
          <w:color w:val="000000"/>
          <w:sz w:val="16"/>
          <w:szCs w:val="16"/>
        </w:rPr>
        <w:t>21 and December 31, 2020, respectively.</w:t>
      </w:r>
    </w:p>
    <w:p w:rsidR="00000000" w:rsidRDefault="00E92DBE">
      <w:pPr>
        <w:ind w:hanging="360"/>
        <w:jc w:val="both"/>
        <w:divId w:val="11580368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Under our customer repurchase agreements, which mature the next business day, we pledged collateral with a fair value of $859 million and $682 million as of March 31, 2021 and December 31, 2020, respectively, prim</w:t>
      </w:r>
      <w:r>
        <w:rPr>
          <w:rFonts w:eastAsia="Times New Roman"/>
          <w:color w:val="000000"/>
          <w:sz w:val="16"/>
          <w:szCs w:val="16"/>
        </w:rPr>
        <w:t>arily consisting of agency RMBS securities.</w:t>
      </w:r>
    </w:p>
    <w:p w:rsidR="00000000" w:rsidRDefault="00E92DBE">
      <w:pPr>
        <w:divId w:val="146453768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6074586"/>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46074586"/>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46074586"/>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98</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23" style="width:0;height:1.5pt" o:hralign="center" o:hrstd="t" o:hr="t" fillcolor="#a0a0a0" stroked="f"/>
        </w:pict>
      </w:r>
    </w:p>
    <w:p w:rsidR="00000000" w:rsidRDefault="00E92DBE">
      <w:pPr>
        <w:jc w:val="both"/>
        <w:divId w:val="491527920"/>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491527920"/>
        <w:rPr>
          <w:rFonts w:eastAsia="Times New Roman"/>
        </w:rPr>
      </w:pPr>
    </w:p>
    <w:p w:rsidR="00000000" w:rsidRDefault="00E92DBE">
      <w:pPr>
        <w:divId w:val="1989899706"/>
        <w:rPr>
          <w:rFonts w:eastAsia="Times New Roman"/>
        </w:rPr>
      </w:pPr>
      <w:r>
        <w:rPr>
          <w:rFonts w:eastAsia="Times New Roman"/>
          <w:b/>
          <w:bCs/>
          <w:color w:val="000000"/>
          <w:sz w:val="20"/>
          <w:szCs w:val="20"/>
        </w:rPr>
        <w:t>Income Statement and AOCI Presentation</w:t>
      </w:r>
    </w:p>
    <w:p w:rsidR="00000000" w:rsidRDefault="00E92DBE">
      <w:pPr>
        <w:divId w:val="2053378060"/>
        <w:rPr>
          <w:rFonts w:eastAsia="Times New Roman"/>
        </w:rPr>
      </w:pPr>
      <w:r>
        <w:rPr>
          <w:rFonts w:eastAsia="Times New Roman"/>
          <w:b/>
          <w:bCs/>
          <w:i/>
          <w:iCs/>
          <w:color w:val="000000"/>
          <w:sz w:val="20"/>
          <w:szCs w:val="20"/>
        </w:rPr>
        <w:t>Fair Value and Cash Flow Hedges</w:t>
      </w:r>
    </w:p>
    <w:p w:rsidR="00000000" w:rsidRDefault="00E92DBE">
      <w:pPr>
        <w:jc w:val="both"/>
        <w:divId w:val="969478343"/>
        <w:rPr>
          <w:rFonts w:eastAsia="Times New Roman"/>
        </w:rPr>
      </w:pPr>
      <w:r>
        <w:rPr>
          <w:rFonts w:eastAsia="Times New Roman"/>
          <w:color w:val="000000"/>
          <w:sz w:val="20"/>
          <w:szCs w:val="20"/>
        </w:rPr>
        <w:t xml:space="preserve">The net gains (losses) recognized in our consolidated statements of income related to derivatives in fair value and cash flow hedging relationships are presented below for the three months ended March 31, 2021 and 2020. </w:t>
      </w:r>
    </w:p>
    <w:p w:rsidR="00000000" w:rsidRDefault="00E92DBE">
      <w:pPr>
        <w:divId w:val="508714698"/>
        <w:rPr>
          <w:rFonts w:eastAsia="Times New Roman"/>
        </w:rPr>
      </w:pPr>
      <w:r>
        <w:rPr>
          <w:rFonts w:eastAsia="Times New Roman"/>
          <w:b/>
          <w:bCs/>
          <w:color w:val="000000"/>
          <w:sz w:val="18"/>
          <w:szCs w:val="18"/>
        </w:rPr>
        <w:t>Table 8.4: Effects of Fair Value an</w:t>
      </w:r>
      <w:r>
        <w:rPr>
          <w:rFonts w:eastAsia="Times New Roman"/>
          <w:b/>
          <w:bCs/>
          <w:color w:val="000000"/>
          <w:sz w:val="18"/>
          <w:szCs w:val="18"/>
        </w:rPr>
        <w:t>d Cash Flow Hedge Accounting</w:t>
      </w:r>
    </w:p>
    <w:tbl>
      <w:tblPr>
        <w:tblW w:w="4956" w:type="pct"/>
        <w:tblCellMar>
          <w:top w:w="15" w:type="dxa"/>
          <w:left w:w="15" w:type="dxa"/>
          <w:bottom w:w="15" w:type="dxa"/>
          <w:right w:w="15" w:type="dxa"/>
        </w:tblCellMar>
        <w:tblLook w:val="04A0" w:firstRow="1" w:lastRow="0" w:firstColumn="1" w:lastColumn="0" w:noHBand="0" w:noVBand="1"/>
      </w:tblPr>
      <w:tblGrid>
        <w:gridCol w:w="55"/>
        <w:gridCol w:w="1779"/>
        <w:gridCol w:w="36"/>
        <w:gridCol w:w="36"/>
        <w:gridCol w:w="36"/>
        <w:gridCol w:w="36"/>
        <w:gridCol w:w="36"/>
        <w:gridCol w:w="720"/>
        <w:gridCol w:w="36"/>
        <w:gridCol w:w="36"/>
        <w:gridCol w:w="36"/>
        <w:gridCol w:w="36"/>
        <w:gridCol w:w="36"/>
        <w:gridCol w:w="744"/>
        <w:gridCol w:w="36"/>
        <w:gridCol w:w="36"/>
        <w:gridCol w:w="36"/>
        <w:gridCol w:w="36"/>
        <w:gridCol w:w="36"/>
        <w:gridCol w:w="722"/>
        <w:gridCol w:w="36"/>
        <w:gridCol w:w="36"/>
        <w:gridCol w:w="36"/>
        <w:gridCol w:w="36"/>
        <w:gridCol w:w="37"/>
        <w:gridCol w:w="722"/>
        <w:gridCol w:w="36"/>
        <w:gridCol w:w="36"/>
        <w:gridCol w:w="36"/>
        <w:gridCol w:w="36"/>
        <w:gridCol w:w="37"/>
        <w:gridCol w:w="746"/>
        <w:gridCol w:w="36"/>
        <w:gridCol w:w="36"/>
        <w:gridCol w:w="36"/>
        <w:gridCol w:w="36"/>
        <w:gridCol w:w="37"/>
        <w:gridCol w:w="746"/>
        <w:gridCol w:w="36"/>
        <w:gridCol w:w="36"/>
        <w:gridCol w:w="36"/>
        <w:gridCol w:w="36"/>
        <w:gridCol w:w="37"/>
        <w:gridCol w:w="699"/>
        <w:gridCol w:w="36"/>
      </w:tblGrid>
      <w:tr w:rsidR="00000000">
        <w:trPr>
          <w:divId w:val="995576228"/>
        </w:trPr>
        <w:tc>
          <w:tcPr>
            <w:tcW w:w="50" w:type="pct"/>
            <w:vAlign w:val="center"/>
            <w:hideMark/>
          </w:tcPr>
          <w:p w:rsidR="00000000" w:rsidRDefault="00E92DBE">
            <w:pPr>
              <w:rPr>
                <w:rFonts w:eastAsia="Times New Roman"/>
              </w:rPr>
            </w:pPr>
          </w:p>
        </w:tc>
        <w:tc>
          <w:tcPr>
            <w:tcW w:w="10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995576228"/>
          <w:trHeight w:val="6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995576228"/>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1802"/>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22"/>
        <w:gridCol w:w="144"/>
      </w:tblGrid>
      <w:tr w:rsidR="00000000">
        <w:tc>
          <w:tcPr>
            <w:tcW w:w="50" w:type="pct"/>
            <w:vAlign w:val="center"/>
            <w:hideMark/>
          </w:tcPr>
          <w:p w:rsidR="00000000" w:rsidRDefault="00E92DBE">
            <w:pPr>
              <w:rPr>
                <w:rFonts w:eastAsia="Times New Roman"/>
              </w:rPr>
            </w:pPr>
          </w:p>
        </w:tc>
        <w:tc>
          <w:tcPr>
            <w:tcW w:w="108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 2021</w:t>
            </w:r>
          </w:p>
        </w:tc>
      </w:tr>
      <w:tr w:rsidR="00000000">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Non-Interest Income</w:t>
            </w: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Other</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759105347"/>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5,854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divId w:val="309868832"/>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(25)</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(58)</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(80)</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(336)</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(61)</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divId w:val="631985764"/>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(105)</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1427463643"/>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1032069395"/>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1975673698"/>
              <w:rPr>
                <w:rFonts w:eastAsia="Times New Roman"/>
              </w:rPr>
            </w:pPr>
            <w:r>
              <w:rPr>
                <w:rFonts w:eastAsia="Times New Roman"/>
                <w:color w:val="000000"/>
                <w:sz w:val="18"/>
                <w:szCs w:val="18"/>
              </w:rPr>
              <w:t>Realized gains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226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bl>
    <w:p w:rsidR="00000000" w:rsidRDefault="00E92DBE">
      <w:pPr>
        <w:divId w:val="1026634156"/>
        <w:rPr>
          <w:rFonts w:eastAsia="Times New Roman"/>
          <w:vanish/>
        </w:rPr>
      </w:pPr>
    </w:p>
    <w:tbl>
      <w:tblPr>
        <w:tblW w:w="4956" w:type="pct"/>
        <w:tblCellMar>
          <w:top w:w="15" w:type="dxa"/>
          <w:left w:w="15" w:type="dxa"/>
          <w:bottom w:w="15" w:type="dxa"/>
          <w:right w:w="15" w:type="dxa"/>
        </w:tblCellMar>
        <w:tblLook w:val="04A0" w:firstRow="1" w:lastRow="0" w:firstColumn="1" w:lastColumn="0" w:noHBand="0" w:noVBand="1"/>
      </w:tblPr>
      <w:tblGrid>
        <w:gridCol w:w="55"/>
        <w:gridCol w:w="1743"/>
        <w:gridCol w:w="36"/>
        <w:gridCol w:w="36"/>
        <w:gridCol w:w="36"/>
        <w:gridCol w:w="36"/>
        <w:gridCol w:w="36"/>
        <w:gridCol w:w="720"/>
        <w:gridCol w:w="36"/>
        <w:gridCol w:w="36"/>
        <w:gridCol w:w="36"/>
        <w:gridCol w:w="36"/>
        <w:gridCol w:w="36"/>
        <w:gridCol w:w="744"/>
        <w:gridCol w:w="36"/>
        <w:gridCol w:w="36"/>
        <w:gridCol w:w="36"/>
        <w:gridCol w:w="36"/>
        <w:gridCol w:w="36"/>
        <w:gridCol w:w="709"/>
        <w:gridCol w:w="36"/>
        <w:gridCol w:w="36"/>
        <w:gridCol w:w="36"/>
        <w:gridCol w:w="36"/>
        <w:gridCol w:w="37"/>
        <w:gridCol w:w="722"/>
        <w:gridCol w:w="36"/>
        <w:gridCol w:w="36"/>
        <w:gridCol w:w="36"/>
        <w:gridCol w:w="36"/>
        <w:gridCol w:w="37"/>
        <w:gridCol w:w="746"/>
        <w:gridCol w:w="36"/>
        <w:gridCol w:w="36"/>
        <w:gridCol w:w="36"/>
        <w:gridCol w:w="36"/>
        <w:gridCol w:w="37"/>
        <w:gridCol w:w="746"/>
        <w:gridCol w:w="36"/>
        <w:gridCol w:w="36"/>
        <w:gridCol w:w="36"/>
        <w:gridCol w:w="36"/>
        <w:gridCol w:w="37"/>
        <w:gridCol w:w="748"/>
        <w:gridCol w:w="36"/>
      </w:tblGrid>
      <w:tr w:rsidR="00000000">
        <w:trPr>
          <w:divId w:val="1026634156"/>
        </w:trPr>
        <w:tc>
          <w:tcPr>
            <w:tcW w:w="50" w:type="pct"/>
            <w:vAlign w:val="center"/>
            <w:hideMark/>
          </w:tcPr>
          <w:p w:rsidR="00000000" w:rsidRDefault="00E92DBE">
            <w:pPr>
              <w:rPr>
                <w:rFonts w:eastAsia="Times New Roman"/>
              </w:rPr>
            </w:pPr>
          </w:p>
        </w:tc>
        <w:tc>
          <w:tcPr>
            <w:tcW w:w="107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026634156"/>
          <w:trHeight w:val="6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2663415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99</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24" style="width:0;height:1.5pt" o:hralign="center" o:hrstd="t" o:hr="t" fillcolor="#a0a0a0" stroked="f"/>
        </w:pict>
      </w:r>
    </w:p>
    <w:p w:rsidR="00000000" w:rsidRDefault="00E92DBE">
      <w:pPr>
        <w:jc w:val="both"/>
        <w:divId w:val="1595940127"/>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59594012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673"/>
        <w:gridCol w:w="39"/>
        <w:gridCol w:w="36"/>
        <w:gridCol w:w="36"/>
        <w:gridCol w:w="36"/>
        <w:gridCol w:w="111"/>
        <w:gridCol w:w="718"/>
        <w:gridCol w:w="36"/>
        <w:gridCol w:w="36"/>
        <w:gridCol w:w="36"/>
        <w:gridCol w:w="36"/>
        <w:gridCol w:w="111"/>
        <w:gridCol w:w="625"/>
        <w:gridCol w:w="36"/>
        <w:gridCol w:w="36"/>
        <w:gridCol w:w="36"/>
        <w:gridCol w:w="36"/>
        <w:gridCol w:w="111"/>
        <w:gridCol w:w="568"/>
        <w:gridCol w:w="36"/>
        <w:gridCol w:w="36"/>
        <w:gridCol w:w="36"/>
        <w:gridCol w:w="36"/>
        <w:gridCol w:w="111"/>
        <w:gridCol w:w="633"/>
        <w:gridCol w:w="36"/>
        <w:gridCol w:w="36"/>
        <w:gridCol w:w="36"/>
        <w:gridCol w:w="36"/>
        <w:gridCol w:w="111"/>
        <w:gridCol w:w="743"/>
        <w:gridCol w:w="36"/>
        <w:gridCol w:w="36"/>
        <w:gridCol w:w="36"/>
        <w:gridCol w:w="36"/>
        <w:gridCol w:w="111"/>
        <w:gridCol w:w="871"/>
        <w:gridCol w:w="36"/>
        <w:gridCol w:w="36"/>
        <w:gridCol w:w="36"/>
        <w:gridCol w:w="36"/>
        <w:gridCol w:w="111"/>
        <w:gridCol w:w="595"/>
        <w:gridCol w:w="36"/>
      </w:tblGrid>
      <w:tr w:rsidR="00000000">
        <w:trPr>
          <w:divId w:val="1037925211"/>
        </w:trPr>
        <w:tc>
          <w:tcPr>
            <w:tcW w:w="50" w:type="pct"/>
            <w:vAlign w:val="center"/>
            <w:hideMark/>
          </w:tcPr>
          <w:p w:rsidR="00000000" w:rsidRDefault="00E92DBE">
            <w:pPr>
              <w:jc w:val="center"/>
              <w:rPr>
                <w:rFonts w:eastAsia="Times New Roman"/>
              </w:rPr>
            </w:pPr>
          </w:p>
        </w:tc>
        <w:tc>
          <w:tcPr>
            <w:tcW w:w="106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0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03792521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37925211"/>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 2020</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037925211"/>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Non-Interest Income</w:t>
            </w:r>
          </w:p>
        </w:tc>
      </w:tr>
      <w:tr w:rsidR="00000000">
        <w:trPr>
          <w:divId w:val="103792521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Other</w:t>
            </w:r>
          </w:p>
        </w:tc>
      </w:tr>
      <w:tr w:rsidR="00E92DBE">
        <w:trPr>
          <w:divId w:val="103792521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1299262489"/>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6,542 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037925211"/>
        </w:trPr>
        <w:tc>
          <w:tcPr>
            <w:tcW w:w="0" w:type="auto"/>
            <w:gridSpan w:val="3"/>
            <w:shd w:val="clear" w:color="auto" w:fill="FFFFFF"/>
            <w:tcMar>
              <w:top w:w="30" w:type="dxa"/>
              <w:left w:w="20" w:type="dxa"/>
              <w:bottom w:w="30" w:type="dxa"/>
              <w:right w:w="20" w:type="dxa"/>
            </w:tcMar>
            <w:vAlign w:val="center"/>
            <w:hideMark/>
          </w:tcPr>
          <w:p w:rsidR="00000000" w:rsidRDefault="00E92DBE">
            <w:pPr>
              <w:divId w:val="1455559275"/>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03792521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E92DBE">
        <w:trPr>
          <w:divId w:val="1037925211"/>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037925211"/>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(338)</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287 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282 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1,068 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037925211"/>
        </w:trPr>
        <w:tc>
          <w:tcPr>
            <w:tcW w:w="0" w:type="auto"/>
            <w:gridSpan w:val="3"/>
            <w:shd w:val="clear" w:color="auto" w:fill="FFFFFF"/>
            <w:tcMar>
              <w:top w:w="30" w:type="dxa"/>
              <w:left w:w="20" w:type="dxa"/>
              <w:bottom w:w="30" w:type="dxa"/>
              <w:right w:w="20" w:type="dxa"/>
            </w:tcMar>
            <w:vAlign w:val="center"/>
            <w:hideMark/>
          </w:tcPr>
          <w:p w:rsidR="00000000" w:rsidRDefault="00E92DBE">
            <w:pPr>
              <w:divId w:val="821195795"/>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338 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(286)</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(292)</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(1,091)</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037925211"/>
        </w:trPr>
        <w:tc>
          <w:tcPr>
            <w:tcW w:w="0" w:type="auto"/>
            <w:gridSpan w:val="3"/>
            <w:shd w:val="clear" w:color="auto" w:fill="CCEEFF"/>
            <w:tcMar>
              <w:top w:w="30" w:type="dxa"/>
              <w:left w:w="20" w:type="dxa"/>
              <w:bottom w:w="30" w:type="dxa"/>
              <w:right w:w="20" w:type="dxa"/>
            </w:tcMar>
            <w:vAlign w:val="center"/>
            <w:hideMark/>
          </w:tcPr>
          <w:p w:rsidR="00000000" w:rsidRDefault="00E92DBE">
            <w:pPr>
              <w:divId w:val="497039153"/>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E92DBE">
        <w:trPr>
          <w:divId w:val="103792521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037925211"/>
        </w:trPr>
        <w:tc>
          <w:tcPr>
            <w:tcW w:w="0" w:type="auto"/>
            <w:gridSpan w:val="3"/>
            <w:shd w:val="clear" w:color="auto" w:fill="CCEEFF"/>
            <w:tcMar>
              <w:top w:w="30" w:type="dxa"/>
              <w:left w:w="20" w:type="dxa"/>
              <w:bottom w:w="30" w:type="dxa"/>
              <w:right w:w="20" w:type="dxa"/>
            </w:tcMar>
            <w:vAlign w:val="center"/>
            <w:hideMark/>
          </w:tcPr>
          <w:p w:rsidR="00000000" w:rsidRDefault="00E92DBE">
            <w:pPr>
              <w:divId w:val="1982726847"/>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03792521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E92DBE">
        <w:trPr>
          <w:divId w:val="1037925211"/>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Realized losses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03792521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037925211"/>
        </w:trPr>
        <w:tc>
          <w:tcPr>
            <w:tcW w:w="0" w:type="auto"/>
            <w:gridSpan w:val="3"/>
            <w:shd w:val="clear" w:color="auto" w:fill="CCEEFF"/>
            <w:tcMar>
              <w:top w:w="30" w:type="dxa"/>
              <w:left w:w="20" w:type="dxa"/>
              <w:bottom w:w="30" w:type="dxa"/>
              <w:right w:w="20" w:type="dxa"/>
            </w:tcMar>
            <w:vAlign w:val="center"/>
            <w:hideMark/>
          </w:tcPr>
          <w:p w:rsidR="00000000" w:rsidRDefault="00E92DBE">
            <w:pPr>
              <w:divId w:val="1793817953"/>
              <w:rPr>
                <w:rFonts w:eastAsia="Times New Roman"/>
              </w:rPr>
            </w:pPr>
            <w:r>
              <w:rPr>
                <w:rFonts w:eastAsia="Times New Roman"/>
                <w:color w:val="000000"/>
                <w:sz w:val="18"/>
                <w:szCs w:val="18"/>
              </w:rPr>
              <w:t>Realized gains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E92DBE">
        <w:trPr>
          <w:divId w:val="103792521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bl>
    <w:p w:rsidR="00000000" w:rsidRDefault="00E92DBE">
      <w:pPr>
        <w:divId w:val="253362251"/>
        <w:rPr>
          <w:rFonts w:eastAsia="Times New Roman"/>
        </w:rPr>
      </w:pPr>
      <w:r>
        <w:rPr>
          <w:rFonts w:eastAsia="Times New Roman"/>
          <w:color w:val="000000"/>
          <w:sz w:val="20"/>
          <w:szCs w:val="20"/>
        </w:rPr>
        <w:t>_________</w:t>
      </w:r>
    </w:p>
    <w:p w:rsidR="00000000" w:rsidRDefault="00E92DBE">
      <w:pPr>
        <w:ind w:hanging="360"/>
        <w:jc w:val="both"/>
        <w:divId w:val="103142306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amortization benefit of $22 million and expense of $36 million for the three months ended March 31, 2021 and 2020, respectivel</w:t>
      </w:r>
      <w:r>
        <w:rPr>
          <w:rFonts w:eastAsia="Times New Roman"/>
          <w:color w:val="000000"/>
          <w:sz w:val="16"/>
          <w:szCs w:val="16"/>
        </w:rPr>
        <w:t>y, related to basis adjustments on discontinued hedges.</w:t>
      </w:r>
    </w:p>
    <w:p w:rsidR="00000000" w:rsidRDefault="00E92DBE">
      <w:pPr>
        <w:ind w:hanging="360"/>
        <w:jc w:val="both"/>
        <w:divId w:val="196400138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Changes in fair values of cross-currency swaps attributable to changes in cross-currency basis spreads are excluded from the assessment of hedge effectiveness and recorded in other comprehensive income. The initial value of the excluded component is recogn</w:t>
      </w:r>
      <w:r>
        <w:rPr>
          <w:rFonts w:eastAsia="Times New Roman"/>
          <w:color w:val="000000"/>
          <w:sz w:val="16"/>
          <w:szCs w:val="16"/>
        </w:rPr>
        <w:t>ized in earnings over the life of the swap under the amortization approach.</w:t>
      </w:r>
    </w:p>
    <w:p w:rsidR="00000000" w:rsidRDefault="00E92DBE">
      <w:pPr>
        <w:ind w:hanging="360"/>
        <w:jc w:val="both"/>
        <w:divId w:val="712115138"/>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See “Note 9—Stockholders’ Equity” for the effects of cash flow and net investment hedges on AOCI and amounts reclassified to net income, net of tax.</w:t>
      </w:r>
    </w:p>
    <w:p w:rsidR="00000000" w:rsidRDefault="00E92DBE">
      <w:pPr>
        <w:ind w:hanging="360"/>
        <w:jc w:val="both"/>
        <w:divId w:val="52494967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We recognized a gain of $</w:t>
      </w:r>
      <w:r>
        <w:rPr>
          <w:rFonts w:eastAsia="Times New Roman"/>
          <w:color w:val="000000"/>
          <w:sz w:val="16"/>
          <w:szCs w:val="16"/>
        </w:rPr>
        <w:t>85 million and $392 million for the three months ended March 31, 2021 and 2020, respectively, on foreign exchange contracts reclassified from AOCI. These amounts were largely offset by the foreign currency transaction gains (losses) on our foreign currency</w:t>
      </w:r>
      <w:r>
        <w:rPr>
          <w:rFonts w:eastAsia="Times New Roman"/>
          <w:color w:val="000000"/>
          <w:sz w:val="16"/>
          <w:szCs w:val="16"/>
        </w:rPr>
        <w:t xml:space="preserve"> denominated intercompany funding included other non-interest income.</w:t>
      </w:r>
    </w:p>
    <w:p w:rsidR="00000000" w:rsidRDefault="00E92DBE">
      <w:pPr>
        <w:jc w:val="both"/>
        <w:divId w:val="2145461714"/>
        <w:rPr>
          <w:rFonts w:eastAsia="Times New Roman"/>
        </w:rPr>
      </w:pPr>
      <w:r>
        <w:rPr>
          <w:rFonts w:eastAsia="Times New Roman"/>
          <w:color w:val="000000"/>
          <w:sz w:val="20"/>
          <w:szCs w:val="20"/>
        </w:rPr>
        <w:t>In the next 12 months, we expect to reclassify net after-tax gains of $575 million recorded in AOCI as of March 31, 2021 into earnings. These amounts will offset the cash flows associate</w:t>
      </w:r>
      <w:r>
        <w:rPr>
          <w:rFonts w:eastAsia="Times New Roman"/>
          <w:color w:val="000000"/>
          <w:sz w:val="20"/>
          <w:szCs w:val="20"/>
        </w:rPr>
        <w:t>d with the hedged forecasted transactions. The maximum length of time over which forecasted transactions were hedged was approximately 7 years as of March 31, 2021. The amount we expect to reclassify into earnings may change as a result of changes in marke</w:t>
      </w:r>
      <w:r>
        <w:rPr>
          <w:rFonts w:eastAsia="Times New Roman"/>
          <w:color w:val="000000"/>
          <w:sz w:val="20"/>
          <w:szCs w:val="20"/>
        </w:rPr>
        <w:t>t conditions and ongoing actions taken as part of our overall risk management strategy.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1239099"/>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61239099"/>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61239099"/>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100</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25" style="width:0;height:1.5pt" o:hralign="center" o:hrstd="t" o:hr="t" fillcolor="#a0a0a0" stroked="f"/>
        </w:pict>
      </w:r>
    </w:p>
    <w:p w:rsidR="00000000" w:rsidRDefault="00E92DBE">
      <w:pPr>
        <w:jc w:val="both"/>
        <w:divId w:val="1233277045"/>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233277045"/>
        <w:rPr>
          <w:rFonts w:eastAsia="Times New Roman"/>
        </w:rPr>
      </w:pPr>
    </w:p>
    <w:p w:rsidR="00000000" w:rsidRDefault="00E92DBE">
      <w:pPr>
        <w:divId w:val="779106097"/>
        <w:rPr>
          <w:rFonts w:eastAsia="Times New Roman"/>
        </w:rPr>
      </w:pPr>
      <w:r>
        <w:rPr>
          <w:rFonts w:eastAsia="Times New Roman"/>
          <w:b/>
          <w:bCs/>
          <w:i/>
          <w:iCs/>
          <w:color w:val="000000"/>
          <w:sz w:val="20"/>
          <w:szCs w:val="20"/>
        </w:rPr>
        <w:t>Free-Standing Derivatives</w:t>
      </w:r>
    </w:p>
    <w:p w:rsidR="00000000" w:rsidRDefault="00E92DBE">
      <w:pPr>
        <w:jc w:val="both"/>
        <w:divId w:val="1901868925"/>
        <w:rPr>
          <w:rFonts w:eastAsia="Times New Roman"/>
        </w:rPr>
      </w:pPr>
      <w:r>
        <w:rPr>
          <w:rFonts w:eastAsia="Times New Roman"/>
          <w:color w:val="000000"/>
          <w:sz w:val="20"/>
          <w:szCs w:val="20"/>
        </w:rPr>
        <w:t>The net impacts to our consolidated statements of income related to free-standing derivatives are presented below fo</w:t>
      </w:r>
      <w:r>
        <w:rPr>
          <w:rFonts w:eastAsia="Times New Roman"/>
          <w:color w:val="000000"/>
          <w:sz w:val="20"/>
          <w:szCs w:val="20"/>
        </w:rPr>
        <w:t>r the three months ended March 31, 2021 and 2020. These gains or losses are recognized in other non-interest income in our consolidated statements of income.</w:t>
      </w:r>
    </w:p>
    <w:p w:rsidR="00000000" w:rsidRDefault="00E92DBE">
      <w:pPr>
        <w:divId w:val="1378892680"/>
        <w:rPr>
          <w:rFonts w:eastAsia="Times New Roman"/>
        </w:rPr>
      </w:pPr>
      <w:r>
        <w:rPr>
          <w:rFonts w:eastAsia="Times New Roman"/>
          <w:b/>
          <w:bCs/>
          <w:color w:val="000000"/>
          <w:sz w:val="18"/>
          <w:szCs w:val="18"/>
        </w:rPr>
        <w:t>Table 8.5: Gains (Losses) on Free-Standing Derivatives</w:t>
      </w:r>
    </w:p>
    <w:tbl>
      <w:tblPr>
        <w:tblW w:w="5000" w:type="pct"/>
        <w:tblCellMar>
          <w:top w:w="15" w:type="dxa"/>
          <w:left w:w="15" w:type="dxa"/>
          <w:bottom w:w="15" w:type="dxa"/>
          <w:right w:w="15" w:type="dxa"/>
        </w:tblCellMar>
        <w:tblLook w:val="04A0" w:firstRow="1" w:lastRow="0" w:firstColumn="1" w:lastColumn="0" w:noHBand="0" w:noVBand="1"/>
      </w:tblPr>
      <w:tblGrid>
        <w:gridCol w:w="39"/>
        <w:gridCol w:w="5275"/>
        <w:gridCol w:w="38"/>
        <w:gridCol w:w="36"/>
        <w:gridCol w:w="36"/>
        <w:gridCol w:w="36"/>
        <w:gridCol w:w="36"/>
        <w:gridCol w:w="36"/>
        <w:gridCol w:w="246"/>
        <w:gridCol w:w="246"/>
        <w:gridCol w:w="110"/>
        <w:gridCol w:w="833"/>
        <w:gridCol w:w="36"/>
        <w:gridCol w:w="36"/>
        <w:gridCol w:w="36"/>
        <w:gridCol w:w="36"/>
        <w:gridCol w:w="110"/>
        <w:gridCol w:w="833"/>
        <w:gridCol w:w="36"/>
        <w:gridCol w:w="36"/>
        <w:gridCol w:w="36"/>
        <w:gridCol w:w="36"/>
        <w:gridCol w:w="36"/>
        <w:gridCol w:w="36"/>
        <w:gridCol w:w="36"/>
      </w:tblGrid>
      <w:tr w:rsidR="00000000">
        <w:trPr>
          <w:divId w:val="1619995118"/>
        </w:trPr>
        <w:tc>
          <w:tcPr>
            <w:tcW w:w="50" w:type="pct"/>
            <w:vAlign w:val="center"/>
            <w:hideMark/>
          </w:tcPr>
          <w:p w:rsidR="00000000" w:rsidRDefault="00E92DBE">
            <w:pPr>
              <w:rPr>
                <w:rFonts w:eastAsia="Times New Roman"/>
              </w:rPr>
            </w:pPr>
          </w:p>
        </w:tc>
        <w:tc>
          <w:tcPr>
            <w:tcW w:w="354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19995118"/>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619995118"/>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r>
      <w:tr w:rsidR="00000000">
        <w:trPr>
          <w:divId w:val="161999511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Gains (losses) recognized in other non-interest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1999511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Customer accommodation:</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1999511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19995118"/>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19995118"/>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Foreign exchange and other contracts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1999511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customer accommodation</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1999511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interest rate exposures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19995118"/>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contracts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619995118"/>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1802"/>
        <w:gridCol w:w="144"/>
        <w:gridCol w:w="144"/>
        <w:gridCol w:w="144"/>
        <w:gridCol w:w="144"/>
        <w:gridCol w:w="144"/>
        <w:gridCol w:w="745"/>
        <w:gridCol w:w="144"/>
        <w:gridCol w:w="144"/>
        <w:gridCol w:w="144"/>
        <w:gridCol w:w="144"/>
        <w:gridCol w:w="144"/>
        <w:gridCol w:w="770"/>
        <w:gridCol w:w="144"/>
        <w:gridCol w:w="144"/>
        <w:gridCol w:w="144"/>
        <w:gridCol w:w="144"/>
        <w:gridCol w:w="144"/>
        <w:gridCol w:w="745"/>
        <w:gridCol w:w="144"/>
        <w:gridCol w:w="144"/>
        <w:gridCol w:w="144"/>
        <w:gridCol w:w="144"/>
        <w:gridCol w:w="144"/>
        <w:gridCol w:w="745"/>
        <w:gridCol w:w="144"/>
        <w:gridCol w:w="144"/>
        <w:gridCol w:w="144"/>
        <w:gridCol w:w="144"/>
        <w:gridCol w:w="144"/>
        <w:gridCol w:w="770"/>
        <w:gridCol w:w="144"/>
        <w:gridCol w:w="144"/>
        <w:gridCol w:w="144"/>
        <w:gridCol w:w="144"/>
        <w:gridCol w:w="144"/>
        <w:gridCol w:w="770"/>
        <w:gridCol w:w="144"/>
        <w:gridCol w:w="144"/>
        <w:gridCol w:w="144"/>
        <w:gridCol w:w="144"/>
        <w:gridCol w:w="144"/>
        <w:gridCol w:w="722"/>
        <w:gridCol w:w="144"/>
      </w:tblGrid>
      <w:tr w:rsidR="00000000">
        <w:trPr>
          <w:jc w:val="center"/>
        </w:trPr>
        <w:tc>
          <w:tcPr>
            <w:tcW w:w="50" w:type="pct"/>
            <w:vAlign w:val="center"/>
            <w:hideMark/>
          </w:tcPr>
          <w:p w:rsidR="00000000" w:rsidRDefault="00E92DBE">
            <w:pPr>
              <w:rPr>
                <w:rFonts w:eastAsia="Times New Roman"/>
              </w:rPr>
            </w:pPr>
          </w:p>
        </w:tc>
        <w:tc>
          <w:tcPr>
            <w:tcW w:w="10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jc w:val="center"/>
        <w:divId w:val="702361625"/>
        <w:rPr>
          <w:rFonts w:eastAsia="Times New Roman"/>
          <w:vanish/>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55"/>
        <w:gridCol w:w="1779"/>
        <w:gridCol w:w="36"/>
        <w:gridCol w:w="36"/>
        <w:gridCol w:w="36"/>
        <w:gridCol w:w="36"/>
        <w:gridCol w:w="36"/>
        <w:gridCol w:w="720"/>
        <w:gridCol w:w="36"/>
        <w:gridCol w:w="36"/>
        <w:gridCol w:w="36"/>
        <w:gridCol w:w="36"/>
        <w:gridCol w:w="36"/>
        <w:gridCol w:w="744"/>
        <w:gridCol w:w="36"/>
        <w:gridCol w:w="36"/>
        <w:gridCol w:w="36"/>
        <w:gridCol w:w="36"/>
        <w:gridCol w:w="36"/>
        <w:gridCol w:w="722"/>
        <w:gridCol w:w="36"/>
        <w:gridCol w:w="36"/>
        <w:gridCol w:w="36"/>
        <w:gridCol w:w="36"/>
        <w:gridCol w:w="37"/>
        <w:gridCol w:w="722"/>
        <w:gridCol w:w="36"/>
        <w:gridCol w:w="36"/>
        <w:gridCol w:w="36"/>
        <w:gridCol w:w="36"/>
        <w:gridCol w:w="37"/>
        <w:gridCol w:w="746"/>
        <w:gridCol w:w="36"/>
        <w:gridCol w:w="36"/>
        <w:gridCol w:w="36"/>
        <w:gridCol w:w="36"/>
        <w:gridCol w:w="37"/>
        <w:gridCol w:w="746"/>
        <w:gridCol w:w="36"/>
        <w:gridCol w:w="36"/>
        <w:gridCol w:w="36"/>
        <w:gridCol w:w="36"/>
        <w:gridCol w:w="37"/>
        <w:gridCol w:w="699"/>
        <w:gridCol w:w="36"/>
      </w:tblGrid>
      <w:tr w:rsidR="00000000">
        <w:trPr>
          <w:divId w:val="702361625"/>
          <w:jc w:val="center"/>
        </w:trPr>
        <w:tc>
          <w:tcPr>
            <w:tcW w:w="50" w:type="pct"/>
            <w:vAlign w:val="center"/>
            <w:hideMark/>
          </w:tcPr>
          <w:p w:rsidR="00000000" w:rsidRDefault="00E92DBE">
            <w:pPr>
              <w:jc w:val="center"/>
              <w:rPr>
                <w:rFonts w:eastAsia="Times New Roman"/>
              </w:rPr>
            </w:pPr>
          </w:p>
        </w:tc>
        <w:tc>
          <w:tcPr>
            <w:tcW w:w="10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5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702361625"/>
          <w:trHeight w:val="60"/>
          <w:jc w:val="center"/>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702361625"/>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36" w:type="pct"/>
        <w:jc w:val="center"/>
        <w:tblCellMar>
          <w:top w:w="15" w:type="dxa"/>
          <w:left w:w="15" w:type="dxa"/>
          <w:bottom w:w="15" w:type="dxa"/>
          <w:right w:w="15" w:type="dxa"/>
        </w:tblCellMar>
        <w:tblLook w:val="04A0" w:firstRow="1" w:lastRow="0" w:firstColumn="1" w:lastColumn="0" w:noHBand="0" w:noVBand="1"/>
      </w:tblPr>
      <w:tblGrid>
        <w:gridCol w:w="144"/>
        <w:gridCol w:w="144"/>
        <w:gridCol w:w="144"/>
      </w:tblGrid>
      <w:tr w:rsidR="00000000">
        <w:trPr>
          <w:jc w:val="center"/>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bl>
    <w:p w:rsidR="00000000" w:rsidRDefault="00E92DBE">
      <w:pPr>
        <w:jc w:val="center"/>
        <w:divId w:val="102243653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22317141"/>
          <w:jc w:val="center"/>
        </w:trPr>
        <w:tc>
          <w:tcPr>
            <w:tcW w:w="50" w:type="pct"/>
            <w:vAlign w:val="center"/>
            <w:hideMark/>
          </w:tcPr>
          <w:p w:rsidR="00000000" w:rsidRDefault="00E92DBE">
            <w:pPr>
              <w:jc w:val="cente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022317141"/>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022317141"/>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101</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26" style="width:0;height:1.5pt" o:hralign="center" o:hrstd="t" o:hr="t" fillcolor="#a0a0a0" stroked="f"/>
        </w:pict>
      </w:r>
    </w:p>
    <w:p w:rsidR="00000000" w:rsidRDefault="00E92DBE">
      <w:pPr>
        <w:jc w:val="both"/>
        <w:divId w:val="188948616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88948616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587927838"/>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58792783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NOTE 9—STOCKHOLDERS’ EQUITY</w:t>
            </w:r>
          </w:p>
        </w:tc>
      </w:tr>
    </w:tbl>
    <w:p w:rsidR="00000000" w:rsidRDefault="00E92DBE">
      <w:pPr>
        <w:divId w:val="823400593"/>
        <w:rPr>
          <w:rFonts w:eastAsia="Times New Roman"/>
        </w:rPr>
      </w:pPr>
      <w:r>
        <w:rPr>
          <w:rFonts w:eastAsia="Times New Roman"/>
          <w:b/>
          <w:bCs/>
          <w:color w:val="000000"/>
          <w:sz w:val="20"/>
          <w:szCs w:val="20"/>
        </w:rPr>
        <w:t>Preferred Stock</w:t>
      </w:r>
    </w:p>
    <w:p w:rsidR="00000000" w:rsidRDefault="00E92DBE">
      <w:pPr>
        <w:jc w:val="both"/>
        <w:divId w:val="2052680231"/>
        <w:rPr>
          <w:rFonts w:eastAsia="Times New Roman"/>
        </w:rPr>
      </w:pPr>
      <w:r>
        <w:rPr>
          <w:rFonts w:eastAsia="Times New Roman"/>
          <w:color w:val="000000"/>
          <w:sz w:val="20"/>
          <w:szCs w:val="20"/>
        </w:rPr>
        <w:t>The following table summarizes our preferred stock outstanding as of March 31, 2021 and December 31, 2020.</w:t>
      </w:r>
    </w:p>
    <w:p w:rsidR="00000000" w:rsidRDefault="00E92DBE">
      <w:pPr>
        <w:divId w:val="161049859"/>
        <w:rPr>
          <w:rFonts w:eastAsia="Times New Roman"/>
        </w:rPr>
      </w:pPr>
      <w:r>
        <w:rPr>
          <w:rFonts w:eastAsia="Times New Roman"/>
          <w:b/>
          <w:bCs/>
          <w:color w:val="000000"/>
          <w:sz w:val="18"/>
          <w:szCs w:val="18"/>
        </w:rPr>
        <w:t>Table 9.1: Preferred Stock Outstandin</w:t>
      </w:r>
      <w:r>
        <w:rPr>
          <w:rFonts w:eastAsia="Times New Roman"/>
          <w:b/>
          <w:bCs/>
          <w:color w:val="000000"/>
          <w:sz w:val="18"/>
          <w:szCs w:val="18"/>
        </w:rPr>
        <w:t>g</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56"/>
        <w:gridCol w:w="501"/>
        <w:gridCol w:w="36"/>
        <w:gridCol w:w="36"/>
        <w:gridCol w:w="36"/>
        <w:gridCol w:w="36"/>
        <w:gridCol w:w="76"/>
        <w:gridCol w:w="704"/>
        <w:gridCol w:w="36"/>
        <w:gridCol w:w="36"/>
        <w:gridCol w:w="36"/>
        <w:gridCol w:w="36"/>
        <w:gridCol w:w="72"/>
        <w:gridCol w:w="638"/>
        <w:gridCol w:w="37"/>
        <w:gridCol w:w="36"/>
        <w:gridCol w:w="36"/>
        <w:gridCol w:w="36"/>
        <w:gridCol w:w="77"/>
        <w:gridCol w:w="687"/>
        <w:gridCol w:w="36"/>
        <w:gridCol w:w="36"/>
        <w:gridCol w:w="36"/>
        <w:gridCol w:w="36"/>
        <w:gridCol w:w="84"/>
        <w:gridCol w:w="642"/>
        <w:gridCol w:w="37"/>
        <w:gridCol w:w="36"/>
        <w:gridCol w:w="36"/>
        <w:gridCol w:w="36"/>
        <w:gridCol w:w="86"/>
        <w:gridCol w:w="641"/>
        <w:gridCol w:w="37"/>
        <w:gridCol w:w="36"/>
        <w:gridCol w:w="36"/>
        <w:gridCol w:w="36"/>
        <w:gridCol w:w="101"/>
        <w:gridCol w:w="654"/>
        <w:gridCol w:w="36"/>
        <w:gridCol w:w="36"/>
        <w:gridCol w:w="36"/>
        <w:gridCol w:w="36"/>
        <w:gridCol w:w="81"/>
        <w:gridCol w:w="698"/>
        <w:gridCol w:w="36"/>
        <w:gridCol w:w="36"/>
        <w:gridCol w:w="36"/>
        <w:gridCol w:w="36"/>
        <w:gridCol w:w="100"/>
        <w:gridCol w:w="400"/>
        <w:gridCol w:w="36"/>
        <w:gridCol w:w="36"/>
        <w:gridCol w:w="36"/>
        <w:gridCol w:w="36"/>
        <w:gridCol w:w="101"/>
        <w:gridCol w:w="572"/>
        <w:gridCol w:w="36"/>
      </w:tblGrid>
      <w:tr w:rsidR="00000000">
        <w:trPr>
          <w:divId w:val="803354551"/>
        </w:trPr>
        <w:tc>
          <w:tcPr>
            <w:tcW w:w="50" w:type="pct"/>
            <w:vAlign w:val="center"/>
            <w:hideMark/>
          </w:tcPr>
          <w:p w:rsidR="00000000" w:rsidRDefault="00E92DBE">
            <w:pPr>
              <w:rPr>
                <w:rFonts w:eastAsia="Times New Roman"/>
              </w:rPr>
            </w:pPr>
          </w:p>
        </w:tc>
        <w:tc>
          <w:tcPr>
            <w:tcW w:w="34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8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2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2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803354551"/>
          <w:trHeight w:val="46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Redeemable by Issuer Beginning</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Per Annum Dividend Rate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Dividend Frequency</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Liquidation Preference per Share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Total Shares Outstanding</w:t>
            </w:r>
            <w:r>
              <w:rPr>
                <w:rFonts w:eastAsia="Times New Roman"/>
                <w:b/>
                <w:bCs/>
                <w:color w:val="000000"/>
                <w:sz w:val="14"/>
                <w:szCs w:val="14"/>
              </w:rPr>
              <w:br/>
              <w:t xml:space="preserve">as of </w:t>
            </w:r>
            <w:r>
              <w:rPr>
                <w:rFonts w:eastAsia="Times New Roman"/>
                <w:b/>
                <w:bCs/>
                <w:color w:val="000000"/>
                <w:sz w:val="14"/>
                <w:szCs w:val="14"/>
              </w:rPr>
              <w:br/>
              <w:t>March 31,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 xml:space="preserve">Carrying Value </w:t>
            </w:r>
            <w:r>
              <w:rPr>
                <w:rFonts w:eastAsia="Times New Roman"/>
                <w:b/>
                <w:bCs/>
                <w:color w:val="000000"/>
                <w:sz w:val="14"/>
                <w:szCs w:val="14"/>
              </w:rPr>
              <w:br/>
              <w:t>(in millions)</w:t>
            </w:r>
          </w:p>
        </w:tc>
      </w:tr>
      <w:tr w:rsidR="00000000">
        <w:trPr>
          <w:divId w:val="803354551"/>
          <w:trHeight w:val="400"/>
        </w:trPr>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Series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Description</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Issuance Date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March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December 31, 2020</w:t>
            </w:r>
          </w:p>
        </w:tc>
      </w:tr>
      <w:tr w:rsidR="00000000">
        <w:trPr>
          <w:divId w:val="803354551"/>
        </w:trPr>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80335455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80335455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E92DBE">
        <w:trPr>
          <w:divId w:val="80335455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Series 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Fixed-to-Floating Rate</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May 14, 2015</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June 1, 2020</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 xml:space="preserve">5.550% through 5/31/2020; </w:t>
            </w:r>
          </w:p>
          <w:p w:rsidR="00000000" w:rsidRDefault="00E92DBE">
            <w:pPr>
              <w:jc w:val="center"/>
              <w:rPr>
                <w:rFonts w:eastAsia="Times New Roman"/>
              </w:rPr>
            </w:pPr>
            <w:r>
              <w:rPr>
                <w:rFonts w:eastAsia="Times New Roman"/>
                <w:color w:val="000000"/>
                <w:sz w:val="16"/>
                <w:szCs w:val="16"/>
              </w:rPr>
              <w:t>3-mo. LIBOR + 380 bps thereafter</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Semi-Annually through 5/31/2020; Quarterly thereafter</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1,000,000 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6"/>
                <w:szCs w:val="16"/>
              </w:rPr>
              <w:t>988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03354551"/>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803354551"/>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Series 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5.200%</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July 29, 2016</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December 1, 2021</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5.200</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600,000 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6"/>
                <w:szCs w:val="16"/>
              </w:rPr>
              <w:t>583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583 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03354551"/>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Series H</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 xml:space="preserve">6.000%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November 29, 2016</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December 1, 2021</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6.000</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500,000 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6"/>
                <w:szCs w:val="16"/>
              </w:rPr>
              <w:t>483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483 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03354551"/>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Series I</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 xml:space="preserve">5.000% </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September 11, 2019</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December 1, 2024</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5.000</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1,500,000 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6"/>
                <w:szCs w:val="16"/>
              </w:rPr>
              <w:t>1,462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1,462 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03354551"/>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Series J</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 xml:space="preserve">4.800%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January 31, 2020</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June 1, 2025</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4.800</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1,250,000 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6"/>
                <w:szCs w:val="16"/>
              </w:rPr>
              <w:t>1,209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1,209 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03354551"/>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16"/>
                <w:szCs w:val="16"/>
              </w:rPr>
              <w:t>Series K</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4.625%</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September 17, 2020</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December 1, 2025</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4.625</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125,000 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6"/>
                <w:szCs w:val="16"/>
              </w:rPr>
              <w:t>122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122 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803354551"/>
        </w:trPr>
        <w:tc>
          <w:tcPr>
            <w:tcW w:w="0" w:type="auto"/>
            <w:gridSpan w:val="45"/>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4,847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4,847 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304237378"/>
        <w:rPr>
          <w:rFonts w:eastAsia="Times New Roman"/>
        </w:rPr>
      </w:pPr>
      <w:r>
        <w:rPr>
          <w:rFonts w:eastAsia="Times New Roman"/>
          <w:color w:val="000000"/>
          <w:sz w:val="20"/>
          <w:szCs w:val="20"/>
        </w:rPr>
        <w:t>__________</w:t>
      </w:r>
    </w:p>
    <w:p w:rsidR="00000000" w:rsidRDefault="00E92DBE">
      <w:pPr>
        <w:ind w:hanging="360"/>
        <w:jc w:val="both"/>
        <w:divId w:val="87283885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Except for Series E, ownership is held in the form of depositary shares, each representing a 1/40th interest in a share of fixed-rate non-cumulative perpetual preferred stock.</w:t>
      </w:r>
    </w:p>
    <w:p w:rsidR="00000000" w:rsidRDefault="00E92DBE">
      <w:pPr>
        <w:divId w:val="2050644691"/>
        <w:rPr>
          <w:rFonts w:eastAsia="Times New Roman"/>
        </w:rPr>
      </w:pPr>
      <w:r>
        <w:rPr>
          <w:rFonts w:eastAsia="Times New Roman"/>
          <w:b/>
          <w:bCs/>
          <w:color w:val="000000"/>
          <w:sz w:val="20"/>
          <w:szCs w:val="20"/>
        </w:rPr>
        <w:t>Accumulated Other Comprehensive Income</w:t>
      </w:r>
    </w:p>
    <w:p w:rsidR="00000000" w:rsidRDefault="00E92DBE">
      <w:pPr>
        <w:jc w:val="both"/>
        <w:divId w:val="2039231016"/>
        <w:rPr>
          <w:rFonts w:eastAsia="Times New Roman"/>
        </w:rPr>
      </w:pPr>
      <w:r>
        <w:rPr>
          <w:rFonts w:eastAsia="Times New Roman"/>
          <w:color w:val="000000"/>
          <w:sz w:val="20"/>
          <w:szCs w:val="20"/>
        </w:rPr>
        <w:t>AOCI primarily consists of accumulated ne</w:t>
      </w:r>
      <w:r>
        <w:rPr>
          <w:rFonts w:eastAsia="Times New Roman"/>
          <w:color w:val="000000"/>
          <w:sz w:val="20"/>
          <w:szCs w:val="20"/>
        </w:rPr>
        <w:t>t unrealized gains or losses associated with securities available for sale, changes in fair value of derivatives in hedging relationships, and foreign currency translation adjustments.</w:t>
      </w:r>
    </w:p>
    <w:p w:rsidR="00000000" w:rsidRDefault="00E92DBE">
      <w:pPr>
        <w:jc w:val="both"/>
        <w:divId w:val="760446389"/>
        <w:rPr>
          <w:rFonts w:eastAsia="Times New Roman"/>
        </w:rPr>
      </w:pPr>
      <w:r>
        <w:rPr>
          <w:rFonts w:eastAsia="Times New Roman"/>
          <w:color w:val="000000"/>
          <w:sz w:val="20"/>
          <w:szCs w:val="20"/>
        </w:rPr>
        <w:t xml:space="preserve">The following table includes the AOCI impacts from the adoption of the </w:t>
      </w:r>
      <w:r>
        <w:rPr>
          <w:rFonts w:eastAsia="Times New Roman"/>
          <w:color w:val="000000"/>
          <w:sz w:val="20"/>
          <w:szCs w:val="20"/>
        </w:rPr>
        <w:t xml:space="preserve">CECL standard and the changes in AOCI by component for the three months ended March 31, 2021 and 2020. </w:t>
      </w:r>
    </w:p>
    <w:p w:rsidR="00000000" w:rsidRDefault="00E92DBE">
      <w:pPr>
        <w:divId w:val="720831235"/>
        <w:rPr>
          <w:rFonts w:eastAsia="Times New Roman"/>
        </w:rPr>
      </w:pPr>
      <w:r>
        <w:rPr>
          <w:rFonts w:eastAsia="Times New Roman"/>
          <w:b/>
          <w:bCs/>
          <w:color w:val="000000"/>
          <w:sz w:val="18"/>
          <w:szCs w:val="18"/>
        </w:rPr>
        <w:t>Table 9.2: AOCI</w:t>
      </w:r>
    </w:p>
    <w:tbl>
      <w:tblPr>
        <w:tblW w:w="4985" w:type="pct"/>
        <w:tblCellMar>
          <w:top w:w="15" w:type="dxa"/>
          <w:left w:w="15" w:type="dxa"/>
          <w:bottom w:w="15" w:type="dxa"/>
          <w:right w:w="15" w:type="dxa"/>
        </w:tblCellMar>
        <w:tblLook w:val="04A0" w:firstRow="1" w:lastRow="0" w:firstColumn="1" w:lastColumn="0" w:noHBand="0" w:noVBand="1"/>
      </w:tblPr>
      <w:tblGrid>
        <w:gridCol w:w="55"/>
        <w:gridCol w:w="3720"/>
        <w:gridCol w:w="36"/>
        <w:gridCol w:w="36"/>
        <w:gridCol w:w="36"/>
        <w:gridCol w:w="36"/>
        <w:gridCol w:w="36"/>
        <w:gridCol w:w="641"/>
        <w:gridCol w:w="36"/>
        <w:gridCol w:w="36"/>
        <w:gridCol w:w="36"/>
        <w:gridCol w:w="36"/>
        <w:gridCol w:w="36"/>
        <w:gridCol w:w="36"/>
        <w:gridCol w:w="36"/>
        <w:gridCol w:w="36"/>
        <w:gridCol w:w="36"/>
        <w:gridCol w:w="36"/>
        <w:gridCol w:w="36"/>
        <w:gridCol w:w="830"/>
        <w:gridCol w:w="36"/>
        <w:gridCol w:w="36"/>
        <w:gridCol w:w="36"/>
        <w:gridCol w:w="36"/>
        <w:gridCol w:w="36"/>
        <w:gridCol w:w="793"/>
        <w:gridCol w:w="36"/>
        <w:gridCol w:w="36"/>
        <w:gridCol w:w="36"/>
        <w:gridCol w:w="36"/>
        <w:gridCol w:w="36"/>
        <w:gridCol w:w="545"/>
        <w:gridCol w:w="36"/>
        <w:gridCol w:w="36"/>
        <w:gridCol w:w="36"/>
        <w:gridCol w:w="36"/>
        <w:gridCol w:w="36"/>
        <w:gridCol w:w="545"/>
        <w:gridCol w:w="36"/>
      </w:tblGrid>
      <w:tr w:rsidR="00000000">
        <w:trPr>
          <w:divId w:val="1063870990"/>
        </w:trPr>
        <w:tc>
          <w:tcPr>
            <w:tcW w:w="50" w:type="pct"/>
            <w:vAlign w:val="center"/>
            <w:hideMark/>
          </w:tcPr>
          <w:p w:rsidR="00000000" w:rsidRDefault="00E92DBE">
            <w:pPr>
              <w:rPr>
                <w:rFonts w:eastAsia="Times New Roman"/>
              </w:rPr>
            </w:pPr>
          </w:p>
        </w:tc>
        <w:tc>
          <w:tcPr>
            <w:tcW w:w="232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3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0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063870990"/>
          <w:trHeight w:val="60"/>
        </w:trPr>
        <w:tc>
          <w:tcPr>
            <w:tcW w:w="0" w:type="auto"/>
            <w:gridSpan w:val="3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06387099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867"/>
        <w:gridCol w:w="144"/>
        <w:gridCol w:w="144"/>
        <w:gridCol w:w="144"/>
        <w:gridCol w:w="144"/>
        <w:gridCol w:w="144"/>
        <w:gridCol w:w="684"/>
        <w:gridCol w:w="144"/>
        <w:gridCol w:w="144"/>
        <w:gridCol w:w="144"/>
        <w:gridCol w:w="144"/>
        <w:gridCol w:w="144"/>
        <w:gridCol w:w="878"/>
        <w:gridCol w:w="144"/>
        <w:gridCol w:w="144"/>
        <w:gridCol w:w="144"/>
        <w:gridCol w:w="144"/>
        <w:gridCol w:w="144"/>
        <w:gridCol w:w="842"/>
        <w:gridCol w:w="144"/>
        <w:gridCol w:w="144"/>
        <w:gridCol w:w="144"/>
        <w:gridCol w:w="144"/>
        <w:gridCol w:w="144"/>
        <w:gridCol w:w="588"/>
        <w:gridCol w:w="144"/>
        <w:gridCol w:w="144"/>
        <w:gridCol w:w="144"/>
        <w:gridCol w:w="144"/>
        <w:gridCol w:w="144"/>
        <w:gridCol w:w="588"/>
        <w:gridCol w:w="144"/>
      </w:tblGrid>
      <w:tr w:rsidR="00000000">
        <w:tc>
          <w:tcPr>
            <w:tcW w:w="50" w:type="pct"/>
            <w:vAlign w:val="center"/>
            <w:hideMark/>
          </w:tcPr>
          <w:p w:rsidR="00000000" w:rsidRDefault="00E92DBE">
            <w:pPr>
              <w:rPr>
                <w:rFonts w:eastAsia="Times New Roman"/>
              </w:rPr>
            </w:pPr>
          </w:p>
        </w:tc>
        <w:tc>
          <w:tcPr>
            <w:tcW w:w="232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0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Securities Available for Sale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Hedging Relationship</w:t>
            </w:r>
            <w:r>
              <w:rPr>
                <w:rFonts w:eastAsia="Times New Roman"/>
                <w:b/>
                <w:bCs/>
                <w:color w:val="000000"/>
                <w:sz w:val="14"/>
                <w:szCs w:val="14"/>
              </w:rPr>
              <w:t>s</w:t>
            </w:r>
            <w:r>
              <w:rPr>
                <w:rFonts w:eastAsia="Times New Roman"/>
                <w:b/>
                <w:bCs/>
                <w:color w:val="000000"/>
                <w:sz w:val="9"/>
                <w:szCs w:val="9"/>
              </w:rPr>
              <w:t>(1</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Foreign Currency Translation Adjustment</w:t>
            </w:r>
            <w:r>
              <w:rPr>
                <w:rFonts w:eastAsia="Times New Roman"/>
                <w:b/>
                <w:bCs/>
                <w:color w:val="000000"/>
                <w:sz w:val="14"/>
                <w:szCs w:val="14"/>
              </w:rPr>
              <w:t>s</w:t>
            </w:r>
            <w:r>
              <w:rPr>
                <w:rFonts w:eastAsia="Times New Roman"/>
                <w:b/>
                <w:bCs/>
                <w:color w:val="000000"/>
                <w:sz w:val="9"/>
                <w:szCs w:val="9"/>
              </w:rPr>
              <w:t>(2</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Other</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Total</w:t>
            </w:r>
          </w:p>
        </w:tc>
      </w:tr>
      <w:tr w:rsidR="00000000">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AOCI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2,186 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1,362 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(23)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6"/>
                <w:szCs w:val="16"/>
              </w:rPr>
              <w:t>3,494 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(1,145)</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(338)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(1,464)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(243)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(247)</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(1,148)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(581)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(1,711)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6"/>
                <w:szCs w:val="16"/>
              </w:rPr>
              <w:t>AOCI as of March 31, 2021</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1,038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781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6"/>
                <w:szCs w:val="16"/>
              </w:rPr>
              <w:t>1,783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jc w:val="center"/>
        <w:divId w:val="1688290431"/>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88290431"/>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688290431"/>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688290431"/>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102</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27" style="width:0;height:1.5pt" o:hralign="center" o:hrstd="t" o:hr="t" fillcolor="#a0a0a0" stroked="f"/>
        </w:pict>
      </w:r>
    </w:p>
    <w:p w:rsidR="00000000" w:rsidRDefault="00E92DBE">
      <w:pPr>
        <w:jc w:val="both"/>
        <w:divId w:val="161003945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61003945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829"/>
        <w:gridCol w:w="39"/>
        <w:gridCol w:w="36"/>
        <w:gridCol w:w="36"/>
        <w:gridCol w:w="36"/>
        <w:gridCol w:w="101"/>
        <w:gridCol w:w="593"/>
        <w:gridCol w:w="36"/>
        <w:gridCol w:w="36"/>
        <w:gridCol w:w="36"/>
        <w:gridCol w:w="36"/>
        <w:gridCol w:w="101"/>
        <w:gridCol w:w="865"/>
        <w:gridCol w:w="36"/>
        <w:gridCol w:w="36"/>
        <w:gridCol w:w="36"/>
        <w:gridCol w:w="36"/>
        <w:gridCol w:w="101"/>
        <w:gridCol w:w="819"/>
        <w:gridCol w:w="36"/>
        <w:gridCol w:w="36"/>
        <w:gridCol w:w="36"/>
        <w:gridCol w:w="36"/>
        <w:gridCol w:w="100"/>
        <w:gridCol w:w="399"/>
        <w:gridCol w:w="36"/>
        <w:gridCol w:w="36"/>
        <w:gridCol w:w="36"/>
        <w:gridCol w:w="36"/>
        <w:gridCol w:w="100"/>
        <w:gridCol w:w="499"/>
        <w:gridCol w:w="36"/>
      </w:tblGrid>
      <w:tr w:rsidR="00000000">
        <w:trPr>
          <w:divId w:val="481048413"/>
        </w:trPr>
        <w:tc>
          <w:tcPr>
            <w:tcW w:w="50" w:type="pct"/>
            <w:vAlign w:val="center"/>
            <w:hideMark/>
          </w:tcPr>
          <w:p w:rsidR="00000000" w:rsidRDefault="00E92DBE">
            <w:pPr>
              <w:jc w:val="center"/>
              <w:rPr>
                <w:rFonts w:eastAsia="Times New Roman"/>
              </w:rPr>
            </w:pPr>
          </w:p>
        </w:tc>
        <w:tc>
          <w:tcPr>
            <w:tcW w:w="233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0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1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481048413"/>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Securities Available for Sale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Hedging Relationship</w:t>
            </w:r>
            <w:r>
              <w:rPr>
                <w:rFonts w:eastAsia="Times New Roman"/>
                <w:b/>
                <w:bCs/>
                <w:color w:val="000000"/>
                <w:sz w:val="14"/>
                <w:szCs w:val="14"/>
              </w:rPr>
              <w:t>s</w:t>
            </w:r>
            <w:r>
              <w:rPr>
                <w:rFonts w:eastAsia="Times New Roman"/>
                <w:b/>
                <w:bCs/>
                <w:color w:val="000000"/>
                <w:sz w:val="9"/>
                <w:szCs w:val="9"/>
              </w:rPr>
              <w:t>(1</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Foreign Currency Translation Adjustment</w:t>
            </w:r>
            <w:r>
              <w:rPr>
                <w:rFonts w:eastAsia="Times New Roman"/>
                <w:b/>
                <w:bCs/>
                <w:color w:val="000000"/>
                <w:sz w:val="14"/>
                <w:szCs w:val="14"/>
              </w:rPr>
              <w:t>s</w:t>
            </w:r>
            <w:r>
              <w:rPr>
                <w:rFonts w:eastAsia="Times New Roman"/>
                <w:b/>
                <w:bCs/>
                <w:color w:val="000000"/>
                <w:sz w:val="9"/>
                <w:szCs w:val="9"/>
              </w:rPr>
              <w:t>(2</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Other</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Total</w:t>
            </w:r>
          </w:p>
        </w:tc>
      </w:tr>
      <w:tr w:rsidR="00000000">
        <w:trPr>
          <w:divId w:val="48104841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AOCI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481048413"/>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Cumulative effects from the adoption of the CECL standard</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481048413"/>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Other comprehensive income (loss) before reclassifications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1,224 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1,695 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(67)</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2,852 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481048413"/>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Amounts reclassified from AOCI into earnings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(321)</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(321)</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481048413"/>
        </w:trPr>
        <w:tc>
          <w:tcPr>
            <w:tcW w:w="0" w:type="auto"/>
            <w:gridSpan w:val="3"/>
            <w:shd w:val="clear" w:color="auto" w:fill="CCEE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1,224 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2,531 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481048413"/>
        </w:trPr>
        <w:tc>
          <w:tcPr>
            <w:tcW w:w="0" w:type="auto"/>
            <w:gridSpan w:val="3"/>
            <w:shd w:val="clear" w:color="auto" w:fill="FFFFFF"/>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AOCI as of March 31, 2020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2,151 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1,728 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(174)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6"/>
                <w:szCs w:val="16"/>
              </w:rPr>
              <w:t>3,679 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bl>
    <w:p w:rsidR="00000000" w:rsidRDefault="00E92DBE">
      <w:pPr>
        <w:divId w:val="249773830"/>
        <w:rPr>
          <w:rFonts w:eastAsia="Times New Roman"/>
        </w:rPr>
      </w:pPr>
      <w:r>
        <w:rPr>
          <w:rFonts w:eastAsia="Times New Roman"/>
          <w:color w:val="000000"/>
          <w:sz w:val="20"/>
          <w:szCs w:val="20"/>
        </w:rPr>
        <w:t>__________</w:t>
      </w:r>
    </w:p>
    <w:p w:rsidR="00000000" w:rsidRDefault="00E92DBE">
      <w:pPr>
        <w:ind w:hanging="360"/>
        <w:jc w:val="both"/>
        <w:divId w:val="147497969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amounts related to cash flow hedges as well as the excluded component of cross-currency swaps designated as fair value hedges.</w:t>
      </w:r>
    </w:p>
    <w:p w:rsidR="00000000" w:rsidRDefault="00E92DBE">
      <w:pPr>
        <w:ind w:hanging="360"/>
        <w:jc w:val="both"/>
        <w:divId w:val="84301182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oth</w:t>
      </w:r>
      <w:r>
        <w:rPr>
          <w:rFonts w:eastAsia="Times New Roman"/>
          <w:color w:val="000000"/>
          <w:sz w:val="16"/>
          <w:szCs w:val="16"/>
        </w:rPr>
        <w:t>er comprehensive loss of $21 million and gain of $142 million for the three months ended March 31, 2021 and 2020, respectively, from hedging instruments designated as net investment hedges.</w:t>
      </w:r>
    </w:p>
    <w:tbl>
      <w:tblPr>
        <w:tblW w:w="4978" w:type="pct"/>
        <w:tblCellMar>
          <w:top w:w="15" w:type="dxa"/>
          <w:left w:w="15" w:type="dxa"/>
          <w:bottom w:w="15" w:type="dxa"/>
          <w:right w:w="15" w:type="dxa"/>
        </w:tblCellMar>
        <w:tblLook w:val="04A0" w:firstRow="1" w:lastRow="0" w:firstColumn="1" w:lastColumn="0" w:noHBand="0" w:noVBand="1"/>
      </w:tblPr>
      <w:tblGrid>
        <w:gridCol w:w="54"/>
        <w:gridCol w:w="3353"/>
        <w:gridCol w:w="36"/>
        <w:gridCol w:w="36"/>
        <w:gridCol w:w="36"/>
        <w:gridCol w:w="36"/>
        <w:gridCol w:w="36"/>
        <w:gridCol w:w="554"/>
        <w:gridCol w:w="36"/>
        <w:gridCol w:w="36"/>
        <w:gridCol w:w="36"/>
        <w:gridCol w:w="36"/>
        <w:gridCol w:w="36"/>
        <w:gridCol w:w="36"/>
        <w:gridCol w:w="36"/>
        <w:gridCol w:w="36"/>
        <w:gridCol w:w="36"/>
        <w:gridCol w:w="36"/>
        <w:gridCol w:w="36"/>
        <w:gridCol w:w="817"/>
        <w:gridCol w:w="36"/>
        <w:gridCol w:w="36"/>
        <w:gridCol w:w="36"/>
        <w:gridCol w:w="36"/>
        <w:gridCol w:w="36"/>
        <w:gridCol w:w="794"/>
        <w:gridCol w:w="36"/>
        <w:gridCol w:w="36"/>
        <w:gridCol w:w="36"/>
        <w:gridCol w:w="36"/>
        <w:gridCol w:w="36"/>
        <w:gridCol w:w="546"/>
        <w:gridCol w:w="36"/>
        <w:gridCol w:w="36"/>
        <w:gridCol w:w="36"/>
        <w:gridCol w:w="36"/>
        <w:gridCol w:w="36"/>
        <w:gridCol w:w="356"/>
        <w:gridCol w:w="36"/>
        <w:gridCol w:w="36"/>
        <w:gridCol w:w="36"/>
        <w:gridCol w:w="36"/>
        <w:gridCol w:w="36"/>
        <w:gridCol w:w="463"/>
        <w:gridCol w:w="36"/>
      </w:tblGrid>
      <w:tr w:rsidR="00000000">
        <w:trPr>
          <w:divId w:val="1309674823"/>
        </w:trPr>
        <w:tc>
          <w:tcPr>
            <w:tcW w:w="50" w:type="pct"/>
            <w:vAlign w:val="center"/>
            <w:hideMark/>
          </w:tcPr>
          <w:p w:rsidR="00000000" w:rsidRDefault="00E92DBE">
            <w:pPr>
              <w:ind w:hanging="360"/>
              <w:jc w:val="both"/>
              <w:rPr>
                <w:rFonts w:eastAsia="Times New Roman"/>
              </w:rPr>
            </w:pPr>
          </w:p>
        </w:tc>
        <w:tc>
          <w:tcPr>
            <w:tcW w:w="209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6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3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309674823"/>
          <w:trHeight w:val="60"/>
        </w:trPr>
        <w:tc>
          <w:tcPr>
            <w:tcW w:w="0" w:type="auto"/>
            <w:gridSpan w:val="39"/>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30967482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30967482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0967482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0967482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0967482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0967482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309674823"/>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jc w:val="both"/>
        <w:divId w:val="1605116251"/>
        <w:rPr>
          <w:rFonts w:eastAsia="Times New Roman"/>
        </w:rPr>
      </w:pPr>
      <w:r>
        <w:rPr>
          <w:rFonts w:eastAsia="Times New Roman"/>
          <w:color w:val="000000"/>
          <w:sz w:val="20"/>
          <w:szCs w:val="20"/>
        </w:rPr>
        <w:t>The following table presents amounts reclassified from each component of AOCI to our consolidated statements of income for the three months ended March 31, 2021 and 2020.</w:t>
      </w:r>
    </w:p>
    <w:p w:rsidR="00000000" w:rsidRDefault="00E92DBE">
      <w:pPr>
        <w:divId w:val="966275458"/>
        <w:rPr>
          <w:rFonts w:eastAsia="Times New Roman"/>
        </w:rPr>
      </w:pPr>
      <w:r>
        <w:rPr>
          <w:rFonts w:eastAsia="Times New Roman"/>
          <w:b/>
          <w:bCs/>
          <w:color w:val="000000"/>
          <w:sz w:val="18"/>
          <w:szCs w:val="18"/>
        </w:rPr>
        <w:t>Table 9.3: Reclassifications from AOCI</w:t>
      </w:r>
    </w:p>
    <w:tbl>
      <w:tblPr>
        <w:tblW w:w="5000" w:type="pct"/>
        <w:tblCellMar>
          <w:top w:w="15" w:type="dxa"/>
          <w:left w:w="15" w:type="dxa"/>
          <w:bottom w:w="15" w:type="dxa"/>
          <w:right w:w="15" w:type="dxa"/>
        </w:tblCellMar>
        <w:tblLook w:val="04A0" w:firstRow="1" w:lastRow="0" w:firstColumn="1" w:lastColumn="0" w:noHBand="0" w:noVBand="1"/>
      </w:tblPr>
      <w:tblGrid>
        <w:gridCol w:w="45"/>
        <w:gridCol w:w="1808"/>
        <w:gridCol w:w="38"/>
        <w:gridCol w:w="36"/>
        <w:gridCol w:w="36"/>
        <w:gridCol w:w="36"/>
        <w:gridCol w:w="51"/>
        <w:gridCol w:w="3917"/>
        <w:gridCol w:w="36"/>
        <w:gridCol w:w="36"/>
        <w:gridCol w:w="36"/>
        <w:gridCol w:w="46"/>
        <w:gridCol w:w="36"/>
        <w:gridCol w:w="36"/>
        <w:gridCol w:w="36"/>
        <w:gridCol w:w="36"/>
        <w:gridCol w:w="110"/>
        <w:gridCol w:w="688"/>
        <w:gridCol w:w="36"/>
        <w:gridCol w:w="36"/>
        <w:gridCol w:w="36"/>
        <w:gridCol w:w="36"/>
        <w:gridCol w:w="110"/>
        <w:gridCol w:w="737"/>
        <w:gridCol w:w="36"/>
        <w:gridCol w:w="36"/>
        <w:gridCol w:w="36"/>
        <w:gridCol w:w="36"/>
        <w:gridCol w:w="36"/>
        <w:gridCol w:w="36"/>
        <w:gridCol w:w="36"/>
      </w:tblGrid>
      <w:tr w:rsidR="00000000">
        <w:trPr>
          <w:divId w:val="380902365"/>
        </w:trPr>
        <w:tc>
          <w:tcPr>
            <w:tcW w:w="50" w:type="pct"/>
            <w:vAlign w:val="center"/>
            <w:hideMark/>
          </w:tcPr>
          <w:p w:rsidR="00000000" w:rsidRDefault="00E92DBE">
            <w:pPr>
              <w:rPr>
                <w:rFonts w:eastAsia="Times New Roman"/>
              </w:rPr>
            </w:pPr>
          </w:p>
        </w:tc>
        <w:tc>
          <w:tcPr>
            <w:tcW w:w="116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51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0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38090236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AOCI Components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Affected Income Statement Line Item</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income</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tax provision</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Hedging relationships: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income</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income</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expense</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income</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392 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from continuing operations before income taxes</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tax provision</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income and non-interest expense</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tax provision</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 xml:space="preserve">Net income </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80902365"/>
        </w:trPr>
        <w:tc>
          <w:tcPr>
            <w:tcW w:w="0" w:type="auto"/>
            <w:gridSpan w:val="9"/>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reclassifications</w:t>
            </w:r>
          </w:p>
        </w:tc>
        <w:tc>
          <w:tcPr>
            <w:tcW w:w="0" w:type="auto"/>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ind w:hanging="360"/>
        <w:jc w:val="both"/>
        <w:divId w:val="109788640"/>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0718454"/>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40718454"/>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40718454"/>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103</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28" style="width:0;height:1.5pt" o:hralign="center" o:hrstd="t" o:hr="t" fillcolor="#a0a0a0" stroked="f"/>
        </w:pict>
      </w:r>
    </w:p>
    <w:p w:rsidR="00000000" w:rsidRDefault="00E92DBE">
      <w:pPr>
        <w:jc w:val="both"/>
        <w:divId w:val="1406414487"/>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both"/>
        <w:divId w:val="1810198702"/>
        <w:rPr>
          <w:rFonts w:eastAsia="Times New Roman"/>
        </w:rPr>
      </w:pPr>
      <w:r>
        <w:rPr>
          <w:rFonts w:eastAsia="Times New Roman"/>
          <w:color w:val="000000"/>
          <w:sz w:val="20"/>
          <w:szCs w:val="20"/>
        </w:rPr>
        <w:t>The table below summarizes other comprehensive income (loss) activity and the related tax impact for the three months ended March 31, 2021 and 2020.</w:t>
      </w:r>
    </w:p>
    <w:p w:rsidR="00000000" w:rsidRDefault="00E92DBE">
      <w:pPr>
        <w:divId w:val="1915355483"/>
        <w:rPr>
          <w:rFonts w:eastAsia="Times New Roman"/>
        </w:rPr>
      </w:pPr>
      <w:r>
        <w:rPr>
          <w:rFonts w:eastAsia="Times New Roman"/>
          <w:b/>
          <w:bCs/>
          <w:color w:val="000000"/>
          <w:sz w:val="18"/>
          <w:szCs w:val="18"/>
        </w:rPr>
        <w:t>Table 9.4: Other Comprehensive Income (Loss)</w:t>
      </w:r>
    </w:p>
    <w:tbl>
      <w:tblPr>
        <w:tblW w:w="4992" w:type="pct"/>
        <w:tblCellMar>
          <w:top w:w="15" w:type="dxa"/>
          <w:left w:w="15" w:type="dxa"/>
          <w:bottom w:w="15" w:type="dxa"/>
          <w:right w:w="15" w:type="dxa"/>
        </w:tblCellMar>
        <w:tblLook w:val="04A0" w:firstRow="1" w:lastRow="0" w:firstColumn="1" w:lastColumn="0" w:noHBand="0" w:noVBand="1"/>
      </w:tblPr>
      <w:tblGrid>
        <w:gridCol w:w="49"/>
        <w:gridCol w:w="3934"/>
        <w:gridCol w:w="36"/>
        <w:gridCol w:w="36"/>
        <w:gridCol w:w="36"/>
        <w:gridCol w:w="36"/>
        <w:gridCol w:w="36"/>
        <w:gridCol w:w="406"/>
        <w:gridCol w:w="36"/>
        <w:gridCol w:w="36"/>
        <w:gridCol w:w="36"/>
        <w:gridCol w:w="36"/>
        <w:gridCol w:w="36"/>
        <w:gridCol w:w="461"/>
        <w:gridCol w:w="36"/>
        <w:gridCol w:w="36"/>
        <w:gridCol w:w="36"/>
        <w:gridCol w:w="36"/>
        <w:gridCol w:w="36"/>
        <w:gridCol w:w="406"/>
        <w:gridCol w:w="36"/>
        <w:gridCol w:w="36"/>
        <w:gridCol w:w="36"/>
        <w:gridCol w:w="36"/>
        <w:gridCol w:w="36"/>
        <w:gridCol w:w="406"/>
        <w:gridCol w:w="36"/>
        <w:gridCol w:w="36"/>
        <w:gridCol w:w="36"/>
        <w:gridCol w:w="36"/>
        <w:gridCol w:w="36"/>
        <w:gridCol w:w="461"/>
        <w:gridCol w:w="36"/>
        <w:gridCol w:w="36"/>
        <w:gridCol w:w="36"/>
        <w:gridCol w:w="36"/>
        <w:gridCol w:w="36"/>
        <w:gridCol w:w="40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744377700"/>
        </w:trPr>
        <w:tc>
          <w:tcPr>
            <w:tcW w:w="50" w:type="pct"/>
            <w:vAlign w:val="center"/>
            <w:hideMark/>
          </w:tcPr>
          <w:p w:rsidR="00000000" w:rsidRDefault="00E92DBE">
            <w:pPr>
              <w:rPr>
                <w:rFonts w:eastAsia="Times New Roman"/>
              </w:rPr>
            </w:pPr>
          </w:p>
        </w:tc>
        <w:tc>
          <w:tcPr>
            <w:tcW w:w="258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2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2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44377700"/>
          <w:trHeight w:val="60"/>
        </w:trPr>
        <w:tc>
          <w:tcPr>
            <w:tcW w:w="0" w:type="auto"/>
            <w:gridSpan w:val="39"/>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74437770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74437770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74437770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4437770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4437770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4437770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4437770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4437770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4437770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4437770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304"/>
        <w:gridCol w:w="144"/>
        <w:gridCol w:w="144"/>
        <w:gridCol w:w="144"/>
        <w:gridCol w:w="144"/>
        <w:gridCol w:w="144"/>
        <w:gridCol w:w="478"/>
        <w:gridCol w:w="144"/>
        <w:gridCol w:w="144"/>
        <w:gridCol w:w="144"/>
        <w:gridCol w:w="144"/>
        <w:gridCol w:w="144"/>
        <w:gridCol w:w="539"/>
        <w:gridCol w:w="144"/>
        <w:gridCol w:w="144"/>
        <w:gridCol w:w="144"/>
        <w:gridCol w:w="144"/>
        <w:gridCol w:w="144"/>
        <w:gridCol w:w="478"/>
        <w:gridCol w:w="144"/>
        <w:gridCol w:w="144"/>
        <w:gridCol w:w="144"/>
        <w:gridCol w:w="144"/>
        <w:gridCol w:w="144"/>
        <w:gridCol w:w="478"/>
        <w:gridCol w:w="144"/>
        <w:gridCol w:w="144"/>
        <w:gridCol w:w="144"/>
        <w:gridCol w:w="144"/>
        <w:gridCol w:w="144"/>
        <w:gridCol w:w="539"/>
        <w:gridCol w:w="144"/>
        <w:gridCol w:w="144"/>
        <w:gridCol w:w="144"/>
        <w:gridCol w:w="144"/>
        <w:gridCol w:w="144"/>
        <w:gridCol w:w="480"/>
        <w:gridCol w:w="144"/>
        <w:gridCol w:w="480"/>
        <w:gridCol w:w="1440"/>
        <w:gridCol w:w="480"/>
        <w:gridCol w:w="480"/>
        <w:gridCol w:w="480"/>
        <w:gridCol w:w="480"/>
        <w:gridCol w:w="480"/>
        <w:gridCol w:w="480"/>
        <w:gridCol w:w="480"/>
        <w:gridCol w:w="480"/>
        <w:gridCol w:w="480"/>
        <w:gridCol w:w="480"/>
        <w:gridCol w:w="480"/>
        <w:gridCol w:w="480"/>
      </w:tblGrid>
      <w:tr w:rsidR="00000000">
        <w:tc>
          <w:tcPr>
            <w:tcW w:w="50" w:type="pct"/>
            <w:vAlign w:val="center"/>
            <w:hideMark/>
          </w:tcPr>
          <w:p w:rsidR="00000000" w:rsidRDefault="00E92DBE">
            <w:pPr>
              <w:rPr>
                <w:rFonts w:eastAsia="Times New Roman"/>
              </w:rPr>
            </w:pPr>
          </w:p>
        </w:tc>
        <w:tc>
          <w:tcPr>
            <w:tcW w:w="259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2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2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8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jc w:val="both"/>
              <w:rPr>
                <w:rFonts w:eastAsia="Times New Roman"/>
              </w:rPr>
            </w:pPr>
            <w:r>
              <w:rPr>
                <w:rFonts w:eastAsia="Times New Roman"/>
                <w:b/>
                <w:bCs/>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E92DBE">
            <w:pPr>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unrealized gains (loss) on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(1,512)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(364)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(1,148)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1,610 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386 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1,224 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unrealized gains (loss) on hedging relationships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(766)</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(185)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(581)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1,808 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434 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1,374 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divId w:val="1676034677"/>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(67)</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(2,266)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(1,711)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3,397 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866 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2,531 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461968357"/>
        <w:rPr>
          <w:rFonts w:eastAsia="Times New Roman"/>
        </w:rPr>
      </w:pPr>
      <w:r>
        <w:rPr>
          <w:rFonts w:eastAsia="Times New Roman"/>
          <w:color w:val="000000"/>
          <w:sz w:val="20"/>
          <w:szCs w:val="20"/>
        </w:rPr>
        <w:t>__________</w:t>
      </w:r>
    </w:p>
    <w:p w:rsidR="00000000" w:rsidRDefault="00E92DBE">
      <w:pPr>
        <w:ind w:hanging="360"/>
        <w:jc w:val="both"/>
        <w:divId w:val="117082831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the impact of hedging instruments designated as net investment </w:t>
      </w:r>
      <w:r>
        <w:rPr>
          <w:rFonts w:eastAsia="Times New Roman"/>
          <w:color w:val="000000"/>
          <w:sz w:val="16"/>
          <w:szCs w:val="16"/>
        </w:rPr>
        <w:t>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92092247"/>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792092247"/>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792092247"/>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104</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29" style="width:0;height:1.5pt" o:hralign="center" o:hrstd="t" o:hr="t" fillcolor="#a0a0a0" stroked="f"/>
        </w:pict>
      </w:r>
    </w:p>
    <w:p w:rsidR="00000000" w:rsidRDefault="00E92DBE">
      <w:pPr>
        <w:jc w:val="both"/>
        <w:divId w:val="326521576"/>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3265215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602954312"/>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60295431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NOTE 10—EARNINGS PER COMMON SHARE</w:t>
            </w:r>
          </w:p>
        </w:tc>
      </w:tr>
    </w:tbl>
    <w:p w:rsidR="00000000" w:rsidRDefault="00E92DBE">
      <w:pPr>
        <w:jc w:val="both"/>
        <w:divId w:val="2036684905"/>
        <w:rPr>
          <w:rFonts w:eastAsia="Times New Roman"/>
        </w:rPr>
      </w:pPr>
      <w:r>
        <w:rPr>
          <w:rFonts w:eastAsia="Times New Roman"/>
          <w:color w:val="000000"/>
          <w:sz w:val="20"/>
          <w:szCs w:val="20"/>
        </w:rPr>
        <w:t>The following table sets forth the computation of basic and diluted earnings per common share.</w:t>
      </w:r>
    </w:p>
    <w:p w:rsidR="00000000" w:rsidRDefault="00E92DBE">
      <w:pPr>
        <w:divId w:val="1615213767"/>
        <w:rPr>
          <w:rFonts w:eastAsia="Times New Roman"/>
        </w:rPr>
      </w:pPr>
      <w:r>
        <w:rPr>
          <w:rFonts w:eastAsia="Times New Roman"/>
          <w:b/>
          <w:bCs/>
          <w:color w:val="000000"/>
          <w:sz w:val="18"/>
          <w:szCs w:val="18"/>
        </w:rPr>
        <w:t>Table 10.1: Computation of Basic and Diluted Earnings per Common Share</w:t>
      </w:r>
    </w:p>
    <w:tbl>
      <w:tblPr>
        <w:tblW w:w="5000" w:type="pct"/>
        <w:tblCellMar>
          <w:top w:w="15" w:type="dxa"/>
          <w:left w:w="15" w:type="dxa"/>
          <w:bottom w:w="15" w:type="dxa"/>
          <w:right w:w="15" w:type="dxa"/>
        </w:tblCellMar>
        <w:tblLook w:val="04A0" w:firstRow="1" w:lastRow="0" w:firstColumn="1" w:lastColumn="0" w:noHBand="0" w:noVBand="1"/>
      </w:tblPr>
      <w:tblGrid>
        <w:gridCol w:w="40"/>
        <w:gridCol w:w="5897"/>
        <w:gridCol w:w="39"/>
        <w:gridCol w:w="36"/>
        <w:gridCol w:w="36"/>
        <w:gridCol w:w="36"/>
        <w:gridCol w:w="36"/>
        <w:gridCol w:w="36"/>
        <w:gridCol w:w="36"/>
        <w:gridCol w:w="36"/>
        <w:gridCol w:w="110"/>
        <w:gridCol w:w="695"/>
        <w:gridCol w:w="36"/>
        <w:gridCol w:w="36"/>
        <w:gridCol w:w="36"/>
        <w:gridCol w:w="36"/>
        <w:gridCol w:w="110"/>
        <w:gridCol w:w="695"/>
        <w:gridCol w:w="36"/>
        <w:gridCol w:w="36"/>
        <w:gridCol w:w="36"/>
        <w:gridCol w:w="36"/>
        <w:gridCol w:w="36"/>
        <w:gridCol w:w="36"/>
        <w:gridCol w:w="36"/>
        <w:gridCol w:w="36"/>
        <w:gridCol w:w="36"/>
      </w:tblGrid>
      <w:tr w:rsidR="00000000">
        <w:trPr>
          <w:divId w:val="450589420"/>
        </w:trPr>
        <w:tc>
          <w:tcPr>
            <w:tcW w:w="50" w:type="pct"/>
            <w:vAlign w:val="center"/>
            <w:hideMark/>
          </w:tcPr>
          <w:p w:rsidR="00000000" w:rsidRDefault="00E92DBE">
            <w:pPr>
              <w:rPr>
                <w:rFonts w:eastAsia="Times New Roman"/>
              </w:rPr>
            </w:pPr>
          </w:p>
        </w:tc>
        <w:tc>
          <w:tcPr>
            <w:tcW w:w="377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c>
          <w:tcPr>
            <w:tcW w:w="0" w:type="auto"/>
            <w:gridSpan w:val="3"/>
            <w:vAlign w:val="center"/>
            <w:hideMark/>
          </w:tcPr>
          <w:p w:rsidR="00000000" w:rsidRDefault="00E92DBE">
            <w:pPr>
              <w:jc w:val="center"/>
              <w:rPr>
                <w:rFonts w:eastAsia="Times New Roman"/>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45058942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and shares in millions, except per share data)</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c>
          <w:tcPr>
            <w:tcW w:w="0" w:type="auto"/>
            <w:vAlign w:val="center"/>
            <w:hideMark/>
          </w:tcPr>
          <w:p w:rsidR="00000000" w:rsidRDefault="00E92DBE">
            <w:pPr>
              <w:jc w:val="center"/>
              <w:rPr>
                <w:rFonts w:eastAsia="Times New Roman"/>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3,327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Loss from discontinued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(61)</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(55)</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Issuance cost for redeemed preferred stock</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 (loss) available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3,236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Height w:val="240"/>
        </w:trPr>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weighted-average basic common shares outstanding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458.6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457.6 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FFFFFF"/>
            <w:tcMar>
              <w:top w:w="30" w:type="dxa"/>
              <w:left w:w="20" w:type="dxa"/>
              <w:bottom w:w="30" w:type="dxa"/>
              <w:right w:w="20" w:type="dxa"/>
            </w:tcMar>
            <w:vAlign w:val="center"/>
            <w:hideMark/>
          </w:tcPr>
          <w:p w:rsidR="00000000" w:rsidRDefault="00E92DBE">
            <w:pPr>
              <w:divId w:val="1267229487"/>
              <w:rPr>
                <w:rFonts w:eastAsia="Times New Roman"/>
              </w:rPr>
            </w:pPr>
            <w:r>
              <w:rPr>
                <w:rFonts w:eastAsia="Times New Roman"/>
                <w:color w:val="000000"/>
                <w:sz w:val="18"/>
                <w:szCs w:val="18"/>
              </w:rPr>
              <w:t>Effect of dilutive securities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Stock options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contingently issuable shares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weighted-average diluted common shares outstanding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460.1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457.6 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Basic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 (loss) per basic common share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FFFFFF"/>
            <w:tcMar>
              <w:top w:w="30" w:type="dxa"/>
              <w:left w:w="20" w:type="dxa"/>
              <w:bottom w:w="30" w:type="dxa"/>
              <w:right w:w="20" w:type="dxa"/>
            </w:tcMar>
            <w:vAlign w:val="center"/>
            <w:hideMark/>
          </w:tcPr>
          <w:p w:rsidR="00000000" w:rsidRDefault="00E92DBE">
            <w:pPr>
              <w:divId w:val="396323563"/>
              <w:rPr>
                <w:rFonts w:eastAsia="Times New Roman"/>
              </w:rPr>
            </w:pPr>
            <w:r>
              <w:rPr>
                <w:rFonts w:eastAsia="Times New Roman"/>
                <w:b/>
                <w:bCs/>
                <w:color w:val="000000"/>
                <w:sz w:val="18"/>
                <w:szCs w:val="18"/>
              </w:rPr>
              <w:t>Diluted earnings per common share</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 (loss)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450589420"/>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income (loss) per diluted common share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vAlign w:val="center"/>
            <w:hideMark/>
          </w:tcPr>
          <w:p w:rsidR="00000000" w:rsidRDefault="00E92DBE">
            <w:pPr>
              <w:jc w:val="right"/>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27267290"/>
        <w:rPr>
          <w:rFonts w:eastAsia="Times New Roman"/>
        </w:rPr>
      </w:pPr>
      <w:r>
        <w:rPr>
          <w:rFonts w:eastAsia="Times New Roman"/>
          <w:color w:val="000000"/>
          <w:sz w:val="20"/>
          <w:szCs w:val="20"/>
        </w:rPr>
        <w:t>__________</w:t>
      </w:r>
      <w:r>
        <w:rPr>
          <w:rFonts w:eastAsia="Times New Roman"/>
          <w:color w:val="000000"/>
          <w:sz w:val="16"/>
          <w:szCs w:val="16"/>
        </w:rPr>
        <w:t xml:space="preserve"> </w:t>
      </w:r>
    </w:p>
    <w:p w:rsidR="00000000" w:rsidRDefault="00E92DBE">
      <w:pPr>
        <w:ind w:hanging="360"/>
        <w:jc w:val="both"/>
        <w:divId w:val="29256767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shd w:val="clear" w:color="auto" w:fill="FFFFFF"/>
        </w:rPr>
        <w:t>Excluded from the computation of diluted earnings per share were 103 thousand</w:t>
      </w:r>
      <w:r>
        <w:rPr>
          <w:rFonts w:eastAsia="Times New Roman"/>
          <w:color w:val="000000"/>
          <w:sz w:val="16"/>
          <w:szCs w:val="16"/>
        </w:rPr>
        <w:t xml:space="preserve"> shares related to awards for the three months ended March 31, 2021, because their inclusion would be anti-dil</w:t>
      </w:r>
      <w:r>
        <w:rPr>
          <w:rFonts w:eastAsia="Times New Roman"/>
          <w:color w:val="000000"/>
          <w:sz w:val="16"/>
          <w:szCs w:val="16"/>
          <w:shd w:val="clear" w:color="auto" w:fill="FFFFFF"/>
        </w:rPr>
        <w:t>utive. In periods of net loss availab</w:t>
      </w:r>
      <w:r>
        <w:rPr>
          <w:rFonts w:eastAsia="Times New Roman"/>
          <w:color w:val="000000"/>
          <w:sz w:val="16"/>
          <w:szCs w:val="16"/>
          <w:shd w:val="clear" w:color="auto" w:fill="FFFFFF"/>
        </w:rPr>
        <w:t>le to common stockholders, dilutive securities are excluded as their inclusion would have an anti-dilutive effect. Accordingly, awards of 1.6 million shares and options of 2.8 million shares with an exercise price ranging from $36.55 to $86.34 were exclude</w:t>
      </w:r>
      <w:r>
        <w:rPr>
          <w:rFonts w:eastAsia="Times New Roman"/>
          <w:color w:val="000000"/>
          <w:sz w:val="16"/>
          <w:szCs w:val="16"/>
          <w:shd w:val="clear" w:color="auto" w:fill="FFFFFF"/>
        </w:rPr>
        <w:t>d from the computation of diluted earnings per share for</w:t>
      </w:r>
      <w:r>
        <w:rPr>
          <w:rFonts w:eastAsia="Times New Roman"/>
          <w:color w:val="000000"/>
          <w:sz w:val="16"/>
          <w:szCs w:val="16"/>
        </w:rPr>
        <w:t xml:space="preserve"> the three months ended March 31, 2020, because their inclusion would be anti-dil</w:t>
      </w:r>
      <w:r>
        <w:rPr>
          <w:rFonts w:eastAsia="Times New Roman"/>
          <w:color w:val="000000"/>
          <w:sz w:val="16"/>
          <w:szCs w:val="16"/>
          <w:shd w:val="clear" w:color="auto" w:fill="FFFFFF"/>
        </w:rPr>
        <w:t>utive.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3155253"/>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23155253"/>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23155253"/>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105</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30" style="width:0;height:1.5pt" o:hralign="center" o:hrstd="t" o:hr="t" fillcolor="#a0a0a0" stroked="f"/>
        </w:pict>
      </w:r>
    </w:p>
    <w:p w:rsidR="00000000" w:rsidRDefault="00E92DBE">
      <w:pPr>
        <w:jc w:val="both"/>
        <w:divId w:val="20344808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20344808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770001145"/>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77000114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NOTE 11—FAIR VALUE MEASUREMENT</w:t>
            </w:r>
          </w:p>
        </w:tc>
      </w:tr>
    </w:tbl>
    <w:p w:rsidR="00000000" w:rsidRDefault="00E92DBE">
      <w:pPr>
        <w:jc w:val="both"/>
        <w:divId w:val="1651902207"/>
        <w:rPr>
          <w:rFonts w:eastAsia="Times New Roman"/>
        </w:rPr>
      </w:pPr>
      <w:r>
        <w:rPr>
          <w:rFonts w:eastAsia="Times New Roman"/>
          <w:color w:val="000000"/>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eastAsia="Times New Roman"/>
          <w:color w:val="000000"/>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eastAsia="Times New Roman"/>
          <w:color w:val="000000"/>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eastAsia="Times New Roman"/>
          <w:color w:val="000000"/>
          <w:sz w:val="20"/>
          <w:szCs w:val="20"/>
        </w:rPr>
        <w:t>bed below:</w:t>
      </w:r>
    </w:p>
    <w:tbl>
      <w:tblPr>
        <w:tblW w:w="5000" w:type="pct"/>
        <w:tblCellMar>
          <w:top w:w="15" w:type="dxa"/>
          <w:left w:w="15" w:type="dxa"/>
          <w:bottom w:w="15" w:type="dxa"/>
          <w:right w:w="15" w:type="dxa"/>
        </w:tblCellMar>
        <w:tblLook w:val="04A0" w:firstRow="1" w:lastRow="0" w:firstColumn="1" w:lastColumn="0" w:noHBand="0" w:noVBand="1"/>
      </w:tblPr>
      <w:tblGrid>
        <w:gridCol w:w="86"/>
        <w:gridCol w:w="607"/>
        <w:gridCol w:w="36"/>
        <w:gridCol w:w="36"/>
        <w:gridCol w:w="36"/>
        <w:gridCol w:w="36"/>
        <w:gridCol w:w="38"/>
        <w:gridCol w:w="7394"/>
        <w:gridCol w:w="37"/>
      </w:tblGrid>
      <w:tr w:rsidR="00000000">
        <w:trPr>
          <w:divId w:val="86191927"/>
        </w:trPr>
        <w:tc>
          <w:tcPr>
            <w:tcW w:w="50" w:type="pct"/>
            <w:vAlign w:val="center"/>
            <w:hideMark/>
          </w:tcPr>
          <w:p w:rsidR="00000000" w:rsidRDefault="00E92DBE">
            <w:pPr>
              <w:jc w:val="both"/>
              <w:rPr>
                <w:rFonts w:eastAsia="Times New Roman"/>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9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86191927"/>
        </w:trPr>
        <w:tc>
          <w:tcPr>
            <w:tcW w:w="0" w:type="auto"/>
            <w:gridSpan w:val="3"/>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r>
              <w:rPr>
                <w:rFonts w:eastAsia="Times New Roman"/>
                <w:color w:val="000000"/>
                <w:sz w:val="20"/>
                <w:szCs w:val="20"/>
              </w:rPr>
              <w:t>Valuation is based on quoted prices (unadjusted) in active markets for identical assets or liabilities.</w:t>
            </w:r>
          </w:p>
        </w:tc>
      </w:tr>
      <w:tr w:rsidR="00000000">
        <w:trPr>
          <w:divId w:val="86191927"/>
        </w:trPr>
        <w:tc>
          <w:tcPr>
            <w:tcW w:w="0" w:type="auto"/>
            <w:gridSpan w:val="3"/>
            <w:tcMar>
              <w:top w:w="30" w:type="dxa"/>
              <w:left w:w="20" w:type="dxa"/>
              <w:bottom w:w="30" w:type="dxa"/>
              <w:right w:w="20" w:type="dxa"/>
            </w:tcMar>
            <w:hideMark/>
          </w:tcPr>
          <w:p w:rsidR="00000000" w:rsidRDefault="00E92DBE">
            <w:pPr>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r>
              <w:rPr>
                <w:rFonts w:eastAsia="Times New Roman"/>
                <w:color w:val="000000"/>
                <w:sz w:val="20"/>
                <w:szCs w:val="20"/>
              </w:rPr>
              <w:t xml:space="preserve">Valuation is based on observable market-based inputs other than Level 1 prices, such as quoted prices for similar assets or liabilities, quoted prices in markets that are not active, or other inputs that are observable or can be corroborated by observable </w:t>
            </w:r>
            <w:r>
              <w:rPr>
                <w:rFonts w:eastAsia="Times New Roman"/>
                <w:color w:val="000000"/>
                <w:sz w:val="20"/>
                <w:szCs w:val="20"/>
              </w:rPr>
              <w:t>market data for substantially the full term of the assets or liabilities.</w:t>
            </w:r>
          </w:p>
        </w:tc>
      </w:tr>
      <w:tr w:rsidR="00000000">
        <w:trPr>
          <w:divId w:val="86191927"/>
        </w:trPr>
        <w:tc>
          <w:tcPr>
            <w:tcW w:w="0" w:type="auto"/>
            <w:gridSpan w:val="3"/>
            <w:tcMar>
              <w:top w:w="30" w:type="dxa"/>
              <w:left w:w="20" w:type="dxa"/>
              <w:bottom w:w="30" w:type="dxa"/>
              <w:right w:w="20" w:type="dxa"/>
            </w:tcMar>
            <w:hideMark/>
          </w:tcPr>
          <w:p w:rsidR="00000000" w:rsidRDefault="00E92DBE">
            <w:pPr>
              <w:rPr>
                <w:rFonts w:eastAsia="Times New Roman"/>
              </w:rPr>
            </w:pPr>
            <w:r>
              <w:rPr>
                <w:rFonts w:eastAsia="Times New Roman"/>
                <w:color w:val="000000"/>
                <w:sz w:val="20"/>
                <w:szCs w:val="20"/>
              </w:rPr>
              <w:t>Level 3:</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r>
              <w:rPr>
                <w:rFonts w:eastAsia="Times New Roman"/>
                <w:color w:val="000000"/>
                <w:sz w:val="20"/>
                <w:szCs w:val="20"/>
              </w:rPr>
              <w:t>Valuation is generated from techniques that use significant assumptions not observable in the market. Valuation techniques include pricing models, discounted cash flow methodologies or similar techniques.</w:t>
            </w:r>
          </w:p>
        </w:tc>
      </w:tr>
    </w:tbl>
    <w:p w:rsidR="00000000" w:rsidRDefault="00E92DBE">
      <w:pPr>
        <w:jc w:val="both"/>
        <w:divId w:val="1786190230"/>
        <w:rPr>
          <w:rFonts w:eastAsia="Times New Roman"/>
        </w:rPr>
      </w:pPr>
      <w:r>
        <w:rPr>
          <w:rFonts w:eastAsia="Times New Roman"/>
          <w:color w:val="000000"/>
          <w:sz w:val="20"/>
          <w:szCs w:val="20"/>
        </w:rPr>
        <w:t>The accounting guidance for fair value measurements requires that we maximize the use of observable inputs and minimize the use of unobservable inputs in determining fair value. The accounting guidance provides for the irrevocable option to elect, on a con</w:t>
      </w:r>
      <w:r>
        <w:rPr>
          <w:rFonts w:eastAsia="Times New Roman"/>
          <w:color w:val="000000"/>
          <w:sz w:val="20"/>
          <w:szCs w:val="20"/>
        </w:rPr>
        <w:t>tract-by-contract basis, to measure certain financial assets and liabilities at fair value at inception of the contract and record any subsequent changes in fair value in earnings.</w:t>
      </w:r>
    </w:p>
    <w:p w:rsidR="00000000" w:rsidRDefault="00E92DBE">
      <w:pPr>
        <w:jc w:val="both"/>
        <w:divId w:val="613099202"/>
        <w:rPr>
          <w:rFonts w:eastAsia="Times New Roman"/>
        </w:rPr>
      </w:pPr>
      <w:r>
        <w:rPr>
          <w:rFonts w:eastAsia="Times New Roman"/>
          <w:color w:val="000000"/>
          <w:sz w:val="20"/>
          <w:szCs w:val="20"/>
        </w:rPr>
        <w:t>The determination and classification of financial instruments in the fair v</w:t>
      </w:r>
      <w:r>
        <w:rPr>
          <w:rFonts w:eastAsia="Times New Roman"/>
          <w:color w:val="000000"/>
          <w:sz w:val="20"/>
          <w:szCs w:val="20"/>
        </w:rPr>
        <w:t>alue hierarchy is performed at the end of each reporting period. We consider all available information, including observable market data, indications of market liquidity and orderliness, and our understanding of the valuation techniques and significant inp</w:t>
      </w:r>
      <w:r>
        <w:rPr>
          <w:rFonts w:eastAsia="Times New Roman"/>
          <w:color w:val="000000"/>
          <w:sz w:val="20"/>
          <w:szCs w:val="20"/>
        </w:rPr>
        <w:t>uts. For additional information on the valuation techniques used in estimating the fair value of our financial assets and liabilities on a recurring basis, see “Note 16—Fair Value Measurement” in our 2020 Form 10-K.</w:t>
      </w:r>
    </w:p>
    <w:p w:rsidR="00000000" w:rsidRDefault="00E92DBE">
      <w:pPr>
        <w:divId w:val="1932395718"/>
        <w:rPr>
          <w:rFonts w:eastAsia="Times New Roman"/>
        </w:rPr>
      </w:pPr>
      <w:r>
        <w:rPr>
          <w:rFonts w:eastAsia="Times New Roman"/>
          <w:b/>
          <w:bCs/>
          <w:color w:val="000000"/>
          <w:sz w:val="20"/>
          <w:szCs w:val="20"/>
        </w:rPr>
        <w:t xml:space="preserve">Assets and Liabilities Measured at Fair </w:t>
      </w:r>
      <w:r>
        <w:rPr>
          <w:rFonts w:eastAsia="Times New Roman"/>
          <w:b/>
          <w:bCs/>
          <w:color w:val="000000"/>
          <w:sz w:val="20"/>
          <w:szCs w:val="20"/>
        </w:rPr>
        <w:t>Value on a Recurring Basis</w:t>
      </w:r>
    </w:p>
    <w:p w:rsidR="00000000" w:rsidRDefault="00E92DBE">
      <w:pPr>
        <w:divId w:val="764226062"/>
        <w:rPr>
          <w:rFonts w:eastAsia="Times New Roman"/>
        </w:rPr>
      </w:pPr>
      <w:r>
        <w:rPr>
          <w:rFonts w:eastAsia="Times New Roman"/>
          <w:color w:val="000000"/>
          <w:sz w:val="20"/>
          <w:szCs w:val="20"/>
        </w:rPr>
        <w:t>The following table displays our assets and liabilities measured on our consolidated balance sheets at fair value on a recurring basis as of March 31, 2021 and December 31, 2020.</w:t>
      </w:r>
    </w:p>
    <w:p w:rsidR="00000000" w:rsidRDefault="00E92DBE">
      <w:pPr>
        <w:divId w:val="1756590446"/>
        <w:rPr>
          <w:rFonts w:eastAsia="Times New Roman"/>
        </w:rPr>
      </w:pPr>
      <w:r>
        <w:rPr>
          <w:rFonts w:eastAsia="Times New Roman"/>
          <w:b/>
          <w:bCs/>
          <w:color w:val="000000"/>
          <w:sz w:val="18"/>
          <w:szCs w:val="18"/>
        </w:rPr>
        <w:t>Table 11.1: Assets and Liabilities Measured at Fai</w:t>
      </w:r>
      <w:r>
        <w:rPr>
          <w:rFonts w:eastAsia="Times New Roman"/>
          <w:b/>
          <w:bCs/>
          <w:color w:val="000000"/>
          <w:sz w:val="18"/>
          <w:szCs w:val="18"/>
        </w:rPr>
        <w:t>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353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630"/>
        <w:gridCol w:w="36"/>
      </w:tblGrid>
      <w:tr w:rsidR="00000000">
        <w:trPr>
          <w:divId w:val="1503668402"/>
        </w:trPr>
        <w:tc>
          <w:tcPr>
            <w:tcW w:w="50" w:type="pct"/>
            <w:vAlign w:val="center"/>
            <w:hideMark/>
          </w:tcPr>
          <w:p w:rsidR="00000000" w:rsidRDefault="00E92DBE">
            <w:pPr>
              <w:rPr>
                <w:rFonts w:eastAsia="Times New Roman"/>
              </w:rPr>
            </w:pPr>
          </w:p>
        </w:tc>
        <w:tc>
          <w:tcPr>
            <w:tcW w:w="256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503668402"/>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r>
      <w:tr w:rsidR="00000000">
        <w:trPr>
          <w:divId w:val="1503668402"/>
          <w:trHeight w:val="24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503668402"/>
          <w:trHeight w:val="24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tcBorders>
              <w:top w:val="single" w:sz="8" w:space="0" w:color="000000"/>
            </w:tcBorders>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p>
        </w:tc>
      </w:tr>
      <w:tr w:rsidR="00000000">
        <w:trPr>
          <w:divId w:val="150366840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50366840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50366840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9,248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9,248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0366840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75,296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75,622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0366840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11,264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11,274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0366840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0366840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9,447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89,382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99,165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0366840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0366840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503668402"/>
        </w:trPr>
        <w:tc>
          <w:tcPr>
            <w:tcW w:w="0" w:type="auto"/>
            <w:gridSpan w:val="3"/>
            <w:shd w:val="clear" w:color="auto" w:fill="FFFFFF"/>
            <w:tcMar>
              <w:top w:w="30" w:type="dxa"/>
              <w:left w:w="20" w:type="dxa"/>
              <w:bottom w:w="30" w:type="dxa"/>
              <w:right w:w="20" w:type="dxa"/>
            </w:tcMar>
            <w:vAlign w:val="center"/>
            <w:hideMark/>
          </w:tcPr>
          <w:p w:rsidR="00000000" w:rsidRDefault="00E92DBE">
            <w:pPr>
              <w:divId w:val="679088710"/>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(844)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03668402"/>
        </w:trPr>
        <w:tc>
          <w:tcPr>
            <w:tcW w:w="0" w:type="auto"/>
            <w:gridSpan w:val="3"/>
            <w:shd w:val="clear" w:color="auto" w:fill="CCEEFF"/>
            <w:tcMar>
              <w:top w:w="30" w:type="dxa"/>
              <w:left w:w="20" w:type="dxa"/>
              <w:bottom w:w="30" w:type="dxa"/>
              <w:right w:w="20" w:type="dxa"/>
            </w:tcMar>
            <w:vAlign w:val="center"/>
            <w:hideMark/>
          </w:tcPr>
          <w:p w:rsidR="00000000" w:rsidRDefault="00E92DBE">
            <w:pPr>
              <w:divId w:val="289089336"/>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0366840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10,534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92,541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(844)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102,774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0366840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50366840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503668402"/>
        </w:trPr>
        <w:tc>
          <w:tcPr>
            <w:tcW w:w="0" w:type="auto"/>
            <w:gridSpan w:val="3"/>
            <w:shd w:val="clear" w:color="auto" w:fill="CCEEFF"/>
            <w:tcMar>
              <w:top w:w="30" w:type="dxa"/>
              <w:left w:w="20" w:type="dxa"/>
              <w:bottom w:w="30" w:type="dxa"/>
              <w:right w:w="20" w:type="dxa"/>
            </w:tcMar>
            <w:vAlign w:val="center"/>
            <w:hideMark/>
          </w:tcPr>
          <w:p w:rsidR="00000000" w:rsidRDefault="00E92DBE">
            <w:pPr>
              <w:divId w:val="637345737"/>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(679)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0366840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(679)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106</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31" style="width:0;height:1.5pt" o:hralign="center" o:hrstd="t" o:hr="t" fillcolor="#a0a0a0" stroked="f"/>
        </w:pict>
      </w:r>
    </w:p>
    <w:p w:rsidR="00000000" w:rsidRDefault="00E92DBE">
      <w:pPr>
        <w:jc w:val="both"/>
        <w:divId w:val="1851676252"/>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85167625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53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630"/>
        <w:gridCol w:w="36"/>
      </w:tblGrid>
      <w:tr w:rsidR="00000000">
        <w:trPr>
          <w:divId w:val="504636379"/>
        </w:trPr>
        <w:tc>
          <w:tcPr>
            <w:tcW w:w="50" w:type="pct"/>
            <w:vAlign w:val="center"/>
            <w:hideMark/>
          </w:tcPr>
          <w:p w:rsidR="00000000" w:rsidRDefault="00E92DBE">
            <w:pPr>
              <w:jc w:val="center"/>
              <w:rPr>
                <w:rFonts w:eastAsia="Times New Roman"/>
              </w:rPr>
            </w:pPr>
          </w:p>
        </w:tc>
        <w:tc>
          <w:tcPr>
            <w:tcW w:w="256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504636379"/>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504636379"/>
          <w:trHeight w:val="24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504636379"/>
          <w:trHeight w:val="24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tcBorders>
              <w:top w:val="single" w:sz="8" w:space="0" w:color="000000"/>
            </w:tcBorders>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p>
        </w:tc>
      </w:tr>
      <w:tr w:rsidR="00000000">
        <w:trPr>
          <w:divId w:val="50463637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50463637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504636379"/>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9,318 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9,318 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504636379"/>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76,375 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328 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76,703 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504636379"/>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11,624 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11,735 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504636379"/>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2,547 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2,689 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50463637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9,460 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90,546 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100,445 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50463637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596 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596 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50463637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504636379"/>
        </w:trPr>
        <w:tc>
          <w:tcPr>
            <w:tcW w:w="0" w:type="auto"/>
            <w:gridSpan w:val="3"/>
            <w:shd w:val="clear" w:color="auto" w:fill="FFFFFF"/>
            <w:tcMar>
              <w:top w:w="30" w:type="dxa"/>
              <w:left w:w="20" w:type="dxa"/>
              <w:bottom w:w="30" w:type="dxa"/>
              <w:right w:w="20" w:type="dxa"/>
            </w:tcMar>
            <w:vAlign w:val="center"/>
            <w:hideMark/>
          </w:tcPr>
          <w:p w:rsidR="00000000" w:rsidRDefault="00E92DBE">
            <w:pPr>
              <w:divId w:val="563758916"/>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3,006 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(1,148)</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2,267 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504636379"/>
        </w:trPr>
        <w:tc>
          <w:tcPr>
            <w:tcW w:w="0" w:type="auto"/>
            <w:gridSpan w:val="3"/>
            <w:shd w:val="clear" w:color="auto" w:fill="CCEEFF"/>
            <w:tcMar>
              <w:top w:w="30" w:type="dxa"/>
              <w:left w:w="20" w:type="dxa"/>
              <w:bottom w:w="30" w:type="dxa"/>
              <w:right w:w="20" w:type="dxa"/>
            </w:tcMar>
            <w:vAlign w:val="center"/>
            <w:hideMark/>
          </w:tcPr>
          <w:p w:rsidR="00000000" w:rsidRDefault="00E92DBE">
            <w:pPr>
              <w:divId w:val="242035373"/>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430 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552 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1,037 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50463637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10,158 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94,700 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(1,148)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104,345 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50463637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50463637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504636379"/>
        </w:trPr>
        <w:tc>
          <w:tcPr>
            <w:tcW w:w="0" w:type="auto"/>
            <w:gridSpan w:val="3"/>
            <w:shd w:val="clear" w:color="auto" w:fill="CCEEFF"/>
            <w:tcMar>
              <w:top w:w="30" w:type="dxa"/>
              <w:left w:w="20" w:type="dxa"/>
              <w:bottom w:w="30" w:type="dxa"/>
              <w:right w:w="20" w:type="dxa"/>
            </w:tcMar>
            <w:vAlign w:val="center"/>
            <w:hideMark/>
          </w:tcPr>
          <w:p w:rsidR="00000000" w:rsidRDefault="00E92DBE">
            <w:pPr>
              <w:divId w:val="1280919500"/>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1,137 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(739)</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779 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50463637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(739)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421730586"/>
        <w:rPr>
          <w:rFonts w:eastAsia="Times New Roman"/>
        </w:rPr>
      </w:pPr>
      <w:r>
        <w:rPr>
          <w:rFonts w:eastAsia="Times New Roman"/>
          <w:color w:val="000000"/>
          <w:sz w:val="20"/>
          <w:szCs w:val="20"/>
        </w:rPr>
        <w:t>__________</w:t>
      </w:r>
    </w:p>
    <w:p w:rsidR="00000000" w:rsidRDefault="00E92DBE">
      <w:pPr>
        <w:ind w:hanging="360"/>
        <w:jc w:val="both"/>
        <w:divId w:val="209080614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balance sheet netting of derivative asse</w:t>
      </w:r>
      <w:r>
        <w:rPr>
          <w:rFonts w:eastAsia="Times New Roman"/>
          <w:color w:val="000000"/>
          <w:sz w:val="16"/>
          <w:szCs w:val="16"/>
        </w:rPr>
        <w:t>ts and liabilities, and related payables and receivables for cash collateral held or placed with the same counterparty. See “Note 8—Derivative Instruments and Hedging Activities” for additional information.</w:t>
      </w:r>
    </w:p>
    <w:p w:rsidR="00000000" w:rsidRDefault="00E92DBE">
      <w:pPr>
        <w:ind w:hanging="360"/>
        <w:jc w:val="both"/>
        <w:divId w:val="393892853"/>
        <w:rPr>
          <w:rFonts w:eastAsia="Times New Roman"/>
        </w:rPr>
      </w:pPr>
      <w:r>
        <w:rPr>
          <w:rFonts w:eastAsia="Times New Roman"/>
          <w:color w:val="000000"/>
          <w:sz w:val="10"/>
          <w:szCs w:val="10"/>
          <w:shd w:val="clear" w:color="auto" w:fill="FFFFFF"/>
        </w:rPr>
        <w:t>(2</w:t>
      </w:r>
      <w:r>
        <w:rPr>
          <w:rFonts w:eastAsia="Times New Roman"/>
          <w:color w:val="000000"/>
          <w:sz w:val="10"/>
          <w:szCs w:val="10"/>
          <w:shd w:val="clear" w:color="auto" w:fill="FFFFFF"/>
        </w:rPr>
        <w:t>)</w:t>
      </w:r>
      <w:r>
        <w:rPr>
          <w:rFonts w:eastAsia="Times New Roman"/>
          <w:color w:val="000000"/>
          <w:sz w:val="16"/>
          <w:szCs w:val="16"/>
        </w:rPr>
        <w:t>Does not reflect $26 million and $31 million r</w:t>
      </w:r>
      <w:r>
        <w:rPr>
          <w:rFonts w:eastAsia="Times New Roman"/>
          <w:color w:val="000000"/>
          <w:sz w:val="16"/>
          <w:szCs w:val="16"/>
        </w:rPr>
        <w:t>ecognized as a net valuation allowance on derivative assets and liabilities for non-performance risk as of March 31, 2021 and December 31, 2020</w:t>
      </w:r>
      <w:r>
        <w:rPr>
          <w:rFonts w:eastAsia="Times New Roman"/>
          <w:color w:val="000000"/>
          <w:sz w:val="16"/>
          <w:szCs w:val="16"/>
          <w:shd w:val="clear" w:color="auto" w:fill="FFFFFF"/>
        </w:rPr>
        <w:t>, respectively. Non-performance risk is included in derivative assets and liabilities, which are part of other as</w:t>
      </w:r>
      <w:r>
        <w:rPr>
          <w:rFonts w:eastAsia="Times New Roman"/>
          <w:color w:val="000000"/>
          <w:sz w:val="16"/>
          <w:szCs w:val="16"/>
          <w:shd w:val="clear" w:color="auto" w:fill="FFFFFF"/>
        </w:rPr>
        <w:t>sets and other liabilities on the consolidated balance sheets, and is offset through non-interest income in the consolidated statements of income.</w:t>
      </w:r>
    </w:p>
    <w:p w:rsidR="00000000" w:rsidRDefault="00E92DBE">
      <w:pPr>
        <w:ind w:hanging="360"/>
        <w:jc w:val="both"/>
        <w:divId w:val="105776275"/>
        <w:rPr>
          <w:rFonts w:eastAsia="Times New Roman"/>
        </w:rPr>
      </w:pPr>
      <w:r>
        <w:rPr>
          <w:rFonts w:eastAsia="Times New Roman"/>
          <w:color w:val="000000"/>
          <w:sz w:val="10"/>
          <w:szCs w:val="10"/>
          <w:shd w:val="clear" w:color="auto" w:fill="FFFFFF"/>
        </w:rPr>
        <w:t>(3</w:t>
      </w:r>
      <w:r>
        <w:rPr>
          <w:rFonts w:eastAsia="Times New Roman"/>
          <w:color w:val="000000"/>
          <w:sz w:val="10"/>
          <w:szCs w:val="10"/>
          <w:shd w:val="clear" w:color="auto" w:fill="FFFFFF"/>
        </w:rPr>
        <w:t>)</w:t>
      </w:r>
      <w:r>
        <w:rPr>
          <w:rFonts w:eastAsia="Times New Roman"/>
          <w:color w:val="000000"/>
          <w:sz w:val="16"/>
          <w:szCs w:val="16"/>
        </w:rPr>
        <w:t>As of March 31, 2021 and December 31, 2020, other includes retained interests in securitizations of $50 mi</w:t>
      </w:r>
      <w:r>
        <w:rPr>
          <w:rFonts w:eastAsia="Times New Roman"/>
          <w:color w:val="000000"/>
          <w:sz w:val="16"/>
          <w:szCs w:val="16"/>
        </w:rPr>
        <w:t>llion and $55 million, deferred compensation plan assets of $449 million and $414 million, and equity securities of $177 million and $568 million including unrealized losses of $38 million and unrealized gains of $535 million, respectively.</w:t>
      </w:r>
    </w:p>
    <w:p w:rsidR="00000000" w:rsidRDefault="00E92DBE">
      <w:pPr>
        <w:divId w:val="237327343"/>
        <w:rPr>
          <w:rFonts w:eastAsia="Times New Roman"/>
        </w:rPr>
      </w:pPr>
      <w:r>
        <w:rPr>
          <w:rFonts w:eastAsia="Times New Roman"/>
          <w:b/>
          <w:bCs/>
          <w:color w:val="000000"/>
          <w:sz w:val="20"/>
          <w:szCs w:val="20"/>
          <w:shd w:val="clear" w:color="auto" w:fill="FFFFFF"/>
        </w:rPr>
        <w:t>Level 3 Recurri</w:t>
      </w:r>
      <w:r>
        <w:rPr>
          <w:rFonts w:eastAsia="Times New Roman"/>
          <w:b/>
          <w:bCs/>
          <w:color w:val="000000"/>
          <w:sz w:val="20"/>
          <w:szCs w:val="20"/>
          <w:shd w:val="clear" w:color="auto" w:fill="FFFFFF"/>
        </w:rPr>
        <w:t>ng Fair Val</w:t>
      </w:r>
      <w:r>
        <w:rPr>
          <w:rFonts w:eastAsia="Times New Roman"/>
          <w:b/>
          <w:bCs/>
          <w:color w:val="000000"/>
          <w:sz w:val="20"/>
          <w:szCs w:val="20"/>
        </w:rPr>
        <w:t>ue Rollforward</w:t>
      </w:r>
    </w:p>
    <w:p w:rsidR="00000000" w:rsidRDefault="00E92DBE">
      <w:pPr>
        <w:jc w:val="both"/>
        <w:divId w:val="155927180"/>
        <w:rPr>
          <w:rFonts w:eastAsia="Times New Roman"/>
        </w:rPr>
      </w:pPr>
      <w:r>
        <w:rPr>
          <w:rFonts w:eastAsia="Times New Roman"/>
          <w:color w:val="000000"/>
          <w:sz w:val="20"/>
          <w:szCs w:val="20"/>
        </w:rPr>
        <w:t>The table below presents a reconciliation for all assets and liabilities measured and recognized at fair value on a recurring basis using significant unobservable inputs (Level 3) for the three months ended March 31, 2021 and 2020. Generally, transfers int</w:t>
      </w:r>
      <w:r>
        <w:rPr>
          <w:rFonts w:eastAsia="Times New Roman"/>
          <w:color w:val="000000"/>
          <w:sz w:val="20"/>
          <w:szCs w:val="20"/>
        </w:rPr>
        <w:t>o Level 3 were primarily driven by the usage of unobservable assumptions in the pricing of these financial instruments as evidenced by wider pricing variations among pricing vendors and transfers out of Level 3 were primarily driven by the usage of assumpt</w:t>
      </w:r>
      <w:r>
        <w:rPr>
          <w:rFonts w:eastAsia="Times New Roman"/>
          <w:color w:val="000000"/>
          <w:sz w:val="20"/>
          <w:szCs w:val="20"/>
        </w:rPr>
        <w:t>ions corroborated by market observable information as evidenced by tighter pricing among multiple pricing sources.</w:t>
      </w:r>
    </w:p>
    <w:p w:rsidR="00000000" w:rsidRDefault="00E92DBE">
      <w:pPr>
        <w:divId w:val="2127000396"/>
        <w:rPr>
          <w:rFonts w:eastAsia="Times New Roman"/>
        </w:rPr>
      </w:pPr>
      <w:r>
        <w:rPr>
          <w:rFonts w:eastAsia="Times New Roman"/>
          <w:b/>
          <w:bCs/>
          <w:color w:val="000000"/>
          <w:sz w:val="18"/>
          <w:szCs w:val="18"/>
        </w:rPr>
        <w:t>Table 11.2: Level 3 Recurring Fair Value Rollforward</w:t>
      </w:r>
    </w:p>
    <w:tbl>
      <w:tblPr>
        <w:tblW w:w="5000" w:type="pct"/>
        <w:tblCellMar>
          <w:top w:w="15" w:type="dxa"/>
          <w:left w:w="15" w:type="dxa"/>
          <w:bottom w:w="15" w:type="dxa"/>
          <w:right w:w="15" w:type="dxa"/>
        </w:tblCellMar>
        <w:tblLook w:val="04A0" w:firstRow="1" w:lastRow="0" w:firstColumn="1" w:lastColumn="0" w:noHBand="0" w:noVBand="1"/>
      </w:tblPr>
      <w:tblGrid>
        <w:gridCol w:w="87"/>
        <w:gridCol w:w="1210"/>
        <w:gridCol w:w="38"/>
        <w:gridCol w:w="36"/>
        <w:gridCol w:w="36"/>
        <w:gridCol w:w="36"/>
        <w:gridCol w:w="111"/>
        <w:gridCol w:w="489"/>
        <w:gridCol w:w="36"/>
        <w:gridCol w:w="36"/>
        <w:gridCol w:w="36"/>
        <w:gridCol w:w="36"/>
        <w:gridCol w:w="111"/>
        <w:gridCol w:w="444"/>
        <w:gridCol w:w="37"/>
        <w:gridCol w:w="37"/>
        <w:gridCol w:w="47"/>
        <w:gridCol w:w="36"/>
        <w:gridCol w:w="110"/>
        <w:gridCol w:w="443"/>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534"/>
        <w:gridCol w:w="36"/>
        <w:gridCol w:w="36"/>
        <w:gridCol w:w="36"/>
        <w:gridCol w:w="36"/>
        <w:gridCol w:w="111"/>
        <w:gridCol w:w="447"/>
        <w:gridCol w:w="36"/>
        <w:gridCol w:w="36"/>
        <w:gridCol w:w="36"/>
        <w:gridCol w:w="36"/>
        <w:gridCol w:w="111"/>
        <w:gridCol w:w="440"/>
        <w:gridCol w:w="36"/>
        <w:gridCol w:w="36"/>
        <w:gridCol w:w="36"/>
        <w:gridCol w:w="36"/>
        <w:gridCol w:w="111"/>
        <w:gridCol w:w="417"/>
        <w:gridCol w:w="791"/>
      </w:tblGrid>
      <w:tr w:rsidR="00000000">
        <w:trPr>
          <w:divId w:val="1539583062"/>
        </w:trPr>
        <w:tc>
          <w:tcPr>
            <w:tcW w:w="50" w:type="pct"/>
            <w:vAlign w:val="center"/>
            <w:hideMark/>
          </w:tcPr>
          <w:p w:rsidR="00000000" w:rsidRDefault="00E92DBE">
            <w:pPr>
              <w:rPr>
                <w:rFonts w:eastAsia="Times New Roman"/>
              </w:rPr>
            </w:pPr>
          </w:p>
        </w:tc>
        <w:tc>
          <w:tcPr>
            <w:tcW w:w="6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7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5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0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6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539583062"/>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rsidR="00000000" w:rsidRDefault="00E92DBE">
            <w:pPr>
              <w:rPr>
                <w:rFonts w:eastAsia="Times New Roman"/>
                <w:sz w:val="20"/>
                <w:szCs w:val="20"/>
              </w:rPr>
            </w:pPr>
          </w:p>
        </w:tc>
      </w:tr>
      <w:tr w:rsidR="00000000">
        <w:trPr>
          <w:divId w:val="1539583062"/>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Three Months Ended March 31, 2021</w:t>
            </w:r>
          </w:p>
        </w:tc>
        <w:tc>
          <w:tcPr>
            <w:tcW w:w="0" w:type="auto"/>
            <w:vAlign w:val="center"/>
            <w:hideMark/>
          </w:tcPr>
          <w:p w:rsidR="00000000" w:rsidRDefault="00E92DBE">
            <w:pPr>
              <w:rPr>
                <w:rFonts w:eastAsia="Times New Roman"/>
                <w:sz w:val="20"/>
                <w:szCs w:val="20"/>
              </w:rPr>
            </w:pPr>
          </w:p>
        </w:tc>
      </w:tr>
      <w:tr w:rsidR="00000000">
        <w:trPr>
          <w:divId w:val="1539583062"/>
          <w:trHeight w:val="30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r>
              <w:rPr>
                <w:rFonts w:eastAsia="Times New Roman"/>
                <w:b/>
                <w:bCs/>
                <w:color w:val="000000"/>
                <w:sz w:val="12"/>
                <w:szCs w:val="12"/>
              </w:rPr>
              <w:t>Net Unrealized Gains (Losses) Included in Net Income Related to Assets and Liabilities Still Held as of March 31, 202</w:t>
            </w:r>
            <w:r>
              <w:rPr>
                <w:rFonts w:eastAsia="Times New Roman"/>
                <w:b/>
                <w:bCs/>
                <w:color w:val="000000"/>
                <w:sz w:val="12"/>
                <w:szCs w:val="12"/>
              </w:rPr>
              <w:t>1</w:t>
            </w:r>
            <w:r>
              <w:rPr>
                <w:rFonts w:eastAsia="Times New Roman"/>
                <w:b/>
                <w:bCs/>
                <w:color w:val="000000"/>
                <w:sz w:val="8"/>
                <w:szCs w:val="8"/>
              </w:rPr>
              <w:t>(1</w:t>
            </w:r>
            <w:r>
              <w:rPr>
                <w:rFonts w:eastAsia="Times New Roman"/>
                <w:b/>
                <w:bCs/>
                <w:color w:val="000000"/>
                <w:sz w:val="8"/>
                <w:szCs w:val="8"/>
              </w:rPr>
              <w:t>)</w:t>
            </w:r>
          </w:p>
          <w:p w:rsidR="00000000" w:rsidRDefault="00E92DBE">
            <w:pPr>
              <w:jc w:val="center"/>
              <w:rPr>
                <w:rFonts w:eastAsia="Times New Roman"/>
              </w:rPr>
            </w:pPr>
          </w:p>
        </w:tc>
      </w:tr>
      <w:tr w:rsidR="00000000">
        <w:trPr>
          <w:divId w:val="1539583062"/>
          <w:trHeight w:val="46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Balance, January 1, 2021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Included</w:t>
            </w:r>
          </w:p>
          <w:p w:rsidR="00000000" w:rsidRDefault="00E92DBE">
            <w:pPr>
              <w:jc w:val="center"/>
              <w:rPr>
                <w:rFonts w:eastAsia="Times New Roman"/>
              </w:rPr>
            </w:pPr>
            <w:r>
              <w:rPr>
                <w:rFonts w:eastAsia="Times New Roman"/>
                <w:b/>
                <w:bCs/>
                <w:color w:val="000000"/>
                <w:sz w:val="12"/>
                <w:szCs w:val="12"/>
              </w:rPr>
              <w:t>in Net</w:t>
            </w:r>
          </w:p>
          <w:p w:rsidR="00000000" w:rsidRDefault="00E92DBE">
            <w:pPr>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Balance, March 31, 2021</w:t>
            </w:r>
          </w:p>
        </w:tc>
        <w:tc>
          <w:tcPr>
            <w:tcW w:w="0" w:type="auto"/>
            <w:tcMar>
              <w:top w:w="0" w:type="dxa"/>
              <w:left w:w="20" w:type="dxa"/>
              <w:bottom w:w="0" w:type="dxa"/>
              <w:right w:w="20" w:type="dxa"/>
            </w:tcMar>
            <w:vAlign w:val="center"/>
            <w:hideMark/>
          </w:tcPr>
          <w:p w:rsidR="00000000" w:rsidRDefault="00E92DBE">
            <w:pPr>
              <w:jc w:val="center"/>
              <w:rPr>
                <w:rFonts w:eastAsia="Times New Roman"/>
              </w:rPr>
            </w:pPr>
          </w:p>
        </w:tc>
      </w:tr>
      <w:tr w:rsidR="00000000">
        <w:trPr>
          <w:divId w:val="153958306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1458910481"/>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E92DBE">
        <w:trPr>
          <w:divId w:val="153958306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328 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(26)</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$7</w:t>
            </w:r>
            <w:r>
              <w:rPr>
                <w:rFonts w:eastAsia="Times New Roman"/>
                <w:color w:val="000000"/>
                <w:sz w:val="18"/>
                <w:szCs w:val="18"/>
              </w:rPr>
              <w:t> </w:t>
            </w:r>
          </w:p>
        </w:tc>
      </w:tr>
      <w:tr w:rsidR="00E92DBE">
        <w:trPr>
          <w:divId w:val="153958306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(93)</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r>
      <w:tr w:rsidR="00000000">
        <w:trPr>
          <w:divId w:val="1539583062"/>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E92DBE">
        <w:trPr>
          <w:divId w:val="153958306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336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7</w:t>
            </w:r>
            <w:r>
              <w:rPr>
                <w:rFonts w:eastAsia="Times New Roman"/>
                <w:color w:val="000000"/>
                <w:sz w:val="18"/>
                <w:szCs w:val="18"/>
              </w:rPr>
              <w:t> </w:t>
            </w:r>
          </w:p>
        </w:tc>
      </w:tr>
      <w:tr w:rsidR="00000000">
        <w:trPr>
          <w:divId w:val="153958306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539583062"/>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2"/>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E92DBE">
        <w:trPr>
          <w:divId w:val="153958306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(5)</w:t>
            </w:r>
          </w:p>
        </w:tc>
      </w:tr>
      <w:tr w:rsidR="00E92DBE">
        <w:trPr>
          <w:divId w:val="1539583062"/>
        </w:trPr>
        <w:tc>
          <w:tcPr>
            <w:tcW w:w="0" w:type="auto"/>
            <w:gridSpan w:val="3"/>
            <w:shd w:val="clear" w:color="auto" w:fill="CCEEFF"/>
            <w:tcMar>
              <w:top w:w="30" w:type="dxa"/>
              <w:left w:w="20" w:type="dxa"/>
              <w:bottom w:w="30" w:type="dxa"/>
              <w:right w:w="20" w:type="dxa"/>
            </w:tcMar>
            <w:vAlign w:val="center"/>
            <w:hideMark/>
          </w:tcPr>
          <w:p w:rsidR="00000000" w:rsidRDefault="00E92DBE">
            <w:pPr>
              <w:divId w:val="1903514309"/>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(21)</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(14)</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b/>
                <w:bCs/>
                <w:color w:val="000000"/>
                <w:sz w:val="18"/>
                <w:szCs w:val="18"/>
              </w:rPr>
              <w:t>(19)</w:t>
            </w:r>
          </w:p>
        </w:tc>
      </w:tr>
    </w:tbl>
    <w:p w:rsidR="00000000" w:rsidRDefault="00E92DBE">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2237996"/>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72237996"/>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72237996"/>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107</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32" style="width:0;height:1.5pt" o:hralign="center" o:hrstd="t" o:hr="t" fillcolor="#a0a0a0" stroked="f"/>
        </w:pict>
      </w:r>
    </w:p>
    <w:p w:rsidR="00000000" w:rsidRDefault="00E92DBE">
      <w:pPr>
        <w:jc w:val="both"/>
        <w:divId w:val="137306981"/>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3730698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7"/>
        <w:gridCol w:w="1210"/>
        <w:gridCol w:w="38"/>
        <w:gridCol w:w="36"/>
        <w:gridCol w:w="36"/>
        <w:gridCol w:w="36"/>
        <w:gridCol w:w="111"/>
        <w:gridCol w:w="489"/>
        <w:gridCol w:w="36"/>
        <w:gridCol w:w="36"/>
        <w:gridCol w:w="36"/>
        <w:gridCol w:w="36"/>
        <w:gridCol w:w="111"/>
        <w:gridCol w:w="444"/>
        <w:gridCol w:w="37"/>
        <w:gridCol w:w="37"/>
        <w:gridCol w:w="47"/>
        <w:gridCol w:w="36"/>
        <w:gridCol w:w="110"/>
        <w:gridCol w:w="443"/>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534"/>
        <w:gridCol w:w="36"/>
        <w:gridCol w:w="36"/>
        <w:gridCol w:w="36"/>
        <w:gridCol w:w="36"/>
        <w:gridCol w:w="111"/>
        <w:gridCol w:w="447"/>
        <w:gridCol w:w="36"/>
        <w:gridCol w:w="36"/>
        <w:gridCol w:w="36"/>
        <w:gridCol w:w="36"/>
        <w:gridCol w:w="111"/>
        <w:gridCol w:w="440"/>
        <w:gridCol w:w="36"/>
        <w:gridCol w:w="36"/>
        <w:gridCol w:w="36"/>
        <w:gridCol w:w="36"/>
        <w:gridCol w:w="111"/>
        <w:gridCol w:w="417"/>
        <w:gridCol w:w="791"/>
      </w:tblGrid>
      <w:tr w:rsidR="00000000">
        <w:trPr>
          <w:divId w:val="552620622"/>
        </w:trPr>
        <w:tc>
          <w:tcPr>
            <w:tcW w:w="50" w:type="pct"/>
            <w:vAlign w:val="center"/>
            <w:hideMark/>
          </w:tcPr>
          <w:p w:rsidR="00000000" w:rsidRDefault="00E92DBE">
            <w:pPr>
              <w:jc w:val="center"/>
              <w:rPr>
                <w:rFonts w:eastAsia="Times New Roman"/>
              </w:rPr>
            </w:pPr>
          </w:p>
        </w:tc>
        <w:tc>
          <w:tcPr>
            <w:tcW w:w="69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7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5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0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9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6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4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5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552620622"/>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rsidR="00000000" w:rsidRDefault="00E92DBE">
            <w:pPr>
              <w:rPr>
                <w:rFonts w:eastAsia="Times New Roman"/>
                <w:sz w:val="20"/>
                <w:szCs w:val="20"/>
              </w:rPr>
            </w:pPr>
          </w:p>
        </w:tc>
      </w:tr>
      <w:tr w:rsidR="00000000">
        <w:trPr>
          <w:divId w:val="552620622"/>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56"/>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4"/>
                <w:szCs w:val="14"/>
              </w:rPr>
              <w:t>Three Months Ended March 31, 2020</w:t>
            </w:r>
          </w:p>
        </w:tc>
        <w:tc>
          <w:tcPr>
            <w:tcW w:w="0" w:type="auto"/>
            <w:vAlign w:val="center"/>
            <w:hideMark/>
          </w:tcPr>
          <w:p w:rsidR="00000000" w:rsidRDefault="00E92DBE">
            <w:pPr>
              <w:rPr>
                <w:rFonts w:eastAsia="Times New Roman"/>
                <w:sz w:val="20"/>
                <w:szCs w:val="20"/>
              </w:rPr>
            </w:pPr>
          </w:p>
        </w:tc>
      </w:tr>
      <w:tr w:rsidR="00000000">
        <w:trPr>
          <w:divId w:val="552620622"/>
          <w:trHeight w:val="30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r>
              <w:rPr>
                <w:rFonts w:eastAsia="Times New Roman"/>
                <w:b/>
                <w:bCs/>
                <w:color w:val="000000"/>
                <w:sz w:val="12"/>
                <w:szCs w:val="12"/>
              </w:rPr>
              <w:t>Net Unrealized Gains (Losses) Included in Net Income Related to Assets and Liabilities Still Held as of March 31, 202</w:t>
            </w:r>
            <w:r>
              <w:rPr>
                <w:rFonts w:eastAsia="Times New Roman"/>
                <w:b/>
                <w:bCs/>
                <w:color w:val="000000"/>
                <w:sz w:val="12"/>
                <w:szCs w:val="12"/>
              </w:rPr>
              <w:t>0</w:t>
            </w:r>
            <w:r>
              <w:rPr>
                <w:rFonts w:eastAsia="Times New Roman"/>
                <w:b/>
                <w:bCs/>
                <w:color w:val="000000"/>
                <w:sz w:val="8"/>
                <w:szCs w:val="8"/>
              </w:rPr>
              <w:t>(1</w:t>
            </w:r>
            <w:r>
              <w:rPr>
                <w:rFonts w:eastAsia="Times New Roman"/>
                <w:b/>
                <w:bCs/>
                <w:color w:val="000000"/>
                <w:sz w:val="8"/>
                <w:szCs w:val="8"/>
              </w:rPr>
              <w:t>)</w:t>
            </w:r>
          </w:p>
          <w:p w:rsidR="00000000" w:rsidRDefault="00E92DBE">
            <w:pPr>
              <w:jc w:val="center"/>
              <w:rPr>
                <w:rFonts w:eastAsia="Times New Roman"/>
              </w:rPr>
            </w:pPr>
          </w:p>
        </w:tc>
      </w:tr>
      <w:tr w:rsidR="00000000">
        <w:trPr>
          <w:divId w:val="552620622"/>
          <w:trHeight w:val="46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2"/>
                <w:szCs w:val="12"/>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Balance, January 1, 2020</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Included</w:t>
            </w:r>
          </w:p>
          <w:p w:rsidR="00000000" w:rsidRDefault="00E92DBE">
            <w:pPr>
              <w:jc w:val="center"/>
              <w:rPr>
                <w:rFonts w:eastAsia="Times New Roman"/>
              </w:rPr>
            </w:pPr>
            <w:r>
              <w:rPr>
                <w:rFonts w:eastAsia="Times New Roman"/>
                <w:b/>
                <w:bCs/>
                <w:color w:val="000000"/>
                <w:sz w:val="12"/>
                <w:szCs w:val="12"/>
              </w:rPr>
              <w:t>in Net</w:t>
            </w:r>
          </w:p>
          <w:p w:rsidR="00000000" w:rsidRDefault="00E92DBE">
            <w:pPr>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2"/>
                <w:szCs w:val="12"/>
              </w:rPr>
              <w:t>Balance, March 31, 2020</w:t>
            </w:r>
          </w:p>
        </w:tc>
        <w:tc>
          <w:tcPr>
            <w:tcW w:w="0" w:type="auto"/>
            <w:tcMar>
              <w:top w:w="0" w:type="dxa"/>
              <w:left w:w="20" w:type="dxa"/>
              <w:bottom w:w="0" w:type="dxa"/>
              <w:right w:w="20" w:type="dxa"/>
            </w:tcMar>
            <w:vAlign w:val="center"/>
            <w:hideMark/>
          </w:tcPr>
          <w:p w:rsidR="00000000" w:rsidRDefault="00E92DBE">
            <w:pPr>
              <w:jc w:val="center"/>
              <w:rPr>
                <w:rFonts w:eastAsia="Times New Roman"/>
              </w:rPr>
            </w:pPr>
          </w:p>
        </w:tc>
      </w:tr>
      <w:tr w:rsidR="00000000">
        <w:trPr>
          <w:divId w:val="55262062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divId w:val="1496605568"/>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E92DBE">
        <w:trPr>
          <w:divId w:val="55262062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433 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373 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$3 </w:t>
            </w:r>
          </w:p>
        </w:tc>
      </w:tr>
      <w:tr w:rsidR="00E92DBE">
        <w:trPr>
          <w:divId w:val="552620622"/>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0 </w:t>
            </w:r>
          </w:p>
        </w:tc>
      </w:tr>
      <w:tr w:rsidR="00E92DBE">
        <w:trPr>
          <w:divId w:val="552620622"/>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409 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3 </w:t>
            </w:r>
          </w:p>
        </w:tc>
      </w:tr>
      <w:tr w:rsidR="00000000">
        <w:trPr>
          <w:divId w:val="552620622"/>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E92DBE">
        <w:trPr>
          <w:divId w:val="552620622"/>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(7)</w:t>
            </w:r>
          </w:p>
        </w:tc>
      </w:tr>
      <w:tr w:rsidR="00E92DBE">
        <w:trPr>
          <w:divId w:val="552620622"/>
        </w:trPr>
        <w:tc>
          <w:tcPr>
            <w:tcW w:w="0" w:type="auto"/>
            <w:gridSpan w:val="3"/>
            <w:shd w:val="clear" w:color="auto" w:fill="CCEEFF"/>
            <w:tcMar>
              <w:top w:w="30" w:type="dxa"/>
              <w:left w:w="20" w:type="dxa"/>
              <w:bottom w:w="30" w:type="dxa"/>
              <w:right w:w="20" w:type="dxa"/>
            </w:tcMar>
            <w:vAlign w:val="center"/>
            <w:hideMark/>
          </w:tcPr>
          <w:p w:rsidR="00000000" w:rsidRDefault="00E92DBE">
            <w:pPr>
              <w:divId w:val="1037968507"/>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r>
              <w:rPr>
                <w:rFonts w:eastAsia="Times New Roman"/>
                <w:color w:val="000000"/>
                <w:sz w:val="18"/>
                <w:szCs w:val="18"/>
              </w:rPr>
              <w:t>18 </w:t>
            </w:r>
          </w:p>
        </w:tc>
      </w:tr>
    </w:tbl>
    <w:p w:rsidR="00000000" w:rsidRDefault="00E92DBE">
      <w:pPr>
        <w:divId w:val="266930321"/>
        <w:rPr>
          <w:rFonts w:eastAsia="Times New Roman"/>
        </w:rPr>
      </w:pPr>
      <w:r>
        <w:rPr>
          <w:rFonts w:eastAsia="Times New Roman"/>
          <w:color w:val="000000"/>
          <w:sz w:val="20"/>
          <w:szCs w:val="20"/>
        </w:rPr>
        <w:t>__________</w:t>
      </w:r>
    </w:p>
    <w:p w:rsidR="00000000" w:rsidRDefault="00E92DBE">
      <w:pPr>
        <w:ind w:hanging="360"/>
        <w:jc w:val="both"/>
        <w:divId w:val="79058750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Realized gains (losses) on securities</w:t>
      </w:r>
      <w:r>
        <w:rPr>
          <w:rFonts w:eastAsia="Times New Roman"/>
          <w:color w:val="000000"/>
          <w:sz w:val="16"/>
          <w:szCs w:val="16"/>
        </w:rPr>
        <w:t xml:space="preserve"> available for sale are included in net securities gains (losses), and retained interests in securitizations are reported as a component of non-interest income in our consolidated statements of income. Gains (losses) on derivatives are included as a compon</w:t>
      </w:r>
      <w:r>
        <w:rPr>
          <w:rFonts w:eastAsia="Times New Roman"/>
          <w:color w:val="000000"/>
          <w:sz w:val="16"/>
          <w:szCs w:val="16"/>
        </w:rPr>
        <w:t>ent of net interest income or non-interest income in our consolidated statements of income.</w:t>
      </w:r>
    </w:p>
    <w:p w:rsidR="00000000" w:rsidRDefault="00E92DBE">
      <w:pPr>
        <w:ind w:hanging="360"/>
        <w:jc w:val="both"/>
        <w:divId w:val="37782061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Net unrealized losses included in OCI related to Level 3 securities available for sale still held as of March 31, 2021 were $2 million. Net unrealized losses inc</w:t>
      </w:r>
      <w:r>
        <w:rPr>
          <w:rFonts w:eastAsia="Times New Roman"/>
          <w:color w:val="000000"/>
          <w:sz w:val="16"/>
          <w:szCs w:val="16"/>
        </w:rPr>
        <w:t>luded in OCI related to Level 3 securities available for sale still held as of March 31, 2020 were $52 million.</w:t>
      </w:r>
    </w:p>
    <w:p w:rsidR="00000000" w:rsidRDefault="00E92DBE">
      <w:pPr>
        <w:ind w:hanging="360"/>
        <w:jc w:val="both"/>
        <w:divId w:val="365761548"/>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Includes derivative assets and liabilities of $157 million and $123 million, respectively, as of March 31, 2021, $147 million and $81 million</w:t>
      </w:r>
      <w:r>
        <w:rPr>
          <w:rFonts w:eastAsia="Times New Roman"/>
          <w:color w:val="000000"/>
          <w:sz w:val="16"/>
          <w:szCs w:val="16"/>
        </w:rPr>
        <w:t>, respectively, as of March 31, 2020..</w:t>
      </w:r>
    </w:p>
    <w:p w:rsidR="00000000" w:rsidRDefault="00E92DBE">
      <w:pPr>
        <w:jc w:val="both"/>
        <w:divId w:val="715397993"/>
        <w:rPr>
          <w:rFonts w:eastAsia="Times New Roman"/>
        </w:rPr>
      </w:pPr>
      <w:r>
        <w:rPr>
          <w:rFonts w:eastAsia="Times New Roman"/>
          <w:b/>
          <w:bCs/>
          <w:color w:val="000000"/>
          <w:sz w:val="20"/>
          <w:szCs w:val="20"/>
        </w:rPr>
        <w:t>Significant Level 3 Fair Value Asset and Liability Inputs    </w:t>
      </w:r>
    </w:p>
    <w:p w:rsidR="00000000" w:rsidRDefault="00E92DBE">
      <w:pPr>
        <w:jc w:val="both"/>
        <w:divId w:val="373232320"/>
        <w:rPr>
          <w:rFonts w:eastAsia="Times New Roman"/>
        </w:rPr>
      </w:pPr>
      <w:r>
        <w:rPr>
          <w:rFonts w:eastAsia="Times New Roman"/>
          <w:color w:val="000000"/>
          <w:sz w:val="20"/>
          <w:szCs w:val="20"/>
        </w:rPr>
        <w:t>Generally, uncertainties in fair value measurements of financial instruments, such as changes in unobservable inputs, may have a significant impact on fair</w:t>
      </w:r>
      <w:r>
        <w:rPr>
          <w:rFonts w:eastAsia="Times New Roman"/>
          <w:color w:val="000000"/>
          <w:sz w:val="20"/>
          <w:szCs w:val="20"/>
        </w:rPr>
        <w:t xml:space="preserve"> value. Certain of these unobservable inputs will, in isolation, have a directionally consistent impact on the fair value of the instrument for a given change in that input. Alternatively, the fair value of the instrument may move in an opposite direction </w:t>
      </w:r>
      <w:r>
        <w:rPr>
          <w:rFonts w:eastAsia="Times New Roman"/>
          <w:color w:val="000000"/>
          <w:sz w:val="20"/>
          <w:szCs w:val="20"/>
        </w:rPr>
        <w:t>for a given change in another input. In general, an increase in the discount rate, default rates, loss severity and credit spreads, in isolation, would result in a decrease in the fair value measurement. In addition, an increase in default rates would gene</w:t>
      </w:r>
      <w:r>
        <w:rPr>
          <w:rFonts w:eastAsia="Times New Roman"/>
          <w:color w:val="000000"/>
          <w:sz w:val="20"/>
          <w:szCs w:val="20"/>
        </w:rPr>
        <w:t>rally be accompanied by a decrease in recovery rates, slower prepayment rates and an increase in liquidity spreads.</w:t>
      </w:r>
    </w:p>
    <w:p w:rsidR="00000000" w:rsidRDefault="00E92DBE">
      <w:pPr>
        <w:jc w:val="both"/>
        <w:divId w:val="1843427923"/>
        <w:rPr>
          <w:rFonts w:eastAsia="Times New Roman"/>
        </w:rPr>
      </w:pPr>
      <w:r>
        <w:rPr>
          <w:rFonts w:eastAsia="Times New Roman"/>
          <w:b/>
          <w:bCs/>
          <w:color w:val="000000"/>
          <w:sz w:val="20"/>
          <w:szCs w:val="20"/>
        </w:rPr>
        <w:t>Techniques and Inputs for Level 3 Fair Value Measurements</w:t>
      </w:r>
    </w:p>
    <w:p w:rsidR="00000000" w:rsidRDefault="00E92DBE">
      <w:pPr>
        <w:jc w:val="both"/>
        <w:divId w:val="1724253461"/>
        <w:rPr>
          <w:rFonts w:eastAsia="Times New Roman"/>
        </w:rPr>
      </w:pPr>
      <w:r>
        <w:rPr>
          <w:rFonts w:eastAsia="Times New Roman"/>
          <w:color w:val="000000"/>
          <w:sz w:val="20"/>
          <w:szCs w:val="20"/>
        </w:rPr>
        <w:t>The following table presents the significant unobservable inputs used to determine</w:t>
      </w:r>
      <w:r>
        <w:rPr>
          <w:rFonts w:eastAsia="Times New Roman"/>
          <w:color w:val="000000"/>
          <w:sz w:val="20"/>
          <w:szCs w:val="20"/>
        </w:rPr>
        <w:t xml:space="preserve"> the fair values of our Level 3 financial instruments on a recurring basis. We utilize multiple vendor pricing services to obtain fair value for our securities. Several of our vendor pricing services are only able to provide unobservable input information </w:t>
      </w:r>
      <w:r>
        <w:rPr>
          <w:rFonts w:eastAsia="Times New Roman"/>
          <w:color w:val="000000"/>
          <w:sz w:val="20"/>
          <w:szCs w:val="20"/>
        </w:rPr>
        <w:t>for a limited number of securities due to software licensing restrictions. Other vendor pricing services are able to provide unobservable input information for all securities for which they provide a valuation. As a result, the unobservable input informati</w:t>
      </w:r>
      <w:r>
        <w:rPr>
          <w:rFonts w:eastAsia="Times New Roman"/>
          <w:color w:val="000000"/>
          <w:sz w:val="20"/>
          <w:szCs w:val="20"/>
        </w:rPr>
        <w:t>on for the securities available for sale presented below represents a composite summary of all information we are able to obtain. The unobservable input information for all other Level 3 financial instruments is based on the assumptions used in our interna</w:t>
      </w:r>
      <w:r>
        <w:rPr>
          <w:rFonts w:eastAsia="Times New Roman"/>
          <w:color w:val="000000"/>
          <w:sz w:val="20"/>
          <w:szCs w:val="20"/>
        </w:rPr>
        <w:t>l valuation models.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82325675"/>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582325675"/>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582325675"/>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108</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33" style="width:0;height:1.5pt" o:hralign="center" o:hrstd="t" o:hr="t" fillcolor="#a0a0a0" stroked="f"/>
        </w:pict>
      </w:r>
    </w:p>
    <w:p w:rsidR="00000000" w:rsidRDefault="00E92DBE">
      <w:pPr>
        <w:jc w:val="both"/>
        <w:divId w:val="980766922"/>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980766922"/>
        <w:rPr>
          <w:rFonts w:eastAsia="Times New Roman"/>
        </w:rPr>
      </w:pPr>
    </w:p>
    <w:p w:rsidR="00000000" w:rsidRDefault="00E92DBE">
      <w:pPr>
        <w:divId w:val="2098011729"/>
        <w:rPr>
          <w:rFonts w:eastAsia="Times New Roman"/>
        </w:rPr>
      </w:pPr>
      <w:r>
        <w:rPr>
          <w:rFonts w:eastAsia="Times New Roman"/>
          <w:b/>
          <w:bCs/>
          <w:color w:val="000000"/>
          <w:sz w:val="18"/>
          <w:szCs w:val="18"/>
        </w:rPr>
        <w:t>Table 11.3: Quantitative Information about Level 3 Fair Value Measurements</w:t>
      </w:r>
    </w:p>
    <w:tbl>
      <w:tblPr>
        <w:tblW w:w="4992" w:type="pct"/>
        <w:tblCellMar>
          <w:top w:w="15" w:type="dxa"/>
          <w:left w:w="15" w:type="dxa"/>
          <w:bottom w:w="15" w:type="dxa"/>
          <w:right w:w="15" w:type="dxa"/>
        </w:tblCellMar>
        <w:tblLook w:val="04A0" w:firstRow="1" w:lastRow="0" w:firstColumn="1" w:lastColumn="0" w:noHBand="0" w:noVBand="1"/>
      </w:tblPr>
      <w:tblGrid>
        <w:gridCol w:w="53"/>
        <w:gridCol w:w="1742"/>
        <w:gridCol w:w="38"/>
        <w:gridCol w:w="36"/>
        <w:gridCol w:w="36"/>
        <w:gridCol w:w="36"/>
        <w:gridCol w:w="111"/>
        <w:gridCol w:w="713"/>
        <w:gridCol w:w="37"/>
        <w:gridCol w:w="36"/>
        <w:gridCol w:w="36"/>
        <w:gridCol w:w="36"/>
        <w:gridCol w:w="70"/>
        <w:gridCol w:w="1215"/>
        <w:gridCol w:w="36"/>
        <w:gridCol w:w="36"/>
        <w:gridCol w:w="36"/>
        <w:gridCol w:w="36"/>
        <w:gridCol w:w="92"/>
        <w:gridCol w:w="1984"/>
        <w:gridCol w:w="36"/>
        <w:gridCol w:w="36"/>
        <w:gridCol w:w="36"/>
        <w:gridCol w:w="36"/>
        <w:gridCol w:w="37"/>
        <w:gridCol w:w="799"/>
        <w:gridCol w:w="36"/>
        <w:gridCol w:w="36"/>
        <w:gridCol w:w="36"/>
        <w:gridCol w:w="36"/>
        <w:gridCol w:w="85"/>
        <w:gridCol w:w="633"/>
        <w:gridCol w:w="36"/>
      </w:tblGrid>
      <w:tr w:rsidR="00000000">
        <w:trPr>
          <w:divId w:val="138227471"/>
        </w:trPr>
        <w:tc>
          <w:tcPr>
            <w:tcW w:w="50" w:type="pct"/>
            <w:vAlign w:val="center"/>
            <w:hideMark/>
          </w:tcPr>
          <w:p w:rsidR="00000000" w:rsidRDefault="00E92DBE">
            <w:pPr>
              <w:rPr>
                <w:rFonts w:eastAsia="Times New Roman"/>
              </w:rPr>
            </w:pPr>
          </w:p>
        </w:tc>
        <w:tc>
          <w:tcPr>
            <w:tcW w:w="110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0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83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07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8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38227471"/>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Quantitative Information about Level 3 Fair Value Measurements</w:t>
            </w:r>
          </w:p>
        </w:tc>
      </w:tr>
      <w:tr w:rsidR="00000000">
        <w:trPr>
          <w:divId w:val="13822747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March 31, </w:t>
            </w:r>
            <w:r>
              <w:rPr>
                <w:rFonts w:eastAsia="Times New Roman"/>
                <w:b/>
                <w:bCs/>
                <w:color w:val="000000"/>
                <w:sz w:val="16"/>
                <w:szCs w:val="16"/>
              </w:rPr>
              <w:b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t>Techniques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Weighted</w:t>
            </w:r>
          </w:p>
          <w:p w:rsidR="00000000" w:rsidRDefault="00E92DBE">
            <w:pPr>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13822747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8227471"/>
        </w:trPr>
        <w:tc>
          <w:tcPr>
            <w:tcW w:w="0" w:type="auto"/>
            <w:gridSpan w:val="3"/>
            <w:shd w:val="clear" w:color="auto" w:fill="FFFFFF"/>
            <w:tcMar>
              <w:top w:w="30" w:type="dxa"/>
              <w:left w:w="155" w:type="dxa"/>
              <w:bottom w:w="30" w:type="dxa"/>
              <w:right w:w="20" w:type="dxa"/>
            </w:tcMar>
            <w:hideMark/>
          </w:tcPr>
          <w:p w:rsidR="00000000" w:rsidRDefault="00E92DBE">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hideMark/>
          </w:tcPr>
          <w:p w:rsidR="00000000" w:rsidRDefault="00E92DBE">
            <w:pPr>
              <w:jc w:val="right"/>
              <w:rPr>
                <w:rFonts w:eastAsia="Times New Roman"/>
              </w:rPr>
            </w:pPr>
            <w:r>
              <w:rPr>
                <w:rFonts w:eastAsia="Times New Roman"/>
                <w:b/>
                <w:bCs/>
                <w:color w:val="000000"/>
                <w:sz w:val="18"/>
                <w:szCs w:val="18"/>
              </w:rPr>
              <w:t>326</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Discounted </w:t>
            </w:r>
            <w:r>
              <w:rPr>
                <w:rFonts w:eastAsia="Times New Roman"/>
                <w:color w:val="000000"/>
                <w:sz w:val="18"/>
                <w:szCs w:val="18"/>
              </w:rPr>
              <w:t>cash flows (vendor pricing)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Yield</w:t>
            </w:r>
            <w:r>
              <w:rPr>
                <w:rFonts w:eastAsia="Times New Roman"/>
                <w:color w:val="000000"/>
                <w:sz w:val="18"/>
                <w:szCs w:val="18"/>
              </w:rPr>
              <w:br/>
              <w:t>Voluntary 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divId w:val="366756639"/>
              <w:rPr>
                <w:rFonts w:eastAsia="Times New Roman"/>
              </w:rPr>
            </w:pPr>
            <w:r>
              <w:rPr>
                <w:rFonts w:eastAsia="Times New Roman"/>
                <w:b/>
                <w:bCs/>
                <w:color w:val="000000"/>
                <w:sz w:val="18"/>
                <w:szCs w:val="18"/>
              </w:rPr>
              <w:t>1-19%</w:t>
            </w:r>
          </w:p>
          <w:p w:rsidR="00000000" w:rsidRDefault="00E92DBE">
            <w:pPr>
              <w:divId w:val="459156516"/>
              <w:rPr>
                <w:rFonts w:eastAsia="Times New Roman"/>
              </w:rPr>
            </w:pPr>
            <w:r>
              <w:rPr>
                <w:rFonts w:eastAsia="Times New Roman"/>
                <w:b/>
                <w:bCs/>
                <w:color w:val="000000"/>
                <w:sz w:val="18"/>
                <w:szCs w:val="18"/>
              </w:rPr>
              <w:t>3-15%</w:t>
            </w:r>
          </w:p>
          <w:p w:rsidR="00000000" w:rsidRDefault="00E92DBE">
            <w:pPr>
              <w:divId w:val="129902704"/>
              <w:rPr>
                <w:rFonts w:eastAsia="Times New Roman"/>
              </w:rPr>
            </w:pPr>
            <w:r>
              <w:rPr>
                <w:rFonts w:eastAsia="Times New Roman"/>
                <w:b/>
                <w:bCs/>
                <w:color w:val="000000"/>
                <w:sz w:val="18"/>
                <w:szCs w:val="18"/>
              </w:rPr>
              <w:t>0-11%</w:t>
            </w:r>
          </w:p>
          <w:p w:rsidR="00000000" w:rsidRDefault="00E92DBE">
            <w:pPr>
              <w:divId w:val="1683628004"/>
              <w:rPr>
                <w:rFonts w:eastAsia="Times New Roman"/>
              </w:rPr>
            </w:pPr>
            <w:r>
              <w:rPr>
                <w:rFonts w:eastAsia="Times New Roman"/>
                <w:b/>
                <w:bCs/>
                <w:color w:val="000000"/>
                <w:sz w:val="18"/>
                <w:szCs w:val="18"/>
              </w:rPr>
              <w:t>30-100%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divId w:val="67852118"/>
              <w:rPr>
                <w:rFonts w:eastAsia="Times New Roman"/>
              </w:rPr>
            </w:pPr>
            <w:r>
              <w:rPr>
                <w:rFonts w:eastAsia="Times New Roman"/>
                <w:b/>
                <w:bCs/>
                <w:color w:val="000000"/>
                <w:sz w:val="18"/>
                <w:szCs w:val="18"/>
              </w:rPr>
              <w:t>3%</w:t>
            </w:r>
          </w:p>
          <w:p w:rsidR="00000000" w:rsidRDefault="00E92DBE">
            <w:pPr>
              <w:divId w:val="651131751"/>
              <w:rPr>
                <w:rFonts w:eastAsia="Times New Roman"/>
              </w:rPr>
            </w:pPr>
            <w:r>
              <w:rPr>
                <w:rFonts w:eastAsia="Times New Roman"/>
                <w:b/>
                <w:bCs/>
                <w:color w:val="000000"/>
                <w:sz w:val="18"/>
                <w:szCs w:val="18"/>
              </w:rPr>
              <w:t>10%</w:t>
            </w:r>
          </w:p>
          <w:p w:rsidR="00000000" w:rsidRDefault="00E92DBE">
            <w:pPr>
              <w:divId w:val="1174733386"/>
              <w:rPr>
                <w:rFonts w:eastAsia="Times New Roman"/>
              </w:rPr>
            </w:pPr>
            <w:r>
              <w:rPr>
                <w:rFonts w:eastAsia="Times New Roman"/>
                <w:b/>
                <w:bCs/>
                <w:color w:val="000000"/>
                <w:sz w:val="18"/>
                <w:szCs w:val="18"/>
              </w:rPr>
              <w:t>2%</w:t>
            </w:r>
          </w:p>
          <w:p w:rsidR="00000000" w:rsidRDefault="00E92DBE">
            <w:pPr>
              <w:divId w:val="1429037304"/>
              <w:rPr>
                <w:rFonts w:eastAsia="Times New Roman"/>
              </w:rPr>
            </w:pPr>
            <w:r>
              <w:rPr>
                <w:rFonts w:eastAsia="Times New Roman"/>
                <w:b/>
                <w:bCs/>
                <w:color w:val="000000"/>
                <w:sz w:val="18"/>
                <w:szCs w:val="18"/>
              </w:rPr>
              <w:t>72%</w:t>
            </w:r>
          </w:p>
        </w:tc>
      </w:tr>
      <w:tr w:rsidR="00000000">
        <w:trPr>
          <w:divId w:val="138227471"/>
        </w:trPr>
        <w:tc>
          <w:tcPr>
            <w:tcW w:w="0" w:type="auto"/>
            <w:gridSpan w:val="3"/>
            <w:shd w:val="clear" w:color="auto" w:fill="CCEEFF"/>
            <w:tcMar>
              <w:top w:w="30" w:type="dxa"/>
              <w:left w:w="155" w:type="dxa"/>
              <w:bottom w:w="30" w:type="dxa"/>
              <w:right w:w="20" w:type="dxa"/>
            </w:tcMar>
            <w:hideMark/>
          </w:tcPr>
          <w:p w:rsidR="00000000" w:rsidRDefault="00E92DBE">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92DBE">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divId w:val="1042250276"/>
              <w:rPr>
                <w:rFonts w:eastAsia="Times New Roman"/>
              </w:rPr>
            </w:pPr>
            <w:r>
              <w:rPr>
                <w:rFonts w:eastAsia="Times New Roman"/>
                <w:b/>
                <w:bCs/>
                <w:color w:val="000000"/>
                <w:sz w:val="18"/>
                <w:szCs w:val="18"/>
              </w:rPr>
              <w:t>1-2%</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divId w:val="1871449026"/>
              <w:rPr>
                <w:rFonts w:eastAsia="Times New Roman"/>
              </w:rPr>
            </w:pPr>
            <w:r>
              <w:rPr>
                <w:rFonts w:eastAsia="Times New Roman"/>
                <w:b/>
                <w:bCs/>
                <w:color w:val="000000"/>
                <w:sz w:val="18"/>
                <w:szCs w:val="18"/>
              </w:rPr>
              <w:t>1%</w:t>
            </w:r>
          </w:p>
        </w:tc>
      </w:tr>
      <w:tr w:rsidR="00000000">
        <w:trPr>
          <w:divId w:val="138227471"/>
        </w:trPr>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38227471"/>
        </w:trPr>
        <w:tc>
          <w:tcPr>
            <w:tcW w:w="0" w:type="auto"/>
            <w:gridSpan w:val="3"/>
            <w:shd w:val="clear" w:color="auto" w:fill="CCEEFF"/>
            <w:tcMar>
              <w:top w:w="30" w:type="dxa"/>
              <w:left w:w="20" w:type="dxa"/>
              <w:bottom w:w="30" w:type="dxa"/>
              <w:right w:w="20" w:type="dxa"/>
            </w:tcMar>
            <w:hideMark/>
          </w:tcPr>
          <w:p w:rsidR="00000000" w:rsidRDefault="00E92DBE">
            <w:pPr>
              <w:divId w:val="634144483"/>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92DBE">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Life of 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divId w:val="175579532"/>
              <w:rPr>
                <w:rFonts w:eastAsia="Times New Roman"/>
              </w:rPr>
            </w:pPr>
            <w:r>
              <w:rPr>
                <w:rFonts w:eastAsia="Times New Roman"/>
                <w:b/>
                <w:bCs/>
                <w:color w:val="000000"/>
                <w:sz w:val="18"/>
                <w:szCs w:val="18"/>
              </w:rPr>
              <w:t>36-46</w:t>
            </w:r>
          </w:p>
          <w:p w:rsidR="00000000" w:rsidRDefault="00E92DBE">
            <w:pPr>
              <w:divId w:val="271203557"/>
              <w:rPr>
                <w:rFonts w:eastAsia="Times New Roman"/>
              </w:rPr>
            </w:pPr>
            <w:r>
              <w:rPr>
                <w:rFonts w:eastAsia="Times New Roman"/>
                <w:b/>
                <w:bCs/>
                <w:color w:val="000000"/>
                <w:sz w:val="18"/>
                <w:szCs w:val="18"/>
              </w:rPr>
              <w:t>9-12%</w:t>
            </w:r>
          </w:p>
          <w:p w:rsidR="00000000" w:rsidRDefault="00E92DBE">
            <w:pPr>
              <w:divId w:val="1227495751"/>
              <w:rPr>
                <w:rFonts w:eastAsia="Times New Roman"/>
              </w:rPr>
            </w:pPr>
            <w:r>
              <w:rPr>
                <w:rFonts w:eastAsia="Times New Roman"/>
                <w:b/>
                <w:bCs/>
                <w:color w:val="000000"/>
                <w:sz w:val="18"/>
                <w:szCs w:val="18"/>
              </w:rPr>
              <w:t>3-13%</w:t>
            </w:r>
          </w:p>
          <w:p w:rsidR="00000000" w:rsidRDefault="00E92DBE">
            <w:pPr>
              <w:divId w:val="1427846315"/>
              <w:rPr>
                <w:rFonts w:eastAsia="Times New Roman"/>
              </w:rPr>
            </w:pPr>
            <w:r>
              <w:rPr>
                <w:rFonts w:eastAsia="Times New Roman"/>
                <w:b/>
                <w:bCs/>
                <w:color w:val="000000"/>
                <w:sz w:val="18"/>
                <w:szCs w:val="18"/>
              </w:rPr>
              <w:t>2-4%</w:t>
            </w:r>
          </w:p>
          <w:p w:rsidR="00000000" w:rsidRDefault="00E92DBE">
            <w:pPr>
              <w:divId w:val="748428733"/>
              <w:rPr>
                <w:rFonts w:eastAsia="Times New Roman"/>
              </w:rPr>
            </w:pPr>
            <w:r>
              <w:rPr>
                <w:rFonts w:eastAsia="Times New Roman"/>
                <w:b/>
                <w:bCs/>
                <w:color w:val="000000"/>
                <w:sz w:val="18"/>
                <w:szCs w:val="18"/>
              </w:rPr>
              <w:t>49-151%</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N/A</w:t>
            </w:r>
          </w:p>
        </w:tc>
      </w:tr>
      <w:tr w:rsidR="00000000">
        <w:trPr>
          <w:divId w:val="138227471"/>
        </w:trPr>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E92DBE">
            <w:pPr>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b/>
                <w:bCs/>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b/>
                <w:bCs/>
                <w:color w:val="000000"/>
                <w:sz w:val="18"/>
                <w:szCs w:val="18"/>
              </w:rPr>
              <w:t>2%</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1837"/>
        <w:gridCol w:w="144"/>
        <w:gridCol w:w="144"/>
        <w:gridCol w:w="144"/>
        <w:gridCol w:w="144"/>
        <w:gridCol w:w="144"/>
        <w:gridCol w:w="830"/>
        <w:gridCol w:w="144"/>
        <w:gridCol w:w="144"/>
        <w:gridCol w:w="144"/>
        <w:gridCol w:w="144"/>
        <w:gridCol w:w="144"/>
        <w:gridCol w:w="1376"/>
        <w:gridCol w:w="144"/>
        <w:gridCol w:w="144"/>
        <w:gridCol w:w="144"/>
        <w:gridCol w:w="144"/>
        <w:gridCol w:w="144"/>
        <w:gridCol w:w="1789"/>
        <w:gridCol w:w="144"/>
        <w:gridCol w:w="144"/>
        <w:gridCol w:w="144"/>
        <w:gridCol w:w="144"/>
        <w:gridCol w:w="144"/>
        <w:gridCol w:w="976"/>
        <w:gridCol w:w="144"/>
        <w:gridCol w:w="144"/>
        <w:gridCol w:w="144"/>
        <w:gridCol w:w="144"/>
        <w:gridCol w:w="144"/>
        <w:gridCol w:w="625"/>
        <w:gridCol w:w="144"/>
      </w:tblGrid>
      <w:tr w:rsidR="00000000">
        <w:tc>
          <w:tcPr>
            <w:tcW w:w="50" w:type="pct"/>
            <w:vAlign w:val="center"/>
            <w:hideMark/>
          </w:tcPr>
          <w:p w:rsidR="00000000" w:rsidRDefault="00E92DBE">
            <w:pPr>
              <w:rPr>
                <w:rFonts w:eastAsia="Times New Roman"/>
              </w:rPr>
            </w:pPr>
          </w:p>
        </w:tc>
        <w:tc>
          <w:tcPr>
            <w:tcW w:w="110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0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83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07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8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7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Quantitative Information about Level 3 Fair Value Measurements</w:t>
            </w: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December 31, </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r>
            <w:r>
              <w:rPr>
                <w:rFonts w:eastAsia="Times New Roman"/>
                <w:b/>
                <w:bCs/>
                <w:color w:val="000000"/>
                <w:sz w:val="16"/>
                <w:szCs w:val="16"/>
              </w:rPr>
              <w:t>Techniques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Weighted</w:t>
            </w:r>
          </w:p>
          <w:p w:rsidR="00000000" w:rsidRDefault="00E92DBE">
            <w:pPr>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hideMark/>
          </w:tcPr>
          <w:p w:rsidR="00000000" w:rsidRDefault="00E92DBE">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hideMark/>
          </w:tcPr>
          <w:p w:rsidR="00000000" w:rsidRDefault="00E92DBE">
            <w:pPr>
              <w:jc w:val="right"/>
              <w:rPr>
                <w:rFonts w:eastAsia="Times New Roman"/>
              </w:rPr>
            </w:pPr>
            <w:r>
              <w:rPr>
                <w:rFonts w:eastAsia="Times New Roman"/>
                <w:b/>
                <w:bCs/>
                <w:color w:val="000000"/>
                <w:sz w:val="18"/>
                <w:szCs w:val="18"/>
              </w:rPr>
              <w:t>328</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Yield</w:t>
            </w:r>
            <w:r>
              <w:rPr>
                <w:rFonts w:eastAsia="Times New Roman"/>
                <w:color w:val="000000"/>
                <w:sz w:val="18"/>
                <w:szCs w:val="18"/>
              </w:rPr>
              <w:br/>
              <w:t>Voluntary </w:t>
            </w:r>
            <w:r>
              <w:rPr>
                <w:rFonts w:eastAsia="Times New Roman"/>
                <w:color w:val="000000"/>
                <w:sz w:val="18"/>
                <w:szCs w:val="18"/>
              </w:rPr>
              <w:t>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divId w:val="1508054261"/>
              <w:rPr>
                <w:rFonts w:eastAsia="Times New Roman"/>
              </w:rPr>
            </w:pPr>
            <w:r>
              <w:rPr>
                <w:rFonts w:eastAsia="Times New Roman"/>
                <w:color w:val="000000"/>
                <w:sz w:val="18"/>
                <w:szCs w:val="18"/>
              </w:rPr>
              <w:t>2-12%</w:t>
            </w:r>
          </w:p>
          <w:p w:rsidR="00000000" w:rsidRDefault="00E92DBE">
            <w:pPr>
              <w:divId w:val="2115712683"/>
              <w:rPr>
                <w:rFonts w:eastAsia="Times New Roman"/>
              </w:rPr>
            </w:pPr>
            <w:r>
              <w:rPr>
                <w:rFonts w:eastAsia="Times New Roman"/>
                <w:color w:val="000000"/>
                <w:sz w:val="18"/>
                <w:szCs w:val="18"/>
              </w:rPr>
              <w:t>8-15%</w:t>
            </w:r>
          </w:p>
          <w:p w:rsidR="00000000" w:rsidRDefault="00E92DBE">
            <w:pPr>
              <w:divId w:val="1572885506"/>
              <w:rPr>
                <w:rFonts w:eastAsia="Times New Roman"/>
              </w:rPr>
            </w:pPr>
            <w:r>
              <w:rPr>
                <w:rFonts w:eastAsia="Times New Roman"/>
                <w:color w:val="000000"/>
                <w:sz w:val="18"/>
                <w:szCs w:val="18"/>
              </w:rPr>
              <w:t>0-11%</w:t>
            </w:r>
          </w:p>
          <w:p w:rsidR="00000000" w:rsidRDefault="00E92DBE">
            <w:pPr>
              <w:divId w:val="2031686301"/>
              <w:rPr>
                <w:rFonts w:eastAsia="Times New Roman"/>
              </w:rPr>
            </w:pPr>
            <w:r>
              <w:rPr>
                <w:rFonts w:eastAsia="Times New Roman"/>
                <w:color w:val="000000"/>
                <w:sz w:val="18"/>
                <w:szCs w:val="18"/>
              </w:rPr>
              <w:t>30-100%</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divId w:val="213810353"/>
              <w:rPr>
                <w:rFonts w:eastAsia="Times New Roman"/>
              </w:rPr>
            </w:pPr>
            <w:r>
              <w:rPr>
                <w:rFonts w:eastAsia="Times New Roman"/>
                <w:color w:val="000000"/>
                <w:sz w:val="18"/>
                <w:szCs w:val="18"/>
              </w:rPr>
              <w:t>3%</w:t>
            </w:r>
          </w:p>
          <w:p w:rsidR="00000000" w:rsidRDefault="00E92DBE">
            <w:pPr>
              <w:divId w:val="1038621848"/>
              <w:rPr>
                <w:rFonts w:eastAsia="Times New Roman"/>
              </w:rPr>
            </w:pPr>
            <w:r>
              <w:rPr>
                <w:rFonts w:eastAsia="Times New Roman"/>
                <w:color w:val="000000"/>
                <w:sz w:val="18"/>
                <w:szCs w:val="18"/>
              </w:rPr>
              <w:t>10%</w:t>
            </w:r>
          </w:p>
          <w:p w:rsidR="00000000" w:rsidRDefault="00E92DBE">
            <w:pPr>
              <w:divId w:val="35666543"/>
              <w:rPr>
                <w:rFonts w:eastAsia="Times New Roman"/>
              </w:rPr>
            </w:pPr>
            <w:r>
              <w:rPr>
                <w:rFonts w:eastAsia="Times New Roman"/>
                <w:color w:val="000000"/>
                <w:sz w:val="18"/>
                <w:szCs w:val="18"/>
              </w:rPr>
              <w:t>2%</w:t>
            </w:r>
          </w:p>
          <w:p w:rsidR="00000000" w:rsidRDefault="00E92DBE">
            <w:pPr>
              <w:divId w:val="1620187767"/>
              <w:rPr>
                <w:rFonts w:eastAsia="Times New Roman"/>
              </w:rPr>
            </w:pPr>
            <w:r>
              <w:rPr>
                <w:rFonts w:eastAsia="Times New Roman"/>
                <w:color w:val="000000"/>
                <w:sz w:val="18"/>
                <w:szCs w:val="18"/>
              </w:rPr>
              <w:t>73%</w:t>
            </w:r>
          </w:p>
        </w:tc>
      </w:tr>
      <w:tr w:rsidR="00000000">
        <w:tc>
          <w:tcPr>
            <w:tcW w:w="0" w:type="auto"/>
            <w:gridSpan w:val="3"/>
            <w:shd w:val="clear" w:color="auto" w:fill="CCEEFF"/>
            <w:tcMar>
              <w:top w:w="30" w:type="dxa"/>
              <w:left w:w="155" w:type="dxa"/>
              <w:bottom w:w="30" w:type="dxa"/>
              <w:right w:w="20" w:type="dxa"/>
            </w:tcMar>
            <w:hideMark/>
          </w:tcPr>
          <w:p w:rsidR="00000000" w:rsidRDefault="00E92DBE">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92DBE">
            <w:pPr>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divId w:val="1449424179"/>
              <w:rPr>
                <w:rFonts w:eastAsia="Times New Roman"/>
              </w:rPr>
            </w:pPr>
            <w:r>
              <w:rPr>
                <w:rFonts w:eastAsia="Times New Roman"/>
                <w:color w:val="000000"/>
                <w:sz w:val="18"/>
                <w:szCs w:val="18"/>
              </w:rPr>
              <w:t>1-3%</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2%</w:t>
            </w:r>
          </w:p>
        </w:tc>
      </w:tr>
      <w:tr w:rsidR="00000000">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E92DBE">
            <w:pPr>
              <w:divId w:val="1476600315"/>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92DBE">
            <w:pPr>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Life of 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92DBE">
            <w:pPr>
              <w:divId w:val="484316889"/>
              <w:rPr>
                <w:rFonts w:eastAsia="Times New Roman"/>
              </w:rPr>
            </w:pPr>
            <w:r>
              <w:rPr>
                <w:rFonts w:eastAsia="Times New Roman"/>
                <w:color w:val="000000"/>
                <w:sz w:val="18"/>
                <w:szCs w:val="18"/>
              </w:rPr>
              <w:t>37-52</w:t>
            </w:r>
          </w:p>
          <w:p w:rsidR="00000000" w:rsidRDefault="00E92DBE">
            <w:pPr>
              <w:divId w:val="15544180"/>
              <w:rPr>
                <w:rFonts w:eastAsia="Times New Roman"/>
              </w:rPr>
            </w:pPr>
            <w:r>
              <w:rPr>
                <w:rFonts w:eastAsia="Times New Roman"/>
                <w:color w:val="000000"/>
                <w:sz w:val="18"/>
                <w:szCs w:val="18"/>
              </w:rPr>
              <w:t>3-13%</w:t>
            </w:r>
          </w:p>
          <w:p w:rsidR="00000000" w:rsidRDefault="00E92DBE">
            <w:pPr>
              <w:divId w:val="147794537"/>
              <w:rPr>
                <w:rFonts w:eastAsia="Times New Roman"/>
              </w:rPr>
            </w:pPr>
            <w:r>
              <w:rPr>
                <w:rFonts w:eastAsia="Times New Roman"/>
                <w:color w:val="000000"/>
                <w:sz w:val="18"/>
                <w:szCs w:val="18"/>
              </w:rPr>
              <w:t>2-12%</w:t>
            </w:r>
          </w:p>
          <w:p w:rsidR="00000000" w:rsidRDefault="00E92DBE">
            <w:pPr>
              <w:divId w:val="504442592"/>
              <w:rPr>
                <w:rFonts w:eastAsia="Times New Roman"/>
              </w:rPr>
            </w:pPr>
            <w:r>
              <w:rPr>
                <w:rFonts w:eastAsia="Times New Roman"/>
                <w:color w:val="000000"/>
                <w:sz w:val="18"/>
                <w:szCs w:val="18"/>
              </w:rPr>
              <w:t>3-3%</w:t>
            </w:r>
          </w:p>
          <w:p w:rsidR="00000000" w:rsidRDefault="00E92DBE">
            <w:pPr>
              <w:divId w:val="1310404929"/>
              <w:rPr>
                <w:rFonts w:eastAsia="Times New Roman"/>
              </w:rPr>
            </w:pPr>
            <w:r>
              <w:rPr>
                <w:rFonts w:eastAsia="Times New Roman"/>
                <w:color w:val="000000"/>
                <w:sz w:val="18"/>
                <w:szCs w:val="18"/>
              </w:rPr>
              <w:t>55-70%</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N/A</w:t>
            </w:r>
          </w:p>
        </w:tc>
      </w:tr>
      <w:tr w:rsidR="00000000">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E92DBE">
            <w:pPr>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1%</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1%</w:t>
            </w:r>
          </w:p>
        </w:tc>
      </w:tr>
    </w:tbl>
    <w:p w:rsidR="00000000" w:rsidRDefault="00E92DBE">
      <w:pPr>
        <w:divId w:val="1392195392"/>
        <w:rPr>
          <w:rFonts w:eastAsia="Times New Roman"/>
        </w:rPr>
      </w:pPr>
      <w:r>
        <w:rPr>
          <w:rFonts w:eastAsia="Times New Roman"/>
          <w:color w:val="000000"/>
          <w:sz w:val="20"/>
          <w:szCs w:val="20"/>
        </w:rPr>
        <w:t>__________</w:t>
      </w:r>
    </w:p>
    <w:p w:rsidR="00000000" w:rsidRDefault="00E92DBE">
      <w:pPr>
        <w:ind w:hanging="360"/>
        <w:jc w:val="both"/>
        <w:divId w:val="88441605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Weighted averages are calculated by using the product of the input multiplied by the relative fair value of the instruments.</w:t>
      </w:r>
    </w:p>
    <w:p w:rsidR="00000000" w:rsidRDefault="00E92DBE">
      <w:pPr>
        <w:ind w:hanging="360"/>
        <w:jc w:val="both"/>
        <w:divId w:val="16012761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Due to the nature of the various mortgage securitization structures in which we have retained </w:t>
      </w:r>
      <w:r>
        <w:rPr>
          <w:rFonts w:eastAsia="Times New Roman"/>
          <w:color w:val="000000"/>
          <w:sz w:val="16"/>
          <w:szCs w:val="16"/>
        </w:rPr>
        <w:t>interests, it is not meaningful to present a consolidated weighted average for the significant unobservable inputs.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44302121"/>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444302121"/>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444302121"/>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109</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34" style="width:0;height:1.5pt" o:hralign="center" o:hrstd="t" o:hr="t" fillcolor="#a0a0a0" stroked="f"/>
        </w:pict>
      </w:r>
    </w:p>
    <w:p w:rsidR="00000000" w:rsidRDefault="00E92DBE">
      <w:pPr>
        <w:jc w:val="both"/>
        <w:divId w:val="449904660"/>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449904660"/>
        <w:rPr>
          <w:rFonts w:eastAsia="Times New Roman"/>
        </w:rPr>
      </w:pPr>
    </w:p>
    <w:p w:rsidR="00000000" w:rsidRDefault="00E92DBE">
      <w:pPr>
        <w:divId w:val="225267552"/>
        <w:rPr>
          <w:rFonts w:eastAsia="Times New Roman"/>
        </w:rPr>
      </w:pPr>
      <w:r>
        <w:rPr>
          <w:rFonts w:eastAsia="Times New Roman"/>
          <w:b/>
          <w:bCs/>
          <w:color w:val="000000"/>
          <w:sz w:val="20"/>
          <w:szCs w:val="20"/>
        </w:rPr>
        <w:t>Assets and Liabilities Measured at Fair Value on a Nonrecurring Basis</w:t>
      </w:r>
    </w:p>
    <w:p w:rsidR="00000000" w:rsidRDefault="00E92DBE">
      <w:pPr>
        <w:jc w:val="both"/>
        <w:divId w:val="627785955"/>
        <w:rPr>
          <w:rFonts w:eastAsia="Times New Roman"/>
        </w:rPr>
      </w:pPr>
      <w:r>
        <w:rPr>
          <w:rFonts w:eastAsia="Times New Roman"/>
          <w:color w:val="000000"/>
          <w:sz w:val="20"/>
          <w:szCs w:val="20"/>
        </w:rPr>
        <w:t>We are required to measure and recognize certain assets at fair value on a nonrecurring basis on the consolidated balance sheets. These assets are not measured at fair value on an ongoing basis but are subject to fair value adjustments in certain circumsta</w:t>
      </w:r>
      <w:r>
        <w:rPr>
          <w:rFonts w:eastAsia="Times New Roman"/>
          <w:color w:val="000000"/>
          <w:sz w:val="20"/>
          <w:szCs w:val="20"/>
        </w:rPr>
        <w:t xml:space="preserve">nces (for example, from the application of lower of cost or fair value accounting or when we evaluate for impairment). </w:t>
      </w:r>
    </w:p>
    <w:p w:rsidR="00000000" w:rsidRDefault="00E92DBE">
      <w:pPr>
        <w:jc w:val="both"/>
        <w:divId w:val="1689791034"/>
        <w:rPr>
          <w:rFonts w:eastAsia="Times New Roman"/>
        </w:rPr>
      </w:pPr>
      <w:r>
        <w:rPr>
          <w:rFonts w:eastAsia="Times New Roman"/>
          <w:color w:val="000000"/>
          <w:sz w:val="20"/>
          <w:szCs w:val="20"/>
        </w:rPr>
        <w:t xml:space="preserve">The following table presents the carrying value of the assets measured at fair value on a nonrecurring basis and still held as of March </w:t>
      </w:r>
      <w:r>
        <w:rPr>
          <w:rFonts w:eastAsia="Times New Roman"/>
          <w:color w:val="000000"/>
          <w:sz w:val="20"/>
          <w:szCs w:val="20"/>
        </w:rPr>
        <w:t>31, 2021 and December 31, 2020, and for which a nonrecurring fair value measurement was recorded during the three and twelve months then ended.</w:t>
      </w:r>
    </w:p>
    <w:p w:rsidR="00000000" w:rsidRDefault="00E92DBE">
      <w:pPr>
        <w:divId w:val="331839754"/>
        <w:rPr>
          <w:rFonts w:eastAsia="Times New Roman"/>
        </w:rPr>
      </w:pPr>
      <w:r>
        <w:rPr>
          <w:rFonts w:eastAsia="Times New Roman"/>
          <w:b/>
          <w:bCs/>
          <w:color w:val="000000"/>
          <w:sz w:val="18"/>
          <w:szCs w:val="18"/>
        </w:rPr>
        <w:t>Table 11.4: Nonrecurring Fair Value Measurements</w:t>
      </w:r>
    </w:p>
    <w:tbl>
      <w:tblPr>
        <w:tblW w:w="4985" w:type="pct"/>
        <w:tblCellMar>
          <w:top w:w="15" w:type="dxa"/>
          <w:left w:w="15" w:type="dxa"/>
          <w:bottom w:w="15" w:type="dxa"/>
          <w:right w:w="15" w:type="dxa"/>
        </w:tblCellMar>
        <w:tblLook w:val="04A0" w:firstRow="1" w:lastRow="0" w:firstColumn="1" w:lastColumn="0" w:noHBand="0" w:noVBand="1"/>
      </w:tblPr>
      <w:tblGrid>
        <w:gridCol w:w="38"/>
        <w:gridCol w:w="5871"/>
        <w:gridCol w:w="37"/>
        <w:gridCol w:w="36"/>
        <w:gridCol w:w="36"/>
        <w:gridCol w:w="36"/>
        <w:gridCol w:w="111"/>
        <w:gridCol w:w="622"/>
        <w:gridCol w:w="37"/>
        <w:gridCol w:w="37"/>
        <w:gridCol w:w="48"/>
        <w:gridCol w:w="36"/>
        <w:gridCol w:w="110"/>
        <w:gridCol w:w="621"/>
        <w:gridCol w:w="36"/>
        <w:gridCol w:w="36"/>
        <w:gridCol w:w="36"/>
        <w:gridCol w:w="36"/>
        <w:gridCol w:w="110"/>
        <w:gridCol w:w="315"/>
        <w:gridCol w:w="36"/>
      </w:tblGrid>
      <w:tr w:rsidR="00000000">
        <w:trPr>
          <w:divId w:val="196285035"/>
        </w:trPr>
        <w:tc>
          <w:tcPr>
            <w:tcW w:w="50" w:type="pct"/>
            <w:vAlign w:val="center"/>
            <w:hideMark/>
          </w:tcPr>
          <w:p w:rsidR="00000000" w:rsidRDefault="00E92DBE">
            <w:pPr>
              <w:rPr>
                <w:rFonts w:eastAsia="Times New Roman"/>
              </w:rPr>
            </w:pPr>
          </w:p>
        </w:tc>
        <w:tc>
          <w:tcPr>
            <w:tcW w:w="366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3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3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3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96285035"/>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r>
      <w:tr w:rsidR="00000000">
        <w:trPr>
          <w:divId w:val="196285035"/>
          <w:trHeight w:val="36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p>
        </w:tc>
      </w:tr>
      <w:tr w:rsidR="00000000">
        <w:trPr>
          <w:divId w:val="196285035"/>
          <w:trHeight w:val="2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E92DBE">
            <w:pPr>
              <w:rPr>
                <w:rFonts w:eastAsia="Times New Roman"/>
              </w:rPr>
            </w:pPr>
          </w:p>
        </w:tc>
      </w:tr>
      <w:tr w:rsidR="00000000">
        <w:trPr>
          <w:divId w:val="19628503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6285035"/>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96285035"/>
        </w:trPr>
        <w:tc>
          <w:tcPr>
            <w:tcW w:w="0" w:type="auto"/>
            <w:gridSpan w:val="3"/>
            <w:shd w:val="clear" w:color="auto" w:fill="FFFFFF"/>
            <w:tcMar>
              <w:top w:w="30" w:type="dxa"/>
              <w:left w:w="20" w:type="dxa"/>
              <w:bottom w:w="30" w:type="dxa"/>
              <w:right w:w="20" w:type="dxa"/>
            </w:tcMar>
            <w:vAlign w:val="center"/>
            <w:hideMark/>
          </w:tcPr>
          <w:p w:rsidR="00000000" w:rsidRDefault="00E92DBE">
            <w:pPr>
              <w:divId w:val="807354314"/>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96285035"/>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6076"/>
        <w:gridCol w:w="144"/>
        <w:gridCol w:w="144"/>
        <w:gridCol w:w="144"/>
        <w:gridCol w:w="144"/>
        <w:gridCol w:w="144"/>
        <w:gridCol w:w="551"/>
        <w:gridCol w:w="144"/>
        <w:gridCol w:w="144"/>
        <w:gridCol w:w="144"/>
        <w:gridCol w:w="144"/>
        <w:gridCol w:w="144"/>
        <w:gridCol w:w="551"/>
        <w:gridCol w:w="144"/>
        <w:gridCol w:w="144"/>
        <w:gridCol w:w="144"/>
        <w:gridCol w:w="144"/>
        <w:gridCol w:w="144"/>
        <w:gridCol w:w="551"/>
        <w:gridCol w:w="144"/>
      </w:tblGrid>
      <w:tr w:rsidR="00000000">
        <w:tc>
          <w:tcPr>
            <w:tcW w:w="50" w:type="pct"/>
            <w:vAlign w:val="center"/>
            <w:hideMark/>
          </w:tcPr>
          <w:p w:rsidR="00000000" w:rsidRDefault="00E92DBE">
            <w:pPr>
              <w:rPr>
                <w:rFonts w:eastAsia="Times New Roman"/>
              </w:rPr>
            </w:pPr>
          </w:p>
        </w:tc>
        <w:tc>
          <w:tcPr>
            <w:tcW w:w="366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3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3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3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trHeight w:val="36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w:t>
            </w:r>
          </w:p>
        </w:tc>
      </w:tr>
      <w:tr w:rsidR="00000000">
        <w:trPr>
          <w:trHeight w:val="2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E92DBE">
            <w:pPr>
              <w:rPr>
                <w:rFonts w:eastAsia="Times New Roman"/>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divId w:val="335039840"/>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1033379354"/>
        <w:rPr>
          <w:rFonts w:eastAsia="Times New Roman"/>
        </w:rPr>
      </w:pPr>
      <w:r>
        <w:rPr>
          <w:rFonts w:eastAsia="Times New Roman"/>
          <w:color w:val="000000"/>
          <w:sz w:val="20"/>
          <w:szCs w:val="20"/>
        </w:rPr>
        <w:t>__________</w:t>
      </w:r>
    </w:p>
    <w:p w:rsidR="00000000" w:rsidRDefault="00E92DBE">
      <w:pPr>
        <w:ind w:hanging="360"/>
        <w:jc w:val="both"/>
        <w:divId w:val="1290474600"/>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As of March 31, 2021, other assets included equity investments accounted for under the measurement al</w:t>
      </w:r>
      <w:r>
        <w:rPr>
          <w:rFonts w:eastAsia="Times New Roman"/>
          <w:color w:val="000000"/>
          <w:sz w:val="16"/>
          <w:szCs w:val="16"/>
        </w:rPr>
        <w:t xml:space="preserve">ternative of $8 million and repossessed assets of $41 </w:t>
      </w:r>
      <w:r>
        <w:rPr>
          <w:rFonts w:eastAsia="Times New Roman"/>
          <w:color w:val="000000"/>
          <w:sz w:val="16"/>
          <w:szCs w:val="16"/>
        </w:rPr>
        <w:t>million. As of December 31, 2020, other assets included equity investments accounted for under the measurement alternative of $25 million, repossessed assets of $42 million and long-lived assets held for sale of $108 million.</w:t>
      </w:r>
    </w:p>
    <w:p w:rsidR="00000000" w:rsidRDefault="00E92DBE">
      <w:pPr>
        <w:jc w:val="both"/>
        <w:divId w:val="1700206610"/>
        <w:rPr>
          <w:rFonts w:eastAsia="Times New Roman"/>
        </w:rPr>
      </w:pPr>
      <w:r>
        <w:rPr>
          <w:rFonts w:eastAsia="Times New Roman"/>
          <w:color w:val="000000"/>
          <w:sz w:val="20"/>
          <w:szCs w:val="20"/>
        </w:rPr>
        <w:t>In the above table, loans held</w:t>
      </w:r>
      <w:r>
        <w:rPr>
          <w:rFonts w:eastAsia="Times New Roman"/>
          <w:color w:val="000000"/>
          <w:sz w:val="20"/>
          <w:szCs w:val="20"/>
        </w:rPr>
        <w:t xml:space="preserve"> for investment are generally valued based in part on the estimated fair value of the underlying collateral and the non-recoverable rate, which is considered to be a significant unobservable input. The non-recoverable rate ranged from 0% to 89%, with a wei</w:t>
      </w:r>
      <w:r>
        <w:rPr>
          <w:rFonts w:eastAsia="Times New Roman"/>
          <w:color w:val="000000"/>
          <w:sz w:val="20"/>
          <w:szCs w:val="20"/>
        </w:rPr>
        <w:t>ghted average of 27%, and from 0% to 89%, with a weighted average of 14%, as of March 31, 2021 and December 31, 2020, respectively. The weighted average non-recoverable rate is calculated based on the estimated market value of the underlying collateral. Th</w:t>
      </w:r>
      <w:r>
        <w:rPr>
          <w:rFonts w:eastAsia="Times New Roman"/>
          <w:color w:val="000000"/>
          <w:sz w:val="20"/>
          <w:szCs w:val="20"/>
        </w:rPr>
        <w:t>e significant unobservable inputs and related quantitative information related to fair value of the other assets are not meaningful to disclose as they vary significantly across properties and collateral.</w:t>
      </w:r>
    </w:p>
    <w:p w:rsidR="00000000" w:rsidRDefault="00E92DBE">
      <w:pPr>
        <w:jc w:val="both"/>
        <w:divId w:val="1949853533"/>
        <w:rPr>
          <w:rFonts w:eastAsia="Times New Roman"/>
        </w:rPr>
      </w:pPr>
      <w:r>
        <w:rPr>
          <w:rFonts w:eastAsia="Times New Roman"/>
          <w:color w:val="000000"/>
          <w:sz w:val="20"/>
          <w:szCs w:val="20"/>
        </w:rPr>
        <w:t>The following table presents total nonrecurring fai</w:t>
      </w:r>
      <w:r>
        <w:rPr>
          <w:rFonts w:eastAsia="Times New Roman"/>
          <w:color w:val="000000"/>
          <w:sz w:val="20"/>
          <w:szCs w:val="20"/>
        </w:rPr>
        <w:t>r value measurements for the period, included in earnings, attributable to the change in fair value relating to assets that are still held at March 31, 2021 and 2020.</w:t>
      </w:r>
    </w:p>
    <w:p w:rsidR="00000000" w:rsidRDefault="00E92DBE">
      <w:pPr>
        <w:divId w:val="106891139"/>
        <w:rPr>
          <w:rFonts w:eastAsia="Times New Roman"/>
        </w:rPr>
      </w:pPr>
      <w:r>
        <w:rPr>
          <w:rFonts w:eastAsia="Times New Roman"/>
          <w:b/>
          <w:bCs/>
          <w:color w:val="000000"/>
          <w:sz w:val="18"/>
          <w:szCs w:val="18"/>
        </w:rPr>
        <w:t>Table 11.5: Nonrecurring Fair Value Measurements Included in Earnings</w:t>
      </w:r>
    </w:p>
    <w:tbl>
      <w:tblPr>
        <w:tblW w:w="5000" w:type="pct"/>
        <w:tblCellMar>
          <w:top w:w="15" w:type="dxa"/>
          <w:left w:w="15" w:type="dxa"/>
          <w:bottom w:w="15" w:type="dxa"/>
          <w:right w:w="15" w:type="dxa"/>
        </w:tblCellMar>
        <w:tblLook w:val="04A0" w:firstRow="1" w:lastRow="0" w:firstColumn="1" w:lastColumn="0" w:noHBand="0" w:noVBand="1"/>
      </w:tblPr>
      <w:tblGrid>
        <w:gridCol w:w="42"/>
        <w:gridCol w:w="5843"/>
        <w:gridCol w:w="37"/>
        <w:gridCol w:w="36"/>
        <w:gridCol w:w="36"/>
        <w:gridCol w:w="36"/>
        <w:gridCol w:w="110"/>
        <w:gridCol w:w="938"/>
        <w:gridCol w:w="36"/>
        <w:gridCol w:w="36"/>
        <w:gridCol w:w="36"/>
        <w:gridCol w:w="36"/>
        <w:gridCol w:w="110"/>
        <w:gridCol w:w="938"/>
        <w:gridCol w:w="36"/>
      </w:tblGrid>
      <w:tr w:rsidR="00000000">
        <w:trPr>
          <w:divId w:val="1591617359"/>
        </w:trPr>
        <w:tc>
          <w:tcPr>
            <w:tcW w:w="50" w:type="pct"/>
            <w:vAlign w:val="center"/>
            <w:hideMark/>
          </w:tcPr>
          <w:p w:rsidR="00000000" w:rsidRDefault="00E92DBE">
            <w:pPr>
              <w:rPr>
                <w:rFonts w:eastAsia="Times New Roman"/>
              </w:rPr>
            </w:pPr>
          </w:p>
        </w:tc>
        <w:tc>
          <w:tcPr>
            <w:tcW w:w="354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1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591617359"/>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 Gains (Losses)</w:t>
            </w:r>
          </w:p>
        </w:tc>
      </w:tr>
      <w:tr w:rsidR="00000000">
        <w:trPr>
          <w:divId w:val="1591617359"/>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w:t>
            </w:r>
          </w:p>
        </w:tc>
      </w:tr>
      <w:tr w:rsidR="00000000">
        <w:trPr>
          <w:divId w:val="1591617359"/>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2020</w:t>
            </w:r>
          </w:p>
        </w:tc>
      </w:tr>
      <w:tr w:rsidR="00000000">
        <w:trPr>
          <w:divId w:val="159161735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91617359"/>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91617359"/>
        </w:trPr>
        <w:tc>
          <w:tcPr>
            <w:tcW w:w="0" w:type="auto"/>
            <w:gridSpan w:val="3"/>
            <w:shd w:val="clear" w:color="auto" w:fill="FFFFFF"/>
            <w:tcMar>
              <w:top w:w="30" w:type="dxa"/>
              <w:left w:w="20" w:type="dxa"/>
              <w:bottom w:w="30" w:type="dxa"/>
              <w:right w:w="20" w:type="dxa"/>
            </w:tcMar>
            <w:vAlign w:val="center"/>
            <w:hideMark/>
          </w:tcPr>
          <w:p w:rsidR="00000000" w:rsidRDefault="00E92DBE">
            <w:pPr>
              <w:divId w:val="807435766"/>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(44)</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9161735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w:t>
            </w:r>
            <w:r>
              <w:rPr>
                <w:rFonts w:eastAsia="Times New Roman"/>
                <w:color w:val="000000"/>
                <w:sz w:val="18"/>
                <w:szCs w:val="18"/>
              </w:rPr>
              <w:t>251)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162671035"/>
        <w:rPr>
          <w:rFonts w:eastAsia="Times New Roman"/>
        </w:rPr>
      </w:pPr>
      <w:r>
        <w:rPr>
          <w:rFonts w:eastAsia="Times New Roman"/>
          <w:color w:val="000000"/>
          <w:sz w:val="20"/>
          <w:szCs w:val="20"/>
        </w:rPr>
        <w:t>__________</w:t>
      </w:r>
    </w:p>
    <w:p w:rsidR="00000000" w:rsidRDefault="00E92DBE">
      <w:pPr>
        <w:ind w:hanging="360"/>
        <w:jc w:val="both"/>
        <w:divId w:val="15676885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Other assets include fair value adjustments related to repossessed assets, long-lived assets held for sale and equity investments accounted for under the </w:t>
      </w:r>
      <w:r>
        <w:rPr>
          <w:rFonts w:eastAsia="Times New Roman"/>
          <w:color w:val="000000"/>
          <w:sz w:val="16"/>
          <w:szCs w:val="16"/>
          <w:shd w:val="clear" w:color="auto" w:fill="FFFFFF"/>
        </w:rPr>
        <w:t>measurement alternative.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42140321"/>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742140321"/>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742140321"/>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110</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35" style="width:0;height:1.5pt" o:hralign="center" o:hrstd="t" o:hr="t" fillcolor="#a0a0a0" stroked="f"/>
        </w:pict>
      </w:r>
    </w:p>
    <w:p w:rsidR="00000000" w:rsidRDefault="00E92DBE">
      <w:pPr>
        <w:jc w:val="both"/>
        <w:divId w:val="772431490"/>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772431490"/>
        <w:rPr>
          <w:rFonts w:eastAsia="Times New Roman"/>
        </w:rPr>
      </w:pPr>
    </w:p>
    <w:p w:rsidR="00000000" w:rsidRDefault="00E92DBE">
      <w:pPr>
        <w:divId w:val="989594554"/>
        <w:rPr>
          <w:rFonts w:eastAsia="Times New Roman"/>
        </w:rPr>
      </w:pPr>
      <w:r>
        <w:rPr>
          <w:rFonts w:eastAsia="Times New Roman"/>
          <w:b/>
          <w:bCs/>
          <w:color w:val="000000"/>
          <w:sz w:val="20"/>
          <w:szCs w:val="20"/>
        </w:rPr>
        <w:t>Fair Value of Financial Instruments</w:t>
      </w:r>
    </w:p>
    <w:p w:rsidR="00000000" w:rsidRDefault="00E92DBE">
      <w:pPr>
        <w:jc w:val="both"/>
        <w:divId w:val="1996911925"/>
        <w:rPr>
          <w:rFonts w:eastAsia="Times New Roman"/>
        </w:rPr>
      </w:pPr>
      <w:r>
        <w:rPr>
          <w:rFonts w:eastAsia="Times New Roman"/>
          <w:color w:val="000000"/>
          <w:sz w:val="20"/>
          <w:szCs w:val="20"/>
        </w:rPr>
        <w:t>The following table presents the carrying value and estimated fair value, including the level within the f</w:t>
      </w:r>
      <w:r>
        <w:rPr>
          <w:rFonts w:eastAsia="Times New Roman"/>
          <w:color w:val="000000"/>
          <w:sz w:val="20"/>
          <w:szCs w:val="20"/>
        </w:rPr>
        <w:t>air value hierarchy, of our financial instruments that are not measured at fair value on a recurring basis on our consolidated balance sheets as of March 31, 2021 and December 31, 2020.</w:t>
      </w:r>
    </w:p>
    <w:p w:rsidR="00000000" w:rsidRDefault="00E92DBE">
      <w:pPr>
        <w:divId w:val="449469584"/>
        <w:rPr>
          <w:rFonts w:eastAsia="Times New Roman"/>
        </w:rPr>
      </w:pPr>
      <w:r>
        <w:rPr>
          <w:rFonts w:eastAsia="Times New Roman"/>
          <w:b/>
          <w:bCs/>
          <w:color w:val="000000"/>
          <w:sz w:val="18"/>
          <w:szCs w:val="18"/>
        </w:rPr>
        <w:t>Table 11.6: Fair Value of Financial Instruments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234"/>
        <w:gridCol w:w="39"/>
        <w:gridCol w:w="36"/>
        <w:gridCol w:w="36"/>
        <w:gridCol w:w="36"/>
        <w:gridCol w:w="110"/>
        <w:gridCol w:w="540"/>
        <w:gridCol w:w="36"/>
        <w:gridCol w:w="36"/>
        <w:gridCol w:w="36"/>
        <w:gridCol w:w="36"/>
        <w:gridCol w:w="111"/>
        <w:gridCol w:w="633"/>
        <w:gridCol w:w="36"/>
        <w:gridCol w:w="36"/>
        <w:gridCol w:w="36"/>
        <w:gridCol w:w="36"/>
        <w:gridCol w:w="110"/>
        <w:gridCol w:w="450"/>
        <w:gridCol w:w="36"/>
        <w:gridCol w:w="36"/>
        <w:gridCol w:w="36"/>
        <w:gridCol w:w="36"/>
        <w:gridCol w:w="110"/>
        <w:gridCol w:w="540"/>
        <w:gridCol w:w="36"/>
        <w:gridCol w:w="36"/>
        <w:gridCol w:w="36"/>
        <w:gridCol w:w="36"/>
        <w:gridCol w:w="112"/>
        <w:gridCol w:w="557"/>
        <w:gridCol w:w="36"/>
      </w:tblGrid>
      <w:tr w:rsidR="00000000">
        <w:trPr>
          <w:divId w:val="1792088914"/>
        </w:trPr>
        <w:tc>
          <w:tcPr>
            <w:tcW w:w="50" w:type="pct"/>
            <w:vAlign w:val="center"/>
            <w:hideMark/>
          </w:tcPr>
          <w:p w:rsidR="00000000" w:rsidRDefault="00E92DBE">
            <w:pPr>
              <w:rPr>
                <w:rFonts w:eastAsia="Times New Roman"/>
              </w:rPr>
            </w:pPr>
          </w:p>
        </w:tc>
        <w:tc>
          <w:tcPr>
            <w:tcW w:w="291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1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4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0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0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0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792088914"/>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r>
      <w:tr w:rsidR="00000000">
        <w:trPr>
          <w:divId w:val="1792088914"/>
          <w:trHeight w:val="36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Estimated Fair Value Hierarchy</w:t>
            </w:r>
          </w:p>
        </w:tc>
      </w:tr>
      <w:tr w:rsidR="00000000">
        <w:trPr>
          <w:divId w:val="1792088914"/>
          <w:trHeight w:val="24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vMerge/>
            <w:tcBorders>
              <w:top w:val="single" w:sz="8" w:space="0" w:color="000000"/>
            </w:tcBorders>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tcBorders>
              <w:top w:val="single" w:sz="8" w:space="0" w:color="000000"/>
            </w:tcBorders>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3</w:t>
            </w:r>
          </w:p>
        </w:tc>
      </w:tr>
      <w:tr w:rsidR="00000000">
        <w:trPr>
          <w:divId w:val="179208891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9208891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50,495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50,495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4,670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45,825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9208891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92088914"/>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208891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229,114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236,495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236,495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9208891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9208891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92088914"/>
        </w:trPr>
        <w:tc>
          <w:tcPr>
            <w:tcW w:w="0" w:type="auto"/>
            <w:gridSpan w:val="3"/>
            <w:shd w:val="clear" w:color="auto" w:fill="CCEEFF"/>
            <w:tcMar>
              <w:top w:w="30" w:type="dxa"/>
              <w:left w:w="20" w:type="dxa"/>
              <w:bottom w:w="30" w:type="dxa"/>
              <w:right w:w="20" w:type="dxa"/>
            </w:tcMar>
            <w:vAlign w:val="center"/>
            <w:hideMark/>
          </w:tcPr>
          <w:p w:rsidR="00000000" w:rsidRDefault="00E92DBE">
            <w:pPr>
              <w:divId w:val="794718847"/>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92088914"/>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79208891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26,842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27,130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27,130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9208891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12,071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12,239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12,239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9208891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25,467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26,212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26,212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792088914"/>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842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792088914"/>
        </w:trPr>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792088914"/>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payable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825"/>
        <w:gridCol w:w="144"/>
        <w:gridCol w:w="144"/>
        <w:gridCol w:w="144"/>
        <w:gridCol w:w="144"/>
        <w:gridCol w:w="144"/>
        <w:gridCol w:w="551"/>
        <w:gridCol w:w="144"/>
        <w:gridCol w:w="144"/>
        <w:gridCol w:w="144"/>
        <w:gridCol w:w="144"/>
        <w:gridCol w:w="144"/>
        <w:gridCol w:w="56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tblGrid>
      <w:tr w:rsidR="00000000">
        <w:tc>
          <w:tcPr>
            <w:tcW w:w="50" w:type="pct"/>
            <w:vAlign w:val="center"/>
            <w:hideMark/>
          </w:tcPr>
          <w:p w:rsidR="00000000" w:rsidRDefault="00E92DBE">
            <w:pPr>
              <w:rPr>
                <w:rFonts w:eastAsia="Times New Roman"/>
              </w:rPr>
            </w:pPr>
          </w:p>
        </w:tc>
        <w:tc>
          <w:tcPr>
            <w:tcW w:w="29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3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39"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0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0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30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trHeight w:val="360"/>
        </w:trPr>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Estimated Fair Value Hierarchy</w:t>
            </w:r>
          </w:p>
        </w:tc>
      </w:tr>
      <w:tr w:rsidR="00000000">
        <w:trPr>
          <w:trHeight w:val="240"/>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vMerge/>
            <w:tcBorders>
              <w:top w:val="single" w:sz="8" w:space="0" w:color="000000"/>
            </w:tcBorders>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vMerge/>
            <w:tcBorders>
              <w:top w:val="single" w:sz="8" w:space="0" w:color="000000"/>
            </w:tcBorders>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Level 3</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40,509 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40,509 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4,708 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35,801 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236,060 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244,701 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244,701 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2,114 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2,214 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2,214 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1,471 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1,471 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1,471 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373584589"/>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1,341 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1,341 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1,341 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32,746 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33,111 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33,111 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12,414 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12,584 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12,584 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27,382 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28,282 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28,282 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92DBE">
            <w:pPr>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c>
          <w:tcPr>
            <w:tcW w:w="0" w:type="auto"/>
            <w:gridSpan w:val="3"/>
            <w:vAlign w:val="center"/>
            <w:hideMark/>
          </w:tcPr>
          <w:p w:rsidR="00000000" w:rsidRDefault="00E92DBE">
            <w:pPr>
              <w:jc w:val="right"/>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Interest payable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1871410002"/>
        <w:rPr>
          <w:rFonts w:eastAsia="Times New Roman"/>
        </w:rPr>
      </w:pPr>
      <w:r>
        <w:rPr>
          <w:rFonts w:eastAsia="Times New Roman"/>
          <w:color w:val="000000"/>
          <w:sz w:val="20"/>
          <w:szCs w:val="20"/>
        </w:rPr>
        <w:t>__________</w:t>
      </w:r>
    </w:p>
    <w:p w:rsidR="00000000" w:rsidRDefault="00E92DBE">
      <w:pPr>
        <w:ind w:hanging="360"/>
        <w:jc w:val="both"/>
        <w:divId w:val="93186374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Other investments include FHLB and Federal Reserve stock. These investments are included in other assets on our consolidated balance sh</w:t>
      </w:r>
      <w:r>
        <w:rPr>
          <w:rFonts w:eastAsia="Times New Roman"/>
          <w:color w:val="000000"/>
          <w:sz w:val="16"/>
          <w:szCs w:val="16"/>
        </w:rPr>
        <w:t>eets.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6314518"/>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76314518"/>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76314518"/>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111</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36" style="width:0;height:1.5pt" o:hralign="center" o:hrstd="t" o:hr="t" fillcolor="#a0a0a0" stroked="f"/>
        </w:pict>
      </w:r>
    </w:p>
    <w:p w:rsidR="00000000" w:rsidRDefault="00E92DBE">
      <w:pPr>
        <w:jc w:val="both"/>
        <w:divId w:val="887885090"/>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88788509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0959016"/>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3095901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NOTE 12—BUSINESS SEGMENTS AND REVENUE FROM CONTRACTS WITH CUSTOMERS</w:t>
            </w:r>
          </w:p>
        </w:tc>
      </w:tr>
    </w:tbl>
    <w:p w:rsidR="00000000" w:rsidRDefault="00E92DBE">
      <w:pPr>
        <w:jc w:val="both"/>
        <w:divId w:val="2082407995"/>
        <w:rPr>
          <w:rFonts w:eastAsia="Times New Roman"/>
        </w:rPr>
      </w:pPr>
      <w:r>
        <w:rPr>
          <w:rFonts w:eastAsia="Times New Roman"/>
          <w:color w:val="000000"/>
          <w:sz w:val="20"/>
          <w:szCs w:val="20"/>
        </w:rPr>
        <w:t>Our principal operations are organized into three major business segments, which are defined primarily based on the products and services provided or the types of customers served: Credit Card, Consumer Banking and Commercial Banking. The operations of acq</w:t>
      </w:r>
      <w:r>
        <w:rPr>
          <w:rFonts w:eastAsia="Times New Roman"/>
          <w:color w:val="000000"/>
          <w:sz w:val="20"/>
          <w:szCs w:val="20"/>
        </w:rPr>
        <w:t>uired businesses have been integrated into or managed as a part of our existing business segments. Certain activities that are not part of a segment, such as management of our corporate investment portfolio, asset/liability management by our centralized Co</w:t>
      </w:r>
      <w:r>
        <w:rPr>
          <w:rFonts w:eastAsia="Times New Roman"/>
          <w:color w:val="000000"/>
          <w:sz w:val="20"/>
          <w:szCs w:val="20"/>
        </w:rPr>
        <w:t>rporate Treasury group and residual tax expense or benefit to arrive at the consolidated effective tax rate that is not assessed to our primary business segments, are included in the Other category.</w:t>
      </w:r>
    </w:p>
    <w:p w:rsidR="00000000" w:rsidRDefault="00E92DBE">
      <w:pPr>
        <w:divId w:val="288056236"/>
        <w:rPr>
          <w:rFonts w:eastAsia="Times New Roman"/>
        </w:rPr>
      </w:pPr>
      <w:r>
        <w:rPr>
          <w:rFonts w:eastAsia="Times New Roman"/>
          <w:b/>
          <w:bCs/>
          <w:color w:val="000000"/>
          <w:sz w:val="20"/>
          <w:szCs w:val="20"/>
        </w:rPr>
        <w:t>Basis of Presentation</w:t>
      </w:r>
    </w:p>
    <w:p w:rsidR="00000000" w:rsidRDefault="00E92DBE">
      <w:pPr>
        <w:jc w:val="both"/>
        <w:divId w:val="1711110235"/>
        <w:rPr>
          <w:rFonts w:eastAsia="Times New Roman"/>
        </w:rPr>
      </w:pPr>
      <w:r>
        <w:rPr>
          <w:rFonts w:eastAsia="Times New Roman"/>
          <w:color w:val="000000"/>
          <w:sz w:val="20"/>
          <w:szCs w:val="20"/>
        </w:rPr>
        <w:t>We report the results of each of ou</w:t>
      </w:r>
      <w:r>
        <w:rPr>
          <w:rFonts w:eastAsia="Times New Roman"/>
          <w:color w:val="000000"/>
          <w:sz w:val="20"/>
          <w:szCs w:val="20"/>
        </w:rPr>
        <w:t xml:space="preserve">r business segments on a continuing operations basis. The results of our individual businesses reflect the manner in which management evaluates performance and makes decisions about funding our operations and allocating resources. </w:t>
      </w:r>
    </w:p>
    <w:p w:rsidR="00000000" w:rsidRDefault="00E92DBE">
      <w:pPr>
        <w:divId w:val="1475412023"/>
        <w:rPr>
          <w:rFonts w:eastAsia="Times New Roman"/>
        </w:rPr>
      </w:pPr>
      <w:r>
        <w:rPr>
          <w:rFonts w:eastAsia="Times New Roman"/>
          <w:b/>
          <w:bCs/>
          <w:color w:val="000000"/>
          <w:sz w:val="20"/>
          <w:szCs w:val="20"/>
        </w:rPr>
        <w:t>Business Segment Reporti</w:t>
      </w:r>
      <w:r>
        <w:rPr>
          <w:rFonts w:eastAsia="Times New Roman"/>
          <w:b/>
          <w:bCs/>
          <w:color w:val="000000"/>
          <w:sz w:val="20"/>
          <w:szCs w:val="20"/>
        </w:rPr>
        <w:t>ng Methodology</w:t>
      </w:r>
    </w:p>
    <w:p w:rsidR="00000000" w:rsidRDefault="00E92DBE">
      <w:pPr>
        <w:jc w:val="both"/>
        <w:divId w:val="1245408974"/>
        <w:rPr>
          <w:rFonts w:eastAsia="Times New Roman"/>
        </w:rPr>
      </w:pPr>
      <w:r>
        <w:rPr>
          <w:rFonts w:eastAsia="Times New Roman"/>
          <w:color w:val="000000"/>
          <w:sz w:val="20"/>
          <w:szCs w:val="20"/>
        </w:rPr>
        <w:t>The results of our business segments are intended to present each segment as if it were a stand-alone business. Our internal management and reporting process used to derive our segment results employs various allocation methodologies, includ</w:t>
      </w:r>
      <w:r>
        <w:rPr>
          <w:rFonts w:eastAsia="Times New Roman"/>
          <w:color w:val="000000"/>
          <w:sz w:val="20"/>
          <w:szCs w:val="20"/>
        </w:rPr>
        <w:t>ing funds transfer pricing, to assign certain balance sheet assets, deposits and other liabilities and their related revenue and expenses directly or indirectly attributable to each business segment. Our funds transfer pricing process provides a funds cred</w:t>
      </w:r>
      <w:r>
        <w:rPr>
          <w:rFonts w:eastAsia="Times New Roman"/>
          <w:color w:val="000000"/>
          <w:sz w:val="20"/>
          <w:szCs w:val="20"/>
        </w:rPr>
        <w:t>it for sources of funds, such as deposits generated by our Consumer Banking and Commercial Banking businesses, and a funds charge for the use of funds by each segment. Due to the integrated nature of our business segments, estimates and judgments have been</w:t>
      </w:r>
      <w:r>
        <w:rPr>
          <w:rFonts w:eastAsia="Times New Roman"/>
          <w:color w:val="000000"/>
          <w:sz w:val="20"/>
          <w:szCs w:val="20"/>
        </w:rPr>
        <w:t xml:space="preserve"> made in allocating certain revenue and expense items. Transactions between segments are based on specific criteria or approximate third-party rates. We regularly assess the assumptions, methodologies and reporting classifications used for segment reportin</w:t>
      </w:r>
      <w:r>
        <w:rPr>
          <w:rFonts w:eastAsia="Times New Roman"/>
          <w:color w:val="000000"/>
          <w:sz w:val="20"/>
          <w:szCs w:val="20"/>
        </w:rPr>
        <w:t>g, which may result in the implementation of refinements or changes in future periods. We provide additional information on the allocation methodologies used to derive our business segment results in “Note 17—Business Segments and Revenue from Contracts wi</w:t>
      </w:r>
      <w:r>
        <w:rPr>
          <w:rFonts w:eastAsia="Times New Roman"/>
          <w:color w:val="000000"/>
          <w:sz w:val="20"/>
          <w:szCs w:val="20"/>
        </w:rPr>
        <w:t>th Customers” in our 2020 Form 10-K.</w:t>
      </w:r>
    </w:p>
    <w:p w:rsidR="00000000" w:rsidRDefault="00E92DBE">
      <w:pPr>
        <w:divId w:val="276639226"/>
        <w:rPr>
          <w:rFonts w:eastAsia="Times New Roman"/>
        </w:rPr>
      </w:pPr>
      <w:r>
        <w:rPr>
          <w:rFonts w:eastAsia="Times New Roman"/>
          <w:b/>
          <w:bCs/>
          <w:color w:val="000000"/>
          <w:sz w:val="20"/>
          <w:szCs w:val="20"/>
        </w:rPr>
        <w:t>Segment Results and Reconciliation</w:t>
      </w:r>
    </w:p>
    <w:p w:rsidR="00000000" w:rsidRDefault="00E92DBE">
      <w:pPr>
        <w:jc w:val="both"/>
        <w:divId w:val="1466582416"/>
        <w:rPr>
          <w:rFonts w:eastAsia="Times New Roman"/>
        </w:rPr>
      </w:pPr>
      <w:r>
        <w:rPr>
          <w:rFonts w:eastAsia="Times New Roman"/>
          <w:color w:val="000000"/>
          <w:sz w:val="20"/>
          <w:szCs w:val="20"/>
        </w:rPr>
        <w:t>We may periodically change our business segments or reclassify business segment results based on modifications to our management reporting methodologies or changes in organizational al</w:t>
      </w:r>
      <w:r>
        <w:rPr>
          <w:rFonts w:eastAsia="Times New Roman"/>
          <w:color w:val="000000"/>
          <w:sz w:val="20"/>
          <w:szCs w:val="20"/>
        </w:rPr>
        <w:t>ignment. The following table presents our business segment results for the three months ended March 31, 2021 and 2020, selected balance sheet data as of March 31, 2021 and 2020, and a reconciliation of our total business segment results to our reported con</w:t>
      </w:r>
      <w:r>
        <w:rPr>
          <w:rFonts w:eastAsia="Times New Roman"/>
          <w:color w:val="000000"/>
          <w:sz w:val="20"/>
          <w:szCs w:val="20"/>
        </w:rPr>
        <w:t>solidated income from continuing operations, loans held for investment and deposits.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48400123"/>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448400123"/>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448400123"/>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112</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37" style="width:0;height:1.5pt" o:hralign="center" o:hrstd="t" o:hr="t" fillcolor="#a0a0a0" stroked="f"/>
        </w:pict>
      </w:r>
    </w:p>
    <w:p w:rsidR="00000000" w:rsidRDefault="00E92DBE">
      <w:pPr>
        <w:jc w:val="both"/>
        <w:divId w:val="1711539195"/>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711539195"/>
        <w:rPr>
          <w:rFonts w:eastAsia="Times New Roman"/>
        </w:rPr>
      </w:pPr>
    </w:p>
    <w:p w:rsidR="00000000" w:rsidRDefault="00E92DBE">
      <w:pPr>
        <w:divId w:val="739213115"/>
        <w:rPr>
          <w:rFonts w:eastAsia="Times New Roman"/>
        </w:rPr>
      </w:pPr>
      <w:r>
        <w:rPr>
          <w:rFonts w:eastAsia="Times New Roman"/>
          <w:b/>
          <w:bCs/>
          <w:color w:val="000000"/>
          <w:sz w:val="18"/>
          <w:szCs w:val="18"/>
        </w:rPr>
        <w:t>Table 12.1: Segment Results and Reconciliation</w:t>
      </w:r>
    </w:p>
    <w:tbl>
      <w:tblPr>
        <w:tblW w:w="4992" w:type="pct"/>
        <w:tblCellMar>
          <w:top w:w="15" w:type="dxa"/>
          <w:left w:w="15" w:type="dxa"/>
          <w:bottom w:w="15" w:type="dxa"/>
          <w:right w:w="15" w:type="dxa"/>
        </w:tblCellMar>
        <w:tblLook w:val="04A0" w:firstRow="1" w:lastRow="0" w:firstColumn="1" w:lastColumn="0" w:noHBand="0" w:noVBand="1"/>
      </w:tblPr>
      <w:tblGrid>
        <w:gridCol w:w="56"/>
        <w:gridCol w:w="3760"/>
        <w:gridCol w:w="36"/>
        <w:gridCol w:w="36"/>
        <w:gridCol w:w="36"/>
        <w:gridCol w:w="36"/>
        <w:gridCol w:w="36"/>
        <w:gridCol w:w="709"/>
        <w:gridCol w:w="36"/>
        <w:gridCol w:w="36"/>
        <w:gridCol w:w="36"/>
        <w:gridCol w:w="36"/>
        <w:gridCol w:w="38"/>
        <w:gridCol w:w="697"/>
        <w:gridCol w:w="36"/>
        <w:gridCol w:w="36"/>
        <w:gridCol w:w="36"/>
        <w:gridCol w:w="36"/>
        <w:gridCol w:w="38"/>
        <w:gridCol w:w="759"/>
        <w:gridCol w:w="36"/>
        <w:gridCol w:w="36"/>
        <w:gridCol w:w="36"/>
        <w:gridCol w:w="36"/>
        <w:gridCol w:w="38"/>
        <w:gridCol w:w="659"/>
        <w:gridCol w:w="36"/>
        <w:gridCol w:w="36"/>
        <w:gridCol w:w="36"/>
        <w:gridCol w:w="36"/>
        <w:gridCol w:w="38"/>
        <w:gridCol w:w="709"/>
        <w:gridCol w:w="36"/>
      </w:tblGrid>
      <w:tr w:rsidR="00000000">
        <w:trPr>
          <w:divId w:val="1538808461"/>
        </w:trPr>
        <w:tc>
          <w:tcPr>
            <w:tcW w:w="50" w:type="pct"/>
            <w:vAlign w:val="center"/>
            <w:hideMark/>
          </w:tcPr>
          <w:p w:rsidR="00000000" w:rsidRDefault="00E92DBE">
            <w:pPr>
              <w:rPr>
                <w:rFonts w:eastAsia="Times New Roman"/>
              </w:rPr>
            </w:pPr>
          </w:p>
        </w:tc>
        <w:tc>
          <w:tcPr>
            <w:tcW w:w="228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538808461"/>
          <w:trHeight w:val="6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53880846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53880846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880846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880846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880846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880846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880846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880846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880846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880846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880846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38808461"/>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781"/>
        <w:gridCol w:w="144"/>
        <w:gridCol w:w="144"/>
        <w:gridCol w:w="144"/>
        <w:gridCol w:w="144"/>
        <w:gridCol w:w="144"/>
        <w:gridCol w:w="733"/>
        <w:gridCol w:w="144"/>
        <w:gridCol w:w="144"/>
        <w:gridCol w:w="144"/>
        <w:gridCol w:w="144"/>
        <w:gridCol w:w="144"/>
        <w:gridCol w:w="721"/>
        <w:gridCol w:w="144"/>
        <w:gridCol w:w="144"/>
        <w:gridCol w:w="144"/>
        <w:gridCol w:w="144"/>
        <w:gridCol w:w="144"/>
        <w:gridCol w:w="782"/>
        <w:gridCol w:w="144"/>
        <w:gridCol w:w="144"/>
        <w:gridCol w:w="144"/>
        <w:gridCol w:w="144"/>
        <w:gridCol w:w="144"/>
        <w:gridCol w:w="684"/>
        <w:gridCol w:w="144"/>
        <w:gridCol w:w="144"/>
        <w:gridCol w:w="144"/>
        <w:gridCol w:w="144"/>
        <w:gridCol w:w="144"/>
        <w:gridCol w:w="733"/>
        <w:gridCol w:w="144"/>
      </w:tblGrid>
      <w:tr w:rsidR="00000000">
        <w:tc>
          <w:tcPr>
            <w:tcW w:w="50" w:type="pct"/>
            <w:vAlign w:val="center"/>
            <w:hideMark/>
          </w:tcPr>
          <w:p w:rsidR="00000000" w:rsidRDefault="00E92DBE">
            <w:pPr>
              <w:rPr>
                <w:rFonts w:eastAsia="Times New Roman"/>
              </w:rPr>
            </w:pPr>
          </w:p>
        </w:tc>
        <w:tc>
          <w:tcPr>
            <w:tcW w:w="228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 2021</w:t>
            </w: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Consolidated 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3,372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520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5,822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divId w:val="1953171794"/>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4,401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7,113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(492)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(126)</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(203)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(823)</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3,740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544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(286)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(190)</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3,327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99,127</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70,202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73,802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243,131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254,001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41,552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14,775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310,328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1534268289"/>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trPr>
          <w:divId w:val="1534268289"/>
        </w:trPr>
        <w:tc>
          <w:tcPr>
            <w:tcW w:w="50" w:type="pct"/>
            <w:vAlign w:val="center"/>
            <w:hideMark/>
          </w:tcPr>
          <w:p w:rsidR="00000000" w:rsidRDefault="00E92DBE">
            <w:pPr>
              <w:rPr>
                <w:rFonts w:eastAsia="Times New Roman"/>
              </w:rPr>
            </w:pPr>
          </w:p>
        </w:tc>
        <w:tc>
          <w:tcPr>
            <w:tcW w:w="228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534268289"/>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 2020</w:t>
            </w:r>
          </w:p>
        </w:tc>
      </w:tr>
      <w:tr w:rsidR="00000000">
        <w:trPr>
          <w:divId w:val="1534268289"/>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Consolidated Total</w:t>
            </w:r>
          </w:p>
        </w:tc>
      </w:tr>
      <w:tr w:rsidR="00000000">
        <w:trPr>
          <w:divId w:val="153426828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Net interest income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6,025 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3426828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911 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1,224 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34268289"/>
        </w:trPr>
        <w:tc>
          <w:tcPr>
            <w:tcW w:w="0" w:type="auto"/>
            <w:gridSpan w:val="3"/>
            <w:shd w:val="clear" w:color="auto" w:fill="CCEEFF"/>
            <w:tcMar>
              <w:top w:w="30" w:type="dxa"/>
              <w:left w:w="20" w:type="dxa"/>
              <w:bottom w:w="30" w:type="dxa"/>
              <w:right w:w="20" w:type="dxa"/>
            </w:tcMar>
            <w:vAlign w:val="center"/>
            <w:hideMark/>
          </w:tcPr>
          <w:p w:rsidR="00000000" w:rsidRDefault="00E92DBE">
            <w:pPr>
              <w:divId w:val="931085129"/>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4,613 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7,249 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3426828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3,702 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860 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856 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5,423 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3426828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2,208 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991 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412 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118 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3,729 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3426828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(1,297)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(539)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(1,903)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3426828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(306)</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(128)</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(563)</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3426828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(991)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(411)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(1,340)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34268289"/>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117,797 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64,033 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81,160 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262,990 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1534268289"/>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217,607 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32,822 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19,260 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269,689 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781"/>
        <w:gridCol w:w="144"/>
        <w:gridCol w:w="144"/>
        <w:gridCol w:w="144"/>
        <w:gridCol w:w="144"/>
        <w:gridCol w:w="144"/>
        <w:gridCol w:w="733"/>
        <w:gridCol w:w="144"/>
        <w:gridCol w:w="144"/>
        <w:gridCol w:w="144"/>
        <w:gridCol w:w="144"/>
        <w:gridCol w:w="144"/>
        <w:gridCol w:w="721"/>
        <w:gridCol w:w="144"/>
        <w:gridCol w:w="144"/>
        <w:gridCol w:w="144"/>
        <w:gridCol w:w="144"/>
        <w:gridCol w:w="144"/>
        <w:gridCol w:w="782"/>
        <w:gridCol w:w="144"/>
        <w:gridCol w:w="144"/>
        <w:gridCol w:w="144"/>
        <w:gridCol w:w="144"/>
        <w:gridCol w:w="144"/>
        <w:gridCol w:w="684"/>
        <w:gridCol w:w="144"/>
        <w:gridCol w:w="144"/>
        <w:gridCol w:w="144"/>
        <w:gridCol w:w="144"/>
        <w:gridCol w:w="144"/>
        <w:gridCol w:w="733"/>
        <w:gridCol w:w="144"/>
      </w:tblGrid>
      <w:tr w:rsidR="00000000">
        <w:tc>
          <w:tcPr>
            <w:tcW w:w="50" w:type="pct"/>
            <w:vAlign w:val="center"/>
            <w:hideMark/>
          </w:tcPr>
          <w:p w:rsidR="00000000" w:rsidRDefault="00E92DBE">
            <w:pPr>
              <w:rPr>
                <w:rFonts w:eastAsia="Times New Roman"/>
              </w:rPr>
            </w:pPr>
          </w:p>
        </w:tc>
        <w:tc>
          <w:tcPr>
            <w:tcW w:w="2280"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1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60"/>
        </w:trPr>
        <w:tc>
          <w:tcPr>
            <w:tcW w:w="0" w:type="auto"/>
            <w:gridSpan w:val="3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1566720512"/>
        <w:rPr>
          <w:rFonts w:eastAsia="Times New Roman"/>
        </w:rPr>
      </w:pPr>
      <w:r>
        <w:rPr>
          <w:rFonts w:eastAsia="Times New Roman"/>
          <w:color w:val="000000"/>
          <w:sz w:val="20"/>
          <w:szCs w:val="20"/>
        </w:rPr>
        <w:t>__________</w:t>
      </w:r>
    </w:p>
    <w:p w:rsidR="00000000" w:rsidRDefault="00E92DBE">
      <w:pPr>
        <w:ind w:hanging="360"/>
        <w:jc w:val="both"/>
        <w:divId w:val="62882579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p w:rsidR="00000000" w:rsidRDefault="00E92DBE">
      <w:pPr>
        <w:ind w:hanging="360"/>
        <w:jc w:val="both"/>
        <w:divId w:val="102309702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Total net revenue was reduced by $180 million and $389 million in the first quarters of 2021 and 2020, respectively, for finance charges and fees charged-off as uncollectible.</w:t>
      </w:r>
    </w:p>
    <w:p w:rsidR="00000000" w:rsidRDefault="00E92DBE">
      <w:pPr>
        <w:divId w:val="542910516"/>
        <w:rPr>
          <w:rFonts w:eastAsia="Times New Roman"/>
        </w:rPr>
      </w:pPr>
      <w:r>
        <w:rPr>
          <w:rFonts w:eastAsia="Times New Roman"/>
          <w:b/>
          <w:bCs/>
          <w:color w:val="000000"/>
          <w:sz w:val="20"/>
          <w:szCs w:val="20"/>
        </w:rPr>
        <w:t>Revenue from Contracts with Customers</w:t>
      </w:r>
    </w:p>
    <w:p w:rsidR="00000000" w:rsidRDefault="00E92DBE">
      <w:pPr>
        <w:jc w:val="both"/>
        <w:divId w:val="1640459453"/>
        <w:rPr>
          <w:rFonts w:eastAsia="Times New Roman"/>
        </w:rPr>
      </w:pPr>
      <w:r>
        <w:rPr>
          <w:rFonts w:eastAsia="Times New Roman"/>
          <w:color w:val="000000"/>
          <w:sz w:val="20"/>
          <w:szCs w:val="20"/>
        </w:rPr>
        <w:t xml:space="preserve">The majority of our revenue from contracts with customers consists of interchange fees, service charges and other customer-related fees, and other contract revenue. Interchange fees are primarily from our Credit Card </w:t>
      </w:r>
      <w:r>
        <w:rPr>
          <w:rFonts w:eastAsia="Times New Roman"/>
          <w:color w:val="000000"/>
          <w:sz w:val="20"/>
          <w:szCs w:val="20"/>
        </w:rPr>
        <w:t>business and are recognized upon settlement with the interchange networks, net of rewards earned by customers. Service charges and other customer-related fees within our Consumer Banking business are primarily related to fees earned on consumer deposit acc</w:t>
      </w:r>
      <w:r>
        <w:rPr>
          <w:rFonts w:eastAsia="Times New Roman"/>
          <w:color w:val="000000"/>
          <w:sz w:val="20"/>
          <w:szCs w:val="20"/>
        </w:rPr>
        <w:t>ounts for account maintenance and various transaction-based services such as overdrafts and ATM usage. Service charges and other customer-related fees within our Commercial Banking business are mostly related to fees earned on treasury management and capit</w:t>
      </w:r>
      <w:r>
        <w:rPr>
          <w:rFonts w:eastAsia="Times New Roman"/>
          <w:color w:val="000000"/>
          <w:sz w:val="20"/>
          <w:szCs w:val="20"/>
        </w:rPr>
        <w:t>al markets services. Other contract revenue in our Credit Card business consists primarily of revenue from our partnership arrangements. Other contract revenue in our Consumer Banking business consists primarily of revenue earned on certain marketing and p</w:t>
      </w:r>
      <w:r>
        <w:rPr>
          <w:rFonts w:eastAsia="Times New Roman"/>
          <w:color w:val="000000"/>
          <w:sz w:val="20"/>
          <w:szCs w:val="20"/>
        </w:rPr>
        <w:t>romotional events from our auto dealers. Revenue from contracts with customers is included in non-interest income in our consolidated statements of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62021468"/>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762021468"/>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762021468"/>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113</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38" style="width:0;height:1.5pt" o:hralign="center" o:hrstd="t" o:hr="t" fillcolor="#a0a0a0" stroked="f"/>
        </w:pict>
      </w:r>
    </w:p>
    <w:p w:rsidR="00000000" w:rsidRDefault="00E92DBE">
      <w:pPr>
        <w:jc w:val="both"/>
        <w:divId w:val="176175658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761756588"/>
        <w:rPr>
          <w:rFonts w:eastAsia="Times New Roman"/>
        </w:rPr>
      </w:pPr>
    </w:p>
    <w:p w:rsidR="00000000" w:rsidRDefault="00E92DBE">
      <w:pPr>
        <w:jc w:val="both"/>
        <w:divId w:val="2096978349"/>
        <w:rPr>
          <w:rFonts w:eastAsia="Times New Roman"/>
        </w:rPr>
      </w:pPr>
      <w:r>
        <w:rPr>
          <w:rFonts w:eastAsia="Times New Roman"/>
          <w:color w:val="000000"/>
          <w:sz w:val="20"/>
          <w:szCs w:val="20"/>
        </w:rPr>
        <w:t>The following table presents revenue from contracts with customers and a reconciliation to non-interest income by business segment for the thr</w:t>
      </w:r>
      <w:r>
        <w:rPr>
          <w:rFonts w:eastAsia="Times New Roman"/>
          <w:color w:val="000000"/>
          <w:sz w:val="20"/>
          <w:szCs w:val="20"/>
        </w:rPr>
        <w:t>ee months ended March 31, 2021 and 2020.</w:t>
      </w:r>
    </w:p>
    <w:p w:rsidR="00000000" w:rsidRDefault="00E92DBE">
      <w:pPr>
        <w:divId w:val="1930389510"/>
        <w:rPr>
          <w:rFonts w:eastAsia="Times New Roman"/>
        </w:rPr>
      </w:pPr>
      <w:r>
        <w:rPr>
          <w:rFonts w:eastAsia="Times New Roman"/>
          <w:b/>
          <w:bCs/>
          <w:color w:val="000000"/>
          <w:sz w:val="18"/>
          <w:szCs w:val="18"/>
        </w:rPr>
        <w:t>Table 12.2: Revenue from Contracts with Customers and Reconciliation to Segment Results</w:t>
      </w:r>
    </w:p>
    <w:tbl>
      <w:tblPr>
        <w:tblW w:w="5000" w:type="pct"/>
        <w:tblCellMar>
          <w:top w:w="15" w:type="dxa"/>
          <w:left w:w="15" w:type="dxa"/>
          <w:bottom w:w="15" w:type="dxa"/>
          <w:right w:w="15" w:type="dxa"/>
        </w:tblCellMar>
        <w:tblLook w:val="04A0" w:firstRow="1" w:lastRow="0" w:firstColumn="1" w:lastColumn="0" w:noHBand="0" w:noVBand="1"/>
      </w:tblPr>
      <w:tblGrid>
        <w:gridCol w:w="56"/>
        <w:gridCol w:w="3772"/>
        <w:gridCol w:w="36"/>
        <w:gridCol w:w="36"/>
        <w:gridCol w:w="36"/>
        <w:gridCol w:w="36"/>
        <w:gridCol w:w="36"/>
        <w:gridCol w:w="697"/>
        <w:gridCol w:w="36"/>
        <w:gridCol w:w="36"/>
        <w:gridCol w:w="36"/>
        <w:gridCol w:w="36"/>
        <w:gridCol w:w="38"/>
        <w:gridCol w:w="697"/>
        <w:gridCol w:w="36"/>
        <w:gridCol w:w="36"/>
        <w:gridCol w:w="36"/>
        <w:gridCol w:w="36"/>
        <w:gridCol w:w="38"/>
        <w:gridCol w:w="697"/>
        <w:gridCol w:w="36"/>
        <w:gridCol w:w="36"/>
        <w:gridCol w:w="36"/>
        <w:gridCol w:w="36"/>
        <w:gridCol w:w="38"/>
        <w:gridCol w:w="697"/>
        <w:gridCol w:w="36"/>
        <w:gridCol w:w="36"/>
        <w:gridCol w:w="36"/>
        <w:gridCol w:w="36"/>
        <w:gridCol w:w="38"/>
        <w:gridCol w:w="746"/>
        <w:gridCol w:w="36"/>
      </w:tblGrid>
      <w:tr w:rsidR="00000000">
        <w:trPr>
          <w:divId w:val="159201046"/>
        </w:trPr>
        <w:tc>
          <w:tcPr>
            <w:tcW w:w="50" w:type="pct"/>
            <w:vAlign w:val="center"/>
            <w:hideMark/>
          </w:tcPr>
          <w:p w:rsidR="00000000" w:rsidRDefault="00E92DBE">
            <w:pPr>
              <w:rPr>
                <w:rFonts w:eastAsia="Times New Roman"/>
              </w:rPr>
            </w:pPr>
          </w:p>
        </w:tc>
        <w:tc>
          <w:tcPr>
            <w:tcW w:w="22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59201046"/>
          <w:trHeight w:val="6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5920104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rPr>
          <w:divId w:val="15920104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920104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920104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920104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920104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920104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920104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159201046"/>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794"/>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70"/>
        <w:gridCol w:w="144"/>
      </w:tblGrid>
      <w:tr w:rsidR="00000000">
        <w:tc>
          <w:tcPr>
            <w:tcW w:w="50" w:type="pct"/>
            <w:vAlign w:val="center"/>
            <w:hideMark/>
          </w:tcPr>
          <w:p w:rsidR="00000000" w:rsidRDefault="00E92DBE">
            <w:pPr>
              <w:rPr>
                <w:rFonts w:eastAsia="Times New Roman"/>
              </w:rPr>
            </w:pPr>
          </w:p>
        </w:tc>
        <w:tc>
          <w:tcPr>
            <w:tcW w:w="22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 2021</w:t>
            </w:r>
          </w:p>
        </w:tc>
      </w:tr>
      <w:tr w:rsidR="00000000">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Consolidated 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divId w:val="1423647769"/>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813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68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1,001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(119)</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1,029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141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240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36"/>
        <w:gridCol w:w="38"/>
        <w:gridCol w:w="36"/>
        <w:gridCol w:w="36"/>
        <w:gridCol w:w="36"/>
        <w:gridCol w:w="111"/>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trPr>
          <w:divId w:val="408040211"/>
        </w:trPr>
        <w:tc>
          <w:tcPr>
            <w:tcW w:w="50" w:type="pct"/>
            <w:vAlign w:val="center"/>
            <w:hideMark/>
          </w:tcPr>
          <w:p w:rsidR="00000000" w:rsidRDefault="00E92DBE">
            <w:pPr>
              <w:jc w:val="both"/>
              <w:rPr>
                <w:rFonts w:eastAsia="Times New Roman"/>
              </w:rPr>
            </w:pPr>
          </w:p>
        </w:tc>
        <w:tc>
          <w:tcPr>
            <w:tcW w:w="22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408040211"/>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Three Months Ended March 31, 2020</w:t>
            </w:r>
          </w:p>
        </w:tc>
      </w:tr>
      <w:tr w:rsidR="00000000">
        <w:trPr>
          <w:divId w:val="408040211"/>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Consolidated Total</w:t>
            </w:r>
          </w:p>
        </w:tc>
      </w:tr>
      <w:tr w:rsidR="00000000">
        <w:trPr>
          <w:divId w:val="40804021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408040211"/>
        </w:trPr>
        <w:tc>
          <w:tcPr>
            <w:tcW w:w="0" w:type="auto"/>
            <w:gridSpan w:val="3"/>
            <w:shd w:val="clear" w:color="auto" w:fill="FFFFFF"/>
            <w:tcMar>
              <w:top w:w="30" w:type="dxa"/>
              <w:left w:w="20" w:type="dxa"/>
              <w:bottom w:w="30" w:type="dxa"/>
              <w:right w:w="20" w:type="dxa"/>
            </w:tcMar>
            <w:vAlign w:val="center"/>
            <w:hideMark/>
          </w:tcPr>
          <w:p w:rsidR="00000000" w:rsidRDefault="00E92DBE">
            <w:pPr>
              <w:divId w:val="1331249680"/>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688 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752 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08040211"/>
        </w:trPr>
        <w:tc>
          <w:tcPr>
            <w:tcW w:w="0" w:type="auto"/>
            <w:gridSpan w:val="3"/>
            <w:shd w:val="clear" w:color="auto" w:fill="CCEE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95 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08040211"/>
        </w:trPr>
        <w:tc>
          <w:tcPr>
            <w:tcW w:w="0" w:type="auto"/>
            <w:gridSpan w:val="3"/>
            <w:shd w:val="clear" w:color="auto" w:fill="FFFFFF"/>
            <w:tcMar>
              <w:top w:w="30" w:type="dxa"/>
              <w:left w:w="245" w:type="dxa"/>
              <w:bottom w:w="30" w:type="dxa"/>
              <w:right w:w="20" w:type="dxa"/>
            </w:tcMar>
            <w:vAlign w:val="center"/>
            <w:hideMark/>
          </w:tcPr>
          <w:p w:rsidR="00000000" w:rsidRDefault="00E92DBE">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90 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0804021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758 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08040211"/>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153 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191 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(50)</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287 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08040211"/>
        </w:trPr>
        <w:tc>
          <w:tcPr>
            <w:tcW w:w="0" w:type="auto"/>
            <w:gridSpan w:val="3"/>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911 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238 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1,224 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794"/>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70"/>
        <w:gridCol w:w="144"/>
      </w:tblGrid>
      <w:tr w:rsidR="00000000">
        <w:tc>
          <w:tcPr>
            <w:tcW w:w="50" w:type="pct"/>
            <w:vAlign w:val="center"/>
            <w:hideMark/>
          </w:tcPr>
          <w:p w:rsidR="00000000" w:rsidRDefault="00E92DBE">
            <w:pPr>
              <w:jc w:val="both"/>
              <w:rPr>
                <w:rFonts w:eastAsia="Times New Roman"/>
              </w:rPr>
            </w:pPr>
          </w:p>
        </w:tc>
        <w:tc>
          <w:tcPr>
            <w:tcW w:w="228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3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64"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60"/>
        </w:trPr>
        <w:tc>
          <w:tcPr>
            <w:tcW w:w="0" w:type="auto"/>
            <w:gridSpan w:val="3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c>
          <w:tcPr>
            <w:tcW w:w="0" w:type="auto"/>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divId w:val="459619009"/>
        <w:rPr>
          <w:rFonts w:eastAsia="Times New Roman"/>
        </w:rPr>
      </w:pPr>
      <w:r>
        <w:rPr>
          <w:rFonts w:eastAsia="Times New Roman"/>
          <w:color w:val="000000"/>
          <w:sz w:val="20"/>
          <w:szCs w:val="20"/>
        </w:rPr>
        <w:t>________</w:t>
      </w:r>
    </w:p>
    <w:p w:rsidR="00000000" w:rsidRDefault="00E92DBE">
      <w:pPr>
        <w:ind w:hanging="360"/>
        <w:jc w:val="both"/>
        <w:divId w:val="71435332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p w:rsidR="00000000" w:rsidRDefault="00E92DBE">
      <w:pPr>
        <w:ind w:hanging="360"/>
        <w:jc w:val="both"/>
        <w:divId w:val="112226424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Interchange fees are presented net of customer reward expenses.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28105815"/>
          <w:jc w:val="center"/>
        </w:trPr>
        <w:tc>
          <w:tcPr>
            <w:tcW w:w="50" w:type="pct"/>
            <w:vAlign w:val="center"/>
            <w:hideMark/>
          </w:tcPr>
          <w:p w:rsidR="00000000" w:rsidRDefault="00E92DBE">
            <w:pPr>
              <w:ind w:hanging="360"/>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228105815"/>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228105815"/>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114</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39" style="width:0;height:1.5pt" o:hralign="center" o:hrstd="t" o:hr="t" fillcolor="#a0a0a0" stroked="f"/>
        </w:pict>
      </w:r>
    </w:p>
    <w:p w:rsidR="00000000" w:rsidRDefault="00E92DBE">
      <w:pPr>
        <w:jc w:val="both"/>
        <w:divId w:val="672686364"/>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67268636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9594577"/>
        </w:trPr>
        <w:tc>
          <w:tcPr>
            <w:tcW w:w="50" w:type="pct"/>
            <w:vAlign w:val="center"/>
            <w:hideMark/>
          </w:tcPr>
          <w:p w:rsidR="00000000" w:rsidRDefault="00E92DBE">
            <w:pPr>
              <w:jc w:val="center"/>
              <w:rPr>
                <w:rFonts w:eastAsia="Times New Roman"/>
              </w:rPr>
            </w:pPr>
          </w:p>
        </w:tc>
        <w:tc>
          <w:tcPr>
            <w:tcW w:w="494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8959457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NOTE 13—COMMITMENTS, CONTINGENCIES, GUARANTEES AND OTHERS</w:t>
            </w:r>
          </w:p>
        </w:tc>
      </w:tr>
    </w:tbl>
    <w:p w:rsidR="00000000" w:rsidRDefault="00E92DBE">
      <w:pPr>
        <w:divId w:val="1256093288"/>
        <w:rPr>
          <w:rFonts w:eastAsia="Times New Roman"/>
        </w:rPr>
      </w:pPr>
      <w:r>
        <w:rPr>
          <w:rFonts w:eastAsia="Times New Roman"/>
          <w:b/>
          <w:bCs/>
          <w:color w:val="000000"/>
          <w:sz w:val="20"/>
          <w:szCs w:val="20"/>
        </w:rPr>
        <w:t>Commitments to Lend</w:t>
      </w:r>
    </w:p>
    <w:p w:rsidR="00000000" w:rsidRDefault="00E92DBE">
      <w:pPr>
        <w:jc w:val="both"/>
        <w:divId w:val="596598698"/>
        <w:rPr>
          <w:rFonts w:eastAsia="Times New Roman"/>
        </w:rPr>
      </w:pPr>
      <w:r>
        <w:rPr>
          <w:rFonts w:eastAsia="Times New Roman"/>
          <w:color w:val="000000"/>
          <w:sz w:val="20"/>
          <w:szCs w:val="20"/>
        </w:rPr>
        <w:t>Our unfunded lending commitments primarily consist of credit card lines, loan commitments to customers of both our Commercial Banking and Consumer Banking businesses, as well as standby and commercial letters of credit. These commitments, other than credit</w:t>
      </w:r>
      <w:r>
        <w:rPr>
          <w:rFonts w:eastAsia="Times New Roman"/>
          <w:color w:val="000000"/>
          <w:sz w:val="20"/>
          <w:szCs w:val="20"/>
        </w:rPr>
        <w:t xml:space="preserve"> card lines, are legally binding conditional agreements that have fixed expirations or termination dates and specified interest rates and purposes. The contractual amount of these commitments represents the maximum possible credit risk to us should the cou</w:t>
      </w:r>
      <w:r>
        <w:rPr>
          <w:rFonts w:eastAsia="Times New Roman"/>
          <w:color w:val="000000"/>
          <w:sz w:val="20"/>
          <w:szCs w:val="20"/>
        </w:rPr>
        <w:t>nterparty draw upon the commitment. We generally manage the potential risk of unfunded lending commitments by limiting the total amount of arrangements, monitoring the size and maturity structure of these portfolios and applying the same credit standards f</w:t>
      </w:r>
      <w:r>
        <w:rPr>
          <w:rFonts w:eastAsia="Times New Roman"/>
          <w:color w:val="000000"/>
          <w:sz w:val="20"/>
          <w:szCs w:val="20"/>
        </w:rPr>
        <w:t>or all of our credit activities.</w:t>
      </w:r>
    </w:p>
    <w:p w:rsidR="00000000" w:rsidRDefault="00E92DBE">
      <w:pPr>
        <w:jc w:val="both"/>
        <w:divId w:val="838737748"/>
        <w:rPr>
          <w:rFonts w:eastAsia="Times New Roman"/>
        </w:rPr>
      </w:pPr>
      <w:r>
        <w:rPr>
          <w:rFonts w:eastAsia="Times New Roman"/>
          <w:color w:val="000000"/>
          <w:sz w:val="20"/>
          <w:szCs w:val="20"/>
        </w:rPr>
        <w:t>For unused credit card lines, we have not experienced and do not anticipate that all of our customers will access their entire available line at any given point in time. Commitments to extend credit other than credit card l</w:t>
      </w:r>
      <w:r>
        <w:rPr>
          <w:rFonts w:eastAsia="Times New Roman"/>
          <w:color w:val="000000"/>
          <w:sz w:val="20"/>
          <w:szCs w:val="20"/>
        </w:rPr>
        <w:t>ines generally require customers to maintain certain credit standards. Collateral requirements and loan-to-value (“LTV”) ratios are the same as those for funded transactions and are established based on management’s credit assessment of the customer. These</w:t>
      </w:r>
      <w:r>
        <w:rPr>
          <w:rFonts w:eastAsia="Times New Roman"/>
          <w:color w:val="000000"/>
          <w:sz w:val="20"/>
          <w:szCs w:val="20"/>
        </w:rPr>
        <w:t xml:space="preserve"> commitments may expire without being drawn upon; therefore, the total commitment amount does not necessarily represent future funding requirements.</w:t>
      </w:r>
    </w:p>
    <w:p w:rsidR="00000000" w:rsidRDefault="00E92DBE">
      <w:pPr>
        <w:jc w:val="both"/>
        <w:divId w:val="1721634098"/>
        <w:rPr>
          <w:rFonts w:eastAsia="Times New Roman"/>
        </w:rPr>
      </w:pPr>
      <w:r>
        <w:rPr>
          <w:rFonts w:eastAsia="Times New Roman"/>
          <w:color w:val="000000"/>
          <w:sz w:val="20"/>
          <w:szCs w:val="20"/>
        </w:rPr>
        <w:t>We also issue letters of credit, such as financial standby, performance standby and commercial letters of c</w:t>
      </w:r>
      <w:r>
        <w:rPr>
          <w:rFonts w:eastAsia="Times New Roman"/>
          <w:color w:val="000000"/>
          <w:sz w:val="20"/>
          <w:szCs w:val="20"/>
        </w:rPr>
        <w:t>redit, to meet the financing needs of our customers. Standby letters of credit are conditional commitments issued by us to guarantee the performance of a customer to a third party in a borrowing arrangement. Commercial letters of credit are short-term comm</w:t>
      </w:r>
      <w:r>
        <w:rPr>
          <w:rFonts w:eastAsia="Times New Roman"/>
          <w:color w:val="000000"/>
          <w:sz w:val="20"/>
          <w:szCs w:val="20"/>
        </w:rPr>
        <w:t xml:space="preserve">itments issued primarily to facilitate trade finance activities for customers and are generally collateralized by the goods being shipped to the customer. These collateral requirements are similar to those for funded transactions and are established based </w:t>
      </w:r>
      <w:r>
        <w:rPr>
          <w:rFonts w:eastAsia="Times New Roman"/>
          <w:color w:val="000000"/>
          <w:sz w:val="20"/>
          <w:szCs w:val="20"/>
        </w:rPr>
        <w:t>on management’s credit assessment of the customer. Management conducts regular reviews of all outstanding letters of credit and the results of these reviews are considered in assessing the adequacy of reserves for unfunded lending commitments.</w:t>
      </w:r>
    </w:p>
    <w:p w:rsidR="00000000" w:rsidRDefault="00E92DBE">
      <w:pPr>
        <w:jc w:val="both"/>
        <w:divId w:val="1092386721"/>
        <w:rPr>
          <w:rFonts w:eastAsia="Times New Roman"/>
        </w:rPr>
      </w:pPr>
      <w:r>
        <w:rPr>
          <w:rFonts w:eastAsia="Times New Roman"/>
          <w:color w:val="000000"/>
          <w:sz w:val="20"/>
          <w:szCs w:val="20"/>
        </w:rPr>
        <w:t>The followin</w:t>
      </w:r>
      <w:r>
        <w:rPr>
          <w:rFonts w:eastAsia="Times New Roman"/>
          <w:color w:val="000000"/>
          <w:sz w:val="20"/>
          <w:szCs w:val="20"/>
        </w:rPr>
        <w:t>g table presents the contractual amount and carrying value of our unfunded lending commitments as of March 31, 2021 and December 31, 2020. The carrying value represents our reserve and deferred revenue on legally binding commitments.</w:t>
      </w:r>
    </w:p>
    <w:p w:rsidR="00000000" w:rsidRDefault="00E92DBE">
      <w:pPr>
        <w:divId w:val="1848786279"/>
        <w:rPr>
          <w:rFonts w:eastAsia="Times New Roman"/>
        </w:rPr>
      </w:pPr>
      <w:r>
        <w:rPr>
          <w:rFonts w:eastAsia="Times New Roman"/>
          <w:b/>
          <w:bCs/>
          <w:color w:val="000000"/>
          <w:sz w:val="18"/>
          <w:szCs w:val="18"/>
        </w:rPr>
        <w:t>Table 13.1: Unfunded L</w:t>
      </w:r>
      <w:r>
        <w:rPr>
          <w:rFonts w:eastAsia="Times New Roman"/>
          <w:b/>
          <w:bCs/>
          <w:color w:val="000000"/>
          <w:sz w:val="18"/>
          <w:szCs w:val="18"/>
        </w:rPr>
        <w:t>ending Commitments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282"/>
        <w:gridCol w:w="37"/>
        <w:gridCol w:w="36"/>
        <w:gridCol w:w="36"/>
        <w:gridCol w:w="36"/>
        <w:gridCol w:w="110"/>
        <w:gridCol w:w="732"/>
        <w:gridCol w:w="36"/>
        <w:gridCol w:w="36"/>
        <w:gridCol w:w="36"/>
        <w:gridCol w:w="36"/>
        <w:gridCol w:w="110"/>
        <w:gridCol w:w="732"/>
        <w:gridCol w:w="36"/>
        <w:gridCol w:w="36"/>
        <w:gridCol w:w="36"/>
        <w:gridCol w:w="36"/>
        <w:gridCol w:w="111"/>
        <w:gridCol w:w="733"/>
        <w:gridCol w:w="36"/>
        <w:gridCol w:w="36"/>
        <w:gridCol w:w="36"/>
        <w:gridCol w:w="36"/>
        <w:gridCol w:w="111"/>
        <w:gridCol w:w="734"/>
        <w:gridCol w:w="36"/>
      </w:tblGrid>
      <w:tr w:rsidR="00000000">
        <w:trPr>
          <w:divId w:val="482553373"/>
        </w:trPr>
        <w:tc>
          <w:tcPr>
            <w:tcW w:w="50" w:type="pct"/>
            <w:vAlign w:val="center"/>
            <w:hideMark/>
          </w:tcPr>
          <w:p w:rsidR="00000000" w:rsidRDefault="00E92DBE">
            <w:pPr>
              <w:rPr>
                <w:rFonts w:eastAsia="Times New Roman"/>
              </w:rPr>
            </w:pPr>
          </w:p>
        </w:tc>
        <w:tc>
          <w:tcPr>
            <w:tcW w:w="260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9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482553373"/>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Contractual Amount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6"/>
                <w:szCs w:val="16"/>
              </w:rPr>
              <w:t>Carrying Value</w:t>
            </w:r>
          </w:p>
        </w:tc>
      </w:tr>
      <w:tr w:rsidR="00000000">
        <w:trPr>
          <w:divId w:val="482553373"/>
        </w:trPr>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March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December 31, 2020</w:t>
            </w:r>
          </w:p>
        </w:tc>
      </w:tr>
      <w:tr w:rsidR="00000000">
        <w:trPr>
          <w:divId w:val="48255337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Credit card lines</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354,055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349,594 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92DBE">
            <w:pPr>
              <w:jc w:val="right"/>
              <w:rPr>
                <w:rFonts w:eastAsia="Times New Roman"/>
              </w:rPr>
            </w:pPr>
            <w:r>
              <w:rPr>
                <w:rFonts w:eastAsia="Times New Roman"/>
                <w:color w:val="000000"/>
                <w:sz w:val="18"/>
                <w:szCs w:val="18"/>
              </w:rPr>
              <w:t>N/A</w:t>
            </w:r>
          </w:p>
        </w:tc>
      </w:tr>
      <w:tr w:rsidR="00000000">
        <w:trPr>
          <w:divId w:val="482553373"/>
        </w:trPr>
        <w:tc>
          <w:tcPr>
            <w:tcW w:w="0" w:type="auto"/>
            <w:gridSpan w:val="3"/>
            <w:shd w:val="clear" w:color="auto" w:fill="FFFFFF"/>
            <w:tcMar>
              <w:top w:w="30" w:type="dxa"/>
              <w:left w:w="20" w:type="dxa"/>
              <w:bottom w:w="30" w:type="dxa"/>
              <w:right w:w="20" w:type="dxa"/>
            </w:tcMar>
            <w:vAlign w:val="center"/>
            <w:hideMark/>
          </w:tcPr>
          <w:p w:rsidR="00000000" w:rsidRDefault="00E92DBE">
            <w:pPr>
              <w:divId w:val="941107205"/>
              <w:rPr>
                <w:rFonts w:eastAsia="Times New Roman"/>
              </w:rPr>
            </w:pPr>
            <w:r>
              <w:rPr>
                <w:rFonts w:eastAsia="Times New Roman"/>
                <w:color w:val="000000"/>
                <w:sz w:val="18"/>
                <w:szCs w:val="18"/>
              </w:rPr>
              <w:t>Other loan commitment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36,990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35,836 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144 </w:t>
            </w:r>
          </w:p>
        </w:tc>
        <w:tc>
          <w:tcPr>
            <w:tcW w:w="0" w:type="auto"/>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82553373"/>
        </w:trPr>
        <w:tc>
          <w:tcPr>
            <w:tcW w:w="0" w:type="auto"/>
            <w:gridSpan w:val="3"/>
            <w:shd w:val="clear" w:color="auto" w:fill="CCEEFF"/>
            <w:tcMar>
              <w:top w:w="30" w:type="dxa"/>
              <w:left w:w="20" w:type="dxa"/>
              <w:bottom w:w="30" w:type="dxa"/>
              <w:right w:w="20" w:type="dxa"/>
            </w:tcMar>
            <w:vAlign w:val="center"/>
            <w:hideMark/>
          </w:tcPr>
          <w:p w:rsidR="00000000" w:rsidRDefault="00E92DBE">
            <w:pPr>
              <w:divId w:val="1506436431"/>
              <w:rPr>
                <w:rFonts w:eastAsia="Times New Roman"/>
              </w:rPr>
            </w:pPr>
            <w:r>
              <w:rPr>
                <w:rFonts w:eastAsia="Times New Roman"/>
                <w:color w:val="000000"/>
                <w:sz w:val="18"/>
                <w:szCs w:val="18"/>
              </w:rPr>
              <w:t>Standby letters of credit and commercial letters of credi</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1,265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1,302 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center"/>
            <w:hideMark/>
          </w:tcPr>
          <w:p w:rsidR="00000000" w:rsidRDefault="00E92DBE">
            <w:pPr>
              <w:jc w:val="right"/>
              <w:rPr>
                <w:rFonts w:eastAsia="Times New Roman"/>
              </w:rPr>
            </w:pPr>
          </w:p>
        </w:tc>
      </w:tr>
      <w:tr w:rsidR="00000000">
        <w:trPr>
          <w:divId w:val="482553373"/>
        </w:trPr>
        <w:tc>
          <w:tcPr>
            <w:tcW w:w="0" w:type="auto"/>
            <w:gridSpan w:val="3"/>
            <w:shd w:val="clear" w:color="auto" w:fill="FFFFFF"/>
            <w:tcMar>
              <w:top w:w="30" w:type="dxa"/>
              <w:left w:w="20" w:type="dxa"/>
              <w:bottom w:w="30" w:type="dxa"/>
              <w:right w:w="20" w:type="dxa"/>
            </w:tcMar>
            <w:vAlign w:val="center"/>
            <w:hideMark/>
          </w:tcPr>
          <w:p w:rsidR="00000000" w:rsidRDefault="00E92DBE">
            <w:pPr>
              <w:rPr>
                <w:rFonts w:eastAsia="Times New Roman"/>
              </w:rPr>
            </w:pPr>
            <w:r>
              <w:rPr>
                <w:rFonts w:eastAsia="Times New Roman"/>
                <w:color w:val="000000"/>
                <w:sz w:val="18"/>
                <w:szCs w:val="18"/>
              </w:rPr>
              <w:t>Total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392,310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386,732 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b/>
                <w:bCs/>
                <w:color w:val="000000"/>
                <w:sz w:val="18"/>
                <w:szCs w:val="18"/>
              </w:rPr>
              <w:t>168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92DB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92DBE">
            <w:pPr>
              <w:jc w:val="right"/>
              <w:rPr>
                <w:rFonts w:eastAsia="Times New Roman"/>
              </w:rPr>
            </w:pPr>
            <w:r>
              <w:rPr>
                <w:rFonts w:eastAsia="Times New Roman"/>
                <w:color w:val="000000"/>
                <w:sz w:val="18"/>
                <w:szCs w:val="18"/>
              </w:rPr>
              <w:t>176 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92DBE">
            <w:pPr>
              <w:jc w:val="right"/>
              <w:rPr>
                <w:rFonts w:eastAsia="Times New Roman"/>
              </w:rPr>
            </w:pPr>
          </w:p>
        </w:tc>
      </w:tr>
    </w:tbl>
    <w:p w:rsidR="00000000" w:rsidRDefault="00E92DBE">
      <w:pPr>
        <w:divId w:val="765808307"/>
        <w:rPr>
          <w:rFonts w:eastAsia="Times New Roman"/>
        </w:rPr>
      </w:pPr>
      <w:r>
        <w:rPr>
          <w:rFonts w:eastAsia="Times New Roman"/>
          <w:color w:val="000000"/>
          <w:sz w:val="20"/>
          <w:szCs w:val="20"/>
        </w:rPr>
        <w:t>__________</w:t>
      </w:r>
    </w:p>
    <w:p w:rsidR="00000000" w:rsidRDefault="00E92DBE">
      <w:pPr>
        <w:ind w:hanging="360"/>
        <w:jc w:val="both"/>
        <w:divId w:val="119507046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$2.1 billion and $1.8 </w:t>
      </w:r>
      <w:r>
        <w:rPr>
          <w:rFonts w:eastAsia="Times New Roman"/>
          <w:color w:val="000000"/>
          <w:sz w:val="16"/>
          <w:szCs w:val="16"/>
        </w:rPr>
        <w:t>billion of advised lines of credit as of March 31, 2021 and December 31, 2020, respectively.</w:t>
      </w:r>
    </w:p>
    <w:p w:rsidR="00000000" w:rsidRDefault="00E92DBE">
      <w:pPr>
        <w:ind w:hanging="360"/>
        <w:jc w:val="both"/>
        <w:divId w:val="12486036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These financial guarantees have expiration dates ranging from 2021 to 2023 as of March 31, 2021.</w:t>
      </w:r>
    </w:p>
    <w:p w:rsidR="00000000" w:rsidRDefault="00E92DBE">
      <w:pPr>
        <w:divId w:val="1085691140"/>
        <w:rPr>
          <w:rFonts w:eastAsia="Times New Roman"/>
        </w:rPr>
      </w:pPr>
      <w:r>
        <w:rPr>
          <w:rFonts w:eastAsia="Times New Roman"/>
          <w:b/>
          <w:bCs/>
          <w:color w:val="000000"/>
          <w:sz w:val="20"/>
          <w:szCs w:val="20"/>
        </w:rPr>
        <w:t>Loss Sharing Agreements</w:t>
      </w:r>
    </w:p>
    <w:p w:rsidR="00000000" w:rsidRDefault="00E92DBE">
      <w:pPr>
        <w:jc w:val="both"/>
        <w:divId w:val="562913775"/>
        <w:rPr>
          <w:rFonts w:eastAsia="Times New Roman"/>
        </w:rPr>
      </w:pPr>
      <w:r>
        <w:rPr>
          <w:rFonts w:eastAsia="Times New Roman"/>
          <w:color w:val="000000"/>
          <w:sz w:val="20"/>
          <w:szCs w:val="20"/>
        </w:rPr>
        <w:t>Within our Commercial Banking business, we originate multifamily commercial real estate loans with the intent to sell them to the GSEs. We enter into loss sharing agreements with the GSEs upon the sale of the loans. Beginning January 1, 2020, we elected th</w:t>
      </w:r>
      <w:r>
        <w:rPr>
          <w:rFonts w:eastAsia="Times New Roman"/>
          <w:color w:val="000000"/>
          <w:sz w:val="20"/>
          <w:szCs w:val="20"/>
        </w:rPr>
        <w:t>e fair value option on new loss sharing agreements. Unrealized gains and losses are recorded in other non-interest income in our consolidated statements of income. For those loss sharing agreements entered into as of and prior to December 31, 2019, we amor</w:t>
      </w:r>
      <w:r>
        <w:rPr>
          <w:rFonts w:eastAsia="Times New Roman"/>
          <w:color w:val="000000"/>
          <w:sz w:val="20"/>
          <w:szCs w:val="20"/>
        </w:rPr>
        <w:t>tize the liability recorded at inception into non-interest income as we are released from risk of payment under the loss sharing agreement and record our estimate of expected credit losses each period in provision for credit losses in our consolidated stat</w:t>
      </w:r>
      <w:r>
        <w:rPr>
          <w:rFonts w:eastAsia="Times New Roman"/>
          <w:color w:val="000000"/>
          <w:sz w:val="20"/>
          <w:szCs w:val="20"/>
        </w:rPr>
        <w:t>ements of income. The liability recognized on our consolidated balance sheets for these loss sharing agreements was $98 million and $97 million as of March 31, 2021 and December 31, 2020, respectively.</w:t>
      </w:r>
    </w:p>
    <w:p w:rsidR="00000000" w:rsidRDefault="00E92DBE">
      <w:pPr>
        <w:jc w:val="both"/>
        <w:divId w:val="726950771"/>
        <w:rPr>
          <w:rFonts w:eastAsia="Times New Roman"/>
        </w:rPr>
      </w:pPr>
      <w:r>
        <w:rPr>
          <w:rFonts w:eastAsia="Times New Roman"/>
          <w:color w:val="000000"/>
          <w:sz w:val="20"/>
          <w:szCs w:val="20"/>
        </w:rPr>
        <w:t>See “Note 4—Allowance for Credit Losses and Reserve fo</w:t>
      </w:r>
      <w:r>
        <w:rPr>
          <w:rFonts w:eastAsia="Times New Roman"/>
          <w:color w:val="000000"/>
          <w:sz w:val="20"/>
          <w:szCs w:val="20"/>
        </w:rPr>
        <w:t>r Unfunded Lending Commitments” for more information related to our credit card partnership loss sharing arrangements.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56869873"/>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456869873"/>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456869873"/>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115</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40" style="width:0;height:1.5pt" o:hralign="center" o:hrstd="t" o:hr="t" fillcolor="#a0a0a0" stroked="f"/>
        </w:pict>
      </w:r>
    </w:p>
    <w:p w:rsidR="00000000" w:rsidRDefault="00E92DBE">
      <w:pPr>
        <w:jc w:val="both"/>
        <w:divId w:val="1688948308"/>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688948308"/>
        <w:rPr>
          <w:rFonts w:eastAsia="Times New Roman"/>
        </w:rPr>
      </w:pPr>
    </w:p>
    <w:p w:rsidR="00000000" w:rsidRDefault="00E92DBE">
      <w:pPr>
        <w:jc w:val="both"/>
        <w:divId w:val="135613701"/>
        <w:rPr>
          <w:rFonts w:eastAsia="Times New Roman"/>
        </w:rPr>
      </w:pPr>
      <w:r>
        <w:rPr>
          <w:rFonts w:eastAsia="Times New Roman"/>
          <w:b/>
          <w:bCs/>
          <w:color w:val="000000"/>
          <w:sz w:val="20"/>
          <w:szCs w:val="20"/>
        </w:rPr>
        <w:t>Litigation</w:t>
      </w:r>
    </w:p>
    <w:p w:rsidR="00000000" w:rsidRDefault="00E92DBE">
      <w:pPr>
        <w:jc w:val="both"/>
        <w:divId w:val="1420836340"/>
        <w:rPr>
          <w:rFonts w:eastAsia="Times New Roman"/>
        </w:rPr>
      </w:pPr>
      <w:r>
        <w:rPr>
          <w:rFonts w:eastAsia="Times New Roman"/>
          <w:color w:val="000000"/>
          <w:sz w:val="20"/>
          <w:szCs w:val="20"/>
        </w:rPr>
        <w:t>In accordance with the current accounting standards for loss contingencies, we establish reserves for litigation-related matters th</w:t>
      </w:r>
      <w:r>
        <w:rPr>
          <w:rFonts w:eastAsia="Times New Roman"/>
          <w:color w:val="000000"/>
          <w:sz w:val="20"/>
          <w:szCs w:val="20"/>
        </w:rPr>
        <w:t>at arise from the ordinary course of our business activities when it is probable that a loss associated with a claim or proceeding has been incurred and the amount of the loss can be reasonably estimated. None of the amounts we currently have recorded indi</w:t>
      </w:r>
      <w:r>
        <w:rPr>
          <w:rFonts w:eastAsia="Times New Roman"/>
          <w:color w:val="000000"/>
          <w:sz w:val="20"/>
          <w:szCs w:val="20"/>
        </w:rPr>
        <w:t>vidually or in the aggregate are considered to be material to our financial condition. Litigation claims and proceedings of all types are subject to many uncertain factors that generally cannot be predicted with assurance. Below we provide a description of</w:t>
      </w:r>
      <w:r>
        <w:rPr>
          <w:rFonts w:eastAsia="Times New Roman"/>
          <w:color w:val="000000"/>
          <w:sz w:val="20"/>
          <w:szCs w:val="20"/>
        </w:rPr>
        <w:t xml:space="preserve"> potentially material legal proceedings and claims.</w:t>
      </w:r>
    </w:p>
    <w:p w:rsidR="00000000" w:rsidRDefault="00E92DBE">
      <w:pPr>
        <w:jc w:val="both"/>
        <w:divId w:val="1386102295"/>
        <w:rPr>
          <w:rFonts w:eastAsia="Times New Roman"/>
        </w:rPr>
      </w:pPr>
      <w:r>
        <w:rPr>
          <w:rFonts w:eastAsia="Times New Roman"/>
          <w:color w:val="000000"/>
          <w:sz w:val="20"/>
          <w:szCs w:val="20"/>
        </w:rPr>
        <w:t>For some of the matters disclosed below, we are able to estimate reasonably possible losses above existing reserves, and for other disclosed matters, such an estimate is not possible at this time. For tho</w:t>
      </w:r>
      <w:r>
        <w:rPr>
          <w:rFonts w:eastAsia="Times New Roman"/>
          <w:color w:val="000000"/>
          <w:sz w:val="20"/>
          <w:szCs w:val="20"/>
        </w:rPr>
        <w:t>se matters below where an estimate is possible, management currently estimates the reasonably possible future losses beyond our reserves as of March 31, 2021 are approximately $250 million. Our reserve and reasonably possible loss estimates involve conside</w:t>
      </w:r>
      <w:r>
        <w:rPr>
          <w:rFonts w:eastAsia="Times New Roman"/>
          <w:color w:val="000000"/>
          <w:sz w:val="20"/>
          <w:szCs w:val="20"/>
        </w:rPr>
        <w:t>rable judgment and reflect that there is still significant uncertainty regarding numerous factors that may impact the ultimate loss levels. Notwithstanding, our attempt to estimate a reasonably possible range of loss beyond our current accrual levels for s</w:t>
      </w:r>
      <w:r>
        <w:rPr>
          <w:rFonts w:eastAsia="Times New Roman"/>
          <w:color w:val="000000"/>
          <w:sz w:val="20"/>
          <w:szCs w:val="20"/>
        </w:rPr>
        <w:t>ome litigation matters based on current information, it is possible that actual future losses will exceed both the current accrual level and the range of reasonably possible losses disclosed here. Given the inherent uncertainties involved in these matters,</w:t>
      </w:r>
      <w:r>
        <w:rPr>
          <w:rFonts w:eastAsia="Times New Roman"/>
          <w:color w:val="000000"/>
          <w:sz w:val="20"/>
          <w:szCs w:val="20"/>
        </w:rPr>
        <w:t xml:space="preserve"> especially those involving governmental agencies, and the very large or indeterminate damages sought in some of these matters, there is significant uncertainty as to the ultimate liability we may incur from these litigation matters and an adverse outcome </w:t>
      </w:r>
      <w:r>
        <w:rPr>
          <w:rFonts w:eastAsia="Times New Roman"/>
          <w:color w:val="000000"/>
          <w:sz w:val="20"/>
          <w:szCs w:val="20"/>
        </w:rPr>
        <w:t>in one or more of these matters could be material to our results of operations or cash flows for any particular reporting period.</w:t>
      </w:r>
    </w:p>
    <w:p w:rsidR="00000000" w:rsidRDefault="00E92DBE">
      <w:pPr>
        <w:divId w:val="21825065"/>
        <w:rPr>
          <w:rFonts w:eastAsia="Times New Roman"/>
        </w:rPr>
      </w:pPr>
      <w:r>
        <w:rPr>
          <w:rFonts w:eastAsia="Times New Roman"/>
          <w:b/>
          <w:bCs/>
          <w:i/>
          <w:iCs/>
          <w:color w:val="000000"/>
          <w:sz w:val="20"/>
          <w:szCs w:val="20"/>
        </w:rPr>
        <w:t>Interchange</w:t>
      </w:r>
    </w:p>
    <w:p w:rsidR="00000000" w:rsidRDefault="00E92DBE">
      <w:pPr>
        <w:jc w:val="both"/>
        <w:divId w:val="1548562630"/>
        <w:rPr>
          <w:rFonts w:eastAsia="Times New Roman"/>
        </w:rPr>
      </w:pPr>
      <w:r>
        <w:rPr>
          <w:rFonts w:eastAsia="Times New Roman"/>
          <w:color w:val="000000"/>
          <w:sz w:val="20"/>
          <w:szCs w:val="20"/>
        </w:rPr>
        <w:t>In 2005, a putative class of retail merchants filed antitrust lawsuits against MasterCard and Visa and several iss</w:t>
      </w:r>
      <w:r>
        <w:rPr>
          <w:rFonts w:eastAsia="Times New Roman"/>
          <w:color w:val="000000"/>
          <w:sz w:val="20"/>
          <w:szCs w:val="20"/>
        </w:rPr>
        <w:t>uing banks, including Capital One, seeking both injunctive relief and monetary damages for an alleged conspiracy by defendants to fix the level of interchange fees. Other merchants have asserted similar claims in separate lawsuits, and while these separate</w:t>
      </w:r>
      <w:r>
        <w:rPr>
          <w:rFonts w:eastAsia="Times New Roman"/>
          <w:color w:val="000000"/>
          <w:sz w:val="20"/>
          <w:szCs w:val="20"/>
        </w:rPr>
        <w:t xml:space="preserve"> cases did not name any issuing banks, Visa, MasterCard and issuers, including Capital One, have entered settlement and judgment sharing agreements allocating the liabilities of any judgment or settlement arising from all interchange-related cases.</w:t>
      </w:r>
    </w:p>
    <w:p w:rsidR="00000000" w:rsidRDefault="00E92DBE">
      <w:pPr>
        <w:jc w:val="both"/>
        <w:divId w:val="552470026"/>
        <w:rPr>
          <w:rFonts w:eastAsia="Times New Roman"/>
        </w:rPr>
      </w:pPr>
      <w:r>
        <w:rPr>
          <w:rFonts w:eastAsia="Times New Roman"/>
          <w:color w:val="000000"/>
          <w:sz w:val="20"/>
          <w:szCs w:val="20"/>
        </w:rPr>
        <w:t>The law</w:t>
      </w:r>
      <w:r>
        <w:rPr>
          <w:rFonts w:eastAsia="Times New Roman"/>
          <w:color w:val="000000"/>
          <w:sz w:val="20"/>
          <w:szCs w:val="20"/>
        </w:rPr>
        <w:t>suits were consolidated before the U.S. District Court for the Eastern District of New York for certain purposes and were settled in 2012. The class settlement, however, was invalidated by the United States Court of Appeals for the Second Circuit in June 2</w:t>
      </w:r>
      <w:r>
        <w:rPr>
          <w:rFonts w:eastAsia="Times New Roman"/>
          <w:color w:val="000000"/>
          <w:sz w:val="20"/>
          <w:szCs w:val="20"/>
        </w:rPr>
        <w:t>016, and the suit was bifurcated into separate class actions seeking injunctive and monetary relief, respectively. In addition, numerous merchant groups opted out of the 2012 settlement and have pursued their own claims. The claims by the injunctive relief</w:t>
      </w:r>
      <w:r>
        <w:rPr>
          <w:rFonts w:eastAsia="Times New Roman"/>
          <w:color w:val="000000"/>
          <w:sz w:val="20"/>
          <w:szCs w:val="20"/>
        </w:rPr>
        <w:t xml:space="preserve"> class have not been resolved, but the settlement of $5.5 billion for the monetary damages class received final approval from the trial court, and has been appealed to the U.S. Court of Appeals for the Second Circuit. Visa and MasterCard have also settled </w:t>
      </w:r>
      <w:r>
        <w:rPr>
          <w:rFonts w:eastAsia="Times New Roman"/>
          <w:color w:val="000000"/>
          <w:sz w:val="20"/>
          <w:szCs w:val="20"/>
        </w:rPr>
        <w:t xml:space="preserve">a number of the opt-out cases, which required non-material payments from issuing banks, including Capital One. Visa created a litigation escrow account following its initial public offering of stock in 2008 that funds settlements for its member banks, and </w:t>
      </w:r>
      <w:r>
        <w:rPr>
          <w:rFonts w:eastAsia="Times New Roman"/>
          <w:color w:val="000000"/>
          <w:sz w:val="20"/>
          <w:szCs w:val="20"/>
        </w:rPr>
        <w:t>any settlements related to MasterCard-allocated losses have either already been paid or are reflected in our reserves.</w:t>
      </w:r>
    </w:p>
    <w:p w:rsidR="00000000" w:rsidRDefault="00E92DBE">
      <w:pPr>
        <w:jc w:val="both"/>
        <w:divId w:val="748381451"/>
        <w:rPr>
          <w:rFonts w:eastAsia="Times New Roman"/>
        </w:rPr>
      </w:pPr>
      <w:r>
        <w:rPr>
          <w:rFonts w:eastAsia="Times New Roman"/>
          <w:b/>
          <w:bCs/>
          <w:i/>
          <w:iCs/>
          <w:color w:val="000000"/>
          <w:sz w:val="20"/>
          <w:szCs w:val="20"/>
        </w:rPr>
        <w:t>Cybersecurity Incident</w:t>
      </w:r>
    </w:p>
    <w:p w:rsidR="00000000" w:rsidRDefault="00E92DBE">
      <w:pPr>
        <w:jc w:val="both"/>
        <w:divId w:val="1788890399"/>
        <w:rPr>
          <w:rFonts w:eastAsia="Times New Roman"/>
        </w:rPr>
      </w:pPr>
      <w:r>
        <w:rPr>
          <w:rFonts w:eastAsia="Times New Roman"/>
          <w:color w:val="000000"/>
          <w:sz w:val="20"/>
          <w:szCs w:val="20"/>
        </w:rPr>
        <w:t>On July 29, 2019, we announced that on March 22 and 23, 2019 an outside individual gained unauthorized access to o</w:t>
      </w:r>
      <w:r>
        <w:rPr>
          <w:rFonts w:eastAsia="Times New Roman"/>
          <w:color w:val="000000"/>
          <w:sz w:val="20"/>
          <w:szCs w:val="20"/>
        </w:rPr>
        <w:t>ur systems. This individual obtained certain types of personal information relating to people who had applied for our credit card products and to our credit card customers (the “Cybersecurity Incident”). As a result of the Cybersecurity Incident, we are su</w:t>
      </w:r>
      <w:r>
        <w:rPr>
          <w:rFonts w:eastAsia="Times New Roman"/>
          <w:color w:val="000000"/>
          <w:sz w:val="20"/>
          <w:szCs w:val="20"/>
        </w:rPr>
        <w:t xml:space="preserve">bject to numerous legal proceedings and other inquiries and could be the subject of additional proceedings and inquiries in the future. </w:t>
      </w:r>
    </w:p>
    <w:p w:rsidR="00000000" w:rsidRDefault="00E92DBE">
      <w:pPr>
        <w:jc w:val="both"/>
        <w:divId w:val="930552150"/>
        <w:rPr>
          <w:rFonts w:eastAsia="Times New Roman"/>
        </w:rPr>
      </w:pPr>
      <w:r>
        <w:rPr>
          <w:rFonts w:eastAsia="Times New Roman"/>
          <w:i/>
          <w:iCs/>
          <w:color w:val="000000"/>
          <w:sz w:val="20"/>
          <w:szCs w:val="20"/>
        </w:rPr>
        <w:t>Consumer class actions</w:t>
      </w:r>
      <w:r>
        <w:rPr>
          <w:rFonts w:eastAsia="Times New Roman"/>
          <w:color w:val="000000"/>
          <w:sz w:val="20"/>
          <w:szCs w:val="20"/>
        </w:rPr>
        <w:t>. We were named as a defendant in approximately 73 putative consumer class action cases (61 in U.</w:t>
      </w:r>
      <w:r>
        <w:rPr>
          <w:rFonts w:eastAsia="Times New Roman"/>
          <w:color w:val="000000"/>
          <w:sz w:val="20"/>
          <w:szCs w:val="20"/>
        </w:rPr>
        <w:t xml:space="preserve">S. federal courts and 12 in Canadian courts) alleging harm from the Cybersecurity Incident and seeking various remedies, including monetary and injunctive relief. The lawsuits allege breach of contract, negligence, violations of various privacy laws and a </w:t>
      </w:r>
      <w:r>
        <w:rPr>
          <w:rFonts w:eastAsia="Times New Roman"/>
          <w:color w:val="000000"/>
          <w:sz w:val="20"/>
          <w:szCs w:val="20"/>
        </w:rPr>
        <w:t xml:space="preserve">variety of other legal causes of action. The U.S. consumer class actions have been consolidated for pretrial proceedings before a multi-district litigation (“MDL”) panel in the U.S. District Court for the Eastern District of Virginia, Alexandria Division, </w:t>
      </w:r>
      <w:r>
        <w:rPr>
          <w:rFonts w:eastAsia="Times New Roman"/>
          <w:color w:val="000000"/>
          <w:sz w:val="20"/>
          <w:szCs w:val="20"/>
        </w:rPr>
        <w:t xml:space="preserve">where the remaining 29 consumer class actions are currently pending. In the third quarter of 2020, the MDL court denied in part and granted in part Capital One’s motion to dismiss and permitted pretrial discovery to continue.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94031463"/>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494031463"/>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494031463"/>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116</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41" style="width:0;height:1.5pt" o:hralign="center" o:hrstd="t" o:hr="t" fillcolor="#a0a0a0" stroked="f"/>
        </w:pict>
      </w:r>
    </w:p>
    <w:p w:rsidR="00000000" w:rsidRDefault="00E92DBE">
      <w:pPr>
        <w:jc w:val="both"/>
        <w:divId w:val="162279185"/>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62279185"/>
        <w:rPr>
          <w:rFonts w:eastAsia="Times New Roman"/>
        </w:rPr>
      </w:pPr>
    </w:p>
    <w:p w:rsidR="00000000" w:rsidRDefault="00E92DBE">
      <w:pPr>
        <w:jc w:val="both"/>
        <w:divId w:val="845024212"/>
        <w:rPr>
          <w:rFonts w:eastAsia="Times New Roman"/>
        </w:rPr>
      </w:pPr>
      <w:r>
        <w:rPr>
          <w:rFonts w:eastAsia="Times New Roman"/>
          <w:i/>
          <w:iCs/>
          <w:color w:val="000000"/>
          <w:sz w:val="20"/>
          <w:szCs w:val="20"/>
        </w:rPr>
        <w:t>Securities class action</w:t>
      </w:r>
      <w:r>
        <w:rPr>
          <w:rFonts w:eastAsia="Times New Roman"/>
          <w:color w:val="000000"/>
          <w:sz w:val="20"/>
          <w:szCs w:val="20"/>
        </w:rPr>
        <w:t>. The Company and certain officers have also been named as defendants in a putative class action pending in the MDL alleging violations of certain federal securities laws in connection with statements and alleged omissions in securities filings relating to</w:t>
      </w:r>
      <w:r>
        <w:rPr>
          <w:rFonts w:eastAsia="Times New Roman"/>
          <w:color w:val="000000"/>
          <w:sz w:val="20"/>
          <w:szCs w:val="20"/>
        </w:rPr>
        <w:t xml:space="preserve"> our information security standards and practices. The complaint seeks certification of a class of all persons who purchased or otherwise acquired Capital One securities from July 23, 2015 to July 29, 2019, as well as unspecified monetary damages, costs an</w:t>
      </w:r>
      <w:r>
        <w:rPr>
          <w:rFonts w:eastAsia="Times New Roman"/>
          <w:color w:val="000000"/>
          <w:sz w:val="20"/>
          <w:szCs w:val="20"/>
        </w:rPr>
        <w:t>d other relief.</w:t>
      </w:r>
    </w:p>
    <w:p w:rsidR="00000000" w:rsidRDefault="00E92DBE">
      <w:pPr>
        <w:jc w:val="both"/>
        <w:divId w:val="1033533375"/>
        <w:rPr>
          <w:rFonts w:eastAsia="Times New Roman"/>
        </w:rPr>
      </w:pPr>
      <w:r>
        <w:rPr>
          <w:rFonts w:eastAsia="Times New Roman"/>
          <w:i/>
          <w:iCs/>
          <w:color w:val="000000"/>
          <w:sz w:val="20"/>
          <w:szCs w:val="20"/>
        </w:rPr>
        <w:t>Governmental inquiries</w:t>
      </w:r>
      <w:r>
        <w:rPr>
          <w:rFonts w:eastAsia="Times New Roman"/>
          <w:color w:val="000000"/>
          <w:sz w:val="20"/>
          <w:szCs w:val="20"/>
        </w:rPr>
        <w:t>. We have received inquiries and requests for information relating to the Cybersecurity Incident from Congress, federal regulators, relevant Canadian regulators, the Department of Justice, and the offices of approximat</w:t>
      </w:r>
      <w:r>
        <w:rPr>
          <w:rFonts w:eastAsia="Times New Roman"/>
          <w:color w:val="000000"/>
          <w:sz w:val="20"/>
          <w:szCs w:val="20"/>
        </w:rPr>
        <w:t xml:space="preserve">ely fourteen state Attorneys General. We are cooperating with these offices and responding to their inquiries. </w:t>
      </w:r>
    </w:p>
    <w:p w:rsidR="00000000" w:rsidRDefault="00E92DBE">
      <w:pPr>
        <w:jc w:val="both"/>
        <w:divId w:val="167907429"/>
        <w:rPr>
          <w:rFonts w:eastAsia="Times New Roman"/>
        </w:rPr>
      </w:pPr>
      <w:r>
        <w:rPr>
          <w:rFonts w:eastAsia="Times New Roman"/>
          <w:color w:val="000000"/>
          <w:sz w:val="20"/>
          <w:szCs w:val="20"/>
        </w:rPr>
        <w:t>In August 2020, we entered into consent orders with the Federal Reserve and the OCC resulting from regulatory reviews of the Cybersecurity Incid</w:t>
      </w:r>
      <w:r>
        <w:rPr>
          <w:rFonts w:eastAsia="Times New Roman"/>
          <w:color w:val="000000"/>
          <w:sz w:val="20"/>
          <w:szCs w:val="20"/>
        </w:rPr>
        <w:t xml:space="preserve">ent and relating to ongoing enhancements of our cybersecurity and operational risk management processes. We paid an $80 million penalty to the U.S. Treasury as part of the OCC agreement. The Federal Reserve agreement did not contain a monetary penalty. </w:t>
      </w:r>
    </w:p>
    <w:p w:rsidR="00000000" w:rsidRDefault="00E92DBE">
      <w:pPr>
        <w:divId w:val="53043365"/>
        <w:rPr>
          <w:rFonts w:eastAsia="Times New Roman"/>
        </w:rPr>
      </w:pPr>
      <w:r>
        <w:rPr>
          <w:rFonts w:eastAsia="Times New Roman"/>
          <w:b/>
          <w:bCs/>
          <w:i/>
          <w:iCs/>
          <w:color w:val="000000"/>
          <w:sz w:val="20"/>
          <w:szCs w:val="20"/>
        </w:rPr>
        <w:t>Ta</w:t>
      </w:r>
      <w:r>
        <w:rPr>
          <w:rFonts w:eastAsia="Times New Roman"/>
          <w:b/>
          <w:bCs/>
          <w:i/>
          <w:iCs/>
          <w:color w:val="000000"/>
          <w:sz w:val="20"/>
          <w:szCs w:val="20"/>
        </w:rPr>
        <w:t>xi Medallion Finance Investigations</w:t>
      </w:r>
    </w:p>
    <w:p w:rsidR="00000000" w:rsidRDefault="00E92DBE">
      <w:pPr>
        <w:jc w:val="both"/>
        <w:divId w:val="1225483593"/>
        <w:rPr>
          <w:rFonts w:eastAsia="Times New Roman"/>
        </w:rPr>
      </w:pPr>
      <w:r>
        <w:rPr>
          <w:rFonts w:eastAsia="Times New Roman"/>
          <w:color w:val="000000"/>
          <w:sz w:val="20"/>
          <w:szCs w:val="20"/>
        </w:rPr>
        <w:t>Beginning in 2019, we have received subpoenas from the New York Attorney General’s office and from the U.S. Attorney’s Office for the Southern District of New York, Civil and Criminal Divisions, relating to investigation</w:t>
      </w:r>
      <w:r>
        <w:rPr>
          <w:rFonts w:eastAsia="Times New Roman"/>
          <w:color w:val="000000"/>
          <w:sz w:val="20"/>
          <w:szCs w:val="20"/>
        </w:rPr>
        <w:t>s of the taxi medallion finance industry we exited beginning in 2015. The subpoenas seek, among other things, information regarding our lending counterparties and practices. We are cooperating with these investigations.</w:t>
      </w:r>
    </w:p>
    <w:p w:rsidR="00000000" w:rsidRDefault="00E92DBE">
      <w:pPr>
        <w:divId w:val="1105224918"/>
        <w:rPr>
          <w:rFonts w:eastAsia="Times New Roman"/>
        </w:rPr>
      </w:pPr>
      <w:r>
        <w:rPr>
          <w:rFonts w:eastAsia="Times New Roman"/>
          <w:b/>
          <w:bCs/>
          <w:i/>
          <w:iCs/>
          <w:color w:val="000000"/>
          <w:sz w:val="20"/>
          <w:szCs w:val="20"/>
        </w:rPr>
        <w:t>U.K. PPI Litigation</w:t>
      </w:r>
    </w:p>
    <w:p w:rsidR="00000000" w:rsidRDefault="00E92DBE">
      <w:pPr>
        <w:jc w:val="both"/>
        <w:divId w:val="481777386"/>
        <w:rPr>
          <w:rFonts w:eastAsia="Times New Roman"/>
        </w:rPr>
      </w:pPr>
      <w:r>
        <w:rPr>
          <w:rFonts w:eastAsia="Times New Roman"/>
          <w:color w:val="000000"/>
          <w:sz w:val="20"/>
          <w:szCs w:val="20"/>
        </w:rPr>
        <w:t xml:space="preserve">In the U.K., we </w:t>
      </w:r>
      <w:r>
        <w:rPr>
          <w:rFonts w:eastAsia="Times New Roman"/>
          <w:color w:val="000000"/>
          <w:sz w:val="20"/>
          <w:szCs w:val="20"/>
        </w:rPr>
        <w:t>previously sold payment protection insurance (“PPI”). For several years leading up to the claims submission deadline of August 29, 2019 (as set by the U.K. Financial Conduct Authority), we received customer complaints and regulatory claims relating to PPI.</w:t>
      </w:r>
      <w:r>
        <w:rPr>
          <w:rFonts w:eastAsia="Times New Roman"/>
          <w:color w:val="000000"/>
          <w:sz w:val="20"/>
          <w:szCs w:val="20"/>
        </w:rPr>
        <w:t xml:space="preserve"> As of the first quarter of 2021, COEP has materially resolved the PPI complaints and regulatory claims received prior to the deadline. Some of the claimants in the U.K. PPI regulatory claims process have subsequently initiated legal proceedings, seeking a</w:t>
      </w:r>
      <w:r>
        <w:rPr>
          <w:rFonts w:eastAsia="Times New Roman"/>
          <w:color w:val="000000"/>
          <w:sz w:val="20"/>
          <w:szCs w:val="20"/>
        </w:rPr>
        <w:t>dditional redress. We are responding to these proceedings as we receive them.</w:t>
      </w:r>
    </w:p>
    <w:p w:rsidR="00000000" w:rsidRDefault="00E92DBE">
      <w:pPr>
        <w:jc w:val="both"/>
        <w:divId w:val="22169258"/>
        <w:rPr>
          <w:rFonts w:eastAsia="Times New Roman"/>
        </w:rPr>
      </w:pPr>
      <w:r>
        <w:rPr>
          <w:rFonts w:eastAsia="Times New Roman"/>
          <w:b/>
          <w:bCs/>
          <w:i/>
          <w:iCs/>
          <w:color w:val="000000"/>
          <w:sz w:val="20"/>
          <w:szCs w:val="20"/>
        </w:rPr>
        <w:t>Other Pending and Threatened Litigation</w:t>
      </w:r>
    </w:p>
    <w:p w:rsidR="00000000" w:rsidRDefault="00E92DBE">
      <w:pPr>
        <w:jc w:val="both"/>
        <w:divId w:val="2093968301"/>
        <w:rPr>
          <w:rFonts w:eastAsia="Times New Roman"/>
        </w:rPr>
      </w:pPr>
      <w:r>
        <w:rPr>
          <w:rFonts w:eastAsia="Times New Roman"/>
          <w:color w:val="000000"/>
          <w:sz w:val="20"/>
          <w:szCs w:val="20"/>
        </w:rPr>
        <w:t>In addition, we are commonly subject to various pending and threatened legal actions relating to the conduct of our normal business activi</w:t>
      </w:r>
      <w:r>
        <w:rPr>
          <w:rFonts w:eastAsia="Times New Roman"/>
          <w:color w:val="000000"/>
          <w:sz w:val="20"/>
          <w:szCs w:val="20"/>
        </w:rPr>
        <w:t>ties. In the opinion of management, the ultimate aggregate liability, if any, arising out of all such other pending or threatened legal actions is not expected to be material to our consolidated financial position or our results of operations.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82256903"/>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1582256903"/>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1582256903"/>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117</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42" style="width:0;height:1.5pt" o:hralign="center" o:hrstd="t" o:hr="t" fillcolor="#a0a0a0" stroked="f"/>
        </w:pict>
      </w:r>
    </w:p>
    <w:p w:rsidR="00000000" w:rsidRDefault="00E92DBE">
      <w:pPr>
        <w:jc w:val="both"/>
        <w:divId w:val="681856411"/>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divId w:val="952172607"/>
        <w:rPr>
          <w:rFonts w:eastAsia="Times New Roman"/>
        </w:rPr>
      </w:pPr>
      <w:r>
        <w:rPr>
          <w:rFonts w:eastAsia="Times New Roman"/>
          <w:b/>
          <w:bCs/>
          <w:color w:val="000000"/>
          <w:sz w:val="20"/>
          <w:szCs w:val="20"/>
        </w:rPr>
        <w:t xml:space="preserve">Item 3. Quantitative and Qualitative Disclosures about Market Risk </w:t>
      </w:r>
    </w:p>
    <w:p w:rsidR="00000000" w:rsidRDefault="00E92DBE">
      <w:pPr>
        <w:jc w:val="both"/>
        <w:divId w:val="70351437"/>
        <w:rPr>
          <w:rFonts w:eastAsia="Times New Roman"/>
        </w:rPr>
      </w:pPr>
      <w:r>
        <w:rPr>
          <w:rFonts w:eastAsia="Times New Roman"/>
          <w:color w:val="000000"/>
          <w:sz w:val="20"/>
          <w:szCs w:val="20"/>
        </w:rPr>
        <w:t>For a discussion of the quantitative and qualitative disclosures about marke</w:t>
      </w:r>
      <w:r>
        <w:rPr>
          <w:rFonts w:eastAsia="Times New Roman"/>
          <w:color w:val="000000"/>
          <w:sz w:val="20"/>
          <w:szCs w:val="20"/>
        </w:rPr>
        <w:t>t risk, see “MD&amp;A—Market Risk Profile.”</w:t>
      </w:r>
    </w:p>
    <w:p w:rsidR="00000000" w:rsidRDefault="00E92DBE">
      <w:pPr>
        <w:divId w:val="2004239596"/>
        <w:rPr>
          <w:rFonts w:eastAsia="Times New Roman"/>
        </w:rPr>
      </w:pPr>
      <w:r>
        <w:rPr>
          <w:rFonts w:eastAsia="Times New Roman"/>
          <w:b/>
          <w:bCs/>
          <w:color w:val="000000"/>
          <w:sz w:val="20"/>
          <w:szCs w:val="20"/>
        </w:rPr>
        <w:t>Item 4. Controls and Procedures</w:t>
      </w:r>
    </w:p>
    <w:p w:rsidR="00000000" w:rsidRDefault="00E92DBE">
      <w:pPr>
        <w:divId w:val="917447163"/>
        <w:rPr>
          <w:rFonts w:eastAsia="Times New Roman"/>
        </w:rPr>
      </w:pPr>
      <w:r>
        <w:rPr>
          <w:rFonts w:eastAsia="Times New Roman"/>
          <w:b/>
          <w:bCs/>
          <w:color w:val="000000"/>
          <w:sz w:val="20"/>
          <w:szCs w:val="20"/>
        </w:rPr>
        <w:t>Overview</w:t>
      </w:r>
    </w:p>
    <w:p w:rsidR="00000000" w:rsidRDefault="00E92DBE">
      <w:pPr>
        <w:jc w:val="both"/>
        <w:divId w:val="770904353"/>
        <w:rPr>
          <w:rFonts w:eastAsia="Times New Roman"/>
        </w:rPr>
      </w:pPr>
      <w:r>
        <w:rPr>
          <w:rFonts w:eastAsia="Times New Roman"/>
          <w:color w:val="000000"/>
          <w:sz w:val="20"/>
          <w:szCs w:val="20"/>
        </w:rPr>
        <w:t>We are required under applicable laws and regulations to maintain controls and procedures, which include disclosure controls and procedures as well as internal control over financial reporting, as further described below. </w:t>
      </w:r>
    </w:p>
    <w:p w:rsidR="00000000" w:rsidRDefault="00E92DBE">
      <w:pPr>
        <w:divId w:val="1011377090"/>
        <w:rPr>
          <w:rFonts w:eastAsia="Times New Roman"/>
        </w:rPr>
      </w:pPr>
      <w:r>
        <w:rPr>
          <w:rFonts w:eastAsia="Times New Roman"/>
          <w:b/>
          <w:bCs/>
          <w:color w:val="000000"/>
          <w:sz w:val="20"/>
          <w:szCs w:val="20"/>
        </w:rPr>
        <w:t>(a) Disclosure Controls and Proce</w:t>
      </w:r>
      <w:r>
        <w:rPr>
          <w:rFonts w:eastAsia="Times New Roman"/>
          <w:b/>
          <w:bCs/>
          <w:color w:val="000000"/>
          <w:sz w:val="20"/>
          <w:szCs w:val="20"/>
        </w:rPr>
        <w:t>dures</w:t>
      </w:r>
    </w:p>
    <w:p w:rsidR="00000000" w:rsidRDefault="00E92DBE">
      <w:pPr>
        <w:jc w:val="both"/>
        <w:divId w:val="688289467"/>
        <w:rPr>
          <w:rFonts w:eastAsia="Times New Roman"/>
        </w:rPr>
      </w:pPr>
      <w:r>
        <w:rPr>
          <w:rFonts w:eastAsia="Times New Roman"/>
          <w:color w:val="000000"/>
          <w:sz w:val="20"/>
          <w:szCs w:val="20"/>
        </w:rPr>
        <w:t>Disclosure controls and procedures refer to controls and other procedures designed to provide reasonable assurance that information required to be disclosed in our financial reports is recorded, processed, summarized and reported within the time peri</w:t>
      </w:r>
      <w:r>
        <w:rPr>
          <w:rFonts w:eastAsia="Times New Roman"/>
          <w:color w:val="000000"/>
          <w:sz w:val="20"/>
          <w:szCs w:val="20"/>
        </w:rPr>
        <w:t>ods specified by the U.S. Securities and Exchange Commission (“SEC”) rules and forms and that such information is accumulated and communicated to management, including our Chief Executive Officer and Chief Financial Officer, as appropriate, to allow timely</w:t>
      </w:r>
      <w:r>
        <w:rPr>
          <w:rFonts w:eastAsia="Times New Roman"/>
          <w:color w:val="000000"/>
          <w:sz w:val="20"/>
          <w:szCs w:val="20"/>
        </w:rPr>
        <w:t xml:space="preserve"> decisions regarding our required disclosure. In designing and evaluating our disclosure controls and procedures, we recognize that any controls and procedures, no matter how well designed and operated, can provide only reasonable assurance of achieving th</w:t>
      </w:r>
      <w:r>
        <w:rPr>
          <w:rFonts w:eastAsia="Times New Roman"/>
          <w:color w:val="000000"/>
          <w:sz w:val="20"/>
          <w:szCs w:val="20"/>
        </w:rPr>
        <w:t>e desired control objectives, and we must apply judgment in evaluating and implementing possible controls and procedures. </w:t>
      </w:r>
    </w:p>
    <w:p w:rsidR="00000000" w:rsidRDefault="00E92DBE">
      <w:pPr>
        <w:divId w:val="304630464"/>
        <w:rPr>
          <w:rFonts w:eastAsia="Times New Roman"/>
        </w:rPr>
      </w:pPr>
      <w:r>
        <w:rPr>
          <w:rFonts w:eastAsia="Times New Roman"/>
          <w:b/>
          <w:bCs/>
          <w:i/>
          <w:iCs/>
          <w:color w:val="000000"/>
          <w:sz w:val="20"/>
          <w:szCs w:val="20"/>
        </w:rPr>
        <w:t>Evaluation of Disclosure Controls and Procedures</w:t>
      </w:r>
    </w:p>
    <w:p w:rsidR="00000000" w:rsidRDefault="00E92DBE">
      <w:pPr>
        <w:jc w:val="both"/>
        <w:divId w:val="905726749"/>
        <w:rPr>
          <w:rFonts w:eastAsia="Times New Roman"/>
        </w:rPr>
      </w:pPr>
      <w:r>
        <w:rPr>
          <w:rFonts w:eastAsia="Times New Roman"/>
          <w:color w:val="000000"/>
          <w:sz w:val="20"/>
          <w:szCs w:val="20"/>
        </w:rPr>
        <w:t xml:space="preserve">As required by Rule 13a-15 of the Securities Exchange Act of 1934 (“Exchange Act”), </w:t>
      </w:r>
      <w:r>
        <w:rPr>
          <w:rFonts w:eastAsia="Times New Roman"/>
          <w:color w:val="000000"/>
          <w:sz w:val="20"/>
          <w:szCs w:val="20"/>
        </w:rPr>
        <w:t>our management, including the Chief Executive Officer and Chief Financial Officer, conducted an evaluation of the effectiveness of our disclosure controls and procedures (as that term is defined in Rules 13a-15(e) and 15d-15(e) of the Exchange Act) as of M</w:t>
      </w:r>
      <w:r>
        <w:rPr>
          <w:rFonts w:eastAsia="Times New Roman"/>
          <w:color w:val="000000"/>
          <w:sz w:val="20"/>
          <w:szCs w:val="20"/>
        </w:rPr>
        <w:t>arch 31, 2021, the end of the period covered by this Report on Form 10-Q. Based upon that evaluation, the Chief Executive Officer and Chief Financial Officer concluded that our disclosure controls and procedures were effective as of March 31, 2021, at a re</w:t>
      </w:r>
      <w:r>
        <w:rPr>
          <w:rFonts w:eastAsia="Times New Roman"/>
          <w:color w:val="000000"/>
          <w:sz w:val="20"/>
          <w:szCs w:val="20"/>
        </w:rPr>
        <w:t>asonable level of assurance, in recording, processing, summarizing and reporting information required to be disclosed within the time periods specified by the SEC rules and forms.</w:t>
      </w:r>
    </w:p>
    <w:p w:rsidR="00000000" w:rsidRDefault="00E92DBE">
      <w:pPr>
        <w:jc w:val="both"/>
        <w:divId w:val="701128490"/>
        <w:rPr>
          <w:rFonts w:eastAsia="Times New Roman"/>
        </w:rPr>
      </w:pPr>
      <w:r>
        <w:rPr>
          <w:rFonts w:eastAsia="Times New Roman"/>
          <w:b/>
          <w:bCs/>
          <w:color w:val="000000"/>
          <w:sz w:val="20"/>
          <w:szCs w:val="20"/>
        </w:rPr>
        <w:t>(b) Changes in Internal Control Over Financial Reporting</w:t>
      </w:r>
    </w:p>
    <w:p w:rsidR="00000000" w:rsidRDefault="00E92DBE">
      <w:pPr>
        <w:jc w:val="both"/>
        <w:divId w:val="1941596282"/>
        <w:rPr>
          <w:rFonts w:eastAsia="Times New Roman"/>
        </w:rPr>
      </w:pPr>
      <w:r>
        <w:rPr>
          <w:rFonts w:eastAsia="Times New Roman"/>
          <w:color w:val="000000"/>
          <w:sz w:val="20"/>
          <w:szCs w:val="20"/>
        </w:rPr>
        <w:t>We regularly review</w:t>
      </w:r>
      <w:r>
        <w:rPr>
          <w:rFonts w:eastAsia="Times New Roman"/>
          <w:color w:val="000000"/>
          <w:sz w:val="20"/>
          <w:szCs w:val="20"/>
        </w:rPr>
        <w:t xml:space="preserve"> our disclosure controls and procedures and make changes intended to ensure the quality of our financial reporting. There were no changes in internal control over financial reporting that occurred in the first quarter of 2021 that materially affected, or a</w:t>
      </w:r>
      <w:r>
        <w:rPr>
          <w:rFonts w:eastAsia="Times New Roman"/>
          <w:color w:val="000000"/>
          <w:sz w:val="20"/>
          <w:szCs w:val="20"/>
        </w:rPr>
        <w:t>re reasonably likely to materially affect, the Company’s internal control over financial reporting.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91201035"/>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591201035"/>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591201035"/>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118</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43" style="width:0;height:1.5pt" o:hralign="center" o:hrstd="t" o:hr="t" fillcolor="#a0a0a0" stroked="f"/>
        </w:pict>
      </w:r>
    </w:p>
    <w:p w:rsidR="00000000" w:rsidRDefault="00E92DBE">
      <w:pPr>
        <w:jc w:val="both"/>
        <w:divId w:val="844322919"/>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204605903"/>
        <w:rPr>
          <w:rFonts w:eastAsia="Times New Roman"/>
        </w:rPr>
      </w:pPr>
      <w:r>
        <w:rPr>
          <w:rFonts w:eastAsia="Times New Roman"/>
          <w:b/>
          <w:bCs/>
          <w:color w:val="000000"/>
          <w:sz w:val="20"/>
          <w:szCs w:val="20"/>
        </w:rPr>
        <w:t xml:space="preserve">PART II—OTHER INFORMATION </w:t>
      </w:r>
    </w:p>
    <w:p w:rsidR="00000000" w:rsidRDefault="00E92DBE">
      <w:pPr>
        <w:divId w:val="1542397872"/>
        <w:rPr>
          <w:rFonts w:eastAsia="Times New Roman"/>
        </w:rPr>
      </w:pPr>
      <w:r>
        <w:rPr>
          <w:rFonts w:eastAsia="Times New Roman"/>
          <w:b/>
          <w:bCs/>
          <w:color w:val="000000"/>
          <w:sz w:val="20"/>
          <w:szCs w:val="20"/>
        </w:rPr>
        <w:t xml:space="preserve">Item 1. Legal Proceedings </w:t>
      </w:r>
    </w:p>
    <w:p w:rsidR="00000000" w:rsidRDefault="00E92DBE">
      <w:pPr>
        <w:jc w:val="both"/>
        <w:divId w:val="1011298955"/>
        <w:rPr>
          <w:rFonts w:eastAsia="Times New Roman"/>
        </w:rPr>
      </w:pPr>
      <w:r>
        <w:rPr>
          <w:rFonts w:eastAsia="Times New Roman"/>
          <w:color w:val="000000"/>
          <w:sz w:val="20"/>
          <w:szCs w:val="20"/>
        </w:rPr>
        <w:t>The information required by Item 103 of Regulation S-K is included in “Note 13—Commitments</w:t>
      </w:r>
      <w:r>
        <w:rPr>
          <w:rFonts w:eastAsia="Times New Roman"/>
          <w:color w:val="000000"/>
          <w:sz w:val="20"/>
          <w:szCs w:val="20"/>
        </w:rPr>
        <w:t>, Contingencies, Guarantees and Others.”</w:t>
      </w:r>
    </w:p>
    <w:p w:rsidR="00000000" w:rsidRDefault="00E92DBE">
      <w:pPr>
        <w:divId w:val="468942365"/>
        <w:rPr>
          <w:rFonts w:eastAsia="Times New Roman"/>
        </w:rPr>
      </w:pPr>
      <w:r>
        <w:rPr>
          <w:rFonts w:eastAsia="Times New Roman"/>
          <w:b/>
          <w:bCs/>
          <w:color w:val="000000"/>
          <w:sz w:val="20"/>
          <w:szCs w:val="20"/>
        </w:rPr>
        <w:t xml:space="preserve">Item 1A. Risk Factors </w:t>
      </w:r>
    </w:p>
    <w:p w:rsidR="00000000" w:rsidRDefault="00E92DBE">
      <w:pPr>
        <w:jc w:val="both"/>
        <w:divId w:val="1124271472"/>
        <w:rPr>
          <w:rFonts w:eastAsia="Times New Roman"/>
        </w:rPr>
      </w:pPr>
      <w:r>
        <w:rPr>
          <w:rFonts w:eastAsia="Times New Roman"/>
          <w:color w:val="000000"/>
          <w:sz w:val="20"/>
          <w:szCs w:val="20"/>
        </w:rPr>
        <w:t>We are not aware of any material changes from the risk factors set forth under “Part I—Item 1A. Risk Factors” in our 2020 Form 10-K.</w:t>
      </w:r>
    </w:p>
    <w:p w:rsidR="00000000" w:rsidRDefault="00E92DBE">
      <w:pPr>
        <w:divId w:val="294918383"/>
        <w:rPr>
          <w:rFonts w:eastAsia="Times New Roman"/>
        </w:rPr>
      </w:pPr>
      <w:r>
        <w:rPr>
          <w:rFonts w:eastAsia="Times New Roman"/>
          <w:b/>
          <w:bCs/>
          <w:color w:val="000000"/>
          <w:sz w:val="20"/>
          <w:szCs w:val="20"/>
        </w:rPr>
        <w:t xml:space="preserve">Item 2. Unregistered Sales of Equity Securities and Use of </w:t>
      </w:r>
      <w:r>
        <w:rPr>
          <w:rFonts w:eastAsia="Times New Roman"/>
          <w:b/>
          <w:bCs/>
          <w:color w:val="000000"/>
          <w:sz w:val="20"/>
          <w:szCs w:val="20"/>
        </w:rPr>
        <w:t xml:space="preserve">Proceeds </w:t>
      </w:r>
    </w:p>
    <w:p w:rsidR="00000000" w:rsidRDefault="00E92DBE">
      <w:pPr>
        <w:jc w:val="both"/>
        <w:divId w:val="339162316"/>
        <w:rPr>
          <w:rFonts w:eastAsia="Times New Roman"/>
        </w:rPr>
      </w:pPr>
      <w:r>
        <w:rPr>
          <w:rFonts w:eastAsia="Times New Roman"/>
          <w:color w:val="000000"/>
          <w:sz w:val="20"/>
          <w:szCs w:val="20"/>
        </w:rPr>
        <w:t>The following table presents information related to the withholdings of our common stock for each calendar month in the first quarter of 2021. Commission costs are excluded from the amounts presented below.</w:t>
      </w:r>
    </w:p>
    <w:tbl>
      <w:tblPr>
        <w:tblW w:w="5000" w:type="pct"/>
        <w:tblCellMar>
          <w:top w:w="15" w:type="dxa"/>
          <w:left w:w="15" w:type="dxa"/>
          <w:bottom w:w="15" w:type="dxa"/>
          <w:right w:w="15" w:type="dxa"/>
        </w:tblCellMar>
        <w:tblLook w:val="04A0" w:firstRow="1" w:lastRow="0" w:firstColumn="1" w:lastColumn="0" w:noHBand="0" w:noVBand="1"/>
      </w:tblPr>
      <w:tblGrid>
        <w:gridCol w:w="38"/>
        <w:gridCol w:w="2756"/>
        <w:gridCol w:w="36"/>
        <w:gridCol w:w="36"/>
        <w:gridCol w:w="36"/>
        <w:gridCol w:w="36"/>
        <w:gridCol w:w="57"/>
        <w:gridCol w:w="954"/>
        <w:gridCol w:w="36"/>
        <w:gridCol w:w="36"/>
        <w:gridCol w:w="36"/>
        <w:gridCol w:w="36"/>
        <w:gridCol w:w="111"/>
        <w:gridCol w:w="1008"/>
        <w:gridCol w:w="36"/>
        <w:gridCol w:w="36"/>
        <w:gridCol w:w="36"/>
        <w:gridCol w:w="36"/>
        <w:gridCol w:w="98"/>
        <w:gridCol w:w="1338"/>
        <w:gridCol w:w="36"/>
        <w:gridCol w:w="36"/>
        <w:gridCol w:w="36"/>
        <w:gridCol w:w="36"/>
        <w:gridCol w:w="111"/>
        <w:gridCol w:w="1223"/>
        <w:gridCol w:w="36"/>
      </w:tblGrid>
      <w:tr w:rsidR="00000000">
        <w:trPr>
          <w:divId w:val="1826772989"/>
        </w:trPr>
        <w:tc>
          <w:tcPr>
            <w:tcW w:w="50" w:type="pct"/>
            <w:vAlign w:val="center"/>
            <w:hideMark/>
          </w:tcPr>
          <w:p w:rsidR="00000000" w:rsidRDefault="00E92DBE">
            <w:pPr>
              <w:jc w:val="both"/>
              <w:rPr>
                <w:rFonts w:eastAsia="Times New Roman"/>
              </w:rPr>
            </w:pPr>
          </w:p>
        </w:tc>
        <w:tc>
          <w:tcPr>
            <w:tcW w:w="175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72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72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8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68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826772989"/>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 xml:space="preserve">Total Number </w:t>
            </w:r>
          </w:p>
          <w:p w:rsidR="00000000" w:rsidRDefault="00E92DBE">
            <w:pPr>
              <w:jc w:val="center"/>
              <w:rPr>
                <w:rFonts w:eastAsia="Times New Roman"/>
              </w:rPr>
            </w:pPr>
            <w:r>
              <w:rPr>
                <w:rFonts w:eastAsia="Times New Roman"/>
                <w:b/>
                <w:bCs/>
                <w:color w:val="000000"/>
                <w:sz w:val="16"/>
                <w:szCs w:val="16"/>
              </w:rPr>
              <w:t>of Shares</w:t>
            </w:r>
          </w:p>
          <w:p w:rsidR="00000000" w:rsidRDefault="00E92DBE">
            <w:pPr>
              <w:jc w:val="center"/>
              <w:rPr>
                <w:rFonts w:eastAsia="Times New Roman"/>
              </w:rPr>
            </w:pPr>
            <w:r>
              <w:rPr>
                <w:rFonts w:eastAsia="Times New Roman"/>
                <w:b/>
                <w:bCs/>
                <w:color w:val="000000"/>
                <w:sz w:val="16"/>
                <w:szCs w:val="16"/>
              </w:rPr>
              <w:t>Purchase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Price </w:t>
            </w:r>
            <w:r>
              <w:rPr>
                <w:rFonts w:eastAsia="Times New Roman"/>
                <w:b/>
                <w:bCs/>
                <w:color w:val="000000"/>
                <w:sz w:val="16"/>
                <w:szCs w:val="16"/>
              </w:rPr>
              <w:br/>
              <w:t>per Share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 as</w:t>
            </w:r>
            <w:r>
              <w:rPr>
                <w:rFonts w:eastAsia="Times New Roman"/>
                <w:b/>
                <w:bCs/>
                <w:color w:val="000000"/>
                <w:sz w:val="16"/>
                <w:szCs w:val="16"/>
              </w:rPr>
              <w:br/>
              <w:t>Part of Publicly</w:t>
            </w:r>
            <w:r>
              <w:rPr>
                <w:rFonts w:eastAsia="Times New Roman"/>
                <w:b/>
                <w:bCs/>
                <w:color w:val="000000"/>
                <w:sz w:val="16"/>
                <w:szCs w:val="16"/>
              </w:rPr>
              <w:br/>
              <w:t>Announced Plans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center"/>
              <w:rPr>
                <w:rFonts w:eastAsia="Times New Roman"/>
              </w:rPr>
            </w:pPr>
            <w:r>
              <w:rPr>
                <w:rFonts w:eastAsia="Times New Roman"/>
                <w:b/>
                <w:bCs/>
                <w:color w:val="000000"/>
                <w:sz w:val="16"/>
                <w:szCs w:val="16"/>
              </w:rPr>
              <w:t>Maximum</w:t>
            </w:r>
          </w:p>
          <w:p w:rsidR="00000000" w:rsidRDefault="00E92DBE">
            <w:pPr>
              <w:jc w:val="center"/>
              <w:rPr>
                <w:rFonts w:eastAsia="Times New Roman"/>
              </w:rPr>
            </w:pPr>
            <w:r>
              <w:rPr>
                <w:rFonts w:eastAsia="Times New Roman"/>
                <w:b/>
                <w:bCs/>
                <w:color w:val="000000"/>
                <w:sz w:val="16"/>
                <w:szCs w:val="16"/>
              </w:rPr>
              <w:t>Amount That May</w:t>
            </w:r>
          </w:p>
          <w:p w:rsidR="00000000" w:rsidRDefault="00E92DBE">
            <w:pPr>
              <w:jc w:val="center"/>
              <w:rPr>
                <w:rFonts w:eastAsia="Times New Roman"/>
              </w:rPr>
            </w:pPr>
            <w:r>
              <w:rPr>
                <w:rFonts w:eastAsia="Times New Roman"/>
                <w:b/>
                <w:bCs/>
                <w:color w:val="000000"/>
                <w:sz w:val="16"/>
                <w:szCs w:val="16"/>
              </w:rPr>
              <w:t>Yet be Purchased</w:t>
            </w:r>
          </w:p>
          <w:p w:rsidR="00000000" w:rsidRDefault="00E92DBE">
            <w:pPr>
              <w:jc w:val="center"/>
              <w:rPr>
                <w:rFonts w:eastAsia="Times New Roman"/>
              </w:rPr>
            </w:pPr>
            <w:r>
              <w:rPr>
                <w:rFonts w:eastAsia="Times New Roman"/>
                <w:b/>
                <w:bCs/>
                <w:color w:val="000000"/>
                <w:sz w:val="16"/>
                <w:szCs w:val="16"/>
              </w:rPr>
              <w:t>Under the Plan</w:t>
            </w:r>
          </w:p>
          <w:p w:rsidR="00000000" w:rsidRDefault="00E92DBE">
            <w:pPr>
              <w:jc w:val="center"/>
              <w:rPr>
                <w:rFonts w:eastAsia="Times New Roman"/>
              </w:rPr>
            </w:pPr>
            <w:r>
              <w:rPr>
                <w:rFonts w:eastAsia="Times New Roman"/>
                <w:b/>
                <w:bCs/>
                <w:color w:val="000000"/>
                <w:sz w:val="16"/>
                <w:szCs w:val="16"/>
              </w:rPr>
              <w:t>or Program</w:t>
            </w:r>
          </w:p>
          <w:p w:rsidR="00000000" w:rsidRDefault="00E92DBE">
            <w:pPr>
              <w:jc w:val="center"/>
              <w:rPr>
                <w:rFonts w:eastAsia="Times New Roman"/>
              </w:rPr>
            </w:pPr>
            <w:r>
              <w:rPr>
                <w:rFonts w:eastAsia="Times New Roman"/>
                <w:i/>
                <w:iCs/>
                <w:color w:val="000000"/>
                <w:sz w:val="16"/>
                <w:szCs w:val="16"/>
              </w:rPr>
              <w:t>(in millions)</w:t>
            </w:r>
          </w:p>
        </w:tc>
      </w:tr>
      <w:tr w:rsidR="00000000">
        <w:trPr>
          <w:divId w:val="1826772989"/>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January</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7,500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826772989"/>
        </w:trPr>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February</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4,809,485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92DBE">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114.35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4,234,800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7,017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826772989"/>
        </w:trPr>
        <w:tc>
          <w:tcPr>
            <w:tcW w:w="0" w:type="auto"/>
            <w:gridSpan w:val="3"/>
            <w:shd w:val="clear" w:color="auto" w:fill="CCEE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March</w:t>
            </w:r>
          </w:p>
        </w:tc>
        <w:tc>
          <w:tcPr>
            <w:tcW w:w="0" w:type="auto"/>
            <w:gridSpan w:val="3"/>
            <w:shd w:val="clear" w:color="auto" w:fill="CCEEFF"/>
            <w:tcMar>
              <w:top w:w="0" w:type="dxa"/>
              <w:left w:w="20" w:type="dxa"/>
              <w:bottom w:w="0" w:type="dxa"/>
              <w:right w:w="20" w:type="dxa"/>
            </w:tcMar>
            <w:vAlign w:val="center"/>
            <w:hideMark/>
          </w:tcPr>
          <w:p w:rsidR="00000000" w:rsidRDefault="00E92DB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190,593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130.23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57,200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7,010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92DBE">
            <w:pPr>
              <w:jc w:val="right"/>
              <w:rPr>
                <w:rFonts w:eastAsia="Times New Roman"/>
              </w:rPr>
            </w:pPr>
          </w:p>
        </w:tc>
      </w:tr>
      <w:tr w:rsidR="00000000">
        <w:trPr>
          <w:divId w:val="1826772989"/>
        </w:trPr>
        <w:tc>
          <w:tcPr>
            <w:tcW w:w="0" w:type="auto"/>
            <w:gridSpan w:val="3"/>
            <w:shd w:val="clear" w:color="auto" w:fill="FFFFFF"/>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5,000,078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114.95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92DBE">
            <w:pPr>
              <w:jc w:val="right"/>
              <w:rPr>
                <w:rFonts w:eastAsia="Times New Roman"/>
              </w:rPr>
            </w:pPr>
            <w:r>
              <w:rPr>
                <w:rFonts w:eastAsia="Times New Roman"/>
                <w:b/>
                <w:bCs/>
                <w:color w:val="000000"/>
                <w:sz w:val="18"/>
                <w:szCs w:val="18"/>
              </w:rPr>
              <w:t>4,292,000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92DBE">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92DBE">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92DBE">
            <w:pPr>
              <w:rPr>
                <w:rFonts w:eastAsia="Times New Roman"/>
                <w:sz w:val="20"/>
                <w:szCs w:val="20"/>
              </w:rPr>
            </w:pPr>
          </w:p>
        </w:tc>
      </w:tr>
    </w:tbl>
    <w:p w:rsidR="00000000" w:rsidRDefault="00E92DBE">
      <w:pPr>
        <w:divId w:val="408425096"/>
        <w:rPr>
          <w:rFonts w:eastAsia="Times New Roman"/>
        </w:rPr>
      </w:pPr>
      <w:r>
        <w:rPr>
          <w:rFonts w:eastAsia="Times New Roman"/>
          <w:color w:val="000000"/>
          <w:sz w:val="20"/>
          <w:szCs w:val="20"/>
        </w:rPr>
        <w:t>__________</w:t>
      </w:r>
    </w:p>
    <w:p w:rsidR="00000000" w:rsidRDefault="00E92DBE">
      <w:pPr>
        <w:ind w:hanging="360"/>
        <w:jc w:val="both"/>
        <w:divId w:val="200214919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On January 25, 2021, our Board of Directors authorized the repurchase of up to $7.5 billion of shares of our common stock. There were 574,685 and 133,393 shares withheld in Februar</w:t>
      </w:r>
      <w:r>
        <w:rPr>
          <w:rFonts w:eastAsia="Times New Roman"/>
          <w:color w:val="000000"/>
          <w:sz w:val="16"/>
          <w:szCs w:val="16"/>
        </w:rPr>
        <w:t>y and March, respectively, to cover taxes on restricted stock units whose restrictions have lapsed. see “MD&amp;A—Capital Management—Dividend Policy and Stock Purchases” for more information.</w:t>
      </w:r>
    </w:p>
    <w:p w:rsidR="00000000" w:rsidRDefault="00E92DBE">
      <w:pPr>
        <w:divId w:val="15547984"/>
        <w:rPr>
          <w:rFonts w:eastAsia="Times New Roman"/>
        </w:rPr>
      </w:pPr>
      <w:r>
        <w:rPr>
          <w:rFonts w:eastAsia="Times New Roman"/>
          <w:b/>
          <w:bCs/>
          <w:color w:val="000000"/>
          <w:sz w:val="20"/>
          <w:szCs w:val="20"/>
        </w:rPr>
        <w:t xml:space="preserve">Item 3. Defaults Upon Senior Securities </w:t>
      </w:r>
    </w:p>
    <w:p w:rsidR="00000000" w:rsidRDefault="00E92DBE">
      <w:pPr>
        <w:jc w:val="both"/>
        <w:divId w:val="632558850"/>
        <w:rPr>
          <w:rFonts w:eastAsia="Times New Roman"/>
        </w:rPr>
      </w:pPr>
      <w:r>
        <w:rPr>
          <w:rFonts w:eastAsia="Times New Roman"/>
          <w:color w:val="000000"/>
          <w:sz w:val="20"/>
          <w:szCs w:val="20"/>
        </w:rPr>
        <w:t>None.</w:t>
      </w:r>
    </w:p>
    <w:p w:rsidR="00000000" w:rsidRDefault="00E92DBE">
      <w:pPr>
        <w:divId w:val="2036298128"/>
        <w:rPr>
          <w:rFonts w:eastAsia="Times New Roman"/>
        </w:rPr>
      </w:pPr>
      <w:r>
        <w:rPr>
          <w:rFonts w:eastAsia="Times New Roman"/>
          <w:b/>
          <w:bCs/>
          <w:color w:val="000000"/>
          <w:sz w:val="20"/>
          <w:szCs w:val="20"/>
        </w:rPr>
        <w:t>Item </w:t>
      </w:r>
      <w:r>
        <w:rPr>
          <w:rFonts w:eastAsia="Times New Roman"/>
          <w:b/>
          <w:bCs/>
          <w:color w:val="000000"/>
          <w:sz w:val="20"/>
          <w:szCs w:val="20"/>
        </w:rPr>
        <w:t xml:space="preserve">4. Mine Safety Disclosures </w:t>
      </w:r>
    </w:p>
    <w:p w:rsidR="00000000" w:rsidRDefault="00E92DBE">
      <w:pPr>
        <w:divId w:val="1430158074"/>
        <w:rPr>
          <w:rFonts w:eastAsia="Times New Roman"/>
        </w:rPr>
      </w:pPr>
      <w:r>
        <w:rPr>
          <w:rFonts w:eastAsia="Times New Roman"/>
          <w:color w:val="000000"/>
          <w:sz w:val="20"/>
          <w:szCs w:val="20"/>
        </w:rPr>
        <w:t>Not applicable.</w:t>
      </w:r>
    </w:p>
    <w:p w:rsidR="00000000" w:rsidRDefault="00E92DBE">
      <w:pPr>
        <w:divId w:val="1927375672"/>
        <w:rPr>
          <w:rFonts w:eastAsia="Times New Roman"/>
        </w:rPr>
      </w:pPr>
      <w:r>
        <w:rPr>
          <w:rFonts w:eastAsia="Times New Roman"/>
          <w:b/>
          <w:bCs/>
          <w:color w:val="000000"/>
          <w:sz w:val="20"/>
          <w:szCs w:val="20"/>
        </w:rPr>
        <w:t>Item 5.</w:t>
      </w:r>
      <w:r>
        <w:rPr>
          <w:rFonts w:eastAsia="Times New Roman"/>
          <w:color w:val="000000"/>
          <w:sz w:val="20"/>
          <w:szCs w:val="20"/>
        </w:rPr>
        <w:t xml:space="preserve"> </w:t>
      </w:r>
      <w:r>
        <w:rPr>
          <w:rFonts w:eastAsia="Times New Roman"/>
          <w:b/>
          <w:bCs/>
          <w:color w:val="000000"/>
          <w:sz w:val="20"/>
          <w:szCs w:val="20"/>
        </w:rPr>
        <w:t xml:space="preserve">Other Information </w:t>
      </w:r>
    </w:p>
    <w:p w:rsidR="00000000" w:rsidRDefault="00E92DBE">
      <w:pPr>
        <w:jc w:val="both"/>
        <w:divId w:val="1825244996"/>
        <w:rPr>
          <w:rFonts w:eastAsia="Times New Roman"/>
        </w:rPr>
      </w:pPr>
      <w:r>
        <w:rPr>
          <w:rFonts w:eastAsia="Times New Roman"/>
          <w:color w:val="000000"/>
          <w:sz w:val="20"/>
          <w:szCs w:val="20"/>
        </w:rPr>
        <w:t>None.</w:t>
      </w:r>
    </w:p>
    <w:p w:rsidR="00000000" w:rsidRDefault="00E92DBE">
      <w:pPr>
        <w:divId w:val="1464424985"/>
        <w:rPr>
          <w:rFonts w:eastAsia="Times New Roman"/>
        </w:rPr>
      </w:pPr>
      <w:r>
        <w:rPr>
          <w:rFonts w:eastAsia="Times New Roman"/>
          <w:b/>
          <w:bCs/>
          <w:color w:val="000000"/>
          <w:sz w:val="20"/>
          <w:szCs w:val="20"/>
        </w:rPr>
        <w:t xml:space="preserve">Item 6. Exhibits </w:t>
      </w:r>
    </w:p>
    <w:p w:rsidR="00000000" w:rsidRDefault="00E92DBE">
      <w:pPr>
        <w:jc w:val="both"/>
        <w:divId w:val="241649673"/>
        <w:rPr>
          <w:rFonts w:eastAsia="Times New Roman"/>
        </w:rPr>
      </w:pPr>
      <w:r>
        <w:rPr>
          <w:rFonts w:eastAsia="Times New Roman"/>
          <w:color w:val="000000"/>
          <w:sz w:val="20"/>
          <w:szCs w:val="20"/>
        </w:rPr>
        <w:t>An index to exhibits has been filed as part of this Report and is incorporated herein by reference.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58914652"/>
          <w:jc w:val="center"/>
        </w:trPr>
        <w:tc>
          <w:tcPr>
            <w:tcW w:w="50" w:type="pct"/>
            <w:vAlign w:val="center"/>
            <w:hideMark/>
          </w:tcPr>
          <w:p w:rsidR="00000000" w:rsidRDefault="00E92DBE">
            <w:pPr>
              <w:jc w:val="both"/>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divId w:val="458914652"/>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divId w:val="458914652"/>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119</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44" style="width:0;height:1.5pt" o:hralign="center" o:hrstd="t" o:hr="t" fillcolor="#a0a0a0" stroked="f"/>
        </w:pict>
      </w:r>
    </w:p>
    <w:p w:rsidR="00000000" w:rsidRDefault="00E92DBE">
      <w:pPr>
        <w:jc w:val="both"/>
        <w:divId w:val="520709492"/>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rPr>
          <w:rFonts w:eastAsia="Times New Roman"/>
        </w:rPr>
      </w:pPr>
      <w:r>
        <w:rPr>
          <w:rFonts w:eastAsia="Times New Roman"/>
          <w:b/>
          <w:bCs/>
          <w:color w:val="000000"/>
          <w:sz w:val="20"/>
          <w:szCs w:val="20"/>
        </w:rPr>
        <w:t xml:space="preserve">EXHIBIT INDEX </w:t>
      </w:r>
    </w:p>
    <w:p w:rsidR="00000000" w:rsidRDefault="00E92DBE">
      <w:pPr>
        <w:jc w:val="both"/>
        <w:divId w:val="1100638024"/>
        <w:rPr>
          <w:rFonts w:eastAsia="Times New Roman"/>
        </w:rPr>
      </w:pPr>
      <w:r>
        <w:rPr>
          <w:rFonts w:eastAsia="Times New Roman"/>
          <w:color w:val="000000"/>
          <w:sz w:val="20"/>
          <w:szCs w:val="20"/>
        </w:rPr>
        <w:t xml:space="preserve">The following exhibits are incorporated by reference or filed herewith. References to (i) the “2003 Form 10-K” is to the Company’s Annual Report on Form 10-K for the year ended December 31, 2003, filed on March 5, 2004 and (ii) the “2020 Form 10-K” are to </w:t>
      </w:r>
      <w:r>
        <w:rPr>
          <w:rFonts w:eastAsia="Times New Roman"/>
          <w:color w:val="000000"/>
          <w:sz w:val="20"/>
          <w:szCs w:val="20"/>
        </w:rPr>
        <w:t>the Company’s Annual Report on Form 10-K for the year ended December 31, 2020, filed on February 25,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88"/>
        <w:gridCol w:w="776"/>
        <w:gridCol w:w="36"/>
        <w:gridCol w:w="36"/>
        <w:gridCol w:w="36"/>
        <w:gridCol w:w="36"/>
        <w:gridCol w:w="40"/>
        <w:gridCol w:w="7220"/>
        <w:gridCol w:w="38"/>
      </w:tblGrid>
      <w:tr w:rsidR="00000000">
        <w:trPr>
          <w:divId w:val="955450861"/>
          <w:jc w:val="center"/>
        </w:trPr>
        <w:tc>
          <w:tcPr>
            <w:tcW w:w="50" w:type="pct"/>
            <w:vAlign w:val="center"/>
            <w:hideMark/>
          </w:tcPr>
          <w:p w:rsidR="00000000" w:rsidRDefault="00E92DBE">
            <w:pPr>
              <w:jc w:val="both"/>
              <w:rPr>
                <w:rFonts w:eastAsia="Times New Roman"/>
              </w:rPr>
            </w:pPr>
          </w:p>
        </w:tc>
        <w:tc>
          <w:tcPr>
            <w:tcW w:w="4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411"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955450861"/>
          <w:jc w:val="center"/>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E92DBE">
            <w:pPr>
              <w:jc w:val="center"/>
              <w:rPr>
                <w:rFonts w:eastAsia="Times New Roman"/>
              </w:rPr>
            </w:pPr>
            <w:r>
              <w:rPr>
                <w:rFonts w:eastAsia="Times New Roman"/>
                <w:b/>
                <w:bCs/>
                <w:color w:val="000000"/>
                <w:sz w:val="17"/>
                <w:szCs w:val="17"/>
              </w:rPr>
              <w:t>Exhibit No.</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92DBE">
            <w:pPr>
              <w:jc w:val="both"/>
              <w:rPr>
                <w:rFonts w:eastAsia="Times New Roman"/>
              </w:rPr>
            </w:pPr>
            <w:r>
              <w:rPr>
                <w:rFonts w:eastAsia="Times New Roman"/>
                <w:b/>
                <w:bCs/>
                <w:color w:val="000000"/>
                <w:sz w:val="17"/>
                <w:szCs w:val="17"/>
              </w:rPr>
              <w:t>Description</w:t>
            </w:r>
          </w:p>
        </w:tc>
      </w:tr>
      <w:tr w:rsidR="00000000">
        <w:trPr>
          <w:divId w:val="955450861"/>
          <w:jc w:val="center"/>
        </w:trPr>
        <w:tc>
          <w:tcPr>
            <w:tcW w:w="0" w:type="auto"/>
            <w:gridSpan w:val="3"/>
            <w:tcBorders>
              <w:top w:val="single" w:sz="8" w:space="0" w:color="000000"/>
            </w:tcBorders>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3.1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92DBE">
            <w:pPr>
              <w:jc w:val="both"/>
              <w:rPr>
                <w:rFonts w:eastAsia="Times New Roman"/>
              </w:rPr>
            </w:pPr>
            <w:hyperlink r:id="rId4" w:history="1">
              <w:r>
                <w:rPr>
                  <w:rStyle w:val="a3"/>
                  <w:rFonts w:eastAsia="Times New Roman"/>
                  <w:sz w:val="17"/>
                  <w:szCs w:val="17"/>
                </w:rPr>
                <w:t>Restated Certificate of Incorporation of Capital One Financial Corporation (as restated May 1, 2020) (incorporated by reference to Exhibit 3.2 of t</w:t>
              </w:r>
              <w:r>
                <w:rPr>
                  <w:rStyle w:val="a3"/>
                  <w:rFonts w:eastAsia="Times New Roman"/>
                  <w:sz w:val="17"/>
                  <w:szCs w:val="17"/>
                </w:rPr>
                <w:t>he Current Report on Form 8-K, filed on May 4, 2020).</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3.2</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hyperlink r:id="rId5" w:history="1">
              <w:r>
                <w:rPr>
                  <w:rStyle w:val="a3"/>
                  <w:rFonts w:eastAsia="Times New Roman"/>
                  <w:sz w:val="17"/>
                  <w:szCs w:val="17"/>
                </w:rPr>
                <w:t>Amended and Restated Bylaws of Capital One Financial Corporation, dated May 1, 2020 (incorporated by reference to Exhibit 3.3 of the Current Report</w:t>
              </w:r>
              <w:r>
                <w:rPr>
                  <w:rStyle w:val="a3"/>
                  <w:rFonts w:eastAsia="Times New Roman"/>
                  <w:sz w:val="17"/>
                  <w:szCs w:val="17"/>
                </w:rPr>
                <w:t xml:space="preserve"> on Form 8-K, filed on May 4, 2020).</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3.3.1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hyperlink r:id="rId6" w:history="1">
              <w:r>
                <w:rPr>
                  <w:rStyle w:val="a3"/>
                  <w:rFonts w:eastAsia="Times New Roman"/>
                  <w:sz w:val="17"/>
                  <w:szCs w:val="17"/>
                </w:rPr>
                <w:t xml:space="preserve">Certificate of Designations of Fixed-to-Floating Rate Non-Cumulative Perpetual Preferred Stock, Series E, </w:t>
              </w:r>
              <w:r>
                <w:rPr>
                  <w:rStyle w:val="a3"/>
                  <w:rFonts w:eastAsia="Times New Roman"/>
                  <w:sz w:val="17"/>
                  <w:szCs w:val="17"/>
                </w:rPr>
                <w:t>dated May 12, 2015 (incorporated by reference to Exhibit 3.1 of the Current Report on Form 8-K, filed on May 14, 2015).</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3.3.2</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hyperlink r:id="rId7" w:history="1">
              <w:r>
                <w:rPr>
                  <w:rStyle w:val="a3"/>
                  <w:rFonts w:eastAsia="Times New Roman"/>
                  <w:sz w:val="17"/>
                  <w:szCs w:val="17"/>
                </w:rPr>
                <w:t>Certificate of Designations of Fixed Rate Non-Cumulative Perpetual Preferred Stock, Series G, dated July 28, 2016 (incorporated by reference to Exhibit 3.1 o</w:t>
              </w:r>
              <w:r>
                <w:rPr>
                  <w:rStyle w:val="a3"/>
                  <w:rFonts w:eastAsia="Times New Roman"/>
                  <w:sz w:val="17"/>
                  <w:szCs w:val="17"/>
                </w:rPr>
                <w:t>f the Current Report on Form 8-K, filed on July 29, 2016).</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3.3.3</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hyperlink r:id="rId8" w:history="1">
              <w:r>
                <w:rPr>
                  <w:rStyle w:val="a3"/>
                  <w:rFonts w:eastAsia="Times New Roman"/>
                  <w:sz w:val="17"/>
                  <w:szCs w:val="17"/>
                </w:rPr>
                <w:t>Certificate of Designations of Fixed Rate Non-Cumulative Perpetual Preferred Stock, Series H, dated November 28, 2016 (incorporated by reference to Exhibit 3</w:t>
              </w:r>
              <w:r>
                <w:rPr>
                  <w:rStyle w:val="a3"/>
                  <w:rFonts w:eastAsia="Times New Roman"/>
                  <w:sz w:val="17"/>
                  <w:szCs w:val="17"/>
                </w:rPr>
                <w:t>.1 of the Current Report on Form 8-K, filed on November 29, 2016).</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3.3.4</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hyperlink r:id="rId9" w:history="1">
              <w:r>
                <w:rPr>
                  <w:rStyle w:val="a3"/>
                  <w:rFonts w:eastAsia="Times New Roman"/>
                  <w:sz w:val="17"/>
                  <w:szCs w:val="17"/>
                </w:rPr>
                <w:t>Certificate of Designations of Fixed Rate Non-Cumulative Perpetual Preferred</w:t>
              </w:r>
              <w:r>
                <w:rPr>
                  <w:rStyle w:val="a3"/>
                  <w:rFonts w:eastAsia="Times New Roman"/>
                  <w:sz w:val="17"/>
                  <w:szCs w:val="17"/>
                </w:rPr>
                <w:t xml:space="preserve"> Stock, Series I, dated September 10, 2019 (incorporated by reference to Exhibit 3.1 of the Current Report on Form 8-K, filed on September 11, 2019).</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3.3.5</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hyperlink r:id="rId10" w:history="1">
              <w:r>
                <w:rPr>
                  <w:rStyle w:val="a3"/>
                  <w:rFonts w:eastAsia="Times New Roman"/>
                  <w:sz w:val="17"/>
                  <w:szCs w:val="17"/>
                </w:rPr>
                <w:t>Certificate of Designations of Fixed Rate Non-Cumulative Perpetual Preferred Stock, Series J, dated January 30, 2020 (incorporated by reference to Exhibit 3.</w:t>
              </w:r>
              <w:r>
                <w:rPr>
                  <w:rStyle w:val="a3"/>
                  <w:rFonts w:eastAsia="Times New Roman"/>
                  <w:sz w:val="17"/>
                  <w:szCs w:val="17"/>
                </w:rPr>
                <w:t>1 of the Current Report on Form 8-K, filed on January 31, 2020).</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3.3.6</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hyperlink r:id="rId11" w:history="1">
              <w:r>
                <w:rPr>
                  <w:rStyle w:val="a3"/>
                  <w:rFonts w:eastAsia="Times New Roman"/>
                  <w:sz w:val="17"/>
                  <w:szCs w:val="17"/>
                </w:rPr>
                <w:t>Certificate of Designations of Fixed Rate Non-Cumulative Perpetual Preferred St</w:t>
              </w:r>
              <w:r>
                <w:rPr>
                  <w:rStyle w:val="a3"/>
                  <w:rFonts w:eastAsia="Times New Roman"/>
                  <w:sz w:val="17"/>
                  <w:szCs w:val="17"/>
                </w:rPr>
                <w:t>ock, Series K, dated September 16, 2020 (incorporated by reference to Exhibit 3.1 of the Current Report on Form 8-K, filed on September 17, 2020).</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3.3.7</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hyperlink r:id="rId12" w:history="1">
              <w:r>
                <w:rPr>
                  <w:rStyle w:val="a3"/>
                  <w:rFonts w:eastAsia="Times New Roman"/>
                  <w:sz w:val="17"/>
                  <w:szCs w:val="17"/>
                </w:rPr>
                <w:t xml:space="preserve">Certificate of Designations of Fixed Rate Non-Cumulative Perpetual Preferred Stock, Series L, dated May </w:t>
              </w:r>
            </w:hyperlink>
            <w:hyperlink r:id="rId13" w:history="1">
              <w:r>
                <w:rPr>
                  <w:rStyle w:val="a3"/>
                  <w:rFonts w:eastAsia="Times New Roman"/>
                  <w:sz w:val="17"/>
                  <w:szCs w:val="17"/>
                </w:rPr>
                <w:t>3</w:t>
              </w:r>
            </w:hyperlink>
            <w:hyperlink r:id="rId14" w:history="1">
              <w:r>
                <w:rPr>
                  <w:rStyle w:val="a3"/>
                  <w:rFonts w:eastAsia="Times New Roman"/>
                  <w:sz w:val="17"/>
                  <w:szCs w:val="17"/>
                </w:rPr>
                <w:t>, 2021 (incorporated by reference to Exhibit 3.1 of the Current Report on Form 8-K, filed on May 4, 2021).</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4.1.1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hyperlink r:id="rId15" w:history="1">
              <w:r>
                <w:rPr>
                  <w:rStyle w:val="a3"/>
                  <w:rFonts w:eastAsia="Times New Roman"/>
                  <w:sz w:val="17"/>
                  <w:szCs w:val="17"/>
                </w:rPr>
                <w:t>Specimen certificate representing the common stock of Capital One Financial Corporation (incorporated by reference to Exh</w:t>
              </w:r>
              <w:r>
                <w:rPr>
                  <w:rStyle w:val="a3"/>
                  <w:rFonts w:eastAsia="Times New Roman"/>
                  <w:sz w:val="17"/>
                  <w:szCs w:val="17"/>
                </w:rPr>
                <w:t>ibit 4.1 of the 2003 Form 10-K).</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4.1.2</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hyperlink r:id="rId16" w:history="1">
              <w:r>
                <w:rPr>
                  <w:rStyle w:val="a3"/>
                  <w:rFonts w:eastAsia="Times New Roman"/>
                  <w:sz w:val="17"/>
                  <w:szCs w:val="17"/>
                </w:rPr>
                <w:t>Warrant Agreement, dated December 3, 2009, between Capital One Financial Corporation and Computershare Trust Company,</w:t>
              </w:r>
              <w:r>
                <w:rPr>
                  <w:rStyle w:val="a3"/>
                  <w:rFonts w:eastAsia="Times New Roman"/>
                  <w:sz w:val="17"/>
                  <w:szCs w:val="17"/>
                </w:rPr>
                <w:t xml:space="preserve"> N.A. (incorporated by reference to the Exhibit 4.1 of the Form 8-A, filed on December 4, 2009).</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4.1.3</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hyperlink r:id="rId17" w:history="1">
              <w:r>
                <w:rPr>
                  <w:rStyle w:val="a3"/>
                  <w:rFonts w:eastAsia="Times New Roman"/>
                  <w:sz w:val="17"/>
                  <w:szCs w:val="17"/>
                </w:rPr>
                <w:t>Deposit Agreement, dated August 20, 2012 (incorporated by reference to Exhibit 4.1 of the Current Report on Form 8-K, filed on August 20, 2012).</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4.2</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92DBE">
            <w:pPr>
              <w:jc w:val="both"/>
              <w:rPr>
                <w:rFonts w:eastAsia="Times New Roman"/>
              </w:rPr>
            </w:pPr>
            <w:r>
              <w:rPr>
                <w:rFonts w:eastAsia="Times New Roman"/>
                <w:color w:val="000000"/>
                <w:sz w:val="17"/>
                <w:szCs w:val="17"/>
              </w:rPr>
              <w:t>Pursuant to Item 601(b)(4)(iii)(A) of Regulation S-K, copies of instruments defining the rights of holders of long-term debt are not filed. The Company agrees to furnish a copy thereof to the SEC upon request.</w:t>
            </w:r>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10.1+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hyperlink r:id="rId18" w:history="1">
              <w:r>
                <w:rPr>
                  <w:rStyle w:val="a3"/>
                  <w:rFonts w:eastAsia="Times New Roman"/>
                  <w:sz w:val="17"/>
                  <w:szCs w:val="17"/>
                </w:rPr>
                <w:t>Form of Performance Unit Award Agreements granted to our executive officers, including the Chief Executive Officer, under the Fifth Amended and R</w:t>
              </w:r>
              <w:r>
                <w:rPr>
                  <w:rStyle w:val="a3"/>
                  <w:rFonts w:eastAsia="Times New Roman"/>
                  <w:sz w:val="17"/>
                  <w:szCs w:val="17"/>
                </w:rPr>
                <w:t>estated 2004 Stock Incentive Plan on February 4, 2021 (incorporated by reference to Exhibit 10.2.25 of the 2020 Form 10-K).</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10.2+</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hyperlink r:id="rId19" w:history="1">
              <w:r>
                <w:rPr>
                  <w:rStyle w:val="a3"/>
                  <w:rFonts w:eastAsia="Times New Roman"/>
                  <w:sz w:val="17"/>
                  <w:szCs w:val="17"/>
                </w:rPr>
                <w:t>Form of</w:t>
              </w:r>
              <w:r>
                <w:rPr>
                  <w:rStyle w:val="a3"/>
                  <w:rFonts w:eastAsia="Times New Roman"/>
                  <w:sz w:val="17"/>
                  <w:szCs w:val="17"/>
                </w:rPr>
                <w:t xml:space="preserve"> Restricted Stock Unit Award Agreements granted to our executive officers, including the Chief Executive Officer, under the Fifth Amended and Restated 2004 Stock Incentive Plan on February 4, 2021 (incorporated by reference to Exhibit 10.2.26 of the 2020 F</w:t>
              </w:r>
              <w:r>
                <w:rPr>
                  <w:rStyle w:val="a3"/>
                  <w:rFonts w:eastAsia="Times New Roman"/>
                  <w:sz w:val="17"/>
                  <w:szCs w:val="17"/>
                </w:rPr>
                <w:t>orm 10-K).</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10.3+</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hyperlink r:id="rId20" w:history="1">
              <w:r>
                <w:rPr>
                  <w:rStyle w:val="a3"/>
                  <w:rFonts w:eastAsia="Times New Roman"/>
                  <w:sz w:val="17"/>
                  <w:szCs w:val="17"/>
                </w:rPr>
                <w:t>Form of Total Shareholder Return Performance Unit Award Agreement granted to our Chief Executive Officer under the Fifth</w:t>
              </w:r>
              <w:r>
                <w:rPr>
                  <w:rStyle w:val="a3"/>
                  <w:rFonts w:eastAsia="Times New Roman"/>
                  <w:sz w:val="17"/>
                  <w:szCs w:val="17"/>
                </w:rPr>
                <w:t xml:space="preserve"> Amended and Restated 2004 Stock Incentive Plan on February 4, 2021 (incorporated by reference to Exhibit 10.2.27 of the 2020 Form 10-K).</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31.1*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hyperlink r:id="rId21" w:history="1">
              <w:r>
                <w:rPr>
                  <w:rStyle w:val="a3"/>
                  <w:rFonts w:eastAsia="Times New Roman"/>
                  <w:sz w:val="17"/>
                  <w:szCs w:val="17"/>
                </w:rPr>
                <w:t>Certification of Richard D. Fairbank.</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31.2*</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hyperlink r:id="rId22" w:history="1">
              <w:r>
                <w:rPr>
                  <w:rStyle w:val="a3"/>
                  <w:rFonts w:eastAsia="Times New Roman"/>
                  <w:sz w:val="17"/>
                  <w:szCs w:val="17"/>
                </w:rPr>
                <w:t xml:space="preserve">Certification of </w:t>
              </w:r>
            </w:hyperlink>
            <w:hyperlink r:id="rId23" w:history="1">
              <w:r>
                <w:rPr>
                  <w:rStyle w:val="a3"/>
                  <w:rFonts w:eastAsia="Times New Roman"/>
                  <w:sz w:val="17"/>
                  <w:szCs w:val="17"/>
                </w:rPr>
                <w:t xml:space="preserve">Andrew </w:t>
              </w:r>
            </w:hyperlink>
            <w:hyperlink r:id="rId24" w:history="1">
              <w:r>
                <w:rPr>
                  <w:rStyle w:val="a3"/>
                  <w:rFonts w:eastAsia="Times New Roman"/>
                  <w:sz w:val="17"/>
                  <w:szCs w:val="17"/>
                </w:rPr>
                <w:t xml:space="preserve">M. </w:t>
              </w:r>
            </w:hyperlink>
            <w:hyperlink r:id="rId25" w:history="1">
              <w:r>
                <w:rPr>
                  <w:rStyle w:val="a3"/>
                  <w:rFonts w:eastAsia="Times New Roman"/>
                  <w:sz w:val="17"/>
                  <w:szCs w:val="17"/>
                </w:rPr>
                <w:t>Young</w:t>
              </w:r>
            </w:hyperlink>
            <w:hyperlink r:id="rId26" w:history="1">
              <w:r>
                <w:rPr>
                  <w:rStyle w:val="a3"/>
                  <w:rFonts w:eastAsia="Times New Roman"/>
                  <w:sz w:val="17"/>
                  <w:szCs w:val="17"/>
                </w:rPr>
                <w:t>.</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32.1**</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hyperlink r:id="rId27" w:history="1">
              <w:r>
                <w:rPr>
                  <w:rStyle w:val="a3"/>
                  <w:rFonts w:eastAsia="Times New Roman"/>
                  <w:sz w:val="17"/>
                  <w:szCs w:val="17"/>
                </w:rPr>
                <w:t>Certification of Richard D. Fairbank.</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32.2**</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hyperlink r:id="rId28" w:history="1">
              <w:r>
                <w:rPr>
                  <w:rStyle w:val="a3"/>
                  <w:rFonts w:eastAsia="Times New Roman"/>
                  <w:sz w:val="17"/>
                  <w:szCs w:val="17"/>
                </w:rPr>
                <w:t xml:space="preserve">Certification of </w:t>
              </w:r>
            </w:hyperlink>
            <w:hyperlink r:id="rId29" w:history="1">
              <w:r>
                <w:rPr>
                  <w:rStyle w:val="a3"/>
                  <w:rFonts w:eastAsia="Times New Roman"/>
                  <w:sz w:val="17"/>
                  <w:szCs w:val="17"/>
                </w:rPr>
                <w:t xml:space="preserve">Andrew </w:t>
              </w:r>
            </w:hyperlink>
            <w:hyperlink r:id="rId30" w:history="1">
              <w:r>
                <w:rPr>
                  <w:rStyle w:val="a3"/>
                  <w:rFonts w:eastAsia="Times New Roman"/>
                  <w:sz w:val="17"/>
                  <w:szCs w:val="17"/>
                </w:rPr>
                <w:t xml:space="preserve">M. </w:t>
              </w:r>
            </w:hyperlink>
            <w:hyperlink r:id="rId31" w:history="1">
              <w:r>
                <w:rPr>
                  <w:rStyle w:val="a3"/>
                  <w:rFonts w:eastAsia="Times New Roman"/>
                  <w:sz w:val="17"/>
                  <w:szCs w:val="17"/>
                </w:rPr>
                <w:t>Young</w:t>
              </w:r>
            </w:hyperlink>
            <w:hyperlink r:id="rId32" w:history="1">
              <w:r>
                <w:rPr>
                  <w:rStyle w:val="a3"/>
                  <w:rFonts w:eastAsia="Times New Roman"/>
                  <w:sz w:val="17"/>
                  <w:szCs w:val="17"/>
                </w:rPr>
                <w:t>.</w:t>
              </w:r>
            </w:hyperlink>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101.</w:t>
            </w:r>
            <w:r>
              <w:rPr>
                <w:rFonts w:eastAsia="Times New Roman"/>
                <w:color w:val="000000"/>
                <w:sz w:val="17"/>
                <w:szCs w:val="17"/>
              </w:rPr>
              <w:t>INS</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r>
              <w:rPr>
                <w:rFonts w:eastAsia="Times New Roman"/>
                <w:color w:val="000000"/>
                <w:sz w:val="17"/>
                <w:szCs w:val="17"/>
              </w:rPr>
              <w:t>XBRL Instance Document - the instance document does not appear in the Interactive Data File because its XBRL tags are embedded within the Inline XBRL document.</w:t>
            </w:r>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101.SCH*</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r>
              <w:rPr>
                <w:rFonts w:eastAsia="Times New Roman"/>
                <w:color w:val="000000"/>
                <w:sz w:val="17"/>
                <w:szCs w:val="17"/>
              </w:rPr>
              <w:t>Inline XBRL Taxonomy Extension Schema Document.</w:t>
            </w:r>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101.CAL*</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r>
              <w:rPr>
                <w:rFonts w:eastAsia="Times New Roman"/>
                <w:color w:val="000000"/>
                <w:sz w:val="17"/>
                <w:szCs w:val="17"/>
              </w:rPr>
              <w:t>Inline XBRL Taxonomy Extension Calculation Linkbase Document.</w:t>
            </w:r>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101.DEF*</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r>
              <w:rPr>
                <w:rFonts w:eastAsia="Times New Roman"/>
                <w:color w:val="000000"/>
                <w:sz w:val="17"/>
                <w:szCs w:val="17"/>
              </w:rPr>
              <w:t>Inline XBRL Taxonomy Extension Definition Linkbase Document.</w:t>
            </w:r>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101.LAB*</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r>
              <w:rPr>
                <w:rFonts w:eastAsia="Times New Roman"/>
                <w:color w:val="000000"/>
                <w:sz w:val="17"/>
                <w:szCs w:val="17"/>
              </w:rPr>
              <w:t>Inline XBRL Taxonomy Extension Label Linkbase Document.</w:t>
            </w:r>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101.PRE*</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r>
              <w:rPr>
                <w:rFonts w:eastAsia="Times New Roman"/>
                <w:color w:val="000000"/>
                <w:sz w:val="17"/>
                <w:szCs w:val="17"/>
              </w:rPr>
              <w:t>Inline XBRL Taxonomy Extension Presentation Linkbase Document.</w:t>
            </w:r>
          </w:p>
        </w:tc>
      </w:tr>
      <w:tr w:rsidR="00000000">
        <w:trPr>
          <w:divId w:val="955450861"/>
          <w:jc w:val="center"/>
        </w:trPr>
        <w:tc>
          <w:tcPr>
            <w:tcW w:w="0" w:type="auto"/>
            <w:gridSpan w:val="3"/>
            <w:tcMar>
              <w:top w:w="30" w:type="dxa"/>
              <w:left w:w="20" w:type="dxa"/>
              <w:bottom w:w="30" w:type="dxa"/>
              <w:right w:w="20" w:type="dxa"/>
            </w:tcMar>
            <w:hideMark/>
          </w:tcPr>
          <w:p w:rsidR="00000000" w:rsidRDefault="00E92DBE">
            <w:pPr>
              <w:jc w:val="center"/>
              <w:rPr>
                <w:rFonts w:eastAsia="Times New Roman"/>
              </w:rPr>
            </w:pPr>
            <w:r>
              <w:rPr>
                <w:rFonts w:eastAsia="Times New Roman"/>
                <w:color w:val="000000"/>
                <w:sz w:val="17"/>
                <w:szCs w:val="17"/>
              </w:rPr>
              <w:t>104</w:t>
            </w:r>
          </w:p>
        </w:tc>
        <w:tc>
          <w:tcPr>
            <w:tcW w:w="0" w:type="auto"/>
            <w:gridSpan w:val="3"/>
            <w:tcMar>
              <w:top w:w="0" w:type="dxa"/>
              <w:left w:w="20" w:type="dxa"/>
              <w:bottom w:w="0" w:type="dxa"/>
              <w:right w:w="20" w:type="dxa"/>
            </w:tcMar>
            <w:vAlign w:val="center"/>
            <w:hideMark/>
          </w:tcPr>
          <w:p w:rsidR="00000000" w:rsidRDefault="00E92DB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r>
              <w:rPr>
                <w:rFonts w:eastAsia="Times New Roman"/>
                <w:color w:val="000000"/>
                <w:sz w:val="17"/>
                <w:szCs w:val="17"/>
              </w:rPr>
              <w:t>The cover page of Capital One Financial Corporation’s Quarterly Report on Form 10-Q for the quarter ended March 31, 2021, formatted in Inline XBRL (included within the Exhibit 101 a</w:t>
            </w:r>
            <w:r>
              <w:rPr>
                <w:rFonts w:eastAsia="Times New Roman"/>
                <w:color w:val="000000"/>
                <w:sz w:val="17"/>
                <w:szCs w:val="17"/>
              </w:rPr>
              <w:t>ttachments).</w:t>
            </w:r>
          </w:p>
        </w:tc>
      </w:tr>
    </w:tbl>
    <w:p w:rsidR="00000000" w:rsidRDefault="00E92DBE">
      <w:pPr>
        <w:jc w:val="both"/>
        <w:divId w:val="1408112438"/>
        <w:rPr>
          <w:rFonts w:eastAsia="Times New Roman"/>
        </w:rPr>
      </w:pPr>
      <w:r>
        <w:rPr>
          <w:rFonts w:eastAsia="Times New Roman"/>
          <w:color w:val="000000"/>
          <w:sz w:val="20"/>
          <w:szCs w:val="20"/>
        </w:rPr>
        <w:t>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197"/>
        <w:gridCol w:w="36"/>
        <w:gridCol w:w="69"/>
        <w:gridCol w:w="7899"/>
        <w:gridCol w:w="36"/>
      </w:tblGrid>
      <w:tr w:rsidR="00000000">
        <w:trPr>
          <w:divId w:val="748818737"/>
        </w:trPr>
        <w:tc>
          <w:tcPr>
            <w:tcW w:w="50" w:type="pct"/>
            <w:vAlign w:val="center"/>
            <w:hideMark/>
          </w:tcPr>
          <w:p w:rsidR="00000000" w:rsidRDefault="00E92DBE">
            <w:pPr>
              <w:jc w:val="both"/>
              <w:rPr>
                <w:rFonts w:eastAsia="Times New Roman"/>
              </w:rPr>
            </w:pPr>
          </w:p>
        </w:tc>
        <w:tc>
          <w:tcPr>
            <w:tcW w:w="12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476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748818737"/>
        </w:trPr>
        <w:tc>
          <w:tcPr>
            <w:tcW w:w="0" w:type="auto"/>
            <w:gridSpan w:val="3"/>
            <w:tcMar>
              <w:top w:w="30" w:type="dxa"/>
              <w:left w:w="20" w:type="dxa"/>
              <w:bottom w:w="30" w:type="dxa"/>
              <w:right w:w="20" w:type="dxa"/>
            </w:tcMar>
            <w:hideMark/>
          </w:tcPr>
          <w:p w:rsidR="00000000" w:rsidRDefault="00E92DBE">
            <w:pPr>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r>
              <w:rPr>
                <w:rFonts w:eastAsia="Times New Roman"/>
                <w:color w:val="000000"/>
                <w:sz w:val="16"/>
                <w:szCs w:val="16"/>
              </w:rPr>
              <w:t>Represents a management contract or compensatory plan or arrangement.</w:t>
            </w:r>
          </w:p>
        </w:tc>
      </w:tr>
      <w:tr w:rsidR="00000000">
        <w:trPr>
          <w:divId w:val="748818737"/>
        </w:trPr>
        <w:tc>
          <w:tcPr>
            <w:tcW w:w="0" w:type="auto"/>
            <w:gridSpan w:val="3"/>
            <w:tcMar>
              <w:top w:w="30" w:type="dxa"/>
              <w:left w:w="20" w:type="dxa"/>
              <w:bottom w:w="30" w:type="dxa"/>
              <w:right w:w="20" w:type="dxa"/>
            </w:tcMar>
            <w:hideMark/>
          </w:tcPr>
          <w:p w:rsidR="00000000" w:rsidRDefault="00E92DBE">
            <w:pPr>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r>
              <w:rPr>
                <w:rFonts w:eastAsia="Times New Roman"/>
                <w:color w:val="000000"/>
                <w:sz w:val="16"/>
                <w:szCs w:val="16"/>
              </w:rPr>
              <w:t>Indicates a document being filed with this Form 10-Q.</w:t>
            </w:r>
          </w:p>
        </w:tc>
      </w:tr>
      <w:tr w:rsidR="00000000">
        <w:trPr>
          <w:divId w:val="748818737"/>
        </w:trPr>
        <w:tc>
          <w:tcPr>
            <w:tcW w:w="0" w:type="auto"/>
            <w:gridSpan w:val="3"/>
            <w:tcMar>
              <w:top w:w="30" w:type="dxa"/>
              <w:left w:w="20" w:type="dxa"/>
              <w:bottom w:w="30" w:type="dxa"/>
              <w:right w:w="20" w:type="dxa"/>
            </w:tcMar>
            <w:hideMark/>
          </w:tcPr>
          <w:p w:rsidR="00000000" w:rsidRDefault="00E92DBE">
            <w:pPr>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E92DBE">
            <w:pPr>
              <w:jc w:val="both"/>
              <w:rPr>
                <w:rFonts w:eastAsia="Times New Roman"/>
              </w:rPr>
            </w:pPr>
            <w:r>
              <w:rPr>
                <w:rFonts w:eastAsia="Times New Roman"/>
                <w:color w:val="000000"/>
                <w:sz w:val="16"/>
                <w:szCs w:val="16"/>
              </w:rPr>
              <w:t>Indicates a document being furnished with this Form 10-Q. Information in this Form 10-Q furnished herewith shall not be deemed to be “filed” for the purposes of Section 18 of the Securities Exchange Act of 1934 or otherwise subject to the liabilities of th</w:t>
            </w:r>
            <w:r>
              <w:rPr>
                <w:rFonts w:eastAsia="Times New Roman"/>
                <w:color w:val="000000"/>
                <w:sz w:val="16"/>
                <w:szCs w:val="16"/>
              </w:rPr>
              <w:t>at Section. Such exhibit shall not be deemed incorporated by reference into any filing under the Securities Act of 1933 or the Securities Exchange Act of 1934.</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120</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000000" w:rsidRDefault="00E92DBE">
      <w:pPr>
        <w:rPr>
          <w:rFonts w:eastAsia="Times New Roman"/>
        </w:rPr>
      </w:pPr>
      <w:r>
        <w:rPr>
          <w:rFonts w:eastAsia="Times New Roman"/>
        </w:rPr>
        <w:pict>
          <v:rect id="_x0000_i1145" style="width:0;height:1.5pt" o:hralign="center" o:hrstd="t" o:hr="t" fillcolor="#a0a0a0" stroked="f"/>
        </w:pict>
      </w:r>
    </w:p>
    <w:p w:rsidR="00000000" w:rsidRDefault="00E92DBE">
      <w:pPr>
        <w:jc w:val="both"/>
        <w:divId w:val="644311425"/>
        <w:rPr>
          <w:rFonts w:eastAsia="Times New Roman"/>
        </w:rPr>
      </w:pPr>
      <w:hyperlink w:anchor="ic1109d5aa548447c8224139b1ab22bde_7" w:history="1">
        <w:r>
          <w:rPr>
            <w:rStyle w:val="a3"/>
            <w:rFonts w:eastAsia="Times New Roman"/>
            <w:sz w:val="16"/>
            <w:szCs w:val="16"/>
          </w:rPr>
          <w:t>Table of Contents</w:t>
        </w:r>
      </w:hyperlink>
    </w:p>
    <w:p w:rsidR="00000000" w:rsidRDefault="00E92DBE">
      <w:pPr>
        <w:jc w:val="center"/>
        <w:divId w:val="1409034148"/>
        <w:rPr>
          <w:rFonts w:eastAsia="Times New Roman"/>
        </w:rPr>
      </w:pPr>
      <w:r>
        <w:rPr>
          <w:rFonts w:eastAsia="Times New Roman"/>
          <w:b/>
          <w:bCs/>
          <w:color w:val="000000"/>
          <w:sz w:val="20"/>
          <w:szCs w:val="20"/>
        </w:rPr>
        <w:t>SIGNATURES</w:t>
      </w:r>
    </w:p>
    <w:p w:rsidR="00000000" w:rsidRDefault="00E92DBE">
      <w:pPr>
        <w:jc w:val="both"/>
        <w:divId w:val="1243416060"/>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4"/>
        <w:gridCol w:w="3230"/>
        <w:gridCol w:w="36"/>
        <w:gridCol w:w="64"/>
        <w:gridCol w:w="849"/>
        <w:gridCol w:w="36"/>
        <w:gridCol w:w="77"/>
        <w:gridCol w:w="217"/>
        <w:gridCol w:w="36"/>
        <w:gridCol w:w="36"/>
        <w:gridCol w:w="36"/>
        <w:gridCol w:w="36"/>
        <w:gridCol w:w="43"/>
        <w:gridCol w:w="3510"/>
        <w:gridCol w:w="36"/>
      </w:tblGrid>
      <w:tr w:rsidR="00000000">
        <w:trPr>
          <w:divId w:val="1168059930"/>
        </w:trPr>
        <w:tc>
          <w:tcPr>
            <w:tcW w:w="50" w:type="pct"/>
            <w:vAlign w:val="center"/>
            <w:hideMark/>
          </w:tcPr>
          <w:p w:rsidR="00000000" w:rsidRDefault="00E92DBE">
            <w:pPr>
              <w:jc w:val="both"/>
              <w:rPr>
                <w:rFonts w:eastAsia="Times New Roman"/>
              </w:rPr>
            </w:pPr>
          </w:p>
        </w:tc>
        <w:tc>
          <w:tcPr>
            <w:tcW w:w="195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52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42"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2123"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1168059930"/>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b/>
                <w:bCs/>
                <w:color w:val="000000"/>
                <w:sz w:val="20"/>
                <w:szCs w:val="20"/>
              </w:rPr>
              <w:t>CAPITAL ONE FINANCIAL CORPORATION</w:t>
            </w:r>
          </w:p>
        </w:tc>
      </w:tr>
      <w:tr w:rsidR="00000000">
        <w:trPr>
          <w:divId w:val="1168059930"/>
          <w:trHeight w:val="120"/>
        </w:trPr>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1168059930"/>
        </w:trPr>
        <w:tc>
          <w:tcPr>
            <w:tcW w:w="0" w:type="auto"/>
            <w:gridSpan w:val="3"/>
            <w:tcMar>
              <w:top w:w="30" w:type="dxa"/>
              <w:left w:w="20" w:type="dxa"/>
              <w:bottom w:w="30" w:type="dxa"/>
              <w:right w:w="20" w:type="dxa"/>
            </w:tcMar>
            <w:hideMark/>
          </w:tcPr>
          <w:p w:rsidR="00000000" w:rsidRDefault="00E92DBE">
            <w:pPr>
              <w:rPr>
                <w:rFonts w:eastAsia="Times New Roman"/>
              </w:rPr>
            </w:pPr>
            <w:r>
              <w:rPr>
                <w:rFonts w:eastAsia="Times New Roman"/>
                <w:color w:val="000000"/>
                <w:sz w:val="20"/>
                <w:szCs w:val="20"/>
              </w:rPr>
              <w:t>Date: May 7, 2021</w:t>
            </w: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E92DBE">
            <w:pPr>
              <w:rPr>
                <w:rFonts w:eastAsia="Times New Roman"/>
              </w:rPr>
            </w:pPr>
            <w:r>
              <w:rPr>
                <w:rFonts w:eastAsia="Times New Roman"/>
                <w:color w:val="000000"/>
                <w:sz w:val="18"/>
                <w:szCs w:val="18"/>
              </w:rPr>
              <w:t>By:</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20"/>
                <w:szCs w:val="20"/>
              </w:rPr>
              <w:t>/s/ ANDREW M. YOUNG</w:t>
            </w:r>
          </w:p>
        </w:tc>
      </w:tr>
      <w:tr w:rsidR="00000000">
        <w:trPr>
          <w:divId w:val="1168059930"/>
        </w:trPr>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E92DBE">
            <w:pPr>
              <w:rPr>
                <w:rFonts w:eastAsia="Times New Roman"/>
              </w:rPr>
            </w:pPr>
            <w:r>
              <w:rPr>
                <w:rFonts w:eastAsia="Times New Roman"/>
                <w:color w:val="000000"/>
                <w:sz w:val="20"/>
                <w:szCs w:val="20"/>
              </w:rPr>
              <w:t>Andrew M. Young</w:t>
            </w:r>
          </w:p>
        </w:tc>
      </w:tr>
      <w:tr w:rsidR="00000000">
        <w:trPr>
          <w:divId w:val="1168059930"/>
        </w:trPr>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92DBE">
            <w:pPr>
              <w:rPr>
                <w:rFonts w:eastAsia="Times New Roman"/>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rPr>
                <w:rFonts w:eastAsia="Times New Roman"/>
              </w:rPr>
            </w:pPr>
            <w:r>
              <w:rPr>
                <w:rFonts w:eastAsia="Times New Roman"/>
                <w:color w:val="000000"/>
                <w:sz w:val="20"/>
                <w:szCs w:val="20"/>
              </w:rPr>
              <w:t>Chief Financial Officer</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684"/>
        <w:gridCol w:w="144"/>
        <w:gridCol w:w="144"/>
        <w:gridCol w:w="144"/>
        <w:gridCol w:w="144"/>
        <w:gridCol w:w="144"/>
        <w:gridCol w:w="2968"/>
        <w:gridCol w:w="144"/>
        <w:gridCol w:w="144"/>
        <w:gridCol w:w="144"/>
        <w:gridCol w:w="144"/>
        <w:gridCol w:w="144"/>
        <w:gridCol w:w="1255"/>
        <w:gridCol w:w="144"/>
      </w:tblGrid>
      <w:tr w:rsidR="00000000">
        <w:trPr>
          <w:jc w:val="center"/>
        </w:trPr>
        <w:tc>
          <w:tcPr>
            <w:tcW w:w="50" w:type="pct"/>
            <w:vAlign w:val="center"/>
            <w:hideMark/>
          </w:tcPr>
          <w:p w:rsidR="00000000" w:rsidRDefault="00E92DBE">
            <w:pPr>
              <w:jc w:val="both"/>
              <w:rPr>
                <w:rFonts w:eastAsia="Times New Roman"/>
              </w:rPr>
            </w:pPr>
          </w:p>
        </w:tc>
        <w:tc>
          <w:tcPr>
            <w:tcW w:w="221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78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75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p w:rsidR="00000000" w:rsidRDefault="00E92DBE">
      <w:pPr>
        <w:jc w:val="center"/>
        <w:divId w:val="350033837"/>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3662"/>
        <w:gridCol w:w="36"/>
        <w:gridCol w:w="36"/>
        <w:gridCol w:w="36"/>
        <w:gridCol w:w="36"/>
        <w:gridCol w:w="42"/>
        <w:gridCol w:w="2946"/>
        <w:gridCol w:w="36"/>
        <w:gridCol w:w="36"/>
        <w:gridCol w:w="36"/>
        <w:gridCol w:w="36"/>
        <w:gridCol w:w="42"/>
        <w:gridCol w:w="1232"/>
        <w:gridCol w:w="36"/>
      </w:tblGrid>
      <w:tr w:rsidR="00000000">
        <w:trPr>
          <w:divId w:val="350033837"/>
          <w:jc w:val="center"/>
        </w:trPr>
        <w:tc>
          <w:tcPr>
            <w:tcW w:w="50" w:type="pct"/>
            <w:vAlign w:val="center"/>
            <w:hideMark/>
          </w:tcPr>
          <w:p w:rsidR="00000000" w:rsidRDefault="00E92DBE">
            <w:pPr>
              <w:jc w:val="center"/>
              <w:rPr>
                <w:rFonts w:eastAsia="Times New Roman"/>
              </w:rPr>
            </w:pPr>
          </w:p>
        </w:tc>
        <w:tc>
          <w:tcPr>
            <w:tcW w:w="2218"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1787"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2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c>
          <w:tcPr>
            <w:tcW w:w="50" w:type="pct"/>
            <w:vAlign w:val="center"/>
            <w:hideMark/>
          </w:tcPr>
          <w:p w:rsidR="00000000" w:rsidRDefault="00E92DBE">
            <w:pPr>
              <w:rPr>
                <w:rFonts w:eastAsia="Times New Roman"/>
                <w:sz w:val="20"/>
                <w:szCs w:val="20"/>
              </w:rPr>
            </w:pPr>
          </w:p>
        </w:tc>
        <w:tc>
          <w:tcPr>
            <w:tcW w:w="756" w:type="pct"/>
            <w:vAlign w:val="center"/>
            <w:hideMark/>
          </w:tcPr>
          <w:p w:rsidR="00000000" w:rsidRDefault="00E92DBE">
            <w:pPr>
              <w:rPr>
                <w:rFonts w:eastAsia="Times New Roman"/>
                <w:sz w:val="20"/>
                <w:szCs w:val="20"/>
              </w:rPr>
            </w:pPr>
          </w:p>
        </w:tc>
        <w:tc>
          <w:tcPr>
            <w:tcW w:w="5" w:type="pct"/>
            <w:vAlign w:val="center"/>
            <w:hideMark/>
          </w:tcPr>
          <w:p w:rsidR="00000000" w:rsidRDefault="00E92DBE">
            <w:pPr>
              <w:rPr>
                <w:rFonts w:eastAsia="Times New Roman"/>
                <w:sz w:val="20"/>
                <w:szCs w:val="20"/>
              </w:rPr>
            </w:pPr>
          </w:p>
        </w:tc>
      </w:tr>
      <w:tr w:rsidR="00000000">
        <w:trPr>
          <w:divId w:val="350033837"/>
          <w:trHeight w:val="60"/>
          <w:jc w:val="center"/>
        </w:trPr>
        <w:tc>
          <w:tcPr>
            <w:tcW w:w="0" w:type="auto"/>
            <w:gridSpan w:val="15"/>
            <w:tcMar>
              <w:top w:w="0" w:type="dxa"/>
              <w:left w:w="20" w:type="dxa"/>
              <w:bottom w:w="0" w:type="dxa"/>
              <w:right w:w="20" w:type="dxa"/>
            </w:tcMar>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r w:rsidR="00000000">
        <w:trPr>
          <w:divId w:val="350033837"/>
          <w:jc w:val="center"/>
        </w:trPr>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c>
          <w:tcPr>
            <w:tcW w:w="0" w:type="auto"/>
            <w:gridSpan w:val="3"/>
            <w:vAlign w:val="center"/>
            <w:hideMark/>
          </w:tcPr>
          <w:p w:rsidR="00000000" w:rsidRDefault="00E92DB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92DBE">
            <w:pPr>
              <w:jc w:val="center"/>
              <w:rPr>
                <w:rFonts w:eastAsia="Times New Roman"/>
              </w:rPr>
            </w:pPr>
          </w:p>
        </w:tc>
        <w:tc>
          <w:tcPr>
            <w:tcW w:w="1606"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c>
          <w:tcPr>
            <w:tcW w:w="50" w:type="pct"/>
            <w:vAlign w:val="center"/>
            <w:hideMark/>
          </w:tcPr>
          <w:p w:rsidR="00000000" w:rsidRDefault="00E92DBE">
            <w:pPr>
              <w:spacing w:after="100"/>
              <w:rPr>
                <w:rFonts w:eastAsia="Times New Roman"/>
                <w:sz w:val="20"/>
                <w:szCs w:val="20"/>
              </w:rPr>
            </w:pPr>
          </w:p>
        </w:tc>
        <w:tc>
          <w:tcPr>
            <w:tcW w:w="1614" w:type="pct"/>
            <w:vAlign w:val="center"/>
            <w:hideMark/>
          </w:tcPr>
          <w:p w:rsidR="00000000" w:rsidRDefault="00E92DBE">
            <w:pPr>
              <w:spacing w:after="100"/>
              <w:rPr>
                <w:rFonts w:eastAsia="Times New Roman"/>
                <w:sz w:val="20"/>
                <w:szCs w:val="20"/>
              </w:rPr>
            </w:pPr>
          </w:p>
        </w:tc>
        <w:tc>
          <w:tcPr>
            <w:tcW w:w="5" w:type="pct"/>
            <w:vAlign w:val="center"/>
            <w:hideMark/>
          </w:tcPr>
          <w:p w:rsidR="00000000" w:rsidRDefault="00E92DBE">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92DB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92DB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92DBE">
            <w:pPr>
              <w:spacing w:after="100"/>
              <w:jc w:val="center"/>
              <w:rPr>
                <w:rFonts w:eastAsia="Times New Roman"/>
              </w:rPr>
            </w:pPr>
            <w:r>
              <w:rPr>
                <w:rFonts w:eastAsia="Times New Roman"/>
                <w:color w:val="000000"/>
                <w:sz w:val="16"/>
                <w:szCs w:val="16"/>
              </w:rPr>
              <w:t>121</w:t>
            </w:r>
          </w:p>
        </w:tc>
        <w:tc>
          <w:tcPr>
            <w:tcW w:w="0" w:type="auto"/>
            <w:gridSpan w:val="3"/>
            <w:tcMar>
              <w:top w:w="30" w:type="dxa"/>
              <w:left w:w="20" w:type="dxa"/>
              <w:bottom w:w="30" w:type="dxa"/>
              <w:right w:w="20" w:type="dxa"/>
            </w:tcMar>
            <w:vAlign w:val="bottom"/>
            <w:hideMark/>
          </w:tcPr>
          <w:p w:rsidR="00000000" w:rsidRDefault="00E92DBE">
            <w:pPr>
              <w:spacing w:after="100"/>
              <w:jc w:val="right"/>
              <w:rPr>
                <w:rFonts w:eastAsia="Times New Roman"/>
              </w:rPr>
            </w:pPr>
            <w:r>
              <w:rPr>
                <w:rFonts w:eastAsia="Times New Roman"/>
                <w:color w:val="000000"/>
                <w:sz w:val="16"/>
                <w:szCs w:val="16"/>
              </w:rPr>
              <w:t>Capital One Financial Corporation (COF)</w:t>
            </w:r>
          </w:p>
        </w:tc>
      </w:tr>
    </w:tbl>
    <w:p w:rsidR="00E92DBE" w:rsidRDefault="00E92DBE">
      <w:pPr>
        <w:rPr>
          <w:rFonts w:eastAsia="Times New Roman"/>
        </w:rPr>
      </w:pPr>
    </w:p>
    <w:sectPr w:rsidR="00E92DB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92DBE"/>
    <w:rsid w:val="00E92DBE"/>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www.xbrl.org/inlineXBRL/transformation/2015-02-26"/>
  <w:attachedSchema w:val="http://fasb.org/srt/2020-01-31"/>
  <w:attachedSchema w:val="http://www.xbrl.org/2003/linkbase"/>
  <w:attachedSchema w:val="http://www.xbrl.org/2013/inlineXBRL"/>
  <w:attachedSchema w:val="http://www.w3.org/1999/xlink"/>
  <w:attachedSchema w:val="http://www.xbrl.org/2003/iso4217"/>
  <w:attachedSchema w:val="http://xbrl.sec.gov/currency/2020-01-31"/>
  <w:attachedSchema w:val="http://fasb.org/us-gaap/2020-01-31"/>
  <w:attachedSchema w:val="http://xbrl.org/2006/xbrldi"/>
  <w:attachedSchema w:val="http://xbrl.sec.gov/dei/2020-01-31"/>
  <w:attachedSchema w:val="http://www.xbrl.org/2003/instance"/>
  <w:attachedSchema w:val="http://www.capitalone.com/20210331"/>
  <w:attachedSchema w:val="http://xbrl.sec.gov/country/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945">
      <w:marLeft w:val="0"/>
      <w:marRight w:val="0"/>
      <w:marTop w:val="0"/>
      <w:marBottom w:val="0"/>
      <w:divBdr>
        <w:top w:val="none" w:sz="0" w:space="0" w:color="auto"/>
        <w:left w:val="none" w:sz="0" w:space="0" w:color="auto"/>
        <w:bottom w:val="none" w:sz="0" w:space="0" w:color="auto"/>
        <w:right w:val="none" w:sz="0" w:space="0" w:color="auto"/>
      </w:divBdr>
    </w:div>
    <w:div w:id="2513652">
      <w:marLeft w:val="0"/>
      <w:marRight w:val="0"/>
      <w:marTop w:val="180"/>
      <w:marBottom w:val="180"/>
      <w:divBdr>
        <w:top w:val="none" w:sz="0" w:space="0" w:color="auto"/>
        <w:left w:val="none" w:sz="0" w:space="0" w:color="auto"/>
        <w:bottom w:val="none" w:sz="0" w:space="0" w:color="auto"/>
        <w:right w:val="none" w:sz="0" w:space="0" w:color="auto"/>
      </w:divBdr>
    </w:div>
    <w:div w:id="3485900">
      <w:marLeft w:val="0"/>
      <w:marRight w:val="0"/>
      <w:marTop w:val="60"/>
      <w:marBottom w:val="60"/>
      <w:divBdr>
        <w:top w:val="none" w:sz="0" w:space="0" w:color="auto"/>
        <w:left w:val="none" w:sz="0" w:space="0" w:color="auto"/>
        <w:bottom w:val="none" w:sz="0" w:space="0" w:color="auto"/>
        <w:right w:val="none" w:sz="0" w:space="0" w:color="auto"/>
      </w:divBdr>
    </w:div>
    <w:div w:id="3869698">
      <w:marLeft w:val="0"/>
      <w:marRight w:val="0"/>
      <w:marTop w:val="180"/>
      <w:marBottom w:val="180"/>
      <w:divBdr>
        <w:top w:val="none" w:sz="0" w:space="0" w:color="auto"/>
        <w:left w:val="none" w:sz="0" w:space="0" w:color="auto"/>
        <w:bottom w:val="none" w:sz="0" w:space="0" w:color="auto"/>
        <w:right w:val="none" w:sz="0" w:space="0" w:color="auto"/>
      </w:divBdr>
    </w:div>
    <w:div w:id="4134526">
      <w:marLeft w:val="0"/>
      <w:marRight w:val="0"/>
      <w:marTop w:val="180"/>
      <w:marBottom w:val="180"/>
      <w:divBdr>
        <w:top w:val="none" w:sz="0" w:space="0" w:color="auto"/>
        <w:left w:val="none" w:sz="0" w:space="0" w:color="auto"/>
        <w:bottom w:val="none" w:sz="0" w:space="0" w:color="auto"/>
        <w:right w:val="none" w:sz="0" w:space="0" w:color="auto"/>
      </w:divBdr>
    </w:div>
    <w:div w:id="6520308">
      <w:marLeft w:val="0"/>
      <w:marRight w:val="0"/>
      <w:marTop w:val="180"/>
      <w:marBottom w:val="180"/>
      <w:divBdr>
        <w:top w:val="none" w:sz="0" w:space="0" w:color="auto"/>
        <w:left w:val="none" w:sz="0" w:space="0" w:color="auto"/>
        <w:bottom w:val="none" w:sz="0" w:space="0" w:color="auto"/>
        <w:right w:val="none" w:sz="0" w:space="0" w:color="auto"/>
      </w:divBdr>
    </w:div>
    <w:div w:id="7370396">
      <w:marLeft w:val="0"/>
      <w:marRight w:val="0"/>
      <w:marTop w:val="0"/>
      <w:marBottom w:val="0"/>
      <w:divBdr>
        <w:top w:val="none" w:sz="0" w:space="0" w:color="auto"/>
        <w:left w:val="none" w:sz="0" w:space="0" w:color="auto"/>
        <w:bottom w:val="none" w:sz="0" w:space="0" w:color="auto"/>
        <w:right w:val="none" w:sz="0" w:space="0" w:color="auto"/>
      </w:divBdr>
      <w:divsChild>
        <w:div w:id="242448165">
          <w:marLeft w:val="0"/>
          <w:marRight w:val="0"/>
          <w:marTop w:val="0"/>
          <w:marBottom w:val="0"/>
          <w:divBdr>
            <w:top w:val="none" w:sz="0" w:space="0" w:color="auto"/>
            <w:left w:val="none" w:sz="0" w:space="0" w:color="auto"/>
            <w:bottom w:val="none" w:sz="0" w:space="0" w:color="auto"/>
            <w:right w:val="none" w:sz="0" w:space="0" w:color="auto"/>
          </w:divBdr>
          <w:divsChild>
            <w:div w:id="18470919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98466">
      <w:marLeft w:val="0"/>
      <w:marRight w:val="0"/>
      <w:marTop w:val="60"/>
      <w:marBottom w:val="60"/>
      <w:divBdr>
        <w:top w:val="none" w:sz="0" w:space="0" w:color="auto"/>
        <w:left w:val="none" w:sz="0" w:space="0" w:color="auto"/>
        <w:bottom w:val="none" w:sz="0" w:space="0" w:color="auto"/>
        <w:right w:val="none" w:sz="0" w:space="0" w:color="auto"/>
      </w:divBdr>
    </w:div>
    <w:div w:id="15544180">
      <w:marLeft w:val="0"/>
      <w:marRight w:val="0"/>
      <w:marTop w:val="0"/>
      <w:marBottom w:val="0"/>
      <w:divBdr>
        <w:top w:val="none" w:sz="0" w:space="0" w:color="auto"/>
        <w:left w:val="none" w:sz="0" w:space="0" w:color="auto"/>
        <w:bottom w:val="none" w:sz="0" w:space="0" w:color="auto"/>
        <w:right w:val="none" w:sz="0" w:space="0" w:color="auto"/>
      </w:divBdr>
    </w:div>
    <w:div w:id="15547984">
      <w:marLeft w:val="0"/>
      <w:marRight w:val="0"/>
      <w:marTop w:val="240"/>
      <w:marBottom w:val="180"/>
      <w:divBdr>
        <w:top w:val="none" w:sz="0" w:space="0" w:color="auto"/>
        <w:left w:val="none" w:sz="0" w:space="0" w:color="auto"/>
        <w:bottom w:val="none" w:sz="0" w:space="0" w:color="auto"/>
        <w:right w:val="none" w:sz="0" w:space="0" w:color="auto"/>
      </w:divBdr>
    </w:div>
    <w:div w:id="21825065">
      <w:marLeft w:val="0"/>
      <w:marRight w:val="0"/>
      <w:marTop w:val="180"/>
      <w:marBottom w:val="180"/>
      <w:divBdr>
        <w:top w:val="none" w:sz="0" w:space="0" w:color="auto"/>
        <w:left w:val="none" w:sz="0" w:space="0" w:color="auto"/>
        <w:bottom w:val="none" w:sz="0" w:space="0" w:color="auto"/>
        <w:right w:val="none" w:sz="0" w:space="0" w:color="auto"/>
      </w:divBdr>
    </w:div>
    <w:div w:id="22169258">
      <w:marLeft w:val="0"/>
      <w:marRight w:val="0"/>
      <w:marTop w:val="180"/>
      <w:marBottom w:val="180"/>
      <w:divBdr>
        <w:top w:val="none" w:sz="0" w:space="0" w:color="auto"/>
        <w:left w:val="none" w:sz="0" w:space="0" w:color="auto"/>
        <w:bottom w:val="none" w:sz="0" w:space="0" w:color="auto"/>
        <w:right w:val="none" w:sz="0" w:space="0" w:color="auto"/>
      </w:divBdr>
    </w:div>
    <w:div w:id="25756638">
      <w:marLeft w:val="0"/>
      <w:marRight w:val="0"/>
      <w:marTop w:val="0"/>
      <w:marBottom w:val="0"/>
      <w:divBdr>
        <w:top w:val="none" w:sz="0" w:space="0" w:color="auto"/>
        <w:left w:val="none" w:sz="0" w:space="0" w:color="auto"/>
        <w:bottom w:val="none" w:sz="0" w:space="0" w:color="auto"/>
        <w:right w:val="none" w:sz="0" w:space="0" w:color="auto"/>
      </w:divBdr>
      <w:divsChild>
        <w:div w:id="1422405999">
          <w:marLeft w:val="0"/>
          <w:marRight w:val="0"/>
          <w:marTop w:val="60"/>
          <w:marBottom w:val="60"/>
          <w:divBdr>
            <w:top w:val="none" w:sz="0" w:space="0" w:color="auto"/>
            <w:left w:val="none" w:sz="0" w:space="0" w:color="auto"/>
            <w:bottom w:val="none" w:sz="0" w:space="0" w:color="auto"/>
            <w:right w:val="none" w:sz="0" w:space="0" w:color="auto"/>
          </w:divBdr>
        </w:div>
      </w:divsChild>
    </w:div>
    <w:div w:id="26637115">
      <w:marLeft w:val="0"/>
      <w:marRight w:val="0"/>
      <w:marTop w:val="180"/>
      <w:marBottom w:val="180"/>
      <w:divBdr>
        <w:top w:val="none" w:sz="0" w:space="0" w:color="auto"/>
        <w:left w:val="none" w:sz="0" w:space="0" w:color="auto"/>
        <w:bottom w:val="none" w:sz="0" w:space="0" w:color="auto"/>
        <w:right w:val="none" w:sz="0" w:space="0" w:color="auto"/>
      </w:divBdr>
    </w:div>
    <w:div w:id="27267290">
      <w:marLeft w:val="0"/>
      <w:marRight w:val="0"/>
      <w:marTop w:val="60"/>
      <w:marBottom w:val="60"/>
      <w:divBdr>
        <w:top w:val="none" w:sz="0" w:space="0" w:color="auto"/>
        <w:left w:val="none" w:sz="0" w:space="0" w:color="auto"/>
        <w:bottom w:val="none" w:sz="0" w:space="0" w:color="auto"/>
        <w:right w:val="none" w:sz="0" w:space="0" w:color="auto"/>
      </w:divBdr>
    </w:div>
    <w:div w:id="28723249">
      <w:marLeft w:val="0"/>
      <w:marRight w:val="0"/>
      <w:marTop w:val="0"/>
      <w:marBottom w:val="0"/>
      <w:divBdr>
        <w:top w:val="none" w:sz="0" w:space="0" w:color="auto"/>
        <w:left w:val="none" w:sz="0" w:space="0" w:color="auto"/>
        <w:bottom w:val="none" w:sz="0" w:space="0" w:color="auto"/>
        <w:right w:val="none" w:sz="0" w:space="0" w:color="auto"/>
      </w:divBdr>
      <w:divsChild>
        <w:div w:id="986594708">
          <w:marLeft w:val="0"/>
          <w:marRight w:val="0"/>
          <w:marTop w:val="60"/>
          <w:marBottom w:val="60"/>
          <w:divBdr>
            <w:top w:val="none" w:sz="0" w:space="0" w:color="auto"/>
            <w:left w:val="none" w:sz="0" w:space="0" w:color="auto"/>
            <w:bottom w:val="none" w:sz="0" w:space="0" w:color="auto"/>
            <w:right w:val="none" w:sz="0" w:space="0" w:color="auto"/>
          </w:divBdr>
        </w:div>
      </w:divsChild>
    </w:div>
    <w:div w:id="30808867">
      <w:marLeft w:val="0"/>
      <w:marRight w:val="0"/>
      <w:marTop w:val="60"/>
      <w:marBottom w:val="60"/>
      <w:divBdr>
        <w:top w:val="none" w:sz="0" w:space="0" w:color="auto"/>
        <w:left w:val="none" w:sz="0" w:space="0" w:color="auto"/>
        <w:bottom w:val="none" w:sz="0" w:space="0" w:color="auto"/>
        <w:right w:val="none" w:sz="0" w:space="0" w:color="auto"/>
      </w:divBdr>
    </w:div>
    <w:div w:id="30959016">
      <w:marLeft w:val="0"/>
      <w:marRight w:val="0"/>
      <w:marTop w:val="220"/>
      <w:marBottom w:val="180"/>
      <w:divBdr>
        <w:top w:val="none" w:sz="0" w:space="0" w:color="auto"/>
        <w:left w:val="none" w:sz="0" w:space="0" w:color="auto"/>
        <w:bottom w:val="none" w:sz="0" w:space="0" w:color="auto"/>
        <w:right w:val="none" w:sz="0" w:space="0" w:color="auto"/>
      </w:divBdr>
    </w:div>
    <w:div w:id="33232864">
      <w:marLeft w:val="0"/>
      <w:marRight w:val="0"/>
      <w:marTop w:val="180"/>
      <w:marBottom w:val="180"/>
      <w:divBdr>
        <w:top w:val="none" w:sz="0" w:space="0" w:color="auto"/>
        <w:left w:val="none" w:sz="0" w:space="0" w:color="auto"/>
        <w:bottom w:val="none" w:sz="0" w:space="0" w:color="auto"/>
        <w:right w:val="none" w:sz="0" w:space="0" w:color="auto"/>
      </w:divBdr>
    </w:div>
    <w:div w:id="33697879">
      <w:marLeft w:val="0"/>
      <w:marRight w:val="0"/>
      <w:marTop w:val="60"/>
      <w:marBottom w:val="60"/>
      <w:divBdr>
        <w:top w:val="none" w:sz="0" w:space="0" w:color="auto"/>
        <w:left w:val="none" w:sz="0" w:space="0" w:color="auto"/>
        <w:bottom w:val="none" w:sz="0" w:space="0" w:color="auto"/>
        <w:right w:val="none" w:sz="0" w:space="0" w:color="auto"/>
      </w:divBdr>
    </w:div>
    <w:div w:id="33846246">
      <w:marLeft w:val="0"/>
      <w:marRight w:val="0"/>
      <w:marTop w:val="180"/>
      <w:marBottom w:val="180"/>
      <w:divBdr>
        <w:top w:val="none" w:sz="0" w:space="0" w:color="auto"/>
        <w:left w:val="none" w:sz="0" w:space="0" w:color="auto"/>
        <w:bottom w:val="none" w:sz="0" w:space="0" w:color="auto"/>
        <w:right w:val="none" w:sz="0" w:space="0" w:color="auto"/>
      </w:divBdr>
    </w:div>
    <w:div w:id="35666543">
      <w:marLeft w:val="0"/>
      <w:marRight w:val="0"/>
      <w:marTop w:val="0"/>
      <w:marBottom w:val="0"/>
      <w:divBdr>
        <w:top w:val="none" w:sz="0" w:space="0" w:color="auto"/>
        <w:left w:val="none" w:sz="0" w:space="0" w:color="auto"/>
        <w:bottom w:val="none" w:sz="0" w:space="0" w:color="auto"/>
        <w:right w:val="none" w:sz="0" w:space="0" w:color="auto"/>
      </w:divBdr>
    </w:div>
    <w:div w:id="35739913">
      <w:marLeft w:val="0"/>
      <w:marRight w:val="0"/>
      <w:marTop w:val="180"/>
      <w:marBottom w:val="180"/>
      <w:divBdr>
        <w:top w:val="none" w:sz="0" w:space="0" w:color="auto"/>
        <w:left w:val="none" w:sz="0" w:space="0" w:color="auto"/>
        <w:bottom w:val="none" w:sz="0" w:space="0" w:color="auto"/>
        <w:right w:val="none" w:sz="0" w:space="0" w:color="auto"/>
      </w:divBdr>
    </w:div>
    <w:div w:id="36008690">
      <w:marLeft w:val="0"/>
      <w:marRight w:val="0"/>
      <w:marTop w:val="180"/>
      <w:marBottom w:val="180"/>
      <w:divBdr>
        <w:top w:val="none" w:sz="0" w:space="0" w:color="auto"/>
        <w:left w:val="none" w:sz="0" w:space="0" w:color="auto"/>
        <w:bottom w:val="none" w:sz="0" w:space="0" w:color="auto"/>
        <w:right w:val="none" w:sz="0" w:space="0" w:color="auto"/>
      </w:divBdr>
    </w:div>
    <w:div w:id="38745659">
      <w:marLeft w:val="0"/>
      <w:marRight w:val="0"/>
      <w:marTop w:val="0"/>
      <w:marBottom w:val="0"/>
      <w:divBdr>
        <w:top w:val="none" w:sz="0" w:space="0" w:color="auto"/>
        <w:left w:val="none" w:sz="0" w:space="0" w:color="auto"/>
        <w:bottom w:val="none" w:sz="0" w:space="0" w:color="auto"/>
        <w:right w:val="none" w:sz="0" w:space="0" w:color="auto"/>
      </w:divBdr>
      <w:divsChild>
        <w:div w:id="1605114652">
          <w:marLeft w:val="0"/>
          <w:marRight w:val="0"/>
          <w:marTop w:val="0"/>
          <w:marBottom w:val="0"/>
          <w:divBdr>
            <w:top w:val="none" w:sz="0" w:space="0" w:color="auto"/>
            <w:left w:val="none" w:sz="0" w:space="0" w:color="auto"/>
            <w:bottom w:val="none" w:sz="0" w:space="0" w:color="auto"/>
            <w:right w:val="none" w:sz="0" w:space="0" w:color="auto"/>
          </w:divBdr>
          <w:divsChild>
            <w:div w:id="10136517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2367797">
      <w:marLeft w:val="0"/>
      <w:marRight w:val="0"/>
      <w:marTop w:val="0"/>
      <w:marBottom w:val="0"/>
      <w:divBdr>
        <w:top w:val="none" w:sz="0" w:space="0" w:color="auto"/>
        <w:left w:val="none" w:sz="0" w:space="0" w:color="auto"/>
        <w:bottom w:val="none" w:sz="0" w:space="0" w:color="auto"/>
        <w:right w:val="none" w:sz="0" w:space="0" w:color="auto"/>
      </w:divBdr>
      <w:divsChild>
        <w:div w:id="905916339">
          <w:marLeft w:val="0"/>
          <w:marRight w:val="0"/>
          <w:marTop w:val="60"/>
          <w:marBottom w:val="60"/>
          <w:divBdr>
            <w:top w:val="none" w:sz="0" w:space="0" w:color="auto"/>
            <w:left w:val="none" w:sz="0" w:space="0" w:color="auto"/>
            <w:bottom w:val="none" w:sz="0" w:space="0" w:color="auto"/>
            <w:right w:val="none" w:sz="0" w:space="0" w:color="auto"/>
          </w:divBdr>
        </w:div>
      </w:divsChild>
    </w:div>
    <w:div w:id="43456257">
      <w:marLeft w:val="0"/>
      <w:marRight w:val="0"/>
      <w:marTop w:val="60"/>
      <w:marBottom w:val="60"/>
      <w:divBdr>
        <w:top w:val="none" w:sz="0" w:space="0" w:color="auto"/>
        <w:left w:val="none" w:sz="0" w:space="0" w:color="auto"/>
        <w:bottom w:val="none" w:sz="0" w:space="0" w:color="auto"/>
        <w:right w:val="none" w:sz="0" w:space="0" w:color="auto"/>
      </w:divBdr>
    </w:div>
    <w:div w:id="44645851">
      <w:marLeft w:val="0"/>
      <w:marRight w:val="0"/>
      <w:marTop w:val="180"/>
      <w:marBottom w:val="180"/>
      <w:divBdr>
        <w:top w:val="none" w:sz="0" w:space="0" w:color="auto"/>
        <w:left w:val="none" w:sz="0" w:space="0" w:color="auto"/>
        <w:bottom w:val="none" w:sz="0" w:space="0" w:color="auto"/>
        <w:right w:val="none" w:sz="0" w:space="0" w:color="auto"/>
      </w:divBdr>
    </w:div>
    <w:div w:id="45760401">
      <w:marLeft w:val="0"/>
      <w:marRight w:val="0"/>
      <w:marTop w:val="100"/>
      <w:marBottom w:val="180"/>
      <w:divBdr>
        <w:top w:val="none" w:sz="0" w:space="0" w:color="auto"/>
        <w:left w:val="none" w:sz="0" w:space="0" w:color="auto"/>
        <w:bottom w:val="none" w:sz="0" w:space="0" w:color="auto"/>
        <w:right w:val="none" w:sz="0" w:space="0" w:color="auto"/>
      </w:divBdr>
    </w:div>
    <w:div w:id="47263639">
      <w:marLeft w:val="0"/>
      <w:marRight w:val="0"/>
      <w:marTop w:val="180"/>
      <w:marBottom w:val="180"/>
      <w:divBdr>
        <w:top w:val="none" w:sz="0" w:space="0" w:color="auto"/>
        <w:left w:val="none" w:sz="0" w:space="0" w:color="auto"/>
        <w:bottom w:val="none" w:sz="0" w:space="0" w:color="auto"/>
        <w:right w:val="none" w:sz="0" w:space="0" w:color="auto"/>
      </w:divBdr>
    </w:div>
    <w:div w:id="50005126">
      <w:marLeft w:val="0"/>
      <w:marRight w:val="0"/>
      <w:marTop w:val="60"/>
      <w:marBottom w:val="60"/>
      <w:divBdr>
        <w:top w:val="none" w:sz="0" w:space="0" w:color="auto"/>
        <w:left w:val="none" w:sz="0" w:space="0" w:color="auto"/>
        <w:bottom w:val="none" w:sz="0" w:space="0" w:color="auto"/>
        <w:right w:val="none" w:sz="0" w:space="0" w:color="auto"/>
      </w:divBdr>
    </w:div>
    <w:div w:id="50928721">
      <w:marLeft w:val="0"/>
      <w:marRight w:val="0"/>
      <w:marTop w:val="180"/>
      <w:marBottom w:val="60"/>
      <w:divBdr>
        <w:top w:val="none" w:sz="0" w:space="0" w:color="auto"/>
        <w:left w:val="none" w:sz="0" w:space="0" w:color="auto"/>
        <w:bottom w:val="none" w:sz="0" w:space="0" w:color="auto"/>
        <w:right w:val="none" w:sz="0" w:space="0" w:color="auto"/>
      </w:divBdr>
    </w:div>
    <w:div w:id="53043365">
      <w:marLeft w:val="0"/>
      <w:marRight w:val="0"/>
      <w:marTop w:val="180"/>
      <w:marBottom w:val="180"/>
      <w:divBdr>
        <w:top w:val="none" w:sz="0" w:space="0" w:color="auto"/>
        <w:left w:val="none" w:sz="0" w:space="0" w:color="auto"/>
        <w:bottom w:val="none" w:sz="0" w:space="0" w:color="auto"/>
        <w:right w:val="none" w:sz="0" w:space="0" w:color="auto"/>
      </w:divBdr>
    </w:div>
    <w:div w:id="53088671">
      <w:marLeft w:val="0"/>
      <w:marRight w:val="0"/>
      <w:marTop w:val="180"/>
      <w:marBottom w:val="180"/>
      <w:divBdr>
        <w:top w:val="none" w:sz="0" w:space="0" w:color="auto"/>
        <w:left w:val="none" w:sz="0" w:space="0" w:color="auto"/>
        <w:bottom w:val="none" w:sz="0" w:space="0" w:color="auto"/>
        <w:right w:val="none" w:sz="0" w:space="0" w:color="auto"/>
      </w:divBdr>
    </w:div>
    <w:div w:id="53814528">
      <w:marLeft w:val="0"/>
      <w:marRight w:val="0"/>
      <w:marTop w:val="0"/>
      <w:marBottom w:val="15"/>
      <w:divBdr>
        <w:top w:val="none" w:sz="0" w:space="0" w:color="auto"/>
        <w:left w:val="none" w:sz="0" w:space="0" w:color="auto"/>
        <w:bottom w:val="none" w:sz="0" w:space="0" w:color="auto"/>
        <w:right w:val="none" w:sz="0" w:space="0" w:color="auto"/>
      </w:divBdr>
    </w:div>
    <w:div w:id="54090449">
      <w:marLeft w:val="0"/>
      <w:marRight w:val="0"/>
      <w:marTop w:val="60"/>
      <w:marBottom w:val="60"/>
      <w:divBdr>
        <w:top w:val="none" w:sz="0" w:space="0" w:color="auto"/>
        <w:left w:val="none" w:sz="0" w:space="0" w:color="auto"/>
        <w:bottom w:val="none" w:sz="0" w:space="0" w:color="auto"/>
        <w:right w:val="none" w:sz="0" w:space="0" w:color="auto"/>
      </w:divBdr>
    </w:div>
    <w:div w:id="54207480">
      <w:marLeft w:val="0"/>
      <w:marRight w:val="0"/>
      <w:marTop w:val="60"/>
      <w:marBottom w:val="60"/>
      <w:divBdr>
        <w:top w:val="none" w:sz="0" w:space="0" w:color="auto"/>
        <w:left w:val="none" w:sz="0" w:space="0" w:color="auto"/>
        <w:bottom w:val="none" w:sz="0" w:space="0" w:color="auto"/>
        <w:right w:val="none" w:sz="0" w:space="0" w:color="auto"/>
      </w:divBdr>
    </w:div>
    <w:div w:id="55015805">
      <w:marLeft w:val="0"/>
      <w:marRight w:val="0"/>
      <w:marTop w:val="0"/>
      <w:marBottom w:val="0"/>
      <w:divBdr>
        <w:top w:val="none" w:sz="0" w:space="0" w:color="auto"/>
        <w:left w:val="none" w:sz="0" w:space="0" w:color="auto"/>
        <w:bottom w:val="none" w:sz="0" w:space="0" w:color="auto"/>
        <w:right w:val="none" w:sz="0" w:space="0" w:color="auto"/>
      </w:divBdr>
      <w:divsChild>
        <w:div w:id="1246188136">
          <w:marLeft w:val="0"/>
          <w:marRight w:val="0"/>
          <w:marTop w:val="0"/>
          <w:marBottom w:val="0"/>
          <w:divBdr>
            <w:top w:val="none" w:sz="0" w:space="0" w:color="auto"/>
            <w:left w:val="none" w:sz="0" w:space="0" w:color="auto"/>
            <w:bottom w:val="none" w:sz="0" w:space="0" w:color="auto"/>
            <w:right w:val="none" w:sz="0" w:space="0" w:color="auto"/>
          </w:divBdr>
          <w:divsChild>
            <w:div w:id="14568698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786717">
      <w:marLeft w:val="0"/>
      <w:marRight w:val="0"/>
      <w:marTop w:val="100"/>
      <w:marBottom w:val="100"/>
      <w:divBdr>
        <w:top w:val="none" w:sz="0" w:space="0" w:color="auto"/>
        <w:left w:val="none" w:sz="0" w:space="0" w:color="auto"/>
        <w:bottom w:val="none" w:sz="0" w:space="0" w:color="auto"/>
        <w:right w:val="none" w:sz="0" w:space="0" w:color="auto"/>
      </w:divBdr>
      <w:divsChild>
        <w:div w:id="1176991319">
          <w:marLeft w:val="0"/>
          <w:marRight w:val="0"/>
          <w:marTop w:val="0"/>
          <w:marBottom w:val="0"/>
          <w:divBdr>
            <w:top w:val="none" w:sz="0" w:space="0" w:color="auto"/>
            <w:left w:val="none" w:sz="0" w:space="0" w:color="auto"/>
            <w:bottom w:val="none" w:sz="0" w:space="0" w:color="auto"/>
            <w:right w:val="none" w:sz="0" w:space="0" w:color="auto"/>
          </w:divBdr>
        </w:div>
        <w:div w:id="546651296">
          <w:marLeft w:val="0"/>
          <w:marRight w:val="0"/>
          <w:marTop w:val="0"/>
          <w:marBottom w:val="0"/>
          <w:divBdr>
            <w:top w:val="none" w:sz="0" w:space="0" w:color="auto"/>
            <w:left w:val="none" w:sz="0" w:space="0" w:color="auto"/>
            <w:bottom w:val="none" w:sz="0" w:space="0" w:color="auto"/>
            <w:right w:val="none" w:sz="0" w:space="0" w:color="auto"/>
          </w:divBdr>
        </w:div>
      </w:divsChild>
    </w:div>
    <w:div w:id="57680287">
      <w:marLeft w:val="0"/>
      <w:marRight w:val="0"/>
      <w:marTop w:val="0"/>
      <w:marBottom w:val="0"/>
      <w:divBdr>
        <w:top w:val="none" w:sz="0" w:space="0" w:color="auto"/>
        <w:left w:val="none" w:sz="0" w:space="0" w:color="auto"/>
        <w:bottom w:val="none" w:sz="0" w:space="0" w:color="auto"/>
        <w:right w:val="none" w:sz="0" w:space="0" w:color="auto"/>
      </w:divBdr>
      <w:divsChild>
        <w:div w:id="862785971">
          <w:marLeft w:val="0"/>
          <w:marRight w:val="0"/>
          <w:marTop w:val="0"/>
          <w:marBottom w:val="0"/>
          <w:divBdr>
            <w:top w:val="none" w:sz="0" w:space="0" w:color="auto"/>
            <w:left w:val="none" w:sz="0" w:space="0" w:color="auto"/>
            <w:bottom w:val="none" w:sz="0" w:space="0" w:color="auto"/>
            <w:right w:val="none" w:sz="0" w:space="0" w:color="auto"/>
          </w:divBdr>
          <w:divsChild>
            <w:div w:id="10873850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8941737">
      <w:marLeft w:val="0"/>
      <w:marRight w:val="0"/>
      <w:marTop w:val="180"/>
      <w:marBottom w:val="180"/>
      <w:divBdr>
        <w:top w:val="none" w:sz="0" w:space="0" w:color="auto"/>
        <w:left w:val="none" w:sz="0" w:space="0" w:color="auto"/>
        <w:bottom w:val="none" w:sz="0" w:space="0" w:color="auto"/>
        <w:right w:val="none" w:sz="0" w:space="0" w:color="auto"/>
      </w:divBdr>
    </w:div>
    <w:div w:id="61147600">
      <w:marLeft w:val="0"/>
      <w:marRight w:val="0"/>
      <w:marTop w:val="180"/>
      <w:marBottom w:val="180"/>
      <w:divBdr>
        <w:top w:val="none" w:sz="0" w:space="0" w:color="auto"/>
        <w:left w:val="none" w:sz="0" w:space="0" w:color="auto"/>
        <w:bottom w:val="none" w:sz="0" w:space="0" w:color="auto"/>
        <w:right w:val="none" w:sz="0" w:space="0" w:color="auto"/>
      </w:divBdr>
    </w:div>
    <w:div w:id="66726455">
      <w:marLeft w:val="0"/>
      <w:marRight w:val="0"/>
      <w:marTop w:val="180"/>
      <w:marBottom w:val="180"/>
      <w:divBdr>
        <w:top w:val="none" w:sz="0" w:space="0" w:color="auto"/>
        <w:left w:val="none" w:sz="0" w:space="0" w:color="auto"/>
        <w:bottom w:val="none" w:sz="0" w:space="0" w:color="auto"/>
        <w:right w:val="none" w:sz="0" w:space="0" w:color="auto"/>
      </w:divBdr>
    </w:div>
    <w:div w:id="67070436">
      <w:marLeft w:val="0"/>
      <w:marRight w:val="0"/>
      <w:marTop w:val="0"/>
      <w:marBottom w:val="0"/>
      <w:divBdr>
        <w:top w:val="none" w:sz="0" w:space="0" w:color="auto"/>
        <w:left w:val="none" w:sz="0" w:space="0" w:color="auto"/>
        <w:bottom w:val="none" w:sz="0" w:space="0" w:color="auto"/>
        <w:right w:val="none" w:sz="0" w:space="0" w:color="auto"/>
      </w:divBdr>
      <w:divsChild>
        <w:div w:id="249320290">
          <w:marLeft w:val="0"/>
          <w:marRight w:val="0"/>
          <w:marTop w:val="0"/>
          <w:marBottom w:val="0"/>
          <w:divBdr>
            <w:top w:val="none" w:sz="0" w:space="0" w:color="auto"/>
            <w:left w:val="none" w:sz="0" w:space="0" w:color="auto"/>
            <w:bottom w:val="none" w:sz="0" w:space="0" w:color="auto"/>
            <w:right w:val="none" w:sz="0" w:space="0" w:color="auto"/>
          </w:divBdr>
          <w:divsChild>
            <w:div w:id="16656201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7116127">
      <w:marLeft w:val="0"/>
      <w:marRight w:val="0"/>
      <w:marTop w:val="180"/>
      <w:marBottom w:val="180"/>
      <w:divBdr>
        <w:top w:val="none" w:sz="0" w:space="0" w:color="auto"/>
        <w:left w:val="none" w:sz="0" w:space="0" w:color="auto"/>
        <w:bottom w:val="none" w:sz="0" w:space="0" w:color="auto"/>
        <w:right w:val="none" w:sz="0" w:space="0" w:color="auto"/>
      </w:divBdr>
    </w:div>
    <w:div w:id="67927521">
      <w:marLeft w:val="0"/>
      <w:marRight w:val="0"/>
      <w:marTop w:val="180"/>
      <w:marBottom w:val="160"/>
      <w:divBdr>
        <w:top w:val="none" w:sz="0" w:space="0" w:color="auto"/>
        <w:left w:val="none" w:sz="0" w:space="0" w:color="auto"/>
        <w:bottom w:val="none" w:sz="0" w:space="0" w:color="auto"/>
        <w:right w:val="none" w:sz="0" w:space="0" w:color="auto"/>
      </w:divBdr>
      <w:divsChild>
        <w:div w:id="2135058611">
          <w:marLeft w:val="0"/>
          <w:marRight w:val="0"/>
          <w:marTop w:val="0"/>
          <w:marBottom w:val="0"/>
          <w:divBdr>
            <w:top w:val="none" w:sz="0" w:space="0" w:color="auto"/>
            <w:left w:val="none" w:sz="0" w:space="0" w:color="auto"/>
            <w:bottom w:val="none" w:sz="0" w:space="0" w:color="auto"/>
            <w:right w:val="none" w:sz="0" w:space="0" w:color="auto"/>
          </w:divBdr>
        </w:div>
      </w:divsChild>
    </w:div>
    <w:div w:id="69623969">
      <w:marLeft w:val="0"/>
      <w:marRight w:val="0"/>
      <w:marTop w:val="0"/>
      <w:marBottom w:val="0"/>
      <w:divBdr>
        <w:top w:val="none" w:sz="0" w:space="0" w:color="auto"/>
        <w:left w:val="none" w:sz="0" w:space="0" w:color="auto"/>
        <w:bottom w:val="none" w:sz="0" w:space="0" w:color="auto"/>
        <w:right w:val="none" w:sz="0" w:space="0" w:color="auto"/>
      </w:divBdr>
      <w:divsChild>
        <w:div w:id="267544560">
          <w:marLeft w:val="0"/>
          <w:marRight w:val="0"/>
          <w:marTop w:val="0"/>
          <w:marBottom w:val="0"/>
          <w:divBdr>
            <w:top w:val="none" w:sz="0" w:space="0" w:color="auto"/>
            <w:left w:val="none" w:sz="0" w:space="0" w:color="auto"/>
            <w:bottom w:val="none" w:sz="0" w:space="0" w:color="auto"/>
            <w:right w:val="none" w:sz="0" w:space="0" w:color="auto"/>
          </w:divBdr>
          <w:divsChild>
            <w:div w:id="7946378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0272280">
      <w:marLeft w:val="0"/>
      <w:marRight w:val="0"/>
      <w:marTop w:val="180"/>
      <w:marBottom w:val="180"/>
      <w:divBdr>
        <w:top w:val="none" w:sz="0" w:space="0" w:color="auto"/>
        <w:left w:val="none" w:sz="0" w:space="0" w:color="auto"/>
        <w:bottom w:val="none" w:sz="0" w:space="0" w:color="auto"/>
        <w:right w:val="none" w:sz="0" w:space="0" w:color="auto"/>
      </w:divBdr>
    </w:div>
    <w:div w:id="70351437">
      <w:marLeft w:val="0"/>
      <w:marRight w:val="0"/>
      <w:marTop w:val="180"/>
      <w:marBottom w:val="180"/>
      <w:divBdr>
        <w:top w:val="none" w:sz="0" w:space="0" w:color="auto"/>
        <w:left w:val="none" w:sz="0" w:space="0" w:color="auto"/>
        <w:bottom w:val="none" w:sz="0" w:space="0" w:color="auto"/>
        <w:right w:val="none" w:sz="0" w:space="0" w:color="auto"/>
      </w:divBdr>
    </w:div>
    <w:div w:id="71582450">
      <w:marLeft w:val="0"/>
      <w:marRight w:val="0"/>
      <w:marTop w:val="180"/>
      <w:marBottom w:val="60"/>
      <w:divBdr>
        <w:top w:val="none" w:sz="0" w:space="0" w:color="auto"/>
        <w:left w:val="none" w:sz="0" w:space="0" w:color="auto"/>
        <w:bottom w:val="none" w:sz="0" w:space="0" w:color="auto"/>
        <w:right w:val="none" w:sz="0" w:space="0" w:color="auto"/>
      </w:divBdr>
    </w:div>
    <w:div w:id="74712450">
      <w:marLeft w:val="0"/>
      <w:marRight w:val="0"/>
      <w:marTop w:val="180"/>
      <w:marBottom w:val="180"/>
      <w:divBdr>
        <w:top w:val="none" w:sz="0" w:space="0" w:color="auto"/>
        <w:left w:val="none" w:sz="0" w:space="0" w:color="auto"/>
        <w:bottom w:val="none" w:sz="0" w:space="0" w:color="auto"/>
        <w:right w:val="none" w:sz="0" w:space="0" w:color="auto"/>
      </w:divBdr>
    </w:div>
    <w:div w:id="74865788">
      <w:marLeft w:val="0"/>
      <w:marRight w:val="0"/>
      <w:marTop w:val="0"/>
      <w:marBottom w:val="0"/>
      <w:divBdr>
        <w:top w:val="none" w:sz="0" w:space="0" w:color="auto"/>
        <w:left w:val="none" w:sz="0" w:space="0" w:color="auto"/>
        <w:bottom w:val="none" w:sz="0" w:space="0" w:color="auto"/>
        <w:right w:val="none" w:sz="0" w:space="0" w:color="auto"/>
      </w:divBdr>
      <w:divsChild>
        <w:div w:id="2062241214">
          <w:marLeft w:val="0"/>
          <w:marRight w:val="0"/>
          <w:marTop w:val="60"/>
          <w:marBottom w:val="60"/>
          <w:divBdr>
            <w:top w:val="none" w:sz="0" w:space="0" w:color="auto"/>
            <w:left w:val="none" w:sz="0" w:space="0" w:color="auto"/>
            <w:bottom w:val="none" w:sz="0" w:space="0" w:color="auto"/>
            <w:right w:val="none" w:sz="0" w:space="0" w:color="auto"/>
          </w:divBdr>
        </w:div>
      </w:divsChild>
    </w:div>
    <w:div w:id="75052848">
      <w:marLeft w:val="0"/>
      <w:marRight w:val="0"/>
      <w:marTop w:val="60"/>
      <w:marBottom w:val="60"/>
      <w:divBdr>
        <w:top w:val="none" w:sz="0" w:space="0" w:color="auto"/>
        <w:left w:val="none" w:sz="0" w:space="0" w:color="auto"/>
        <w:bottom w:val="none" w:sz="0" w:space="0" w:color="auto"/>
        <w:right w:val="none" w:sz="0" w:space="0" w:color="auto"/>
      </w:divBdr>
    </w:div>
    <w:div w:id="75248728">
      <w:marLeft w:val="0"/>
      <w:marRight w:val="0"/>
      <w:marTop w:val="60"/>
      <w:marBottom w:val="60"/>
      <w:divBdr>
        <w:top w:val="none" w:sz="0" w:space="0" w:color="auto"/>
        <w:left w:val="none" w:sz="0" w:space="0" w:color="auto"/>
        <w:bottom w:val="none" w:sz="0" w:space="0" w:color="auto"/>
        <w:right w:val="none" w:sz="0" w:space="0" w:color="auto"/>
      </w:divBdr>
      <w:divsChild>
        <w:div w:id="679695297">
          <w:marLeft w:val="0"/>
          <w:marRight w:val="0"/>
          <w:marTop w:val="0"/>
          <w:marBottom w:val="0"/>
          <w:divBdr>
            <w:top w:val="none" w:sz="0" w:space="0" w:color="auto"/>
            <w:left w:val="none" w:sz="0" w:space="0" w:color="auto"/>
            <w:bottom w:val="none" w:sz="0" w:space="0" w:color="auto"/>
            <w:right w:val="none" w:sz="0" w:space="0" w:color="auto"/>
          </w:divBdr>
        </w:div>
        <w:div w:id="564413833">
          <w:marLeft w:val="0"/>
          <w:marRight w:val="0"/>
          <w:marTop w:val="0"/>
          <w:marBottom w:val="0"/>
          <w:divBdr>
            <w:top w:val="none" w:sz="0" w:space="0" w:color="auto"/>
            <w:left w:val="none" w:sz="0" w:space="0" w:color="auto"/>
            <w:bottom w:val="none" w:sz="0" w:space="0" w:color="auto"/>
            <w:right w:val="none" w:sz="0" w:space="0" w:color="auto"/>
          </w:divBdr>
        </w:div>
        <w:div w:id="1183591908">
          <w:marLeft w:val="0"/>
          <w:marRight w:val="0"/>
          <w:marTop w:val="0"/>
          <w:marBottom w:val="0"/>
          <w:divBdr>
            <w:top w:val="none" w:sz="0" w:space="0" w:color="auto"/>
            <w:left w:val="none" w:sz="0" w:space="0" w:color="auto"/>
            <w:bottom w:val="none" w:sz="0" w:space="0" w:color="auto"/>
            <w:right w:val="none" w:sz="0" w:space="0" w:color="auto"/>
          </w:divBdr>
        </w:div>
        <w:div w:id="230123122">
          <w:marLeft w:val="0"/>
          <w:marRight w:val="0"/>
          <w:marTop w:val="0"/>
          <w:marBottom w:val="0"/>
          <w:divBdr>
            <w:top w:val="none" w:sz="0" w:space="0" w:color="auto"/>
            <w:left w:val="none" w:sz="0" w:space="0" w:color="auto"/>
            <w:bottom w:val="none" w:sz="0" w:space="0" w:color="auto"/>
            <w:right w:val="none" w:sz="0" w:space="0" w:color="auto"/>
          </w:divBdr>
        </w:div>
        <w:div w:id="1003240618">
          <w:marLeft w:val="0"/>
          <w:marRight w:val="0"/>
          <w:marTop w:val="0"/>
          <w:marBottom w:val="0"/>
          <w:divBdr>
            <w:top w:val="none" w:sz="0" w:space="0" w:color="auto"/>
            <w:left w:val="none" w:sz="0" w:space="0" w:color="auto"/>
            <w:bottom w:val="none" w:sz="0" w:space="0" w:color="auto"/>
            <w:right w:val="none" w:sz="0" w:space="0" w:color="auto"/>
          </w:divBdr>
        </w:div>
        <w:div w:id="1466660032">
          <w:marLeft w:val="0"/>
          <w:marRight w:val="0"/>
          <w:marTop w:val="0"/>
          <w:marBottom w:val="0"/>
          <w:divBdr>
            <w:top w:val="none" w:sz="0" w:space="0" w:color="auto"/>
            <w:left w:val="none" w:sz="0" w:space="0" w:color="auto"/>
            <w:bottom w:val="none" w:sz="0" w:space="0" w:color="auto"/>
            <w:right w:val="none" w:sz="0" w:space="0" w:color="auto"/>
          </w:divBdr>
        </w:div>
      </w:divsChild>
    </w:div>
    <w:div w:id="75632690">
      <w:marLeft w:val="0"/>
      <w:marRight w:val="0"/>
      <w:marTop w:val="60"/>
      <w:marBottom w:val="60"/>
      <w:divBdr>
        <w:top w:val="none" w:sz="0" w:space="0" w:color="auto"/>
        <w:left w:val="none" w:sz="0" w:space="0" w:color="auto"/>
        <w:bottom w:val="none" w:sz="0" w:space="0" w:color="auto"/>
        <w:right w:val="none" w:sz="0" w:space="0" w:color="auto"/>
      </w:divBdr>
    </w:div>
    <w:div w:id="75708478">
      <w:marLeft w:val="0"/>
      <w:marRight w:val="0"/>
      <w:marTop w:val="180"/>
      <w:marBottom w:val="180"/>
      <w:divBdr>
        <w:top w:val="none" w:sz="0" w:space="0" w:color="auto"/>
        <w:left w:val="none" w:sz="0" w:space="0" w:color="auto"/>
        <w:bottom w:val="none" w:sz="0" w:space="0" w:color="auto"/>
        <w:right w:val="none" w:sz="0" w:space="0" w:color="auto"/>
      </w:divBdr>
    </w:div>
    <w:div w:id="78330453">
      <w:marLeft w:val="0"/>
      <w:marRight w:val="0"/>
      <w:marTop w:val="180"/>
      <w:marBottom w:val="180"/>
      <w:divBdr>
        <w:top w:val="none" w:sz="0" w:space="0" w:color="auto"/>
        <w:left w:val="none" w:sz="0" w:space="0" w:color="auto"/>
        <w:bottom w:val="none" w:sz="0" w:space="0" w:color="auto"/>
        <w:right w:val="none" w:sz="0" w:space="0" w:color="auto"/>
      </w:divBdr>
    </w:div>
    <w:div w:id="78645564">
      <w:marLeft w:val="0"/>
      <w:marRight w:val="0"/>
      <w:marTop w:val="180"/>
      <w:marBottom w:val="180"/>
      <w:divBdr>
        <w:top w:val="none" w:sz="0" w:space="0" w:color="auto"/>
        <w:left w:val="none" w:sz="0" w:space="0" w:color="auto"/>
        <w:bottom w:val="none" w:sz="0" w:space="0" w:color="auto"/>
        <w:right w:val="none" w:sz="0" w:space="0" w:color="auto"/>
      </w:divBdr>
    </w:div>
    <w:div w:id="81875491">
      <w:marLeft w:val="0"/>
      <w:marRight w:val="0"/>
      <w:marTop w:val="180"/>
      <w:marBottom w:val="180"/>
      <w:divBdr>
        <w:top w:val="none" w:sz="0" w:space="0" w:color="auto"/>
        <w:left w:val="none" w:sz="0" w:space="0" w:color="auto"/>
        <w:bottom w:val="none" w:sz="0" w:space="0" w:color="auto"/>
        <w:right w:val="none" w:sz="0" w:space="0" w:color="auto"/>
      </w:divBdr>
    </w:div>
    <w:div w:id="81950610">
      <w:marLeft w:val="0"/>
      <w:marRight w:val="0"/>
      <w:marTop w:val="180"/>
      <w:marBottom w:val="180"/>
      <w:divBdr>
        <w:top w:val="none" w:sz="0" w:space="0" w:color="auto"/>
        <w:left w:val="none" w:sz="0" w:space="0" w:color="auto"/>
        <w:bottom w:val="none" w:sz="0" w:space="0" w:color="auto"/>
        <w:right w:val="none" w:sz="0" w:space="0" w:color="auto"/>
      </w:divBdr>
    </w:div>
    <w:div w:id="84109937">
      <w:marLeft w:val="0"/>
      <w:marRight w:val="0"/>
      <w:marTop w:val="60"/>
      <w:marBottom w:val="60"/>
      <w:divBdr>
        <w:top w:val="none" w:sz="0" w:space="0" w:color="auto"/>
        <w:left w:val="none" w:sz="0" w:space="0" w:color="auto"/>
        <w:bottom w:val="none" w:sz="0" w:space="0" w:color="auto"/>
        <w:right w:val="none" w:sz="0" w:space="0" w:color="auto"/>
      </w:divBdr>
      <w:divsChild>
        <w:div w:id="1028407046">
          <w:marLeft w:val="0"/>
          <w:marRight w:val="0"/>
          <w:marTop w:val="0"/>
          <w:marBottom w:val="0"/>
          <w:divBdr>
            <w:top w:val="none" w:sz="0" w:space="0" w:color="auto"/>
            <w:left w:val="none" w:sz="0" w:space="0" w:color="auto"/>
            <w:bottom w:val="none" w:sz="0" w:space="0" w:color="auto"/>
            <w:right w:val="none" w:sz="0" w:space="0" w:color="auto"/>
          </w:divBdr>
        </w:div>
        <w:div w:id="1604457854">
          <w:marLeft w:val="0"/>
          <w:marRight w:val="0"/>
          <w:marTop w:val="0"/>
          <w:marBottom w:val="0"/>
          <w:divBdr>
            <w:top w:val="none" w:sz="0" w:space="0" w:color="auto"/>
            <w:left w:val="none" w:sz="0" w:space="0" w:color="auto"/>
            <w:bottom w:val="none" w:sz="0" w:space="0" w:color="auto"/>
            <w:right w:val="none" w:sz="0" w:space="0" w:color="auto"/>
          </w:divBdr>
        </w:div>
      </w:divsChild>
    </w:div>
    <w:div w:id="86123036">
      <w:marLeft w:val="0"/>
      <w:marRight w:val="0"/>
      <w:marTop w:val="60"/>
      <w:marBottom w:val="60"/>
      <w:divBdr>
        <w:top w:val="none" w:sz="0" w:space="0" w:color="auto"/>
        <w:left w:val="none" w:sz="0" w:space="0" w:color="auto"/>
        <w:bottom w:val="none" w:sz="0" w:space="0" w:color="auto"/>
        <w:right w:val="none" w:sz="0" w:space="0" w:color="auto"/>
      </w:divBdr>
    </w:div>
    <w:div w:id="86191927">
      <w:marLeft w:val="0"/>
      <w:marRight w:val="0"/>
      <w:marTop w:val="100"/>
      <w:marBottom w:val="100"/>
      <w:divBdr>
        <w:top w:val="none" w:sz="0" w:space="0" w:color="auto"/>
        <w:left w:val="none" w:sz="0" w:space="0" w:color="auto"/>
        <w:bottom w:val="none" w:sz="0" w:space="0" w:color="auto"/>
        <w:right w:val="none" w:sz="0" w:space="0" w:color="auto"/>
      </w:divBdr>
    </w:div>
    <w:div w:id="87893065">
      <w:marLeft w:val="0"/>
      <w:marRight w:val="0"/>
      <w:marTop w:val="180"/>
      <w:marBottom w:val="180"/>
      <w:divBdr>
        <w:top w:val="none" w:sz="0" w:space="0" w:color="auto"/>
        <w:left w:val="none" w:sz="0" w:space="0" w:color="auto"/>
        <w:bottom w:val="none" w:sz="0" w:space="0" w:color="auto"/>
        <w:right w:val="none" w:sz="0" w:space="0" w:color="auto"/>
      </w:divBdr>
    </w:div>
    <w:div w:id="87971278">
      <w:marLeft w:val="0"/>
      <w:marRight w:val="0"/>
      <w:marTop w:val="180"/>
      <w:marBottom w:val="180"/>
      <w:divBdr>
        <w:top w:val="none" w:sz="0" w:space="0" w:color="auto"/>
        <w:left w:val="none" w:sz="0" w:space="0" w:color="auto"/>
        <w:bottom w:val="none" w:sz="0" w:space="0" w:color="auto"/>
        <w:right w:val="none" w:sz="0" w:space="0" w:color="auto"/>
      </w:divBdr>
    </w:div>
    <w:div w:id="89594577">
      <w:marLeft w:val="0"/>
      <w:marRight w:val="0"/>
      <w:marTop w:val="180"/>
      <w:marBottom w:val="180"/>
      <w:divBdr>
        <w:top w:val="none" w:sz="0" w:space="0" w:color="auto"/>
        <w:left w:val="none" w:sz="0" w:space="0" w:color="auto"/>
        <w:bottom w:val="none" w:sz="0" w:space="0" w:color="auto"/>
        <w:right w:val="none" w:sz="0" w:space="0" w:color="auto"/>
      </w:divBdr>
    </w:div>
    <w:div w:id="90510858">
      <w:marLeft w:val="0"/>
      <w:marRight w:val="0"/>
      <w:marTop w:val="0"/>
      <w:marBottom w:val="0"/>
      <w:divBdr>
        <w:top w:val="none" w:sz="0" w:space="0" w:color="auto"/>
        <w:left w:val="none" w:sz="0" w:space="0" w:color="auto"/>
        <w:bottom w:val="none" w:sz="0" w:space="0" w:color="auto"/>
        <w:right w:val="none" w:sz="0" w:space="0" w:color="auto"/>
      </w:divBdr>
      <w:divsChild>
        <w:div w:id="783812161">
          <w:marLeft w:val="0"/>
          <w:marRight w:val="0"/>
          <w:marTop w:val="0"/>
          <w:marBottom w:val="0"/>
          <w:divBdr>
            <w:top w:val="none" w:sz="0" w:space="0" w:color="auto"/>
            <w:left w:val="none" w:sz="0" w:space="0" w:color="auto"/>
            <w:bottom w:val="none" w:sz="0" w:space="0" w:color="auto"/>
            <w:right w:val="none" w:sz="0" w:space="0" w:color="auto"/>
          </w:divBdr>
          <w:divsChild>
            <w:div w:id="1264410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525859">
      <w:marLeft w:val="0"/>
      <w:marRight w:val="0"/>
      <w:marTop w:val="180"/>
      <w:marBottom w:val="60"/>
      <w:divBdr>
        <w:top w:val="none" w:sz="0" w:space="0" w:color="auto"/>
        <w:left w:val="none" w:sz="0" w:space="0" w:color="auto"/>
        <w:bottom w:val="none" w:sz="0" w:space="0" w:color="auto"/>
        <w:right w:val="none" w:sz="0" w:space="0" w:color="auto"/>
      </w:divBdr>
    </w:div>
    <w:div w:id="94518114">
      <w:marLeft w:val="0"/>
      <w:marRight w:val="0"/>
      <w:marTop w:val="0"/>
      <w:marBottom w:val="0"/>
      <w:divBdr>
        <w:top w:val="none" w:sz="0" w:space="0" w:color="auto"/>
        <w:left w:val="none" w:sz="0" w:space="0" w:color="auto"/>
        <w:bottom w:val="none" w:sz="0" w:space="0" w:color="auto"/>
        <w:right w:val="none" w:sz="0" w:space="0" w:color="auto"/>
      </w:divBdr>
    </w:div>
    <w:div w:id="98304712">
      <w:marLeft w:val="0"/>
      <w:marRight w:val="0"/>
      <w:marTop w:val="60"/>
      <w:marBottom w:val="60"/>
      <w:divBdr>
        <w:top w:val="none" w:sz="0" w:space="0" w:color="auto"/>
        <w:left w:val="none" w:sz="0" w:space="0" w:color="auto"/>
        <w:bottom w:val="none" w:sz="0" w:space="0" w:color="auto"/>
        <w:right w:val="none" w:sz="0" w:space="0" w:color="auto"/>
      </w:divBdr>
    </w:div>
    <w:div w:id="98529641">
      <w:marLeft w:val="0"/>
      <w:marRight w:val="0"/>
      <w:marTop w:val="180"/>
      <w:marBottom w:val="180"/>
      <w:divBdr>
        <w:top w:val="none" w:sz="0" w:space="0" w:color="auto"/>
        <w:left w:val="none" w:sz="0" w:space="0" w:color="auto"/>
        <w:bottom w:val="none" w:sz="0" w:space="0" w:color="auto"/>
        <w:right w:val="none" w:sz="0" w:space="0" w:color="auto"/>
      </w:divBdr>
    </w:div>
    <w:div w:id="98961262">
      <w:marLeft w:val="0"/>
      <w:marRight w:val="0"/>
      <w:marTop w:val="180"/>
      <w:marBottom w:val="180"/>
      <w:divBdr>
        <w:top w:val="none" w:sz="0" w:space="0" w:color="auto"/>
        <w:left w:val="none" w:sz="0" w:space="0" w:color="auto"/>
        <w:bottom w:val="none" w:sz="0" w:space="0" w:color="auto"/>
        <w:right w:val="none" w:sz="0" w:space="0" w:color="auto"/>
      </w:divBdr>
    </w:div>
    <w:div w:id="101337731">
      <w:marLeft w:val="0"/>
      <w:marRight w:val="0"/>
      <w:marTop w:val="0"/>
      <w:marBottom w:val="0"/>
      <w:divBdr>
        <w:top w:val="none" w:sz="0" w:space="0" w:color="auto"/>
        <w:left w:val="none" w:sz="0" w:space="0" w:color="auto"/>
        <w:bottom w:val="none" w:sz="0" w:space="0" w:color="auto"/>
        <w:right w:val="none" w:sz="0" w:space="0" w:color="auto"/>
      </w:divBdr>
    </w:div>
    <w:div w:id="103237832">
      <w:marLeft w:val="0"/>
      <w:marRight w:val="0"/>
      <w:marTop w:val="60"/>
      <w:marBottom w:val="60"/>
      <w:divBdr>
        <w:top w:val="none" w:sz="0" w:space="0" w:color="auto"/>
        <w:left w:val="none" w:sz="0" w:space="0" w:color="auto"/>
        <w:bottom w:val="none" w:sz="0" w:space="0" w:color="auto"/>
        <w:right w:val="none" w:sz="0" w:space="0" w:color="auto"/>
      </w:divBdr>
    </w:div>
    <w:div w:id="105776275">
      <w:marLeft w:val="0"/>
      <w:marRight w:val="0"/>
      <w:marTop w:val="60"/>
      <w:marBottom w:val="60"/>
      <w:divBdr>
        <w:top w:val="none" w:sz="0" w:space="0" w:color="auto"/>
        <w:left w:val="none" w:sz="0" w:space="0" w:color="auto"/>
        <w:bottom w:val="none" w:sz="0" w:space="0" w:color="auto"/>
        <w:right w:val="none" w:sz="0" w:space="0" w:color="auto"/>
      </w:divBdr>
    </w:div>
    <w:div w:id="106580788">
      <w:marLeft w:val="0"/>
      <w:marRight w:val="0"/>
      <w:marTop w:val="180"/>
      <w:marBottom w:val="180"/>
      <w:divBdr>
        <w:top w:val="none" w:sz="0" w:space="0" w:color="auto"/>
        <w:left w:val="none" w:sz="0" w:space="0" w:color="auto"/>
        <w:bottom w:val="none" w:sz="0" w:space="0" w:color="auto"/>
        <w:right w:val="none" w:sz="0" w:space="0" w:color="auto"/>
      </w:divBdr>
    </w:div>
    <w:div w:id="106632260">
      <w:marLeft w:val="0"/>
      <w:marRight w:val="0"/>
      <w:marTop w:val="180"/>
      <w:marBottom w:val="60"/>
      <w:divBdr>
        <w:top w:val="none" w:sz="0" w:space="0" w:color="auto"/>
        <w:left w:val="none" w:sz="0" w:space="0" w:color="auto"/>
        <w:bottom w:val="none" w:sz="0" w:space="0" w:color="auto"/>
        <w:right w:val="none" w:sz="0" w:space="0" w:color="auto"/>
      </w:divBdr>
    </w:div>
    <w:div w:id="106891139">
      <w:marLeft w:val="0"/>
      <w:marRight w:val="0"/>
      <w:marTop w:val="180"/>
      <w:marBottom w:val="60"/>
      <w:divBdr>
        <w:top w:val="none" w:sz="0" w:space="0" w:color="auto"/>
        <w:left w:val="none" w:sz="0" w:space="0" w:color="auto"/>
        <w:bottom w:val="none" w:sz="0" w:space="0" w:color="auto"/>
        <w:right w:val="none" w:sz="0" w:space="0" w:color="auto"/>
      </w:divBdr>
    </w:div>
    <w:div w:id="107051133">
      <w:marLeft w:val="0"/>
      <w:marRight w:val="0"/>
      <w:marTop w:val="60"/>
      <w:marBottom w:val="60"/>
      <w:divBdr>
        <w:top w:val="none" w:sz="0" w:space="0" w:color="auto"/>
        <w:left w:val="none" w:sz="0" w:space="0" w:color="auto"/>
        <w:bottom w:val="none" w:sz="0" w:space="0" w:color="auto"/>
        <w:right w:val="none" w:sz="0" w:space="0" w:color="auto"/>
      </w:divBdr>
    </w:div>
    <w:div w:id="109595071">
      <w:marLeft w:val="0"/>
      <w:marRight w:val="0"/>
      <w:marTop w:val="180"/>
      <w:marBottom w:val="180"/>
      <w:divBdr>
        <w:top w:val="none" w:sz="0" w:space="0" w:color="auto"/>
        <w:left w:val="none" w:sz="0" w:space="0" w:color="auto"/>
        <w:bottom w:val="none" w:sz="0" w:space="0" w:color="auto"/>
        <w:right w:val="none" w:sz="0" w:space="0" w:color="auto"/>
      </w:divBdr>
    </w:div>
    <w:div w:id="109788640">
      <w:marLeft w:val="0"/>
      <w:marRight w:val="0"/>
      <w:marTop w:val="60"/>
      <w:marBottom w:val="60"/>
      <w:divBdr>
        <w:top w:val="none" w:sz="0" w:space="0" w:color="auto"/>
        <w:left w:val="none" w:sz="0" w:space="0" w:color="auto"/>
        <w:bottom w:val="none" w:sz="0" w:space="0" w:color="auto"/>
        <w:right w:val="none" w:sz="0" w:space="0" w:color="auto"/>
      </w:divBdr>
    </w:div>
    <w:div w:id="113641470">
      <w:marLeft w:val="0"/>
      <w:marRight w:val="0"/>
      <w:marTop w:val="0"/>
      <w:marBottom w:val="0"/>
      <w:divBdr>
        <w:top w:val="none" w:sz="0" w:space="0" w:color="auto"/>
        <w:left w:val="none" w:sz="0" w:space="0" w:color="auto"/>
        <w:bottom w:val="none" w:sz="0" w:space="0" w:color="auto"/>
        <w:right w:val="none" w:sz="0" w:space="0" w:color="auto"/>
      </w:divBdr>
    </w:div>
    <w:div w:id="113908064">
      <w:marLeft w:val="0"/>
      <w:marRight w:val="0"/>
      <w:marTop w:val="180"/>
      <w:marBottom w:val="180"/>
      <w:divBdr>
        <w:top w:val="none" w:sz="0" w:space="0" w:color="auto"/>
        <w:left w:val="none" w:sz="0" w:space="0" w:color="auto"/>
        <w:bottom w:val="none" w:sz="0" w:space="0" w:color="auto"/>
        <w:right w:val="none" w:sz="0" w:space="0" w:color="auto"/>
      </w:divBdr>
    </w:div>
    <w:div w:id="114523223">
      <w:marLeft w:val="0"/>
      <w:marRight w:val="0"/>
      <w:marTop w:val="180"/>
      <w:marBottom w:val="180"/>
      <w:divBdr>
        <w:top w:val="none" w:sz="0" w:space="0" w:color="auto"/>
        <w:left w:val="none" w:sz="0" w:space="0" w:color="auto"/>
        <w:bottom w:val="none" w:sz="0" w:space="0" w:color="auto"/>
        <w:right w:val="none" w:sz="0" w:space="0" w:color="auto"/>
      </w:divBdr>
    </w:div>
    <w:div w:id="115803689">
      <w:marLeft w:val="0"/>
      <w:marRight w:val="0"/>
      <w:marTop w:val="60"/>
      <w:marBottom w:val="60"/>
      <w:divBdr>
        <w:top w:val="none" w:sz="0" w:space="0" w:color="auto"/>
        <w:left w:val="none" w:sz="0" w:space="0" w:color="auto"/>
        <w:bottom w:val="none" w:sz="0" w:space="0" w:color="auto"/>
        <w:right w:val="none" w:sz="0" w:space="0" w:color="auto"/>
      </w:divBdr>
    </w:div>
    <w:div w:id="116799979">
      <w:marLeft w:val="0"/>
      <w:marRight w:val="0"/>
      <w:marTop w:val="0"/>
      <w:marBottom w:val="0"/>
      <w:divBdr>
        <w:top w:val="none" w:sz="0" w:space="0" w:color="auto"/>
        <w:left w:val="none" w:sz="0" w:space="0" w:color="auto"/>
        <w:bottom w:val="none" w:sz="0" w:space="0" w:color="auto"/>
        <w:right w:val="none" w:sz="0" w:space="0" w:color="auto"/>
      </w:divBdr>
      <w:divsChild>
        <w:div w:id="1273704995">
          <w:marLeft w:val="0"/>
          <w:marRight w:val="0"/>
          <w:marTop w:val="60"/>
          <w:marBottom w:val="60"/>
          <w:divBdr>
            <w:top w:val="none" w:sz="0" w:space="0" w:color="auto"/>
            <w:left w:val="none" w:sz="0" w:space="0" w:color="auto"/>
            <w:bottom w:val="none" w:sz="0" w:space="0" w:color="auto"/>
            <w:right w:val="none" w:sz="0" w:space="0" w:color="auto"/>
          </w:divBdr>
        </w:div>
      </w:divsChild>
    </w:div>
    <w:div w:id="117380765">
      <w:marLeft w:val="0"/>
      <w:marRight w:val="0"/>
      <w:marTop w:val="180"/>
      <w:marBottom w:val="180"/>
      <w:divBdr>
        <w:top w:val="none" w:sz="0" w:space="0" w:color="auto"/>
        <w:left w:val="none" w:sz="0" w:space="0" w:color="auto"/>
        <w:bottom w:val="none" w:sz="0" w:space="0" w:color="auto"/>
        <w:right w:val="none" w:sz="0" w:space="0" w:color="auto"/>
      </w:divBdr>
    </w:div>
    <w:div w:id="118501997">
      <w:marLeft w:val="0"/>
      <w:marRight w:val="0"/>
      <w:marTop w:val="0"/>
      <w:marBottom w:val="15"/>
      <w:divBdr>
        <w:top w:val="none" w:sz="0" w:space="0" w:color="auto"/>
        <w:left w:val="none" w:sz="0" w:space="0" w:color="auto"/>
        <w:bottom w:val="none" w:sz="0" w:space="0" w:color="auto"/>
        <w:right w:val="none" w:sz="0" w:space="0" w:color="auto"/>
      </w:divBdr>
    </w:div>
    <w:div w:id="118693522">
      <w:marLeft w:val="0"/>
      <w:marRight w:val="0"/>
      <w:marTop w:val="180"/>
      <w:marBottom w:val="180"/>
      <w:divBdr>
        <w:top w:val="none" w:sz="0" w:space="0" w:color="auto"/>
        <w:left w:val="none" w:sz="0" w:space="0" w:color="auto"/>
        <w:bottom w:val="none" w:sz="0" w:space="0" w:color="auto"/>
        <w:right w:val="none" w:sz="0" w:space="0" w:color="auto"/>
      </w:divBdr>
    </w:div>
    <w:div w:id="119421280">
      <w:marLeft w:val="0"/>
      <w:marRight w:val="0"/>
      <w:marTop w:val="180"/>
      <w:marBottom w:val="180"/>
      <w:divBdr>
        <w:top w:val="none" w:sz="0" w:space="0" w:color="auto"/>
        <w:left w:val="none" w:sz="0" w:space="0" w:color="auto"/>
        <w:bottom w:val="none" w:sz="0" w:space="0" w:color="auto"/>
        <w:right w:val="none" w:sz="0" w:space="0" w:color="auto"/>
      </w:divBdr>
    </w:div>
    <w:div w:id="119569015">
      <w:marLeft w:val="0"/>
      <w:marRight w:val="0"/>
      <w:marTop w:val="180"/>
      <w:marBottom w:val="180"/>
      <w:divBdr>
        <w:top w:val="none" w:sz="0" w:space="0" w:color="auto"/>
        <w:left w:val="none" w:sz="0" w:space="0" w:color="auto"/>
        <w:bottom w:val="none" w:sz="0" w:space="0" w:color="auto"/>
        <w:right w:val="none" w:sz="0" w:space="0" w:color="auto"/>
      </w:divBdr>
    </w:div>
    <w:div w:id="122889152">
      <w:marLeft w:val="0"/>
      <w:marRight w:val="0"/>
      <w:marTop w:val="180"/>
      <w:marBottom w:val="180"/>
      <w:divBdr>
        <w:top w:val="none" w:sz="0" w:space="0" w:color="auto"/>
        <w:left w:val="none" w:sz="0" w:space="0" w:color="auto"/>
        <w:bottom w:val="none" w:sz="0" w:space="0" w:color="auto"/>
        <w:right w:val="none" w:sz="0" w:space="0" w:color="auto"/>
      </w:divBdr>
    </w:div>
    <w:div w:id="123043553">
      <w:marLeft w:val="0"/>
      <w:marRight w:val="0"/>
      <w:marTop w:val="60"/>
      <w:marBottom w:val="60"/>
      <w:divBdr>
        <w:top w:val="none" w:sz="0" w:space="0" w:color="auto"/>
        <w:left w:val="none" w:sz="0" w:space="0" w:color="auto"/>
        <w:bottom w:val="none" w:sz="0" w:space="0" w:color="auto"/>
        <w:right w:val="none" w:sz="0" w:space="0" w:color="auto"/>
      </w:divBdr>
    </w:div>
    <w:div w:id="124860361">
      <w:marLeft w:val="0"/>
      <w:marRight w:val="0"/>
      <w:marTop w:val="60"/>
      <w:marBottom w:val="60"/>
      <w:divBdr>
        <w:top w:val="none" w:sz="0" w:space="0" w:color="auto"/>
        <w:left w:val="none" w:sz="0" w:space="0" w:color="auto"/>
        <w:bottom w:val="none" w:sz="0" w:space="0" w:color="auto"/>
        <w:right w:val="none" w:sz="0" w:space="0" w:color="auto"/>
      </w:divBdr>
    </w:div>
    <w:div w:id="126629245">
      <w:marLeft w:val="0"/>
      <w:marRight w:val="0"/>
      <w:marTop w:val="180"/>
      <w:marBottom w:val="180"/>
      <w:divBdr>
        <w:top w:val="none" w:sz="0" w:space="0" w:color="auto"/>
        <w:left w:val="none" w:sz="0" w:space="0" w:color="auto"/>
        <w:bottom w:val="none" w:sz="0" w:space="0" w:color="auto"/>
        <w:right w:val="none" w:sz="0" w:space="0" w:color="auto"/>
      </w:divBdr>
    </w:div>
    <w:div w:id="127095252">
      <w:marLeft w:val="0"/>
      <w:marRight w:val="0"/>
      <w:marTop w:val="100"/>
      <w:marBottom w:val="100"/>
      <w:divBdr>
        <w:top w:val="none" w:sz="0" w:space="0" w:color="auto"/>
        <w:left w:val="none" w:sz="0" w:space="0" w:color="auto"/>
        <w:bottom w:val="none" w:sz="0" w:space="0" w:color="auto"/>
        <w:right w:val="none" w:sz="0" w:space="0" w:color="auto"/>
      </w:divBdr>
    </w:div>
    <w:div w:id="129978193">
      <w:marLeft w:val="0"/>
      <w:marRight w:val="0"/>
      <w:marTop w:val="60"/>
      <w:marBottom w:val="60"/>
      <w:divBdr>
        <w:top w:val="none" w:sz="0" w:space="0" w:color="auto"/>
        <w:left w:val="none" w:sz="0" w:space="0" w:color="auto"/>
        <w:bottom w:val="none" w:sz="0" w:space="0" w:color="auto"/>
        <w:right w:val="none" w:sz="0" w:space="0" w:color="auto"/>
      </w:divBdr>
    </w:div>
    <w:div w:id="129981027">
      <w:marLeft w:val="0"/>
      <w:marRight w:val="0"/>
      <w:marTop w:val="100"/>
      <w:marBottom w:val="100"/>
      <w:divBdr>
        <w:top w:val="none" w:sz="0" w:space="0" w:color="auto"/>
        <w:left w:val="none" w:sz="0" w:space="0" w:color="auto"/>
        <w:bottom w:val="none" w:sz="0" w:space="0" w:color="auto"/>
        <w:right w:val="none" w:sz="0" w:space="0" w:color="auto"/>
      </w:divBdr>
    </w:div>
    <w:div w:id="133839610">
      <w:marLeft w:val="0"/>
      <w:marRight w:val="0"/>
      <w:marTop w:val="180"/>
      <w:marBottom w:val="180"/>
      <w:divBdr>
        <w:top w:val="none" w:sz="0" w:space="0" w:color="auto"/>
        <w:left w:val="none" w:sz="0" w:space="0" w:color="auto"/>
        <w:bottom w:val="none" w:sz="0" w:space="0" w:color="auto"/>
        <w:right w:val="none" w:sz="0" w:space="0" w:color="auto"/>
      </w:divBdr>
    </w:div>
    <w:div w:id="135100626">
      <w:marLeft w:val="0"/>
      <w:marRight w:val="0"/>
      <w:marTop w:val="180"/>
      <w:marBottom w:val="180"/>
      <w:divBdr>
        <w:top w:val="none" w:sz="0" w:space="0" w:color="auto"/>
        <w:left w:val="none" w:sz="0" w:space="0" w:color="auto"/>
        <w:bottom w:val="none" w:sz="0" w:space="0" w:color="auto"/>
        <w:right w:val="none" w:sz="0" w:space="0" w:color="auto"/>
      </w:divBdr>
    </w:div>
    <w:div w:id="135420698">
      <w:marLeft w:val="0"/>
      <w:marRight w:val="0"/>
      <w:marTop w:val="180"/>
      <w:marBottom w:val="180"/>
      <w:divBdr>
        <w:top w:val="none" w:sz="0" w:space="0" w:color="auto"/>
        <w:left w:val="none" w:sz="0" w:space="0" w:color="auto"/>
        <w:bottom w:val="none" w:sz="0" w:space="0" w:color="auto"/>
        <w:right w:val="none" w:sz="0" w:space="0" w:color="auto"/>
      </w:divBdr>
    </w:div>
    <w:div w:id="135613701">
      <w:marLeft w:val="0"/>
      <w:marRight w:val="0"/>
      <w:marTop w:val="180"/>
      <w:marBottom w:val="180"/>
      <w:divBdr>
        <w:top w:val="none" w:sz="0" w:space="0" w:color="auto"/>
        <w:left w:val="none" w:sz="0" w:space="0" w:color="auto"/>
        <w:bottom w:val="none" w:sz="0" w:space="0" w:color="auto"/>
        <w:right w:val="none" w:sz="0" w:space="0" w:color="auto"/>
      </w:divBdr>
    </w:div>
    <w:div w:id="137306981">
      <w:marLeft w:val="0"/>
      <w:marRight w:val="0"/>
      <w:marTop w:val="0"/>
      <w:marBottom w:val="0"/>
      <w:divBdr>
        <w:top w:val="none" w:sz="0" w:space="0" w:color="auto"/>
        <w:left w:val="none" w:sz="0" w:space="0" w:color="auto"/>
        <w:bottom w:val="none" w:sz="0" w:space="0" w:color="auto"/>
        <w:right w:val="none" w:sz="0" w:space="0" w:color="auto"/>
      </w:divBdr>
    </w:div>
    <w:div w:id="138227471">
      <w:marLeft w:val="0"/>
      <w:marRight w:val="0"/>
      <w:marTop w:val="100"/>
      <w:marBottom w:val="100"/>
      <w:divBdr>
        <w:top w:val="none" w:sz="0" w:space="0" w:color="auto"/>
        <w:left w:val="none" w:sz="0" w:space="0" w:color="auto"/>
        <w:bottom w:val="none" w:sz="0" w:space="0" w:color="auto"/>
        <w:right w:val="none" w:sz="0" w:space="0" w:color="auto"/>
      </w:divBdr>
      <w:divsChild>
        <w:div w:id="366756639">
          <w:marLeft w:val="0"/>
          <w:marRight w:val="0"/>
          <w:marTop w:val="0"/>
          <w:marBottom w:val="0"/>
          <w:divBdr>
            <w:top w:val="none" w:sz="0" w:space="0" w:color="auto"/>
            <w:left w:val="none" w:sz="0" w:space="0" w:color="auto"/>
            <w:bottom w:val="none" w:sz="0" w:space="0" w:color="auto"/>
            <w:right w:val="none" w:sz="0" w:space="0" w:color="auto"/>
          </w:divBdr>
        </w:div>
        <w:div w:id="459156516">
          <w:marLeft w:val="0"/>
          <w:marRight w:val="0"/>
          <w:marTop w:val="0"/>
          <w:marBottom w:val="0"/>
          <w:divBdr>
            <w:top w:val="none" w:sz="0" w:space="0" w:color="auto"/>
            <w:left w:val="none" w:sz="0" w:space="0" w:color="auto"/>
            <w:bottom w:val="none" w:sz="0" w:space="0" w:color="auto"/>
            <w:right w:val="none" w:sz="0" w:space="0" w:color="auto"/>
          </w:divBdr>
        </w:div>
        <w:div w:id="129902704">
          <w:marLeft w:val="0"/>
          <w:marRight w:val="0"/>
          <w:marTop w:val="0"/>
          <w:marBottom w:val="0"/>
          <w:divBdr>
            <w:top w:val="none" w:sz="0" w:space="0" w:color="auto"/>
            <w:left w:val="none" w:sz="0" w:space="0" w:color="auto"/>
            <w:bottom w:val="none" w:sz="0" w:space="0" w:color="auto"/>
            <w:right w:val="none" w:sz="0" w:space="0" w:color="auto"/>
          </w:divBdr>
        </w:div>
        <w:div w:id="1683628004">
          <w:marLeft w:val="0"/>
          <w:marRight w:val="0"/>
          <w:marTop w:val="0"/>
          <w:marBottom w:val="0"/>
          <w:divBdr>
            <w:top w:val="none" w:sz="0" w:space="0" w:color="auto"/>
            <w:left w:val="none" w:sz="0" w:space="0" w:color="auto"/>
            <w:bottom w:val="none" w:sz="0" w:space="0" w:color="auto"/>
            <w:right w:val="none" w:sz="0" w:space="0" w:color="auto"/>
          </w:divBdr>
        </w:div>
        <w:div w:id="67852118">
          <w:marLeft w:val="0"/>
          <w:marRight w:val="0"/>
          <w:marTop w:val="0"/>
          <w:marBottom w:val="0"/>
          <w:divBdr>
            <w:top w:val="none" w:sz="0" w:space="0" w:color="auto"/>
            <w:left w:val="none" w:sz="0" w:space="0" w:color="auto"/>
            <w:bottom w:val="none" w:sz="0" w:space="0" w:color="auto"/>
            <w:right w:val="none" w:sz="0" w:space="0" w:color="auto"/>
          </w:divBdr>
        </w:div>
        <w:div w:id="651131751">
          <w:marLeft w:val="0"/>
          <w:marRight w:val="0"/>
          <w:marTop w:val="0"/>
          <w:marBottom w:val="0"/>
          <w:divBdr>
            <w:top w:val="none" w:sz="0" w:space="0" w:color="auto"/>
            <w:left w:val="none" w:sz="0" w:space="0" w:color="auto"/>
            <w:bottom w:val="none" w:sz="0" w:space="0" w:color="auto"/>
            <w:right w:val="none" w:sz="0" w:space="0" w:color="auto"/>
          </w:divBdr>
        </w:div>
        <w:div w:id="1174733386">
          <w:marLeft w:val="0"/>
          <w:marRight w:val="0"/>
          <w:marTop w:val="0"/>
          <w:marBottom w:val="0"/>
          <w:divBdr>
            <w:top w:val="none" w:sz="0" w:space="0" w:color="auto"/>
            <w:left w:val="none" w:sz="0" w:space="0" w:color="auto"/>
            <w:bottom w:val="none" w:sz="0" w:space="0" w:color="auto"/>
            <w:right w:val="none" w:sz="0" w:space="0" w:color="auto"/>
          </w:divBdr>
        </w:div>
        <w:div w:id="1429037304">
          <w:marLeft w:val="0"/>
          <w:marRight w:val="0"/>
          <w:marTop w:val="0"/>
          <w:marBottom w:val="0"/>
          <w:divBdr>
            <w:top w:val="none" w:sz="0" w:space="0" w:color="auto"/>
            <w:left w:val="none" w:sz="0" w:space="0" w:color="auto"/>
            <w:bottom w:val="none" w:sz="0" w:space="0" w:color="auto"/>
            <w:right w:val="none" w:sz="0" w:space="0" w:color="auto"/>
          </w:divBdr>
        </w:div>
        <w:div w:id="1042250276">
          <w:marLeft w:val="0"/>
          <w:marRight w:val="0"/>
          <w:marTop w:val="0"/>
          <w:marBottom w:val="0"/>
          <w:divBdr>
            <w:top w:val="none" w:sz="0" w:space="0" w:color="auto"/>
            <w:left w:val="none" w:sz="0" w:space="0" w:color="auto"/>
            <w:bottom w:val="none" w:sz="0" w:space="0" w:color="auto"/>
            <w:right w:val="none" w:sz="0" w:space="0" w:color="auto"/>
          </w:divBdr>
        </w:div>
        <w:div w:id="1871449026">
          <w:marLeft w:val="0"/>
          <w:marRight w:val="0"/>
          <w:marTop w:val="0"/>
          <w:marBottom w:val="0"/>
          <w:divBdr>
            <w:top w:val="none" w:sz="0" w:space="0" w:color="auto"/>
            <w:left w:val="none" w:sz="0" w:space="0" w:color="auto"/>
            <w:bottom w:val="none" w:sz="0" w:space="0" w:color="auto"/>
            <w:right w:val="none" w:sz="0" w:space="0" w:color="auto"/>
          </w:divBdr>
        </w:div>
        <w:div w:id="634144483">
          <w:marLeft w:val="0"/>
          <w:marRight w:val="0"/>
          <w:marTop w:val="0"/>
          <w:marBottom w:val="0"/>
          <w:divBdr>
            <w:top w:val="none" w:sz="0" w:space="0" w:color="auto"/>
            <w:left w:val="none" w:sz="0" w:space="0" w:color="auto"/>
            <w:bottom w:val="none" w:sz="0" w:space="0" w:color="auto"/>
            <w:right w:val="none" w:sz="0" w:space="0" w:color="auto"/>
          </w:divBdr>
        </w:div>
        <w:div w:id="175579532">
          <w:marLeft w:val="0"/>
          <w:marRight w:val="0"/>
          <w:marTop w:val="0"/>
          <w:marBottom w:val="0"/>
          <w:divBdr>
            <w:top w:val="none" w:sz="0" w:space="0" w:color="auto"/>
            <w:left w:val="none" w:sz="0" w:space="0" w:color="auto"/>
            <w:bottom w:val="none" w:sz="0" w:space="0" w:color="auto"/>
            <w:right w:val="none" w:sz="0" w:space="0" w:color="auto"/>
          </w:divBdr>
        </w:div>
        <w:div w:id="271203557">
          <w:marLeft w:val="0"/>
          <w:marRight w:val="0"/>
          <w:marTop w:val="0"/>
          <w:marBottom w:val="0"/>
          <w:divBdr>
            <w:top w:val="none" w:sz="0" w:space="0" w:color="auto"/>
            <w:left w:val="none" w:sz="0" w:space="0" w:color="auto"/>
            <w:bottom w:val="none" w:sz="0" w:space="0" w:color="auto"/>
            <w:right w:val="none" w:sz="0" w:space="0" w:color="auto"/>
          </w:divBdr>
        </w:div>
        <w:div w:id="1227495751">
          <w:marLeft w:val="0"/>
          <w:marRight w:val="0"/>
          <w:marTop w:val="0"/>
          <w:marBottom w:val="0"/>
          <w:divBdr>
            <w:top w:val="none" w:sz="0" w:space="0" w:color="auto"/>
            <w:left w:val="none" w:sz="0" w:space="0" w:color="auto"/>
            <w:bottom w:val="none" w:sz="0" w:space="0" w:color="auto"/>
            <w:right w:val="none" w:sz="0" w:space="0" w:color="auto"/>
          </w:divBdr>
        </w:div>
        <w:div w:id="1427846315">
          <w:marLeft w:val="0"/>
          <w:marRight w:val="0"/>
          <w:marTop w:val="0"/>
          <w:marBottom w:val="0"/>
          <w:divBdr>
            <w:top w:val="none" w:sz="0" w:space="0" w:color="auto"/>
            <w:left w:val="none" w:sz="0" w:space="0" w:color="auto"/>
            <w:bottom w:val="none" w:sz="0" w:space="0" w:color="auto"/>
            <w:right w:val="none" w:sz="0" w:space="0" w:color="auto"/>
          </w:divBdr>
        </w:div>
        <w:div w:id="748428733">
          <w:marLeft w:val="0"/>
          <w:marRight w:val="0"/>
          <w:marTop w:val="0"/>
          <w:marBottom w:val="0"/>
          <w:divBdr>
            <w:top w:val="none" w:sz="0" w:space="0" w:color="auto"/>
            <w:left w:val="none" w:sz="0" w:space="0" w:color="auto"/>
            <w:bottom w:val="none" w:sz="0" w:space="0" w:color="auto"/>
            <w:right w:val="none" w:sz="0" w:space="0" w:color="auto"/>
          </w:divBdr>
        </w:div>
      </w:divsChild>
    </w:div>
    <w:div w:id="140124651">
      <w:marLeft w:val="0"/>
      <w:marRight w:val="0"/>
      <w:marTop w:val="180"/>
      <w:marBottom w:val="180"/>
      <w:divBdr>
        <w:top w:val="none" w:sz="0" w:space="0" w:color="auto"/>
        <w:left w:val="none" w:sz="0" w:space="0" w:color="auto"/>
        <w:bottom w:val="none" w:sz="0" w:space="0" w:color="auto"/>
        <w:right w:val="none" w:sz="0" w:space="0" w:color="auto"/>
      </w:divBdr>
    </w:div>
    <w:div w:id="143543981">
      <w:marLeft w:val="0"/>
      <w:marRight w:val="0"/>
      <w:marTop w:val="180"/>
      <w:marBottom w:val="180"/>
      <w:divBdr>
        <w:top w:val="none" w:sz="0" w:space="0" w:color="auto"/>
        <w:left w:val="none" w:sz="0" w:space="0" w:color="auto"/>
        <w:bottom w:val="none" w:sz="0" w:space="0" w:color="auto"/>
        <w:right w:val="none" w:sz="0" w:space="0" w:color="auto"/>
      </w:divBdr>
    </w:div>
    <w:div w:id="143857526">
      <w:marLeft w:val="0"/>
      <w:marRight w:val="0"/>
      <w:marTop w:val="180"/>
      <w:marBottom w:val="180"/>
      <w:divBdr>
        <w:top w:val="none" w:sz="0" w:space="0" w:color="auto"/>
        <w:left w:val="none" w:sz="0" w:space="0" w:color="auto"/>
        <w:bottom w:val="none" w:sz="0" w:space="0" w:color="auto"/>
        <w:right w:val="none" w:sz="0" w:space="0" w:color="auto"/>
      </w:divBdr>
    </w:div>
    <w:div w:id="145172897">
      <w:marLeft w:val="0"/>
      <w:marRight w:val="0"/>
      <w:marTop w:val="0"/>
      <w:marBottom w:val="0"/>
      <w:divBdr>
        <w:top w:val="none" w:sz="0" w:space="0" w:color="auto"/>
        <w:left w:val="none" w:sz="0" w:space="0" w:color="auto"/>
        <w:bottom w:val="none" w:sz="0" w:space="0" w:color="auto"/>
        <w:right w:val="none" w:sz="0" w:space="0" w:color="auto"/>
      </w:divBdr>
      <w:divsChild>
        <w:div w:id="201750363">
          <w:marLeft w:val="0"/>
          <w:marRight w:val="0"/>
          <w:marTop w:val="0"/>
          <w:marBottom w:val="0"/>
          <w:divBdr>
            <w:top w:val="none" w:sz="0" w:space="0" w:color="auto"/>
            <w:left w:val="none" w:sz="0" w:space="0" w:color="auto"/>
            <w:bottom w:val="none" w:sz="0" w:space="0" w:color="auto"/>
            <w:right w:val="none" w:sz="0" w:space="0" w:color="auto"/>
          </w:divBdr>
          <w:divsChild>
            <w:div w:id="2396045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095362">
      <w:marLeft w:val="0"/>
      <w:marRight w:val="0"/>
      <w:marTop w:val="180"/>
      <w:marBottom w:val="180"/>
      <w:divBdr>
        <w:top w:val="none" w:sz="0" w:space="0" w:color="auto"/>
        <w:left w:val="none" w:sz="0" w:space="0" w:color="auto"/>
        <w:bottom w:val="none" w:sz="0" w:space="0" w:color="auto"/>
        <w:right w:val="none" w:sz="0" w:space="0" w:color="auto"/>
      </w:divBdr>
    </w:div>
    <w:div w:id="146551421">
      <w:marLeft w:val="0"/>
      <w:marRight w:val="0"/>
      <w:marTop w:val="100"/>
      <w:marBottom w:val="100"/>
      <w:divBdr>
        <w:top w:val="none" w:sz="0" w:space="0" w:color="auto"/>
        <w:left w:val="none" w:sz="0" w:space="0" w:color="auto"/>
        <w:bottom w:val="none" w:sz="0" w:space="0" w:color="auto"/>
        <w:right w:val="none" w:sz="0" w:space="0" w:color="auto"/>
      </w:divBdr>
    </w:div>
    <w:div w:id="147794537">
      <w:marLeft w:val="0"/>
      <w:marRight w:val="0"/>
      <w:marTop w:val="0"/>
      <w:marBottom w:val="0"/>
      <w:divBdr>
        <w:top w:val="none" w:sz="0" w:space="0" w:color="auto"/>
        <w:left w:val="none" w:sz="0" w:space="0" w:color="auto"/>
        <w:bottom w:val="none" w:sz="0" w:space="0" w:color="auto"/>
        <w:right w:val="none" w:sz="0" w:space="0" w:color="auto"/>
      </w:divBdr>
    </w:div>
    <w:div w:id="149758060">
      <w:marLeft w:val="0"/>
      <w:marRight w:val="0"/>
      <w:marTop w:val="60"/>
      <w:marBottom w:val="60"/>
      <w:divBdr>
        <w:top w:val="none" w:sz="0" w:space="0" w:color="auto"/>
        <w:left w:val="none" w:sz="0" w:space="0" w:color="auto"/>
        <w:bottom w:val="none" w:sz="0" w:space="0" w:color="auto"/>
        <w:right w:val="none" w:sz="0" w:space="0" w:color="auto"/>
      </w:divBdr>
    </w:div>
    <w:div w:id="150098912">
      <w:marLeft w:val="0"/>
      <w:marRight w:val="0"/>
      <w:marTop w:val="60"/>
      <w:marBottom w:val="60"/>
      <w:divBdr>
        <w:top w:val="none" w:sz="0" w:space="0" w:color="auto"/>
        <w:left w:val="none" w:sz="0" w:space="0" w:color="auto"/>
        <w:bottom w:val="none" w:sz="0" w:space="0" w:color="auto"/>
        <w:right w:val="none" w:sz="0" w:space="0" w:color="auto"/>
      </w:divBdr>
    </w:div>
    <w:div w:id="150216088">
      <w:marLeft w:val="0"/>
      <w:marRight w:val="0"/>
      <w:marTop w:val="180"/>
      <w:marBottom w:val="180"/>
      <w:divBdr>
        <w:top w:val="none" w:sz="0" w:space="0" w:color="auto"/>
        <w:left w:val="none" w:sz="0" w:space="0" w:color="auto"/>
        <w:bottom w:val="none" w:sz="0" w:space="0" w:color="auto"/>
        <w:right w:val="none" w:sz="0" w:space="0" w:color="auto"/>
      </w:divBdr>
    </w:div>
    <w:div w:id="153648277">
      <w:marLeft w:val="0"/>
      <w:marRight w:val="0"/>
      <w:marTop w:val="100"/>
      <w:marBottom w:val="180"/>
      <w:divBdr>
        <w:top w:val="none" w:sz="0" w:space="0" w:color="auto"/>
        <w:left w:val="none" w:sz="0" w:space="0" w:color="auto"/>
        <w:bottom w:val="none" w:sz="0" w:space="0" w:color="auto"/>
        <w:right w:val="none" w:sz="0" w:space="0" w:color="auto"/>
      </w:divBdr>
    </w:div>
    <w:div w:id="155347790">
      <w:marLeft w:val="0"/>
      <w:marRight w:val="0"/>
      <w:marTop w:val="60"/>
      <w:marBottom w:val="60"/>
      <w:divBdr>
        <w:top w:val="none" w:sz="0" w:space="0" w:color="auto"/>
        <w:left w:val="none" w:sz="0" w:space="0" w:color="auto"/>
        <w:bottom w:val="none" w:sz="0" w:space="0" w:color="auto"/>
        <w:right w:val="none" w:sz="0" w:space="0" w:color="auto"/>
      </w:divBdr>
    </w:div>
    <w:div w:id="155927180">
      <w:marLeft w:val="0"/>
      <w:marRight w:val="0"/>
      <w:marTop w:val="180"/>
      <w:marBottom w:val="180"/>
      <w:divBdr>
        <w:top w:val="none" w:sz="0" w:space="0" w:color="auto"/>
        <w:left w:val="none" w:sz="0" w:space="0" w:color="auto"/>
        <w:bottom w:val="none" w:sz="0" w:space="0" w:color="auto"/>
        <w:right w:val="none" w:sz="0" w:space="0" w:color="auto"/>
      </w:divBdr>
    </w:div>
    <w:div w:id="156768850">
      <w:marLeft w:val="0"/>
      <w:marRight w:val="0"/>
      <w:marTop w:val="60"/>
      <w:marBottom w:val="60"/>
      <w:divBdr>
        <w:top w:val="none" w:sz="0" w:space="0" w:color="auto"/>
        <w:left w:val="none" w:sz="0" w:space="0" w:color="auto"/>
        <w:bottom w:val="none" w:sz="0" w:space="0" w:color="auto"/>
        <w:right w:val="none" w:sz="0" w:space="0" w:color="auto"/>
      </w:divBdr>
    </w:div>
    <w:div w:id="157769870">
      <w:marLeft w:val="0"/>
      <w:marRight w:val="0"/>
      <w:marTop w:val="180"/>
      <w:marBottom w:val="60"/>
      <w:divBdr>
        <w:top w:val="none" w:sz="0" w:space="0" w:color="auto"/>
        <w:left w:val="none" w:sz="0" w:space="0" w:color="auto"/>
        <w:bottom w:val="none" w:sz="0" w:space="0" w:color="auto"/>
        <w:right w:val="none" w:sz="0" w:space="0" w:color="auto"/>
      </w:divBdr>
    </w:div>
    <w:div w:id="159201046">
      <w:marLeft w:val="0"/>
      <w:marRight w:val="0"/>
      <w:marTop w:val="60"/>
      <w:marBottom w:val="60"/>
      <w:divBdr>
        <w:top w:val="none" w:sz="0" w:space="0" w:color="auto"/>
        <w:left w:val="none" w:sz="0" w:space="0" w:color="auto"/>
        <w:bottom w:val="none" w:sz="0" w:space="0" w:color="auto"/>
        <w:right w:val="none" w:sz="0" w:space="0" w:color="auto"/>
      </w:divBdr>
    </w:div>
    <w:div w:id="160127611">
      <w:marLeft w:val="0"/>
      <w:marRight w:val="0"/>
      <w:marTop w:val="60"/>
      <w:marBottom w:val="60"/>
      <w:divBdr>
        <w:top w:val="none" w:sz="0" w:space="0" w:color="auto"/>
        <w:left w:val="none" w:sz="0" w:space="0" w:color="auto"/>
        <w:bottom w:val="none" w:sz="0" w:space="0" w:color="auto"/>
        <w:right w:val="none" w:sz="0" w:space="0" w:color="auto"/>
      </w:divBdr>
    </w:div>
    <w:div w:id="160779587">
      <w:marLeft w:val="0"/>
      <w:marRight w:val="0"/>
      <w:marTop w:val="60"/>
      <w:marBottom w:val="60"/>
      <w:divBdr>
        <w:top w:val="none" w:sz="0" w:space="0" w:color="auto"/>
        <w:left w:val="none" w:sz="0" w:space="0" w:color="auto"/>
        <w:bottom w:val="none" w:sz="0" w:space="0" w:color="auto"/>
        <w:right w:val="none" w:sz="0" w:space="0" w:color="auto"/>
      </w:divBdr>
    </w:div>
    <w:div w:id="161049859">
      <w:marLeft w:val="0"/>
      <w:marRight w:val="0"/>
      <w:marTop w:val="180"/>
      <w:marBottom w:val="60"/>
      <w:divBdr>
        <w:top w:val="none" w:sz="0" w:space="0" w:color="auto"/>
        <w:left w:val="none" w:sz="0" w:space="0" w:color="auto"/>
        <w:bottom w:val="none" w:sz="0" w:space="0" w:color="auto"/>
        <w:right w:val="none" w:sz="0" w:space="0" w:color="auto"/>
      </w:divBdr>
    </w:div>
    <w:div w:id="161237903">
      <w:marLeft w:val="0"/>
      <w:marRight w:val="0"/>
      <w:marTop w:val="0"/>
      <w:marBottom w:val="0"/>
      <w:divBdr>
        <w:top w:val="none" w:sz="0" w:space="0" w:color="auto"/>
        <w:left w:val="none" w:sz="0" w:space="0" w:color="auto"/>
        <w:bottom w:val="none" w:sz="0" w:space="0" w:color="auto"/>
        <w:right w:val="none" w:sz="0" w:space="0" w:color="auto"/>
      </w:divBdr>
      <w:divsChild>
        <w:div w:id="1549563042">
          <w:marLeft w:val="0"/>
          <w:marRight w:val="0"/>
          <w:marTop w:val="0"/>
          <w:marBottom w:val="0"/>
          <w:divBdr>
            <w:top w:val="none" w:sz="0" w:space="0" w:color="auto"/>
            <w:left w:val="none" w:sz="0" w:space="0" w:color="auto"/>
            <w:bottom w:val="none" w:sz="0" w:space="0" w:color="auto"/>
            <w:right w:val="none" w:sz="0" w:space="0" w:color="auto"/>
          </w:divBdr>
          <w:divsChild>
            <w:div w:id="12861577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2279185">
      <w:marLeft w:val="0"/>
      <w:marRight w:val="0"/>
      <w:marTop w:val="0"/>
      <w:marBottom w:val="0"/>
      <w:divBdr>
        <w:top w:val="none" w:sz="0" w:space="0" w:color="auto"/>
        <w:left w:val="none" w:sz="0" w:space="0" w:color="auto"/>
        <w:bottom w:val="none" w:sz="0" w:space="0" w:color="auto"/>
        <w:right w:val="none" w:sz="0" w:space="0" w:color="auto"/>
      </w:divBdr>
    </w:div>
    <w:div w:id="162671035">
      <w:marLeft w:val="0"/>
      <w:marRight w:val="0"/>
      <w:marTop w:val="60"/>
      <w:marBottom w:val="60"/>
      <w:divBdr>
        <w:top w:val="none" w:sz="0" w:space="0" w:color="auto"/>
        <w:left w:val="none" w:sz="0" w:space="0" w:color="auto"/>
        <w:bottom w:val="none" w:sz="0" w:space="0" w:color="auto"/>
        <w:right w:val="none" w:sz="0" w:space="0" w:color="auto"/>
      </w:divBdr>
    </w:div>
    <w:div w:id="163013323">
      <w:marLeft w:val="0"/>
      <w:marRight w:val="0"/>
      <w:marTop w:val="60"/>
      <w:marBottom w:val="60"/>
      <w:divBdr>
        <w:top w:val="none" w:sz="0" w:space="0" w:color="auto"/>
        <w:left w:val="none" w:sz="0" w:space="0" w:color="auto"/>
        <w:bottom w:val="none" w:sz="0" w:space="0" w:color="auto"/>
        <w:right w:val="none" w:sz="0" w:space="0" w:color="auto"/>
      </w:divBdr>
    </w:div>
    <w:div w:id="163474499">
      <w:marLeft w:val="0"/>
      <w:marRight w:val="0"/>
      <w:marTop w:val="180"/>
      <w:marBottom w:val="60"/>
      <w:divBdr>
        <w:top w:val="none" w:sz="0" w:space="0" w:color="auto"/>
        <w:left w:val="none" w:sz="0" w:space="0" w:color="auto"/>
        <w:bottom w:val="none" w:sz="0" w:space="0" w:color="auto"/>
        <w:right w:val="none" w:sz="0" w:space="0" w:color="auto"/>
      </w:divBdr>
    </w:div>
    <w:div w:id="163595433">
      <w:marLeft w:val="0"/>
      <w:marRight w:val="0"/>
      <w:marTop w:val="0"/>
      <w:marBottom w:val="0"/>
      <w:divBdr>
        <w:top w:val="none" w:sz="0" w:space="0" w:color="auto"/>
        <w:left w:val="none" w:sz="0" w:space="0" w:color="auto"/>
        <w:bottom w:val="none" w:sz="0" w:space="0" w:color="auto"/>
        <w:right w:val="none" w:sz="0" w:space="0" w:color="auto"/>
      </w:divBdr>
      <w:divsChild>
        <w:div w:id="208500194">
          <w:marLeft w:val="0"/>
          <w:marRight w:val="0"/>
          <w:marTop w:val="60"/>
          <w:marBottom w:val="60"/>
          <w:divBdr>
            <w:top w:val="none" w:sz="0" w:space="0" w:color="auto"/>
            <w:left w:val="none" w:sz="0" w:space="0" w:color="auto"/>
            <w:bottom w:val="none" w:sz="0" w:space="0" w:color="auto"/>
            <w:right w:val="none" w:sz="0" w:space="0" w:color="auto"/>
          </w:divBdr>
        </w:div>
      </w:divsChild>
    </w:div>
    <w:div w:id="165436533">
      <w:marLeft w:val="0"/>
      <w:marRight w:val="0"/>
      <w:marTop w:val="100"/>
      <w:marBottom w:val="100"/>
      <w:divBdr>
        <w:top w:val="none" w:sz="0" w:space="0" w:color="auto"/>
        <w:left w:val="none" w:sz="0" w:space="0" w:color="auto"/>
        <w:bottom w:val="none" w:sz="0" w:space="0" w:color="auto"/>
        <w:right w:val="none" w:sz="0" w:space="0" w:color="auto"/>
      </w:divBdr>
    </w:div>
    <w:div w:id="165486049">
      <w:marLeft w:val="0"/>
      <w:marRight w:val="0"/>
      <w:marTop w:val="180"/>
      <w:marBottom w:val="180"/>
      <w:divBdr>
        <w:top w:val="none" w:sz="0" w:space="0" w:color="auto"/>
        <w:left w:val="none" w:sz="0" w:space="0" w:color="auto"/>
        <w:bottom w:val="none" w:sz="0" w:space="0" w:color="auto"/>
        <w:right w:val="none" w:sz="0" w:space="0" w:color="auto"/>
      </w:divBdr>
    </w:div>
    <w:div w:id="167907429">
      <w:marLeft w:val="0"/>
      <w:marRight w:val="0"/>
      <w:marTop w:val="180"/>
      <w:marBottom w:val="180"/>
      <w:divBdr>
        <w:top w:val="none" w:sz="0" w:space="0" w:color="auto"/>
        <w:left w:val="none" w:sz="0" w:space="0" w:color="auto"/>
        <w:bottom w:val="none" w:sz="0" w:space="0" w:color="auto"/>
        <w:right w:val="none" w:sz="0" w:space="0" w:color="auto"/>
      </w:divBdr>
    </w:div>
    <w:div w:id="168762456">
      <w:marLeft w:val="0"/>
      <w:marRight w:val="0"/>
      <w:marTop w:val="60"/>
      <w:marBottom w:val="60"/>
      <w:divBdr>
        <w:top w:val="none" w:sz="0" w:space="0" w:color="auto"/>
        <w:left w:val="none" w:sz="0" w:space="0" w:color="auto"/>
        <w:bottom w:val="none" w:sz="0" w:space="0" w:color="auto"/>
        <w:right w:val="none" w:sz="0" w:space="0" w:color="auto"/>
      </w:divBdr>
    </w:div>
    <w:div w:id="170874161">
      <w:marLeft w:val="0"/>
      <w:marRight w:val="0"/>
      <w:marTop w:val="60"/>
      <w:marBottom w:val="60"/>
      <w:divBdr>
        <w:top w:val="none" w:sz="0" w:space="0" w:color="auto"/>
        <w:left w:val="none" w:sz="0" w:space="0" w:color="auto"/>
        <w:bottom w:val="none" w:sz="0" w:space="0" w:color="auto"/>
        <w:right w:val="none" w:sz="0" w:space="0" w:color="auto"/>
      </w:divBdr>
    </w:div>
    <w:div w:id="172719739">
      <w:marLeft w:val="0"/>
      <w:marRight w:val="0"/>
      <w:marTop w:val="180"/>
      <w:marBottom w:val="180"/>
      <w:divBdr>
        <w:top w:val="none" w:sz="0" w:space="0" w:color="auto"/>
        <w:left w:val="none" w:sz="0" w:space="0" w:color="auto"/>
        <w:bottom w:val="none" w:sz="0" w:space="0" w:color="auto"/>
        <w:right w:val="none" w:sz="0" w:space="0" w:color="auto"/>
      </w:divBdr>
    </w:div>
    <w:div w:id="172884841">
      <w:marLeft w:val="0"/>
      <w:marRight w:val="0"/>
      <w:marTop w:val="100"/>
      <w:marBottom w:val="100"/>
      <w:divBdr>
        <w:top w:val="none" w:sz="0" w:space="0" w:color="auto"/>
        <w:left w:val="none" w:sz="0" w:space="0" w:color="auto"/>
        <w:bottom w:val="none" w:sz="0" w:space="0" w:color="auto"/>
        <w:right w:val="none" w:sz="0" w:space="0" w:color="auto"/>
      </w:divBdr>
      <w:divsChild>
        <w:div w:id="1755542497">
          <w:marLeft w:val="0"/>
          <w:marRight w:val="0"/>
          <w:marTop w:val="0"/>
          <w:marBottom w:val="0"/>
          <w:divBdr>
            <w:top w:val="none" w:sz="0" w:space="0" w:color="auto"/>
            <w:left w:val="none" w:sz="0" w:space="0" w:color="auto"/>
            <w:bottom w:val="none" w:sz="0" w:space="0" w:color="auto"/>
            <w:right w:val="none" w:sz="0" w:space="0" w:color="auto"/>
          </w:divBdr>
        </w:div>
        <w:div w:id="865757170">
          <w:marLeft w:val="0"/>
          <w:marRight w:val="0"/>
          <w:marTop w:val="0"/>
          <w:marBottom w:val="0"/>
          <w:divBdr>
            <w:top w:val="none" w:sz="0" w:space="0" w:color="auto"/>
            <w:left w:val="none" w:sz="0" w:space="0" w:color="auto"/>
            <w:bottom w:val="none" w:sz="0" w:space="0" w:color="auto"/>
            <w:right w:val="none" w:sz="0" w:space="0" w:color="auto"/>
          </w:divBdr>
        </w:div>
        <w:div w:id="1474832315">
          <w:marLeft w:val="0"/>
          <w:marRight w:val="0"/>
          <w:marTop w:val="0"/>
          <w:marBottom w:val="0"/>
          <w:divBdr>
            <w:top w:val="none" w:sz="0" w:space="0" w:color="auto"/>
            <w:left w:val="none" w:sz="0" w:space="0" w:color="auto"/>
            <w:bottom w:val="none" w:sz="0" w:space="0" w:color="auto"/>
            <w:right w:val="none" w:sz="0" w:space="0" w:color="auto"/>
          </w:divBdr>
        </w:div>
        <w:div w:id="1028990838">
          <w:marLeft w:val="0"/>
          <w:marRight w:val="0"/>
          <w:marTop w:val="0"/>
          <w:marBottom w:val="0"/>
          <w:divBdr>
            <w:top w:val="none" w:sz="0" w:space="0" w:color="auto"/>
            <w:left w:val="none" w:sz="0" w:space="0" w:color="auto"/>
            <w:bottom w:val="none" w:sz="0" w:space="0" w:color="auto"/>
            <w:right w:val="none" w:sz="0" w:space="0" w:color="auto"/>
          </w:divBdr>
        </w:div>
        <w:div w:id="1937518357">
          <w:marLeft w:val="0"/>
          <w:marRight w:val="0"/>
          <w:marTop w:val="0"/>
          <w:marBottom w:val="0"/>
          <w:divBdr>
            <w:top w:val="none" w:sz="0" w:space="0" w:color="auto"/>
            <w:left w:val="none" w:sz="0" w:space="0" w:color="auto"/>
            <w:bottom w:val="none" w:sz="0" w:space="0" w:color="auto"/>
            <w:right w:val="none" w:sz="0" w:space="0" w:color="auto"/>
          </w:divBdr>
        </w:div>
        <w:div w:id="1506435206">
          <w:marLeft w:val="0"/>
          <w:marRight w:val="0"/>
          <w:marTop w:val="0"/>
          <w:marBottom w:val="0"/>
          <w:divBdr>
            <w:top w:val="none" w:sz="0" w:space="0" w:color="auto"/>
            <w:left w:val="none" w:sz="0" w:space="0" w:color="auto"/>
            <w:bottom w:val="none" w:sz="0" w:space="0" w:color="auto"/>
            <w:right w:val="none" w:sz="0" w:space="0" w:color="auto"/>
          </w:divBdr>
        </w:div>
        <w:div w:id="564730497">
          <w:marLeft w:val="0"/>
          <w:marRight w:val="0"/>
          <w:marTop w:val="0"/>
          <w:marBottom w:val="0"/>
          <w:divBdr>
            <w:top w:val="none" w:sz="0" w:space="0" w:color="auto"/>
            <w:left w:val="none" w:sz="0" w:space="0" w:color="auto"/>
            <w:bottom w:val="none" w:sz="0" w:space="0" w:color="auto"/>
            <w:right w:val="none" w:sz="0" w:space="0" w:color="auto"/>
          </w:divBdr>
        </w:div>
        <w:div w:id="1756701709">
          <w:marLeft w:val="0"/>
          <w:marRight w:val="0"/>
          <w:marTop w:val="0"/>
          <w:marBottom w:val="0"/>
          <w:divBdr>
            <w:top w:val="none" w:sz="0" w:space="0" w:color="auto"/>
            <w:left w:val="none" w:sz="0" w:space="0" w:color="auto"/>
            <w:bottom w:val="none" w:sz="0" w:space="0" w:color="auto"/>
            <w:right w:val="none" w:sz="0" w:space="0" w:color="auto"/>
          </w:divBdr>
        </w:div>
        <w:div w:id="155607809">
          <w:marLeft w:val="0"/>
          <w:marRight w:val="0"/>
          <w:marTop w:val="0"/>
          <w:marBottom w:val="0"/>
          <w:divBdr>
            <w:top w:val="none" w:sz="0" w:space="0" w:color="auto"/>
            <w:left w:val="none" w:sz="0" w:space="0" w:color="auto"/>
            <w:bottom w:val="none" w:sz="0" w:space="0" w:color="auto"/>
            <w:right w:val="none" w:sz="0" w:space="0" w:color="auto"/>
          </w:divBdr>
        </w:div>
        <w:div w:id="1144002932">
          <w:marLeft w:val="0"/>
          <w:marRight w:val="0"/>
          <w:marTop w:val="0"/>
          <w:marBottom w:val="0"/>
          <w:divBdr>
            <w:top w:val="none" w:sz="0" w:space="0" w:color="auto"/>
            <w:left w:val="none" w:sz="0" w:space="0" w:color="auto"/>
            <w:bottom w:val="none" w:sz="0" w:space="0" w:color="auto"/>
            <w:right w:val="none" w:sz="0" w:space="0" w:color="auto"/>
          </w:divBdr>
        </w:div>
        <w:div w:id="41249626">
          <w:marLeft w:val="0"/>
          <w:marRight w:val="0"/>
          <w:marTop w:val="0"/>
          <w:marBottom w:val="0"/>
          <w:divBdr>
            <w:top w:val="none" w:sz="0" w:space="0" w:color="auto"/>
            <w:left w:val="none" w:sz="0" w:space="0" w:color="auto"/>
            <w:bottom w:val="none" w:sz="0" w:space="0" w:color="auto"/>
            <w:right w:val="none" w:sz="0" w:space="0" w:color="auto"/>
          </w:divBdr>
        </w:div>
        <w:div w:id="38629965">
          <w:marLeft w:val="0"/>
          <w:marRight w:val="0"/>
          <w:marTop w:val="0"/>
          <w:marBottom w:val="0"/>
          <w:divBdr>
            <w:top w:val="none" w:sz="0" w:space="0" w:color="auto"/>
            <w:left w:val="none" w:sz="0" w:space="0" w:color="auto"/>
            <w:bottom w:val="none" w:sz="0" w:space="0" w:color="auto"/>
            <w:right w:val="none" w:sz="0" w:space="0" w:color="auto"/>
          </w:divBdr>
        </w:div>
        <w:div w:id="310793056">
          <w:marLeft w:val="0"/>
          <w:marRight w:val="0"/>
          <w:marTop w:val="0"/>
          <w:marBottom w:val="0"/>
          <w:divBdr>
            <w:top w:val="none" w:sz="0" w:space="0" w:color="auto"/>
            <w:left w:val="none" w:sz="0" w:space="0" w:color="auto"/>
            <w:bottom w:val="none" w:sz="0" w:space="0" w:color="auto"/>
            <w:right w:val="none" w:sz="0" w:space="0" w:color="auto"/>
          </w:divBdr>
        </w:div>
        <w:div w:id="415202326">
          <w:marLeft w:val="0"/>
          <w:marRight w:val="0"/>
          <w:marTop w:val="0"/>
          <w:marBottom w:val="0"/>
          <w:divBdr>
            <w:top w:val="none" w:sz="0" w:space="0" w:color="auto"/>
            <w:left w:val="none" w:sz="0" w:space="0" w:color="auto"/>
            <w:bottom w:val="none" w:sz="0" w:space="0" w:color="auto"/>
            <w:right w:val="none" w:sz="0" w:space="0" w:color="auto"/>
          </w:divBdr>
        </w:div>
        <w:div w:id="237709756">
          <w:marLeft w:val="0"/>
          <w:marRight w:val="0"/>
          <w:marTop w:val="0"/>
          <w:marBottom w:val="0"/>
          <w:divBdr>
            <w:top w:val="none" w:sz="0" w:space="0" w:color="auto"/>
            <w:left w:val="none" w:sz="0" w:space="0" w:color="auto"/>
            <w:bottom w:val="none" w:sz="0" w:space="0" w:color="auto"/>
            <w:right w:val="none" w:sz="0" w:space="0" w:color="auto"/>
          </w:divBdr>
        </w:div>
      </w:divsChild>
    </w:div>
    <w:div w:id="174156565">
      <w:marLeft w:val="0"/>
      <w:marRight w:val="0"/>
      <w:marTop w:val="180"/>
      <w:marBottom w:val="120"/>
      <w:divBdr>
        <w:top w:val="none" w:sz="0" w:space="0" w:color="auto"/>
        <w:left w:val="none" w:sz="0" w:space="0" w:color="auto"/>
        <w:bottom w:val="none" w:sz="0" w:space="0" w:color="auto"/>
        <w:right w:val="none" w:sz="0" w:space="0" w:color="auto"/>
      </w:divBdr>
    </w:div>
    <w:div w:id="176693825">
      <w:marLeft w:val="0"/>
      <w:marRight w:val="0"/>
      <w:marTop w:val="180"/>
      <w:marBottom w:val="180"/>
      <w:divBdr>
        <w:top w:val="none" w:sz="0" w:space="0" w:color="auto"/>
        <w:left w:val="none" w:sz="0" w:space="0" w:color="auto"/>
        <w:bottom w:val="none" w:sz="0" w:space="0" w:color="auto"/>
        <w:right w:val="none" w:sz="0" w:space="0" w:color="auto"/>
      </w:divBdr>
    </w:div>
    <w:div w:id="177547027">
      <w:marLeft w:val="0"/>
      <w:marRight w:val="0"/>
      <w:marTop w:val="180"/>
      <w:marBottom w:val="180"/>
      <w:divBdr>
        <w:top w:val="none" w:sz="0" w:space="0" w:color="auto"/>
        <w:left w:val="none" w:sz="0" w:space="0" w:color="auto"/>
        <w:bottom w:val="none" w:sz="0" w:space="0" w:color="auto"/>
        <w:right w:val="none" w:sz="0" w:space="0" w:color="auto"/>
      </w:divBdr>
    </w:div>
    <w:div w:id="178131248">
      <w:marLeft w:val="0"/>
      <w:marRight w:val="0"/>
      <w:marTop w:val="0"/>
      <w:marBottom w:val="0"/>
      <w:divBdr>
        <w:top w:val="none" w:sz="0" w:space="0" w:color="auto"/>
        <w:left w:val="none" w:sz="0" w:space="0" w:color="auto"/>
        <w:bottom w:val="none" w:sz="0" w:space="0" w:color="auto"/>
        <w:right w:val="none" w:sz="0" w:space="0" w:color="auto"/>
      </w:divBdr>
      <w:divsChild>
        <w:div w:id="2086106697">
          <w:marLeft w:val="0"/>
          <w:marRight w:val="0"/>
          <w:marTop w:val="60"/>
          <w:marBottom w:val="60"/>
          <w:divBdr>
            <w:top w:val="none" w:sz="0" w:space="0" w:color="auto"/>
            <w:left w:val="none" w:sz="0" w:space="0" w:color="auto"/>
            <w:bottom w:val="none" w:sz="0" w:space="0" w:color="auto"/>
            <w:right w:val="none" w:sz="0" w:space="0" w:color="auto"/>
          </w:divBdr>
        </w:div>
      </w:divsChild>
    </w:div>
    <w:div w:id="178933898">
      <w:marLeft w:val="0"/>
      <w:marRight w:val="0"/>
      <w:marTop w:val="180"/>
      <w:marBottom w:val="180"/>
      <w:divBdr>
        <w:top w:val="none" w:sz="0" w:space="0" w:color="auto"/>
        <w:left w:val="none" w:sz="0" w:space="0" w:color="auto"/>
        <w:bottom w:val="none" w:sz="0" w:space="0" w:color="auto"/>
        <w:right w:val="none" w:sz="0" w:space="0" w:color="auto"/>
      </w:divBdr>
    </w:div>
    <w:div w:id="181358864">
      <w:marLeft w:val="0"/>
      <w:marRight w:val="0"/>
      <w:marTop w:val="60"/>
      <w:marBottom w:val="60"/>
      <w:divBdr>
        <w:top w:val="none" w:sz="0" w:space="0" w:color="auto"/>
        <w:left w:val="none" w:sz="0" w:space="0" w:color="auto"/>
        <w:bottom w:val="none" w:sz="0" w:space="0" w:color="auto"/>
        <w:right w:val="none" w:sz="0" w:space="0" w:color="auto"/>
      </w:divBdr>
    </w:div>
    <w:div w:id="182059781">
      <w:marLeft w:val="0"/>
      <w:marRight w:val="0"/>
      <w:marTop w:val="180"/>
      <w:marBottom w:val="180"/>
      <w:divBdr>
        <w:top w:val="none" w:sz="0" w:space="0" w:color="auto"/>
        <w:left w:val="none" w:sz="0" w:space="0" w:color="auto"/>
        <w:bottom w:val="none" w:sz="0" w:space="0" w:color="auto"/>
        <w:right w:val="none" w:sz="0" w:space="0" w:color="auto"/>
      </w:divBdr>
    </w:div>
    <w:div w:id="182129279">
      <w:marLeft w:val="0"/>
      <w:marRight w:val="0"/>
      <w:marTop w:val="180"/>
      <w:marBottom w:val="180"/>
      <w:divBdr>
        <w:top w:val="none" w:sz="0" w:space="0" w:color="auto"/>
        <w:left w:val="none" w:sz="0" w:space="0" w:color="auto"/>
        <w:bottom w:val="none" w:sz="0" w:space="0" w:color="auto"/>
        <w:right w:val="none" w:sz="0" w:space="0" w:color="auto"/>
      </w:divBdr>
    </w:div>
    <w:div w:id="182863528">
      <w:marLeft w:val="0"/>
      <w:marRight w:val="0"/>
      <w:marTop w:val="0"/>
      <w:marBottom w:val="0"/>
      <w:divBdr>
        <w:top w:val="none" w:sz="0" w:space="0" w:color="auto"/>
        <w:left w:val="none" w:sz="0" w:space="0" w:color="auto"/>
        <w:bottom w:val="none" w:sz="0" w:space="0" w:color="auto"/>
        <w:right w:val="none" w:sz="0" w:space="0" w:color="auto"/>
      </w:divBdr>
    </w:div>
    <w:div w:id="183440358">
      <w:marLeft w:val="0"/>
      <w:marRight w:val="0"/>
      <w:marTop w:val="180"/>
      <w:marBottom w:val="120"/>
      <w:divBdr>
        <w:top w:val="none" w:sz="0" w:space="0" w:color="auto"/>
        <w:left w:val="none" w:sz="0" w:space="0" w:color="auto"/>
        <w:bottom w:val="none" w:sz="0" w:space="0" w:color="auto"/>
        <w:right w:val="none" w:sz="0" w:space="0" w:color="auto"/>
      </w:divBdr>
      <w:divsChild>
        <w:div w:id="1362394186">
          <w:marLeft w:val="0"/>
          <w:marRight w:val="0"/>
          <w:marTop w:val="0"/>
          <w:marBottom w:val="0"/>
          <w:divBdr>
            <w:top w:val="none" w:sz="0" w:space="0" w:color="auto"/>
            <w:left w:val="none" w:sz="0" w:space="0" w:color="auto"/>
            <w:bottom w:val="none" w:sz="0" w:space="0" w:color="auto"/>
            <w:right w:val="none" w:sz="0" w:space="0" w:color="auto"/>
          </w:divBdr>
        </w:div>
        <w:div w:id="1491167462">
          <w:marLeft w:val="0"/>
          <w:marRight w:val="0"/>
          <w:marTop w:val="0"/>
          <w:marBottom w:val="0"/>
          <w:divBdr>
            <w:top w:val="none" w:sz="0" w:space="0" w:color="auto"/>
            <w:left w:val="none" w:sz="0" w:space="0" w:color="auto"/>
            <w:bottom w:val="none" w:sz="0" w:space="0" w:color="auto"/>
            <w:right w:val="none" w:sz="0" w:space="0" w:color="auto"/>
          </w:divBdr>
        </w:div>
      </w:divsChild>
    </w:div>
    <w:div w:id="184834164">
      <w:marLeft w:val="0"/>
      <w:marRight w:val="0"/>
      <w:marTop w:val="0"/>
      <w:marBottom w:val="0"/>
      <w:divBdr>
        <w:top w:val="none" w:sz="0" w:space="0" w:color="auto"/>
        <w:left w:val="none" w:sz="0" w:space="0" w:color="auto"/>
        <w:bottom w:val="none" w:sz="0" w:space="0" w:color="auto"/>
        <w:right w:val="none" w:sz="0" w:space="0" w:color="auto"/>
      </w:divBdr>
    </w:div>
    <w:div w:id="185755562">
      <w:marLeft w:val="0"/>
      <w:marRight w:val="0"/>
      <w:marTop w:val="180"/>
      <w:marBottom w:val="180"/>
      <w:divBdr>
        <w:top w:val="none" w:sz="0" w:space="0" w:color="auto"/>
        <w:left w:val="none" w:sz="0" w:space="0" w:color="auto"/>
        <w:bottom w:val="none" w:sz="0" w:space="0" w:color="auto"/>
        <w:right w:val="none" w:sz="0" w:space="0" w:color="auto"/>
      </w:divBdr>
    </w:div>
    <w:div w:id="186066394">
      <w:marLeft w:val="0"/>
      <w:marRight w:val="0"/>
      <w:marTop w:val="0"/>
      <w:marBottom w:val="0"/>
      <w:divBdr>
        <w:top w:val="none" w:sz="0" w:space="0" w:color="auto"/>
        <w:left w:val="none" w:sz="0" w:space="0" w:color="auto"/>
        <w:bottom w:val="none" w:sz="0" w:space="0" w:color="auto"/>
        <w:right w:val="none" w:sz="0" w:space="0" w:color="auto"/>
      </w:divBdr>
    </w:div>
    <w:div w:id="187567820">
      <w:marLeft w:val="0"/>
      <w:marRight w:val="0"/>
      <w:marTop w:val="180"/>
      <w:marBottom w:val="180"/>
      <w:divBdr>
        <w:top w:val="none" w:sz="0" w:space="0" w:color="auto"/>
        <w:left w:val="none" w:sz="0" w:space="0" w:color="auto"/>
        <w:bottom w:val="none" w:sz="0" w:space="0" w:color="auto"/>
        <w:right w:val="none" w:sz="0" w:space="0" w:color="auto"/>
      </w:divBdr>
    </w:div>
    <w:div w:id="188422170">
      <w:marLeft w:val="0"/>
      <w:marRight w:val="0"/>
      <w:marTop w:val="0"/>
      <w:marBottom w:val="0"/>
      <w:divBdr>
        <w:top w:val="none" w:sz="0" w:space="0" w:color="auto"/>
        <w:left w:val="none" w:sz="0" w:space="0" w:color="auto"/>
        <w:bottom w:val="none" w:sz="0" w:space="0" w:color="auto"/>
        <w:right w:val="none" w:sz="0" w:space="0" w:color="auto"/>
      </w:divBdr>
      <w:divsChild>
        <w:div w:id="1806199629">
          <w:marLeft w:val="0"/>
          <w:marRight w:val="0"/>
          <w:marTop w:val="60"/>
          <w:marBottom w:val="60"/>
          <w:divBdr>
            <w:top w:val="none" w:sz="0" w:space="0" w:color="auto"/>
            <w:left w:val="none" w:sz="0" w:space="0" w:color="auto"/>
            <w:bottom w:val="none" w:sz="0" w:space="0" w:color="auto"/>
            <w:right w:val="none" w:sz="0" w:space="0" w:color="auto"/>
          </w:divBdr>
        </w:div>
      </w:divsChild>
    </w:div>
    <w:div w:id="189923494">
      <w:marLeft w:val="0"/>
      <w:marRight w:val="0"/>
      <w:marTop w:val="60"/>
      <w:marBottom w:val="60"/>
      <w:divBdr>
        <w:top w:val="none" w:sz="0" w:space="0" w:color="auto"/>
        <w:left w:val="none" w:sz="0" w:space="0" w:color="auto"/>
        <w:bottom w:val="none" w:sz="0" w:space="0" w:color="auto"/>
        <w:right w:val="none" w:sz="0" w:space="0" w:color="auto"/>
      </w:divBdr>
    </w:div>
    <w:div w:id="191262144">
      <w:marLeft w:val="0"/>
      <w:marRight w:val="0"/>
      <w:marTop w:val="0"/>
      <w:marBottom w:val="0"/>
      <w:divBdr>
        <w:top w:val="none" w:sz="0" w:space="0" w:color="auto"/>
        <w:left w:val="none" w:sz="0" w:space="0" w:color="auto"/>
        <w:bottom w:val="none" w:sz="0" w:space="0" w:color="auto"/>
        <w:right w:val="none" w:sz="0" w:space="0" w:color="auto"/>
      </w:divBdr>
      <w:divsChild>
        <w:div w:id="861432790">
          <w:marLeft w:val="0"/>
          <w:marRight w:val="0"/>
          <w:marTop w:val="0"/>
          <w:marBottom w:val="0"/>
          <w:divBdr>
            <w:top w:val="none" w:sz="0" w:space="0" w:color="auto"/>
            <w:left w:val="none" w:sz="0" w:space="0" w:color="auto"/>
            <w:bottom w:val="none" w:sz="0" w:space="0" w:color="auto"/>
            <w:right w:val="none" w:sz="0" w:space="0" w:color="auto"/>
          </w:divBdr>
          <w:divsChild>
            <w:div w:id="12343912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574301">
      <w:marLeft w:val="0"/>
      <w:marRight w:val="0"/>
      <w:marTop w:val="60"/>
      <w:marBottom w:val="60"/>
      <w:divBdr>
        <w:top w:val="none" w:sz="0" w:space="0" w:color="auto"/>
        <w:left w:val="none" w:sz="0" w:space="0" w:color="auto"/>
        <w:bottom w:val="none" w:sz="0" w:space="0" w:color="auto"/>
        <w:right w:val="none" w:sz="0" w:space="0" w:color="auto"/>
      </w:divBdr>
    </w:div>
    <w:div w:id="194077511">
      <w:marLeft w:val="0"/>
      <w:marRight w:val="0"/>
      <w:marTop w:val="0"/>
      <w:marBottom w:val="0"/>
      <w:divBdr>
        <w:top w:val="none" w:sz="0" w:space="0" w:color="auto"/>
        <w:left w:val="none" w:sz="0" w:space="0" w:color="auto"/>
        <w:bottom w:val="none" w:sz="0" w:space="0" w:color="auto"/>
        <w:right w:val="none" w:sz="0" w:space="0" w:color="auto"/>
      </w:divBdr>
      <w:divsChild>
        <w:div w:id="2059932517">
          <w:marLeft w:val="0"/>
          <w:marRight w:val="0"/>
          <w:marTop w:val="60"/>
          <w:marBottom w:val="60"/>
          <w:divBdr>
            <w:top w:val="none" w:sz="0" w:space="0" w:color="auto"/>
            <w:left w:val="none" w:sz="0" w:space="0" w:color="auto"/>
            <w:bottom w:val="none" w:sz="0" w:space="0" w:color="auto"/>
            <w:right w:val="none" w:sz="0" w:space="0" w:color="auto"/>
          </w:divBdr>
        </w:div>
      </w:divsChild>
    </w:div>
    <w:div w:id="194925980">
      <w:marLeft w:val="0"/>
      <w:marRight w:val="0"/>
      <w:marTop w:val="180"/>
      <w:marBottom w:val="180"/>
      <w:divBdr>
        <w:top w:val="none" w:sz="0" w:space="0" w:color="auto"/>
        <w:left w:val="none" w:sz="0" w:space="0" w:color="auto"/>
        <w:bottom w:val="none" w:sz="0" w:space="0" w:color="auto"/>
        <w:right w:val="none" w:sz="0" w:space="0" w:color="auto"/>
      </w:divBdr>
    </w:div>
    <w:div w:id="195700668">
      <w:marLeft w:val="0"/>
      <w:marRight w:val="0"/>
      <w:marTop w:val="60"/>
      <w:marBottom w:val="60"/>
      <w:divBdr>
        <w:top w:val="none" w:sz="0" w:space="0" w:color="auto"/>
        <w:left w:val="none" w:sz="0" w:space="0" w:color="auto"/>
        <w:bottom w:val="none" w:sz="0" w:space="0" w:color="auto"/>
        <w:right w:val="none" w:sz="0" w:space="0" w:color="auto"/>
      </w:divBdr>
    </w:div>
    <w:div w:id="195702815">
      <w:marLeft w:val="0"/>
      <w:marRight w:val="0"/>
      <w:marTop w:val="60"/>
      <w:marBottom w:val="60"/>
      <w:divBdr>
        <w:top w:val="none" w:sz="0" w:space="0" w:color="auto"/>
        <w:left w:val="none" w:sz="0" w:space="0" w:color="auto"/>
        <w:bottom w:val="none" w:sz="0" w:space="0" w:color="auto"/>
        <w:right w:val="none" w:sz="0" w:space="0" w:color="auto"/>
      </w:divBdr>
    </w:div>
    <w:div w:id="196285035">
      <w:marLeft w:val="0"/>
      <w:marRight w:val="0"/>
      <w:marTop w:val="100"/>
      <w:marBottom w:val="100"/>
      <w:divBdr>
        <w:top w:val="none" w:sz="0" w:space="0" w:color="auto"/>
        <w:left w:val="none" w:sz="0" w:space="0" w:color="auto"/>
        <w:bottom w:val="none" w:sz="0" w:space="0" w:color="auto"/>
        <w:right w:val="none" w:sz="0" w:space="0" w:color="auto"/>
      </w:divBdr>
      <w:divsChild>
        <w:div w:id="807354314">
          <w:marLeft w:val="0"/>
          <w:marRight w:val="0"/>
          <w:marTop w:val="0"/>
          <w:marBottom w:val="0"/>
          <w:divBdr>
            <w:top w:val="none" w:sz="0" w:space="0" w:color="auto"/>
            <w:left w:val="none" w:sz="0" w:space="0" w:color="auto"/>
            <w:bottom w:val="none" w:sz="0" w:space="0" w:color="auto"/>
            <w:right w:val="none" w:sz="0" w:space="0" w:color="auto"/>
          </w:divBdr>
        </w:div>
      </w:divsChild>
    </w:div>
    <w:div w:id="197284953">
      <w:marLeft w:val="0"/>
      <w:marRight w:val="0"/>
      <w:marTop w:val="180"/>
      <w:marBottom w:val="180"/>
      <w:divBdr>
        <w:top w:val="none" w:sz="0" w:space="0" w:color="auto"/>
        <w:left w:val="none" w:sz="0" w:space="0" w:color="auto"/>
        <w:bottom w:val="none" w:sz="0" w:space="0" w:color="auto"/>
        <w:right w:val="none" w:sz="0" w:space="0" w:color="auto"/>
      </w:divBdr>
    </w:div>
    <w:div w:id="199050812">
      <w:marLeft w:val="0"/>
      <w:marRight w:val="0"/>
      <w:marTop w:val="180"/>
      <w:marBottom w:val="180"/>
      <w:divBdr>
        <w:top w:val="none" w:sz="0" w:space="0" w:color="auto"/>
        <w:left w:val="none" w:sz="0" w:space="0" w:color="auto"/>
        <w:bottom w:val="none" w:sz="0" w:space="0" w:color="auto"/>
        <w:right w:val="none" w:sz="0" w:space="0" w:color="auto"/>
      </w:divBdr>
    </w:div>
    <w:div w:id="199126190">
      <w:marLeft w:val="0"/>
      <w:marRight w:val="0"/>
      <w:marTop w:val="0"/>
      <w:marBottom w:val="0"/>
      <w:divBdr>
        <w:top w:val="none" w:sz="0" w:space="0" w:color="auto"/>
        <w:left w:val="none" w:sz="0" w:space="0" w:color="auto"/>
        <w:bottom w:val="none" w:sz="0" w:space="0" w:color="auto"/>
        <w:right w:val="none" w:sz="0" w:space="0" w:color="auto"/>
      </w:divBdr>
      <w:divsChild>
        <w:div w:id="753862710">
          <w:marLeft w:val="0"/>
          <w:marRight w:val="0"/>
          <w:marTop w:val="0"/>
          <w:marBottom w:val="0"/>
          <w:divBdr>
            <w:top w:val="none" w:sz="0" w:space="0" w:color="auto"/>
            <w:left w:val="none" w:sz="0" w:space="0" w:color="auto"/>
            <w:bottom w:val="none" w:sz="0" w:space="0" w:color="auto"/>
            <w:right w:val="none" w:sz="0" w:space="0" w:color="auto"/>
          </w:divBdr>
          <w:divsChild>
            <w:div w:id="722379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1210948">
      <w:marLeft w:val="0"/>
      <w:marRight w:val="0"/>
      <w:marTop w:val="0"/>
      <w:marBottom w:val="0"/>
      <w:divBdr>
        <w:top w:val="none" w:sz="0" w:space="0" w:color="auto"/>
        <w:left w:val="none" w:sz="0" w:space="0" w:color="auto"/>
        <w:bottom w:val="none" w:sz="0" w:space="0" w:color="auto"/>
        <w:right w:val="none" w:sz="0" w:space="0" w:color="auto"/>
      </w:divBdr>
    </w:div>
    <w:div w:id="201332042">
      <w:marLeft w:val="0"/>
      <w:marRight w:val="0"/>
      <w:marTop w:val="180"/>
      <w:marBottom w:val="180"/>
      <w:divBdr>
        <w:top w:val="none" w:sz="0" w:space="0" w:color="auto"/>
        <w:left w:val="none" w:sz="0" w:space="0" w:color="auto"/>
        <w:bottom w:val="none" w:sz="0" w:space="0" w:color="auto"/>
        <w:right w:val="none" w:sz="0" w:space="0" w:color="auto"/>
      </w:divBdr>
    </w:div>
    <w:div w:id="203448088">
      <w:marLeft w:val="0"/>
      <w:marRight w:val="0"/>
      <w:marTop w:val="0"/>
      <w:marBottom w:val="0"/>
      <w:divBdr>
        <w:top w:val="none" w:sz="0" w:space="0" w:color="auto"/>
        <w:left w:val="none" w:sz="0" w:space="0" w:color="auto"/>
        <w:bottom w:val="none" w:sz="0" w:space="0" w:color="auto"/>
        <w:right w:val="none" w:sz="0" w:space="0" w:color="auto"/>
      </w:divBdr>
    </w:div>
    <w:div w:id="204605903">
      <w:marLeft w:val="0"/>
      <w:marRight w:val="0"/>
      <w:marTop w:val="0"/>
      <w:marBottom w:val="180"/>
      <w:divBdr>
        <w:top w:val="none" w:sz="0" w:space="0" w:color="auto"/>
        <w:left w:val="none" w:sz="0" w:space="0" w:color="auto"/>
        <w:bottom w:val="none" w:sz="0" w:space="0" w:color="auto"/>
        <w:right w:val="none" w:sz="0" w:space="0" w:color="auto"/>
      </w:divBdr>
    </w:div>
    <w:div w:id="205534622">
      <w:marLeft w:val="0"/>
      <w:marRight w:val="0"/>
      <w:marTop w:val="60"/>
      <w:marBottom w:val="60"/>
      <w:divBdr>
        <w:top w:val="none" w:sz="0" w:space="0" w:color="auto"/>
        <w:left w:val="none" w:sz="0" w:space="0" w:color="auto"/>
        <w:bottom w:val="none" w:sz="0" w:space="0" w:color="auto"/>
        <w:right w:val="none" w:sz="0" w:space="0" w:color="auto"/>
      </w:divBdr>
    </w:div>
    <w:div w:id="210268341">
      <w:marLeft w:val="0"/>
      <w:marRight w:val="0"/>
      <w:marTop w:val="100"/>
      <w:marBottom w:val="100"/>
      <w:divBdr>
        <w:top w:val="none" w:sz="0" w:space="0" w:color="auto"/>
        <w:left w:val="none" w:sz="0" w:space="0" w:color="auto"/>
        <w:bottom w:val="none" w:sz="0" w:space="0" w:color="auto"/>
        <w:right w:val="none" w:sz="0" w:space="0" w:color="auto"/>
      </w:divBdr>
      <w:divsChild>
        <w:div w:id="1413162486">
          <w:marLeft w:val="0"/>
          <w:marRight w:val="0"/>
          <w:marTop w:val="0"/>
          <w:marBottom w:val="0"/>
          <w:divBdr>
            <w:top w:val="none" w:sz="0" w:space="0" w:color="auto"/>
            <w:left w:val="none" w:sz="0" w:space="0" w:color="auto"/>
            <w:bottom w:val="none" w:sz="0" w:space="0" w:color="auto"/>
            <w:right w:val="none" w:sz="0" w:space="0" w:color="auto"/>
          </w:divBdr>
        </w:div>
      </w:divsChild>
    </w:div>
    <w:div w:id="213810353">
      <w:marLeft w:val="0"/>
      <w:marRight w:val="0"/>
      <w:marTop w:val="0"/>
      <w:marBottom w:val="0"/>
      <w:divBdr>
        <w:top w:val="none" w:sz="0" w:space="0" w:color="auto"/>
        <w:left w:val="none" w:sz="0" w:space="0" w:color="auto"/>
        <w:bottom w:val="none" w:sz="0" w:space="0" w:color="auto"/>
        <w:right w:val="none" w:sz="0" w:space="0" w:color="auto"/>
      </w:divBdr>
    </w:div>
    <w:div w:id="214972107">
      <w:marLeft w:val="0"/>
      <w:marRight w:val="0"/>
      <w:marTop w:val="60"/>
      <w:marBottom w:val="60"/>
      <w:divBdr>
        <w:top w:val="none" w:sz="0" w:space="0" w:color="auto"/>
        <w:left w:val="none" w:sz="0" w:space="0" w:color="auto"/>
        <w:bottom w:val="none" w:sz="0" w:space="0" w:color="auto"/>
        <w:right w:val="none" w:sz="0" w:space="0" w:color="auto"/>
      </w:divBdr>
    </w:div>
    <w:div w:id="215901421">
      <w:marLeft w:val="0"/>
      <w:marRight w:val="0"/>
      <w:marTop w:val="180"/>
      <w:marBottom w:val="180"/>
      <w:divBdr>
        <w:top w:val="none" w:sz="0" w:space="0" w:color="auto"/>
        <w:left w:val="none" w:sz="0" w:space="0" w:color="auto"/>
        <w:bottom w:val="none" w:sz="0" w:space="0" w:color="auto"/>
        <w:right w:val="none" w:sz="0" w:space="0" w:color="auto"/>
      </w:divBdr>
    </w:div>
    <w:div w:id="216550583">
      <w:marLeft w:val="0"/>
      <w:marRight w:val="0"/>
      <w:marTop w:val="180"/>
      <w:marBottom w:val="60"/>
      <w:divBdr>
        <w:top w:val="none" w:sz="0" w:space="0" w:color="auto"/>
        <w:left w:val="none" w:sz="0" w:space="0" w:color="auto"/>
        <w:bottom w:val="none" w:sz="0" w:space="0" w:color="auto"/>
        <w:right w:val="none" w:sz="0" w:space="0" w:color="auto"/>
      </w:divBdr>
    </w:div>
    <w:div w:id="221454943">
      <w:marLeft w:val="0"/>
      <w:marRight w:val="0"/>
      <w:marTop w:val="240"/>
      <w:marBottom w:val="180"/>
      <w:divBdr>
        <w:top w:val="none" w:sz="0" w:space="0" w:color="auto"/>
        <w:left w:val="none" w:sz="0" w:space="0" w:color="auto"/>
        <w:bottom w:val="none" w:sz="0" w:space="0" w:color="auto"/>
        <w:right w:val="none" w:sz="0" w:space="0" w:color="auto"/>
      </w:divBdr>
    </w:div>
    <w:div w:id="223294242">
      <w:marLeft w:val="0"/>
      <w:marRight w:val="0"/>
      <w:marTop w:val="180"/>
      <w:marBottom w:val="180"/>
      <w:divBdr>
        <w:top w:val="none" w:sz="0" w:space="0" w:color="auto"/>
        <w:left w:val="none" w:sz="0" w:space="0" w:color="auto"/>
        <w:bottom w:val="none" w:sz="0" w:space="0" w:color="auto"/>
        <w:right w:val="none" w:sz="0" w:space="0" w:color="auto"/>
      </w:divBdr>
    </w:div>
    <w:div w:id="225264959">
      <w:marLeft w:val="0"/>
      <w:marRight w:val="0"/>
      <w:marTop w:val="180"/>
      <w:marBottom w:val="180"/>
      <w:divBdr>
        <w:top w:val="none" w:sz="0" w:space="0" w:color="auto"/>
        <w:left w:val="none" w:sz="0" w:space="0" w:color="auto"/>
        <w:bottom w:val="none" w:sz="0" w:space="0" w:color="auto"/>
        <w:right w:val="none" w:sz="0" w:space="0" w:color="auto"/>
      </w:divBdr>
    </w:div>
    <w:div w:id="225267552">
      <w:marLeft w:val="0"/>
      <w:marRight w:val="0"/>
      <w:marTop w:val="180"/>
      <w:marBottom w:val="180"/>
      <w:divBdr>
        <w:top w:val="none" w:sz="0" w:space="0" w:color="auto"/>
        <w:left w:val="none" w:sz="0" w:space="0" w:color="auto"/>
        <w:bottom w:val="none" w:sz="0" w:space="0" w:color="auto"/>
        <w:right w:val="none" w:sz="0" w:space="0" w:color="auto"/>
      </w:divBdr>
    </w:div>
    <w:div w:id="227886081">
      <w:marLeft w:val="0"/>
      <w:marRight w:val="0"/>
      <w:marTop w:val="180"/>
      <w:marBottom w:val="180"/>
      <w:divBdr>
        <w:top w:val="none" w:sz="0" w:space="0" w:color="auto"/>
        <w:left w:val="none" w:sz="0" w:space="0" w:color="auto"/>
        <w:bottom w:val="none" w:sz="0" w:space="0" w:color="auto"/>
        <w:right w:val="none" w:sz="0" w:space="0" w:color="auto"/>
      </w:divBdr>
    </w:div>
    <w:div w:id="230236071">
      <w:marLeft w:val="0"/>
      <w:marRight w:val="0"/>
      <w:marTop w:val="60"/>
      <w:marBottom w:val="60"/>
      <w:divBdr>
        <w:top w:val="none" w:sz="0" w:space="0" w:color="auto"/>
        <w:left w:val="none" w:sz="0" w:space="0" w:color="auto"/>
        <w:bottom w:val="none" w:sz="0" w:space="0" w:color="auto"/>
        <w:right w:val="none" w:sz="0" w:space="0" w:color="auto"/>
      </w:divBdr>
    </w:div>
    <w:div w:id="234705001">
      <w:marLeft w:val="0"/>
      <w:marRight w:val="0"/>
      <w:marTop w:val="180"/>
      <w:marBottom w:val="180"/>
      <w:divBdr>
        <w:top w:val="none" w:sz="0" w:space="0" w:color="auto"/>
        <w:left w:val="none" w:sz="0" w:space="0" w:color="auto"/>
        <w:bottom w:val="none" w:sz="0" w:space="0" w:color="auto"/>
        <w:right w:val="none" w:sz="0" w:space="0" w:color="auto"/>
      </w:divBdr>
    </w:div>
    <w:div w:id="235284192">
      <w:marLeft w:val="0"/>
      <w:marRight w:val="0"/>
      <w:marTop w:val="180"/>
      <w:marBottom w:val="180"/>
      <w:divBdr>
        <w:top w:val="none" w:sz="0" w:space="0" w:color="auto"/>
        <w:left w:val="none" w:sz="0" w:space="0" w:color="auto"/>
        <w:bottom w:val="none" w:sz="0" w:space="0" w:color="auto"/>
        <w:right w:val="none" w:sz="0" w:space="0" w:color="auto"/>
      </w:divBdr>
    </w:div>
    <w:div w:id="235867390">
      <w:marLeft w:val="0"/>
      <w:marRight w:val="0"/>
      <w:marTop w:val="180"/>
      <w:marBottom w:val="60"/>
      <w:divBdr>
        <w:top w:val="none" w:sz="0" w:space="0" w:color="auto"/>
        <w:left w:val="none" w:sz="0" w:space="0" w:color="auto"/>
        <w:bottom w:val="none" w:sz="0" w:space="0" w:color="auto"/>
        <w:right w:val="none" w:sz="0" w:space="0" w:color="auto"/>
      </w:divBdr>
    </w:div>
    <w:div w:id="236281053">
      <w:marLeft w:val="0"/>
      <w:marRight w:val="0"/>
      <w:marTop w:val="60"/>
      <w:marBottom w:val="60"/>
      <w:divBdr>
        <w:top w:val="none" w:sz="0" w:space="0" w:color="auto"/>
        <w:left w:val="none" w:sz="0" w:space="0" w:color="auto"/>
        <w:bottom w:val="none" w:sz="0" w:space="0" w:color="auto"/>
        <w:right w:val="none" w:sz="0" w:space="0" w:color="auto"/>
      </w:divBdr>
    </w:div>
    <w:div w:id="236285447">
      <w:marLeft w:val="0"/>
      <w:marRight w:val="0"/>
      <w:marTop w:val="180"/>
      <w:marBottom w:val="180"/>
      <w:divBdr>
        <w:top w:val="none" w:sz="0" w:space="0" w:color="auto"/>
        <w:left w:val="none" w:sz="0" w:space="0" w:color="auto"/>
        <w:bottom w:val="none" w:sz="0" w:space="0" w:color="auto"/>
        <w:right w:val="none" w:sz="0" w:space="0" w:color="auto"/>
      </w:divBdr>
    </w:div>
    <w:div w:id="237327343">
      <w:marLeft w:val="0"/>
      <w:marRight w:val="0"/>
      <w:marTop w:val="180"/>
      <w:marBottom w:val="180"/>
      <w:divBdr>
        <w:top w:val="none" w:sz="0" w:space="0" w:color="auto"/>
        <w:left w:val="none" w:sz="0" w:space="0" w:color="auto"/>
        <w:bottom w:val="none" w:sz="0" w:space="0" w:color="auto"/>
        <w:right w:val="none" w:sz="0" w:space="0" w:color="auto"/>
      </w:divBdr>
    </w:div>
    <w:div w:id="238056506">
      <w:marLeft w:val="0"/>
      <w:marRight w:val="0"/>
      <w:marTop w:val="180"/>
      <w:marBottom w:val="180"/>
      <w:divBdr>
        <w:top w:val="none" w:sz="0" w:space="0" w:color="auto"/>
        <w:left w:val="none" w:sz="0" w:space="0" w:color="auto"/>
        <w:bottom w:val="none" w:sz="0" w:space="0" w:color="auto"/>
        <w:right w:val="none" w:sz="0" w:space="0" w:color="auto"/>
      </w:divBdr>
    </w:div>
    <w:div w:id="238829684">
      <w:marLeft w:val="0"/>
      <w:marRight w:val="0"/>
      <w:marTop w:val="180"/>
      <w:marBottom w:val="180"/>
      <w:divBdr>
        <w:top w:val="none" w:sz="0" w:space="0" w:color="auto"/>
        <w:left w:val="none" w:sz="0" w:space="0" w:color="auto"/>
        <w:bottom w:val="none" w:sz="0" w:space="0" w:color="auto"/>
        <w:right w:val="none" w:sz="0" w:space="0" w:color="auto"/>
      </w:divBdr>
    </w:div>
    <w:div w:id="240650177">
      <w:marLeft w:val="0"/>
      <w:marRight w:val="0"/>
      <w:marTop w:val="0"/>
      <w:marBottom w:val="0"/>
      <w:divBdr>
        <w:top w:val="none" w:sz="0" w:space="0" w:color="auto"/>
        <w:left w:val="none" w:sz="0" w:space="0" w:color="auto"/>
        <w:bottom w:val="none" w:sz="0" w:space="0" w:color="auto"/>
        <w:right w:val="none" w:sz="0" w:space="0" w:color="auto"/>
      </w:divBdr>
      <w:divsChild>
        <w:div w:id="844322919">
          <w:marLeft w:val="0"/>
          <w:marRight w:val="0"/>
          <w:marTop w:val="180"/>
          <w:marBottom w:val="180"/>
          <w:divBdr>
            <w:top w:val="none" w:sz="0" w:space="0" w:color="auto"/>
            <w:left w:val="none" w:sz="0" w:space="0" w:color="auto"/>
            <w:bottom w:val="none" w:sz="0" w:space="0" w:color="auto"/>
            <w:right w:val="none" w:sz="0" w:space="0" w:color="auto"/>
          </w:divBdr>
        </w:div>
      </w:divsChild>
    </w:div>
    <w:div w:id="241649673">
      <w:marLeft w:val="0"/>
      <w:marRight w:val="0"/>
      <w:marTop w:val="180"/>
      <w:marBottom w:val="0"/>
      <w:divBdr>
        <w:top w:val="none" w:sz="0" w:space="0" w:color="auto"/>
        <w:left w:val="none" w:sz="0" w:space="0" w:color="auto"/>
        <w:bottom w:val="none" w:sz="0" w:space="0" w:color="auto"/>
        <w:right w:val="none" w:sz="0" w:space="0" w:color="auto"/>
      </w:divBdr>
    </w:div>
    <w:div w:id="241987561">
      <w:marLeft w:val="0"/>
      <w:marRight w:val="0"/>
      <w:marTop w:val="0"/>
      <w:marBottom w:val="0"/>
      <w:divBdr>
        <w:top w:val="none" w:sz="0" w:space="0" w:color="auto"/>
        <w:left w:val="none" w:sz="0" w:space="0" w:color="auto"/>
        <w:bottom w:val="none" w:sz="0" w:space="0" w:color="auto"/>
        <w:right w:val="none" w:sz="0" w:space="0" w:color="auto"/>
      </w:divBdr>
      <w:divsChild>
        <w:div w:id="403064377">
          <w:marLeft w:val="0"/>
          <w:marRight w:val="0"/>
          <w:marTop w:val="0"/>
          <w:marBottom w:val="0"/>
          <w:divBdr>
            <w:top w:val="none" w:sz="0" w:space="0" w:color="auto"/>
            <w:left w:val="none" w:sz="0" w:space="0" w:color="auto"/>
            <w:bottom w:val="none" w:sz="0" w:space="0" w:color="auto"/>
            <w:right w:val="none" w:sz="0" w:space="0" w:color="auto"/>
          </w:divBdr>
          <w:divsChild>
            <w:div w:id="19138486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47157007">
      <w:marLeft w:val="0"/>
      <w:marRight w:val="0"/>
      <w:marTop w:val="0"/>
      <w:marBottom w:val="0"/>
      <w:divBdr>
        <w:top w:val="none" w:sz="0" w:space="0" w:color="auto"/>
        <w:left w:val="none" w:sz="0" w:space="0" w:color="auto"/>
        <w:bottom w:val="none" w:sz="0" w:space="0" w:color="auto"/>
        <w:right w:val="none" w:sz="0" w:space="0" w:color="auto"/>
      </w:divBdr>
    </w:div>
    <w:div w:id="249315035">
      <w:marLeft w:val="0"/>
      <w:marRight w:val="0"/>
      <w:marTop w:val="180"/>
      <w:marBottom w:val="180"/>
      <w:divBdr>
        <w:top w:val="none" w:sz="0" w:space="0" w:color="auto"/>
        <w:left w:val="none" w:sz="0" w:space="0" w:color="auto"/>
        <w:bottom w:val="none" w:sz="0" w:space="0" w:color="auto"/>
        <w:right w:val="none" w:sz="0" w:space="0" w:color="auto"/>
      </w:divBdr>
    </w:div>
    <w:div w:id="249773830">
      <w:marLeft w:val="0"/>
      <w:marRight w:val="0"/>
      <w:marTop w:val="60"/>
      <w:marBottom w:val="60"/>
      <w:divBdr>
        <w:top w:val="none" w:sz="0" w:space="0" w:color="auto"/>
        <w:left w:val="none" w:sz="0" w:space="0" w:color="auto"/>
        <w:bottom w:val="none" w:sz="0" w:space="0" w:color="auto"/>
        <w:right w:val="none" w:sz="0" w:space="0" w:color="auto"/>
      </w:divBdr>
    </w:div>
    <w:div w:id="251209123">
      <w:marLeft w:val="0"/>
      <w:marRight w:val="0"/>
      <w:marTop w:val="180"/>
      <w:marBottom w:val="180"/>
      <w:divBdr>
        <w:top w:val="none" w:sz="0" w:space="0" w:color="auto"/>
        <w:left w:val="none" w:sz="0" w:space="0" w:color="auto"/>
        <w:bottom w:val="none" w:sz="0" w:space="0" w:color="auto"/>
        <w:right w:val="none" w:sz="0" w:space="0" w:color="auto"/>
      </w:divBdr>
    </w:div>
    <w:div w:id="252973601">
      <w:marLeft w:val="0"/>
      <w:marRight w:val="0"/>
      <w:marTop w:val="60"/>
      <w:marBottom w:val="60"/>
      <w:divBdr>
        <w:top w:val="none" w:sz="0" w:space="0" w:color="auto"/>
        <w:left w:val="none" w:sz="0" w:space="0" w:color="auto"/>
        <w:bottom w:val="none" w:sz="0" w:space="0" w:color="auto"/>
        <w:right w:val="none" w:sz="0" w:space="0" w:color="auto"/>
      </w:divBdr>
    </w:div>
    <w:div w:id="253126028">
      <w:marLeft w:val="0"/>
      <w:marRight w:val="0"/>
      <w:marTop w:val="0"/>
      <w:marBottom w:val="0"/>
      <w:divBdr>
        <w:top w:val="none" w:sz="0" w:space="0" w:color="auto"/>
        <w:left w:val="none" w:sz="0" w:space="0" w:color="auto"/>
        <w:bottom w:val="none" w:sz="0" w:space="0" w:color="auto"/>
        <w:right w:val="none" w:sz="0" w:space="0" w:color="auto"/>
      </w:divBdr>
      <w:divsChild>
        <w:div w:id="1697927671">
          <w:marLeft w:val="0"/>
          <w:marRight w:val="0"/>
          <w:marTop w:val="0"/>
          <w:marBottom w:val="0"/>
          <w:divBdr>
            <w:top w:val="none" w:sz="0" w:space="0" w:color="auto"/>
            <w:left w:val="none" w:sz="0" w:space="0" w:color="auto"/>
            <w:bottom w:val="none" w:sz="0" w:space="0" w:color="auto"/>
            <w:right w:val="none" w:sz="0" w:space="0" w:color="auto"/>
          </w:divBdr>
          <w:divsChild>
            <w:div w:id="16882904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3362251">
      <w:marLeft w:val="0"/>
      <w:marRight w:val="0"/>
      <w:marTop w:val="60"/>
      <w:marBottom w:val="60"/>
      <w:divBdr>
        <w:top w:val="none" w:sz="0" w:space="0" w:color="auto"/>
        <w:left w:val="none" w:sz="0" w:space="0" w:color="auto"/>
        <w:bottom w:val="none" w:sz="0" w:space="0" w:color="auto"/>
        <w:right w:val="none" w:sz="0" w:space="0" w:color="auto"/>
      </w:divBdr>
    </w:div>
    <w:div w:id="253979456">
      <w:marLeft w:val="0"/>
      <w:marRight w:val="0"/>
      <w:marTop w:val="180"/>
      <w:marBottom w:val="0"/>
      <w:divBdr>
        <w:top w:val="none" w:sz="0" w:space="0" w:color="auto"/>
        <w:left w:val="none" w:sz="0" w:space="0" w:color="auto"/>
        <w:bottom w:val="none" w:sz="0" w:space="0" w:color="auto"/>
        <w:right w:val="none" w:sz="0" w:space="0" w:color="auto"/>
      </w:divBdr>
    </w:div>
    <w:div w:id="254628527">
      <w:marLeft w:val="0"/>
      <w:marRight w:val="0"/>
      <w:marTop w:val="120"/>
      <w:marBottom w:val="0"/>
      <w:divBdr>
        <w:top w:val="none" w:sz="0" w:space="0" w:color="auto"/>
        <w:left w:val="none" w:sz="0" w:space="0" w:color="auto"/>
        <w:bottom w:val="none" w:sz="0" w:space="0" w:color="auto"/>
        <w:right w:val="none" w:sz="0" w:space="0" w:color="auto"/>
      </w:divBdr>
    </w:div>
    <w:div w:id="256716414">
      <w:marLeft w:val="0"/>
      <w:marRight w:val="0"/>
      <w:marTop w:val="180"/>
      <w:marBottom w:val="60"/>
      <w:divBdr>
        <w:top w:val="none" w:sz="0" w:space="0" w:color="auto"/>
        <w:left w:val="none" w:sz="0" w:space="0" w:color="auto"/>
        <w:bottom w:val="none" w:sz="0" w:space="0" w:color="auto"/>
        <w:right w:val="none" w:sz="0" w:space="0" w:color="auto"/>
      </w:divBdr>
    </w:div>
    <w:div w:id="257833498">
      <w:marLeft w:val="0"/>
      <w:marRight w:val="0"/>
      <w:marTop w:val="180"/>
      <w:marBottom w:val="180"/>
      <w:divBdr>
        <w:top w:val="none" w:sz="0" w:space="0" w:color="auto"/>
        <w:left w:val="none" w:sz="0" w:space="0" w:color="auto"/>
        <w:bottom w:val="none" w:sz="0" w:space="0" w:color="auto"/>
        <w:right w:val="none" w:sz="0" w:space="0" w:color="auto"/>
      </w:divBdr>
    </w:div>
    <w:div w:id="263802704">
      <w:marLeft w:val="0"/>
      <w:marRight w:val="0"/>
      <w:marTop w:val="60"/>
      <w:marBottom w:val="60"/>
      <w:divBdr>
        <w:top w:val="none" w:sz="0" w:space="0" w:color="auto"/>
        <w:left w:val="none" w:sz="0" w:space="0" w:color="auto"/>
        <w:bottom w:val="none" w:sz="0" w:space="0" w:color="auto"/>
        <w:right w:val="none" w:sz="0" w:space="0" w:color="auto"/>
      </w:divBdr>
    </w:div>
    <w:div w:id="264505733">
      <w:marLeft w:val="0"/>
      <w:marRight w:val="0"/>
      <w:marTop w:val="100"/>
      <w:marBottom w:val="100"/>
      <w:divBdr>
        <w:top w:val="none" w:sz="0" w:space="0" w:color="auto"/>
        <w:left w:val="none" w:sz="0" w:space="0" w:color="auto"/>
        <w:bottom w:val="none" w:sz="0" w:space="0" w:color="auto"/>
        <w:right w:val="none" w:sz="0" w:space="0" w:color="auto"/>
      </w:divBdr>
      <w:divsChild>
        <w:div w:id="1269696333">
          <w:marLeft w:val="0"/>
          <w:marRight w:val="0"/>
          <w:marTop w:val="0"/>
          <w:marBottom w:val="0"/>
          <w:divBdr>
            <w:top w:val="none" w:sz="0" w:space="0" w:color="auto"/>
            <w:left w:val="none" w:sz="0" w:space="0" w:color="auto"/>
            <w:bottom w:val="none" w:sz="0" w:space="0" w:color="auto"/>
            <w:right w:val="none" w:sz="0" w:space="0" w:color="auto"/>
          </w:divBdr>
        </w:div>
        <w:div w:id="767194232">
          <w:marLeft w:val="0"/>
          <w:marRight w:val="0"/>
          <w:marTop w:val="0"/>
          <w:marBottom w:val="0"/>
          <w:divBdr>
            <w:top w:val="none" w:sz="0" w:space="0" w:color="auto"/>
            <w:left w:val="none" w:sz="0" w:space="0" w:color="auto"/>
            <w:bottom w:val="none" w:sz="0" w:space="0" w:color="auto"/>
            <w:right w:val="none" w:sz="0" w:space="0" w:color="auto"/>
          </w:divBdr>
        </w:div>
        <w:div w:id="1479565772">
          <w:marLeft w:val="0"/>
          <w:marRight w:val="0"/>
          <w:marTop w:val="0"/>
          <w:marBottom w:val="0"/>
          <w:divBdr>
            <w:top w:val="none" w:sz="0" w:space="0" w:color="auto"/>
            <w:left w:val="none" w:sz="0" w:space="0" w:color="auto"/>
            <w:bottom w:val="none" w:sz="0" w:space="0" w:color="auto"/>
            <w:right w:val="none" w:sz="0" w:space="0" w:color="auto"/>
          </w:divBdr>
        </w:div>
        <w:div w:id="1840193518">
          <w:marLeft w:val="0"/>
          <w:marRight w:val="0"/>
          <w:marTop w:val="0"/>
          <w:marBottom w:val="0"/>
          <w:divBdr>
            <w:top w:val="none" w:sz="0" w:space="0" w:color="auto"/>
            <w:left w:val="none" w:sz="0" w:space="0" w:color="auto"/>
            <w:bottom w:val="none" w:sz="0" w:space="0" w:color="auto"/>
            <w:right w:val="none" w:sz="0" w:space="0" w:color="auto"/>
          </w:divBdr>
        </w:div>
        <w:div w:id="224416951">
          <w:marLeft w:val="0"/>
          <w:marRight w:val="0"/>
          <w:marTop w:val="0"/>
          <w:marBottom w:val="0"/>
          <w:divBdr>
            <w:top w:val="none" w:sz="0" w:space="0" w:color="auto"/>
            <w:left w:val="none" w:sz="0" w:space="0" w:color="auto"/>
            <w:bottom w:val="none" w:sz="0" w:space="0" w:color="auto"/>
            <w:right w:val="none" w:sz="0" w:space="0" w:color="auto"/>
          </w:divBdr>
        </w:div>
        <w:div w:id="617181447">
          <w:marLeft w:val="0"/>
          <w:marRight w:val="0"/>
          <w:marTop w:val="0"/>
          <w:marBottom w:val="0"/>
          <w:divBdr>
            <w:top w:val="none" w:sz="0" w:space="0" w:color="auto"/>
            <w:left w:val="none" w:sz="0" w:space="0" w:color="auto"/>
            <w:bottom w:val="none" w:sz="0" w:space="0" w:color="auto"/>
            <w:right w:val="none" w:sz="0" w:space="0" w:color="auto"/>
          </w:divBdr>
        </w:div>
        <w:div w:id="1191458856">
          <w:marLeft w:val="0"/>
          <w:marRight w:val="0"/>
          <w:marTop w:val="0"/>
          <w:marBottom w:val="0"/>
          <w:divBdr>
            <w:top w:val="none" w:sz="0" w:space="0" w:color="auto"/>
            <w:left w:val="none" w:sz="0" w:space="0" w:color="auto"/>
            <w:bottom w:val="none" w:sz="0" w:space="0" w:color="auto"/>
            <w:right w:val="none" w:sz="0" w:space="0" w:color="auto"/>
          </w:divBdr>
        </w:div>
        <w:div w:id="1918636125">
          <w:marLeft w:val="0"/>
          <w:marRight w:val="0"/>
          <w:marTop w:val="0"/>
          <w:marBottom w:val="0"/>
          <w:divBdr>
            <w:top w:val="none" w:sz="0" w:space="0" w:color="auto"/>
            <w:left w:val="none" w:sz="0" w:space="0" w:color="auto"/>
            <w:bottom w:val="none" w:sz="0" w:space="0" w:color="auto"/>
            <w:right w:val="none" w:sz="0" w:space="0" w:color="auto"/>
          </w:divBdr>
        </w:div>
        <w:div w:id="1556313863">
          <w:marLeft w:val="0"/>
          <w:marRight w:val="0"/>
          <w:marTop w:val="0"/>
          <w:marBottom w:val="0"/>
          <w:divBdr>
            <w:top w:val="none" w:sz="0" w:space="0" w:color="auto"/>
            <w:left w:val="none" w:sz="0" w:space="0" w:color="auto"/>
            <w:bottom w:val="none" w:sz="0" w:space="0" w:color="auto"/>
            <w:right w:val="none" w:sz="0" w:space="0" w:color="auto"/>
          </w:divBdr>
        </w:div>
        <w:div w:id="2115199817">
          <w:marLeft w:val="0"/>
          <w:marRight w:val="0"/>
          <w:marTop w:val="0"/>
          <w:marBottom w:val="0"/>
          <w:divBdr>
            <w:top w:val="none" w:sz="0" w:space="0" w:color="auto"/>
            <w:left w:val="none" w:sz="0" w:space="0" w:color="auto"/>
            <w:bottom w:val="none" w:sz="0" w:space="0" w:color="auto"/>
            <w:right w:val="none" w:sz="0" w:space="0" w:color="auto"/>
          </w:divBdr>
        </w:div>
        <w:div w:id="446313768">
          <w:marLeft w:val="0"/>
          <w:marRight w:val="0"/>
          <w:marTop w:val="0"/>
          <w:marBottom w:val="0"/>
          <w:divBdr>
            <w:top w:val="none" w:sz="0" w:space="0" w:color="auto"/>
            <w:left w:val="none" w:sz="0" w:space="0" w:color="auto"/>
            <w:bottom w:val="none" w:sz="0" w:space="0" w:color="auto"/>
            <w:right w:val="none" w:sz="0" w:space="0" w:color="auto"/>
          </w:divBdr>
        </w:div>
        <w:div w:id="1283269324">
          <w:marLeft w:val="0"/>
          <w:marRight w:val="0"/>
          <w:marTop w:val="0"/>
          <w:marBottom w:val="0"/>
          <w:divBdr>
            <w:top w:val="none" w:sz="0" w:space="0" w:color="auto"/>
            <w:left w:val="none" w:sz="0" w:space="0" w:color="auto"/>
            <w:bottom w:val="none" w:sz="0" w:space="0" w:color="auto"/>
            <w:right w:val="none" w:sz="0" w:space="0" w:color="auto"/>
          </w:divBdr>
        </w:div>
        <w:div w:id="10298530">
          <w:marLeft w:val="0"/>
          <w:marRight w:val="0"/>
          <w:marTop w:val="0"/>
          <w:marBottom w:val="0"/>
          <w:divBdr>
            <w:top w:val="none" w:sz="0" w:space="0" w:color="auto"/>
            <w:left w:val="none" w:sz="0" w:space="0" w:color="auto"/>
            <w:bottom w:val="none" w:sz="0" w:space="0" w:color="auto"/>
            <w:right w:val="none" w:sz="0" w:space="0" w:color="auto"/>
          </w:divBdr>
        </w:div>
        <w:div w:id="1988588001">
          <w:marLeft w:val="0"/>
          <w:marRight w:val="0"/>
          <w:marTop w:val="0"/>
          <w:marBottom w:val="0"/>
          <w:divBdr>
            <w:top w:val="none" w:sz="0" w:space="0" w:color="auto"/>
            <w:left w:val="none" w:sz="0" w:space="0" w:color="auto"/>
            <w:bottom w:val="none" w:sz="0" w:space="0" w:color="auto"/>
            <w:right w:val="none" w:sz="0" w:space="0" w:color="auto"/>
          </w:divBdr>
        </w:div>
        <w:div w:id="1747803897">
          <w:marLeft w:val="0"/>
          <w:marRight w:val="0"/>
          <w:marTop w:val="0"/>
          <w:marBottom w:val="0"/>
          <w:divBdr>
            <w:top w:val="none" w:sz="0" w:space="0" w:color="auto"/>
            <w:left w:val="none" w:sz="0" w:space="0" w:color="auto"/>
            <w:bottom w:val="none" w:sz="0" w:space="0" w:color="auto"/>
            <w:right w:val="none" w:sz="0" w:space="0" w:color="auto"/>
          </w:divBdr>
        </w:div>
        <w:div w:id="217128047">
          <w:marLeft w:val="0"/>
          <w:marRight w:val="0"/>
          <w:marTop w:val="0"/>
          <w:marBottom w:val="0"/>
          <w:divBdr>
            <w:top w:val="none" w:sz="0" w:space="0" w:color="auto"/>
            <w:left w:val="none" w:sz="0" w:space="0" w:color="auto"/>
            <w:bottom w:val="none" w:sz="0" w:space="0" w:color="auto"/>
            <w:right w:val="none" w:sz="0" w:space="0" w:color="auto"/>
          </w:divBdr>
        </w:div>
        <w:div w:id="1654602375">
          <w:marLeft w:val="0"/>
          <w:marRight w:val="0"/>
          <w:marTop w:val="0"/>
          <w:marBottom w:val="0"/>
          <w:divBdr>
            <w:top w:val="none" w:sz="0" w:space="0" w:color="auto"/>
            <w:left w:val="none" w:sz="0" w:space="0" w:color="auto"/>
            <w:bottom w:val="none" w:sz="0" w:space="0" w:color="auto"/>
            <w:right w:val="none" w:sz="0" w:space="0" w:color="auto"/>
          </w:divBdr>
        </w:div>
        <w:div w:id="1905332362">
          <w:marLeft w:val="0"/>
          <w:marRight w:val="0"/>
          <w:marTop w:val="0"/>
          <w:marBottom w:val="0"/>
          <w:divBdr>
            <w:top w:val="none" w:sz="0" w:space="0" w:color="auto"/>
            <w:left w:val="none" w:sz="0" w:space="0" w:color="auto"/>
            <w:bottom w:val="none" w:sz="0" w:space="0" w:color="auto"/>
            <w:right w:val="none" w:sz="0" w:space="0" w:color="auto"/>
          </w:divBdr>
        </w:div>
        <w:div w:id="28727519">
          <w:marLeft w:val="0"/>
          <w:marRight w:val="0"/>
          <w:marTop w:val="0"/>
          <w:marBottom w:val="0"/>
          <w:divBdr>
            <w:top w:val="none" w:sz="0" w:space="0" w:color="auto"/>
            <w:left w:val="none" w:sz="0" w:space="0" w:color="auto"/>
            <w:bottom w:val="none" w:sz="0" w:space="0" w:color="auto"/>
            <w:right w:val="none" w:sz="0" w:space="0" w:color="auto"/>
          </w:divBdr>
        </w:div>
        <w:div w:id="2061707817">
          <w:marLeft w:val="0"/>
          <w:marRight w:val="0"/>
          <w:marTop w:val="0"/>
          <w:marBottom w:val="0"/>
          <w:divBdr>
            <w:top w:val="none" w:sz="0" w:space="0" w:color="auto"/>
            <w:left w:val="none" w:sz="0" w:space="0" w:color="auto"/>
            <w:bottom w:val="none" w:sz="0" w:space="0" w:color="auto"/>
            <w:right w:val="none" w:sz="0" w:space="0" w:color="auto"/>
          </w:divBdr>
        </w:div>
        <w:div w:id="121732899">
          <w:marLeft w:val="0"/>
          <w:marRight w:val="0"/>
          <w:marTop w:val="0"/>
          <w:marBottom w:val="0"/>
          <w:divBdr>
            <w:top w:val="none" w:sz="0" w:space="0" w:color="auto"/>
            <w:left w:val="none" w:sz="0" w:space="0" w:color="auto"/>
            <w:bottom w:val="none" w:sz="0" w:space="0" w:color="auto"/>
            <w:right w:val="none" w:sz="0" w:space="0" w:color="auto"/>
          </w:divBdr>
        </w:div>
      </w:divsChild>
    </w:div>
    <w:div w:id="266930321">
      <w:marLeft w:val="0"/>
      <w:marRight w:val="0"/>
      <w:marTop w:val="60"/>
      <w:marBottom w:val="60"/>
      <w:divBdr>
        <w:top w:val="none" w:sz="0" w:space="0" w:color="auto"/>
        <w:left w:val="none" w:sz="0" w:space="0" w:color="auto"/>
        <w:bottom w:val="none" w:sz="0" w:space="0" w:color="auto"/>
        <w:right w:val="none" w:sz="0" w:space="0" w:color="auto"/>
      </w:divBdr>
    </w:div>
    <w:div w:id="271137565">
      <w:marLeft w:val="0"/>
      <w:marRight w:val="0"/>
      <w:marTop w:val="240"/>
      <w:marBottom w:val="100"/>
      <w:divBdr>
        <w:top w:val="none" w:sz="0" w:space="0" w:color="auto"/>
        <w:left w:val="none" w:sz="0" w:space="0" w:color="auto"/>
        <w:bottom w:val="none" w:sz="0" w:space="0" w:color="auto"/>
        <w:right w:val="none" w:sz="0" w:space="0" w:color="auto"/>
      </w:divBdr>
    </w:div>
    <w:div w:id="271212098">
      <w:marLeft w:val="0"/>
      <w:marRight w:val="0"/>
      <w:marTop w:val="180"/>
      <w:marBottom w:val="180"/>
      <w:divBdr>
        <w:top w:val="none" w:sz="0" w:space="0" w:color="auto"/>
        <w:left w:val="none" w:sz="0" w:space="0" w:color="auto"/>
        <w:bottom w:val="none" w:sz="0" w:space="0" w:color="auto"/>
        <w:right w:val="none" w:sz="0" w:space="0" w:color="auto"/>
      </w:divBdr>
    </w:div>
    <w:div w:id="274485588">
      <w:marLeft w:val="0"/>
      <w:marRight w:val="0"/>
      <w:marTop w:val="0"/>
      <w:marBottom w:val="0"/>
      <w:divBdr>
        <w:top w:val="none" w:sz="0" w:space="0" w:color="auto"/>
        <w:left w:val="none" w:sz="0" w:space="0" w:color="auto"/>
        <w:bottom w:val="none" w:sz="0" w:space="0" w:color="auto"/>
        <w:right w:val="none" w:sz="0" w:space="0" w:color="auto"/>
      </w:divBdr>
      <w:divsChild>
        <w:div w:id="1809975834">
          <w:marLeft w:val="0"/>
          <w:marRight w:val="0"/>
          <w:marTop w:val="0"/>
          <w:marBottom w:val="0"/>
          <w:divBdr>
            <w:top w:val="none" w:sz="0" w:space="0" w:color="auto"/>
            <w:left w:val="none" w:sz="0" w:space="0" w:color="auto"/>
            <w:bottom w:val="none" w:sz="0" w:space="0" w:color="auto"/>
            <w:right w:val="none" w:sz="0" w:space="0" w:color="auto"/>
          </w:divBdr>
          <w:divsChild>
            <w:div w:id="8664539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75479327">
      <w:marLeft w:val="0"/>
      <w:marRight w:val="0"/>
      <w:marTop w:val="0"/>
      <w:marBottom w:val="0"/>
      <w:divBdr>
        <w:top w:val="none" w:sz="0" w:space="0" w:color="auto"/>
        <w:left w:val="none" w:sz="0" w:space="0" w:color="auto"/>
        <w:bottom w:val="none" w:sz="0" w:space="0" w:color="auto"/>
        <w:right w:val="none" w:sz="0" w:space="0" w:color="auto"/>
      </w:divBdr>
      <w:divsChild>
        <w:div w:id="1605188346">
          <w:marLeft w:val="0"/>
          <w:marRight w:val="0"/>
          <w:marTop w:val="60"/>
          <w:marBottom w:val="60"/>
          <w:divBdr>
            <w:top w:val="none" w:sz="0" w:space="0" w:color="auto"/>
            <w:left w:val="none" w:sz="0" w:space="0" w:color="auto"/>
            <w:bottom w:val="none" w:sz="0" w:space="0" w:color="auto"/>
            <w:right w:val="none" w:sz="0" w:space="0" w:color="auto"/>
          </w:divBdr>
        </w:div>
      </w:divsChild>
    </w:div>
    <w:div w:id="276639226">
      <w:marLeft w:val="0"/>
      <w:marRight w:val="0"/>
      <w:marTop w:val="180"/>
      <w:marBottom w:val="180"/>
      <w:divBdr>
        <w:top w:val="none" w:sz="0" w:space="0" w:color="auto"/>
        <w:left w:val="none" w:sz="0" w:space="0" w:color="auto"/>
        <w:bottom w:val="none" w:sz="0" w:space="0" w:color="auto"/>
        <w:right w:val="none" w:sz="0" w:space="0" w:color="auto"/>
      </w:divBdr>
    </w:div>
    <w:div w:id="282931791">
      <w:marLeft w:val="0"/>
      <w:marRight w:val="0"/>
      <w:marTop w:val="0"/>
      <w:marBottom w:val="60"/>
      <w:divBdr>
        <w:top w:val="none" w:sz="0" w:space="0" w:color="auto"/>
        <w:left w:val="none" w:sz="0" w:space="0" w:color="auto"/>
        <w:bottom w:val="none" w:sz="0" w:space="0" w:color="auto"/>
        <w:right w:val="none" w:sz="0" w:space="0" w:color="auto"/>
      </w:divBdr>
    </w:div>
    <w:div w:id="287400786">
      <w:marLeft w:val="0"/>
      <w:marRight w:val="0"/>
      <w:marTop w:val="60"/>
      <w:marBottom w:val="60"/>
      <w:divBdr>
        <w:top w:val="none" w:sz="0" w:space="0" w:color="auto"/>
        <w:left w:val="none" w:sz="0" w:space="0" w:color="auto"/>
        <w:bottom w:val="none" w:sz="0" w:space="0" w:color="auto"/>
        <w:right w:val="none" w:sz="0" w:space="0" w:color="auto"/>
      </w:divBdr>
    </w:div>
    <w:div w:id="288056236">
      <w:marLeft w:val="0"/>
      <w:marRight w:val="0"/>
      <w:marTop w:val="180"/>
      <w:marBottom w:val="180"/>
      <w:divBdr>
        <w:top w:val="none" w:sz="0" w:space="0" w:color="auto"/>
        <w:left w:val="none" w:sz="0" w:space="0" w:color="auto"/>
        <w:bottom w:val="none" w:sz="0" w:space="0" w:color="auto"/>
        <w:right w:val="none" w:sz="0" w:space="0" w:color="auto"/>
      </w:divBdr>
    </w:div>
    <w:div w:id="289871436">
      <w:marLeft w:val="0"/>
      <w:marRight w:val="0"/>
      <w:marTop w:val="180"/>
      <w:marBottom w:val="180"/>
      <w:divBdr>
        <w:top w:val="none" w:sz="0" w:space="0" w:color="auto"/>
        <w:left w:val="none" w:sz="0" w:space="0" w:color="auto"/>
        <w:bottom w:val="none" w:sz="0" w:space="0" w:color="auto"/>
        <w:right w:val="none" w:sz="0" w:space="0" w:color="auto"/>
      </w:divBdr>
    </w:div>
    <w:div w:id="289944754">
      <w:marLeft w:val="0"/>
      <w:marRight w:val="0"/>
      <w:marTop w:val="180"/>
      <w:marBottom w:val="60"/>
      <w:divBdr>
        <w:top w:val="none" w:sz="0" w:space="0" w:color="auto"/>
        <w:left w:val="none" w:sz="0" w:space="0" w:color="auto"/>
        <w:bottom w:val="none" w:sz="0" w:space="0" w:color="auto"/>
        <w:right w:val="none" w:sz="0" w:space="0" w:color="auto"/>
      </w:divBdr>
    </w:div>
    <w:div w:id="291864051">
      <w:marLeft w:val="0"/>
      <w:marRight w:val="0"/>
      <w:marTop w:val="180"/>
      <w:marBottom w:val="180"/>
      <w:divBdr>
        <w:top w:val="none" w:sz="0" w:space="0" w:color="auto"/>
        <w:left w:val="none" w:sz="0" w:space="0" w:color="auto"/>
        <w:bottom w:val="none" w:sz="0" w:space="0" w:color="auto"/>
        <w:right w:val="none" w:sz="0" w:space="0" w:color="auto"/>
      </w:divBdr>
    </w:div>
    <w:div w:id="292181245">
      <w:marLeft w:val="0"/>
      <w:marRight w:val="0"/>
      <w:marTop w:val="60"/>
      <w:marBottom w:val="60"/>
      <w:divBdr>
        <w:top w:val="none" w:sz="0" w:space="0" w:color="auto"/>
        <w:left w:val="none" w:sz="0" w:space="0" w:color="auto"/>
        <w:bottom w:val="none" w:sz="0" w:space="0" w:color="auto"/>
        <w:right w:val="none" w:sz="0" w:space="0" w:color="auto"/>
      </w:divBdr>
    </w:div>
    <w:div w:id="292567673">
      <w:marLeft w:val="0"/>
      <w:marRight w:val="0"/>
      <w:marTop w:val="60"/>
      <w:marBottom w:val="60"/>
      <w:divBdr>
        <w:top w:val="none" w:sz="0" w:space="0" w:color="auto"/>
        <w:left w:val="none" w:sz="0" w:space="0" w:color="auto"/>
        <w:bottom w:val="none" w:sz="0" w:space="0" w:color="auto"/>
        <w:right w:val="none" w:sz="0" w:space="0" w:color="auto"/>
      </w:divBdr>
    </w:div>
    <w:div w:id="294918383">
      <w:marLeft w:val="0"/>
      <w:marRight w:val="0"/>
      <w:marTop w:val="180"/>
      <w:marBottom w:val="180"/>
      <w:divBdr>
        <w:top w:val="none" w:sz="0" w:space="0" w:color="auto"/>
        <w:left w:val="none" w:sz="0" w:space="0" w:color="auto"/>
        <w:bottom w:val="none" w:sz="0" w:space="0" w:color="auto"/>
        <w:right w:val="none" w:sz="0" w:space="0" w:color="auto"/>
      </w:divBdr>
    </w:div>
    <w:div w:id="295448748">
      <w:marLeft w:val="0"/>
      <w:marRight w:val="0"/>
      <w:marTop w:val="0"/>
      <w:marBottom w:val="0"/>
      <w:divBdr>
        <w:top w:val="none" w:sz="0" w:space="0" w:color="auto"/>
        <w:left w:val="none" w:sz="0" w:space="0" w:color="auto"/>
        <w:bottom w:val="none" w:sz="0" w:space="0" w:color="auto"/>
        <w:right w:val="none" w:sz="0" w:space="0" w:color="auto"/>
      </w:divBdr>
      <w:divsChild>
        <w:div w:id="1342048854">
          <w:marLeft w:val="0"/>
          <w:marRight w:val="0"/>
          <w:marTop w:val="0"/>
          <w:marBottom w:val="0"/>
          <w:divBdr>
            <w:top w:val="none" w:sz="0" w:space="0" w:color="auto"/>
            <w:left w:val="none" w:sz="0" w:space="0" w:color="auto"/>
            <w:bottom w:val="none" w:sz="0" w:space="0" w:color="auto"/>
            <w:right w:val="none" w:sz="0" w:space="0" w:color="auto"/>
          </w:divBdr>
        </w:div>
      </w:divsChild>
    </w:div>
    <w:div w:id="295599729">
      <w:marLeft w:val="0"/>
      <w:marRight w:val="0"/>
      <w:marTop w:val="180"/>
      <w:marBottom w:val="60"/>
      <w:divBdr>
        <w:top w:val="none" w:sz="0" w:space="0" w:color="auto"/>
        <w:left w:val="none" w:sz="0" w:space="0" w:color="auto"/>
        <w:bottom w:val="none" w:sz="0" w:space="0" w:color="auto"/>
        <w:right w:val="none" w:sz="0" w:space="0" w:color="auto"/>
      </w:divBdr>
    </w:div>
    <w:div w:id="295989517">
      <w:marLeft w:val="0"/>
      <w:marRight w:val="0"/>
      <w:marTop w:val="180"/>
      <w:marBottom w:val="180"/>
      <w:divBdr>
        <w:top w:val="none" w:sz="0" w:space="0" w:color="auto"/>
        <w:left w:val="none" w:sz="0" w:space="0" w:color="auto"/>
        <w:bottom w:val="none" w:sz="0" w:space="0" w:color="auto"/>
        <w:right w:val="none" w:sz="0" w:space="0" w:color="auto"/>
      </w:divBdr>
    </w:div>
    <w:div w:id="296910509">
      <w:marLeft w:val="0"/>
      <w:marRight w:val="0"/>
      <w:marTop w:val="180"/>
      <w:marBottom w:val="180"/>
      <w:divBdr>
        <w:top w:val="none" w:sz="0" w:space="0" w:color="auto"/>
        <w:left w:val="none" w:sz="0" w:space="0" w:color="auto"/>
        <w:bottom w:val="none" w:sz="0" w:space="0" w:color="auto"/>
        <w:right w:val="none" w:sz="0" w:space="0" w:color="auto"/>
      </w:divBdr>
    </w:div>
    <w:div w:id="298263251">
      <w:marLeft w:val="0"/>
      <w:marRight w:val="0"/>
      <w:marTop w:val="0"/>
      <w:marBottom w:val="0"/>
      <w:divBdr>
        <w:top w:val="none" w:sz="0" w:space="0" w:color="auto"/>
        <w:left w:val="none" w:sz="0" w:space="0" w:color="auto"/>
        <w:bottom w:val="none" w:sz="0" w:space="0" w:color="auto"/>
        <w:right w:val="none" w:sz="0" w:space="0" w:color="auto"/>
      </w:divBdr>
    </w:div>
    <w:div w:id="298465174">
      <w:marLeft w:val="0"/>
      <w:marRight w:val="0"/>
      <w:marTop w:val="60"/>
      <w:marBottom w:val="60"/>
      <w:divBdr>
        <w:top w:val="none" w:sz="0" w:space="0" w:color="auto"/>
        <w:left w:val="none" w:sz="0" w:space="0" w:color="auto"/>
        <w:bottom w:val="none" w:sz="0" w:space="0" w:color="auto"/>
        <w:right w:val="none" w:sz="0" w:space="0" w:color="auto"/>
      </w:divBdr>
    </w:div>
    <w:div w:id="298844337">
      <w:marLeft w:val="0"/>
      <w:marRight w:val="0"/>
      <w:marTop w:val="60"/>
      <w:marBottom w:val="60"/>
      <w:divBdr>
        <w:top w:val="none" w:sz="0" w:space="0" w:color="auto"/>
        <w:left w:val="none" w:sz="0" w:space="0" w:color="auto"/>
        <w:bottom w:val="none" w:sz="0" w:space="0" w:color="auto"/>
        <w:right w:val="none" w:sz="0" w:space="0" w:color="auto"/>
      </w:divBdr>
    </w:div>
    <w:div w:id="300378982">
      <w:marLeft w:val="0"/>
      <w:marRight w:val="0"/>
      <w:marTop w:val="0"/>
      <w:marBottom w:val="0"/>
      <w:divBdr>
        <w:top w:val="none" w:sz="0" w:space="0" w:color="auto"/>
        <w:left w:val="none" w:sz="0" w:space="0" w:color="auto"/>
        <w:bottom w:val="none" w:sz="0" w:space="0" w:color="auto"/>
        <w:right w:val="none" w:sz="0" w:space="0" w:color="auto"/>
      </w:divBdr>
      <w:divsChild>
        <w:div w:id="70320242">
          <w:marLeft w:val="0"/>
          <w:marRight w:val="0"/>
          <w:marTop w:val="0"/>
          <w:marBottom w:val="0"/>
          <w:divBdr>
            <w:top w:val="none" w:sz="0" w:space="0" w:color="auto"/>
            <w:left w:val="none" w:sz="0" w:space="0" w:color="auto"/>
            <w:bottom w:val="none" w:sz="0" w:space="0" w:color="auto"/>
            <w:right w:val="none" w:sz="0" w:space="0" w:color="auto"/>
          </w:divBdr>
          <w:divsChild>
            <w:div w:id="12571362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3580979">
      <w:marLeft w:val="0"/>
      <w:marRight w:val="0"/>
      <w:marTop w:val="60"/>
      <w:marBottom w:val="60"/>
      <w:divBdr>
        <w:top w:val="none" w:sz="0" w:space="0" w:color="auto"/>
        <w:left w:val="none" w:sz="0" w:space="0" w:color="auto"/>
        <w:bottom w:val="none" w:sz="0" w:space="0" w:color="auto"/>
        <w:right w:val="none" w:sz="0" w:space="0" w:color="auto"/>
      </w:divBdr>
    </w:div>
    <w:div w:id="304237378">
      <w:marLeft w:val="0"/>
      <w:marRight w:val="0"/>
      <w:marTop w:val="60"/>
      <w:marBottom w:val="60"/>
      <w:divBdr>
        <w:top w:val="none" w:sz="0" w:space="0" w:color="auto"/>
        <w:left w:val="none" w:sz="0" w:space="0" w:color="auto"/>
        <w:bottom w:val="none" w:sz="0" w:space="0" w:color="auto"/>
        <w:right w:val="none" w:sz="0" w:space="0" w:color="auto"/>
      </w:divBdr>
    </w:div>
    <w:div w:id="304630464">
      <w:marLeft w:val="0"/>
      <w:marRight w:val="0"/>
      <w:marTop w:val="180"/>
      <w:marBottom w:val="180"/>
      <w:divBdr>
        <w:top w:val="none" w:sz="0" w:space="0" w:color="auto"/>
        <w:left w:val="none" w:sz="0" w:space="0" w:color="auto"/>
        <w:bottom w:val="none" w:sz="0" w:space="0" w:color="auto"/>
        <w:right w:val="none" w:sz="0" w:space="0" w:color="auto"/>
      </w:divBdr>
    </w:div>
    <w:div w:id="304895962">
      <w:marLeft w:val="0"/>
      <w:marRight w:val="0"/>
      <w:marTop w:val="60"/>
      <w:marBottom w:val="60"/>
      <w:divBdr>
        <w:top w:val="none" w:sz="0" w:space="0" w:color="auto"/>
        <w:left w:val="none" w:sz="0" w:space="0" w:color="auto"/>
        <w:bottom w:val="none" w:sz="0" w:space="0" w:color="auto"/>
        <w:right w:val="none" w:sz="0" w:space="0" w:color="auto"/>
      </w:divBdr>
    </w:div>
    <w:div w:id="305355004">
      <w:marLeft w:val="0"/>
      <w:marRight w:val="0"/>
      <w:marTop w:val="100"/>
      <w:marBottom w:val="100"/>
      <w:divBdr>
        <w:top w:val="none" w:sz="0" w:space="0" w:color="auto"/>
        <w:left w:val="none" w:sz="0" w:space="0" w:color="auto"/>
        <w:bottom w:val="none" w:sz="0" w:space="0" w:color="auto"/>
        <w:right w:val="none" w:sz="0" w:space="0" w:color="auto"/>
      </w:divBdr>
    </w:div>
    <w:div w:id="306014962">
      <w:marLeft w:val="0"/>
      <w:marRight w:val="0"/>
      <w:marTop w:val="180"/>
      <w:marBottom w:val="180"/>
      <w:divBdr>
        <w:top w:val="none" w:sz="0" w:space="0" w:color="auto"/>
        <w:left w:val="none" w:sz="0" w:space="0" w:color="auto"/>
        <w:bottom w:val="none" w:sz="0" w:space="0" w:color="auto"/>
        <w:right w:val="none" w:sz="0" w:space="0" w:color="auto"/>
      </w:divBdr>
    </w:div>
    <w:div w:id="306323644">
      <w:marLeft w:val="0"/>
      <w:marRight w:val="0"/>
      <w:marTop w:val="180"/>
      <w:marBottom w:val="180"/>
      <w:divBdr>
        <w:top w:val="none" w:sz="0" w:space="0" w:color="auto"/>
        <w:left w:val="none" w:sz="0" w:space="0" w:color="auto"/>
        <w:bottom w:val="none" w:sz="0" w:space="0" w:color="auto"/>
        <w:right w:val="none" w:sz="0" w:space="0" w:color="auto"/>
      </w:divBdr>
    </w:div>
    <w:div w:id="306982064">
      <w:marLeft w:val="0"/>
      <w:marRight w:val="0"/>
      <w:marTop w:val="180"/>
      <w:marBottom w:val="180"/>
      <w:divBdr>
        <w:top w:val="none" w:sz="0" w:space="0" w:color="auto"/>
        <w:left w:val="none" w:sz="0" w:space="0" w:color="auto"/>
        <w:bottom w:val="none" w:sz="0" w:space="0" w:color="auto"/>
        <w:right w:val="none" w:sz="0" w:space="0" w:color="auto"/>
      </w:divBdr>
    </w:div>
    <w:div w:id="307130407">
      <w:marLeft w:val="0"/>
      <w:marRight w:val="0"/>
      <w:marTop w:val="0"/>
      <w:marBottom w:val="0"/>
      <w:divBdr>
        <w:top w:val="none" w:sz="0" w:space="0" w:color="auto"/>
        <w:left w:val="none" w:sz="0" w:space="0" w:color="auto"/>
        <w:bottom w:val="none" w:sz="0" w:space="0" w:color="auto"/>
        <w:right w:val="none" w:sz="0" w:space="0" w:color="auto"/>
      </w:divBdr>
      <w:divsChild>
        <w:div w:id="1342928191">
          <w:marLeft w:val="0"/>
          <w:marRight w:val="0"/>
          <w:marTop w:val="0"/>
          <w:marBottom w:val="0"/>
          <w:divBdr>
            <w:top w:val="none" w:sz="0" w:space="0" w:color="auto"/>
            <w:left w:val="none" w:sz="0" w:space="0" w:color="auto"/>
            <w:bottom w:val="none" w:sz="0" w:space="0" w:color="auto"/>
            <w:right w:val="none" w:sz="0" w:space="0" w:color="auto"/>
          </w:divBdr>
          <w:divsChild>
            <w:div w:id="15822569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8438903">
      <w:marLeft w:val="0"/>
      <w:marRight w:val="0"/>
      <w:marTop w:val="0"/>
      <w:marBottom w:val="0"/>
      <w:divBdr>
        <w:top w:val="none" w:sz="0" w:space="0" w:color="auto"/>
        <w:left w:val="none" w:sz="0" w:space="0" w:color="auto"/>
        <w:bottom w:val="none" w:sz="0" w:space="0" w:color="auto"/>
        <w:right w:val="none" w:sz="0" w:space="0" w:color="auto"/>
      </w:divBdr>
      <w:divsChild>
        <w:div w:id="1095516095">
          <w:marLeft w:val="0"/>
          <w:marRight w:val="0"/>
          <w:marTop w:val="0"/>
          <w:marBottom w:val="0"/>
          <w:divBdr>
            <w:top w:val="none" w:sz="0" w:space="0" w:color="auto"/>
            <w:left w:val="none" w:sz="0" w:space="0" w:color="auto"/>
            <w:bottom w:val="none" w:sz="0" w:space="0" w:color="auto"/>
            <w:right w:val="none" w:sz="0" w:space="0" w:color="auto"/>
          </w:divBdr>
          <w:divsChild>
            <w:div w:id="19392908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8940125">
      <w:marLeft w:val="0"/>
      <w:marRight w:val="0"/>
      <w:marTop w:val="60"/>
      <w:marBottom w:val="60"/>
      <w:divBdr>
        <w:top w:val="none" w:sz="0" w:space="0" w:color="auto"/>
        <w:left w:val="none" w:sz="0" w:space="0" w:color="auto"/>
        <w:bottom w:val="none" w:sz="0" w:space="0" w:color="auto"/>
        <w:right w:val="none" w:sz="0" w:space="0" w:color="auto"/>
      </w:divBdr>
    </w:div>
    <w:div w:id="309868832">
      <w:marLeft w:val="0"/>
      <w:marRight w:val="0"/>
      <w:marTop w:val="0"/>
      <w:marBottom w:val="0"/>
      <w:divBdr>
        <w:top w:val="none" w:sz="0" w:space="0" w:color="auto"/>
        <w:left w:val="none" w:sz="0" w:space="0" w:color="auto"/>
        <w:bottom w:val="none" w:sz="0" w:space="0" w:color="auto"/>
        <w:right w:val="none" w:sz="0" w:space="0" w:color="auto"/>
      </w:divBdr>
    </w:div>
    <w:div w:id="309942108">
      <w:marLeft w:val="0"/>
      <w:marRight w:val="0"/>
      <w:marTop w:val="60"/>
      <w:marBottom w:val="60"/>
      <w:divBdr>
        <w:top w:val="none" w:sz="0" w:space="0" w:color="auto"/>
        <w:left w:val="none" w:sz="0" w:space="0" w:color="auto"/>
        <w:bottom w:val="none" w:sz="0" w:space="0" w:color="auto"/>
        <w:right w:val="none" w:sz="0" w:space="0" w:color="auto"/>
      </w:divBdr>
    </w:div>
    <w:div w:id="310135266">
      <w:marLeft w:val="0"/>
      <w:marRight w:val="0"/>
      <w:marTop w:val="180"/>
      <w:marBottom w:val="60"/>
      <w:divBdr>
        <w:top w:val="none" w:sz="0" w:space="0" w:color="auto"/>
        <w:left w:val="none" w:sz="0" w:space="0" w:color="auto"/>
        <w:bottom w:val="none" w:sz="0" w:space="0" w:color="auto"/>
        <w:right w:val="none" w:sz="0" w:space="0" w:color="auto"/>
      </w:divBdr>
    </w:div>
    <w:div w:id="310915048">
      <w:marLeft w:val="0"/>
      <w:marRight w:val="0"/>
      <w:marTop w:val="180"/>
      <w:marBottom w:val="60"/>
      <w:divBdr>
        <w:top w:val="none" w:sz="0" w:space="0" w:color="auto"/>
        <w:left w:val="none" w:sz="0" w:space="0" w:color="auto"/>
        <w:bottom w:val="none" w:sz="0" w:space="0" w:color="auto"/>
        <w:right w:val="none" w:sz="0" w:space="0" w:color="auto"/>
      </w:divBdr>
    </w:div>
    <w:div w:id="313417179">
      <w:marLeft w:val="0"/>
      <w:marRight w:val="0"/>
      <w:marTop w:val="0"/>
      <w:marBottom w:val="0"/>
      <w:divBdr>
        <w:top w:val="none" w:sz="0" w:space="0" w:color="auto"/>
        <w:left w:val="none" w:sz="0" w:space="0" w:color="auto"/>
        <w:bottom w:val="none" w:sz="0" w:space="0" w:color="auto"/>
        <w:right w:val="none" w:sz="0" w:space="0" w:color="auto"/>
      </w:divBdr>
      <w:divsChild>
        <w:div w:id="1036932946">
          <w:marLeft w:val="0"/>
          <w:marRight w:val="0"/>
          <w:marTop w:val="0"/>
          <w:marBottom w:val="0"/>
          <w:divBdr>
            <w:top w:val="none" w:sz="0" w:space="0" w:color="auto"/>
            <w:left w:val="none" w:sz="0" w:space="0" w:color="auto"/>
            <w:bottom w:val="none" w:sz="0" w:space="0" w:color="auto"/>
            <w:right w:val="none" w:sz="0" w:space="0" w:color="auto"/>
          </w:divBdr>
          <w:divsChild>
            <w:div w:id="504248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5692059">
      <w:marLeft w:val="0"/>
      <w:marRight w:val="0"/>
      <w:marTop w:val="0"/>
      <w:marBottom w:val="0"/>
      <w:divBdr>
        <w:top w:val="none" w:sz="0" w:space="0" w:color="auto"/>
        <w:left w:val="none" w:sz="0" w:space="0" w:color="auto"/>
        <w:bottom w:val="none" w:sz="0" w:space="0" w:color="auto"/>
        <w:right w:val="none" w:sz="0" w:space="0" w:color="auto"/>
      </w:divBdr>
    </w:div>
    <w:div w:id="316811188">
      <w:marLeft w:val="0"/>
      <w:marRight w:val="0"/>
      <w:marTop w:val="180"/>
      <w:marBottom w:val="180"/>
      <w:divBdr>
        <w:top w:val="none" w:sz="0" w:space="0" w:color="auto"/>
        <w:left w:val="none" w:sz="0" w:space="0" w:color="auto"/>
        <w:bottom w:val="none" w:sz="0" w:space="0" w:color="auto"/>
        <w:right w:val="none" w:sz="0" w:space="0" w:color="auto"/>
      </w:divBdr>
    </w:div>
    <w:div w:id="318727854">
      <w:marLeft w:val="0"/>
      <w:marRight w:val="0"/>
      <w:marTop w:val="60"/>
      <w:marBottom w:val="60"/>
      <w:divBdr>
        <w:top w:val="none" w:sz="0" w:space="0" w:color="auto"/>
        <w:left w:val="none" w:sz="0" w:space="0" w:color="auto"/>
        <w:bottom w:val="none" w:sz="0" w:space="0" w:color="auto"/>
        <w:right w:val="none" w:sz="0" w:space="0" w:color="auto"/>
      </w:divBdr>
      <w:divsChild>
        <w:div w:id="986670790">
          <w:marLeft w:val="0"/>
          <w:marRight w:val="0"/>
          <w:marTop w:val="0"/>
          <w:marBottom w:val="0"/>
          <w:divBdr>
            <w:top w:val="none" w:sz="0" w:space="0" w:color="auto"/>
            <w:left w:val="none" w:sz="0" w:space="0" w:color="auto"/>
            <w:bottom w:val="none" w:sz="0" w:space="0" w:color="auto"/>
            <w:right w:val="none" w:sz="0" w:space="0" w:color="auto"/>
          </w:divBdr>
        </w:div>
      </w:divsChild>
    </w:div>
    <w:div w:id="321156390">
      <w:marLeft w:val="0"/>
      <w:marRight w:val="0"/>
      <w:marTop w:val="180"/>
      <w:marBottom w:val="180"/>
      <w:divBdr>
        <w:top w:val="none" w:sz="0" w:space="0" w:color="auto"/>
        <w:left w:val="none" w:sz="0" w:space="0" w:color="auto"/>
        <w:bottom w:val="none" w:sz="0" w:space="0" w:color="auto"/>
        <w:right w:val="none" w:sz="0" w:space="0" w:color="auto"/>
      </w:divBdr>
    </w:div>
    <w:div w:id="322659466">
      <w:marLeft w:val="0"/>
      <w:marRight w:val="0"/>
      <w:marTop w:val="180"/>
      <w:marBottom w:val="180"/>
      <w:divBdr>
        <w:top w:val="none" w:sz="0" w:space="0" w:color="auto"/>
        <w:left w:val="none" w:sz="0" w:space="0" w:color="auto"/>
        <w:bottom w:val="none" w:sz="0" w:space="0" w:color="auto"/>
        <w:right w:val="none" w:sz="0" w:space="0" w:color="auto"/>
      </w:divBdr>
    </w:div>
    <w:div w:id="324405058">
      <w:marLeft w:val="0"/>
      <w:marRight w:val="0"/>
      <w:marTop w:val="100"/>
      <w:marBottom w:val="100"/>
      <w:divBdr>
        <w:top w:val="none" w:sz="0" w:space="0" w:color="auto"/>
        <w:left w:val="none" w:sz="0" w:space="0" w:color="auto"/>
        <w:bottom w:val="none" w:sz="0" w:space="0" w:color="auto"/>
        <w:right w:val="none" w:sz="0" w:space="0" w:color="auto"/>
      </w:divBdr>
      <w:divsChild>
        <w:div w:id="1021859020">
          <w:marLeft w:val="0"/>
          <w:marRight w:val="0"/>
          <w:marTop w:val="0"/>
          <w:marBottom w:val="0"/>
          <w:divBdr>
            <w:top w:val="none" w:sz="0" w:space="0" w:color="auto"/>
            <w:left w:val="none" w:sz="0" w:space="0" w:color="auto"/>
            <w:bottom w:val="none" w:sz="0" w:space="0" w:color="auto"/>
            <w:right w:val="none" w:sz="0" w:space="0" w:color="auto"/>
          </w:divBdr>
        </w:div>
      </w:divsChild>
    </w:div>
    <w:div w:id="324942148">
      <w:marLeft w:val="0"/>
      <w:marRight w:val="0"/>
      <w:marTop w:val="0"/>
      <w:marBottom w:val="0"/>
      <w:divBdr>
        <w:top w:val="none" w:sz="0" w:space="0" w:color="auto"/>
        <w:left w:val="none" w:sz="0" w:space="0" w:color="auto"/>
        <w:bottom w:val="none" w:sz="0" w:space="0" w:color="auto"/>
        <w:right w:val="none" w:sz="0" w:space="0" w:color="auto"/>
      </w:divBdr>
      <w:divsChild>
        <w:div w:id="683436060">
          <w:marLeft w:val="0"/>
          <w:marRight w:val="0"/>
          <w:marTop w:val="60"/>
          <w:marBottom w:val="60"/>
          <w:divBdr>
            <w:top w:val="none" w:sz="0" w:space="0" w:color="auto"/>
            <w:left w:val="none" w:sz="0" w:space="0" w:color="auto"/>
            <w:bottom w:val="none" w:sz="0" w:space="0" w:color="auto"/>
            <w:right w:val="none" w:sz="0" w:space="0" w:color="auto"/>
          </w:divBdr>
        </w:div>
      </w:divsChild>
    </w:div>
    <w:div w:id="326521576">
      <w:marLeft w:val="0"/>
      <w:marRight w:val="0"/>
      <w:marTop w:val="0"/>
      <w:marBottom w:val="0"/>
      <w:divBdr>
        <w:top w:val="none" w:sz="0" w:space="0" w:color="auto"/>
        <w:left w:val="none" w:sz="0" w:space="0" w:color="auto"/>
        <w:bottom w:val="none" w:sz="0" w:space="0" w:color="auto"/>
        <w:right w:val="none" w:sz="0" w:space="0" w:color="auto"/>
      </w:divBdr>
    </w:div>
    <w:div w:id="331839754">
      <w:marLeft w:val="0"/>
      <w:marRight w:val="0"/>
      <w:marTop w:val="180"/>
      <w:marBottom w:val="60"/>
      <w:divBdr>
        <w:top w:val="none" w:sz="0" w:space="0" w:color="auto"/>
        <w:left w:val="none" w:sz="0" w:space="0" w:color="auto"/>
        <w:bottom w:val="none" w:sz="0" w:space="0" w:color="auto"/>
        <w:right w:val="none" w:sz="0" w:space="0" w:color="auto"/>
      </w:divBdr>
    </w:div>
    <w:div w:id="333923848">
      <w:marLeft w:val="0"/>
      <w:marRight w:val="0"/>
      <w:marTop w:val="180"/>
      <w:marBottom w:val="60"/>
      <w:divBdr>
        <w:top w:val="none" w:sz="0" w:space="0" w:color="auto"/>
        <w:left w:val="none" w:sz="0" w:space="0" w:color="auto"/>
        <w:bottom w:val="none" w:sz="0" w:space="0" w:color="auto"/>
        <w:right w:val="none" w:sz="0" w:space="0" w:color="auto"/>
      </w:divBdr>
    </w:div>
    <w:div w:id="334235842">
      <w:marLeft w:val="0"/>
      <w:marRight w:val="0"/>
      <w:marTop w:val="0"/>
      <w:marBottom w:val="0"/>
      <w:divBdr>
        <w:top w:val="none" w:sz="0" w:space="0" w:color="auto"/>
        <w:left w:val="none" w:sz="0" w:space="0" w:color="auto"/>
        <w:bottom w:val="none" w:sz="0" w:space="0" w:color="auto"/>
        <w:right w:val="none" w:sz="0" w:space="0" w:color="auto"/>
      </w:divBdr>
      <w:divsChild>
        <w:div w:id="1807552894">
          <w:marLeft w:val="0"/>
          <w:marRight w:val="0"/>
          <w:marTop w:val="60"/>
          <w:marBottom w:val="60"/>
          <w:divBdr>
            <w:top w:val="none" w:sz="0" w:space="0" w:color="auto"/>
            <w:left w:val="none" w:sz="0" w:space="0" w:color="auto"/>
            <w:bottom w:val="none" w:sz="0" w:space="0" w:color="auto"/>
            <w:right w:val="none" w:sz="0" w:space="0" w:color="auto"/>
          </w:divBdr>
        </w:div>
      </w:divsChild>
    </w:div>
    <w:div w:id="335039840">
      <w:marLeft w:val="0"/>
      <w:marRight w:val="0"/>
      <w:marTop w:val="0"/>
      <w:marBottom w:val="0"/>
      <w:divBdr>
        <w:top w:val="none" w:sz="0" w:space="0" w:color="auto"/>
        <w:left w:val="none" w:sz="0" w:space="0" w:color="auto"/>
        <w:bottom w:val="none" w:sz="0" w:space="0" w:color="auto"/>
        <w:right w:val="none" w:sz="0" w:space="0" w:color="auto"/>
      </w:divBdr>
    </w:div>
    <w:div w:id="335303551">
      <w:marLeft w:val="0"/>
      <w:marRight w:val="0"/>
      <w:marTop w:val="180"/>
      <w:marBottom w:val="180"/>
      <w:divBdr>
        <w:top w:val="none" w:sz="0" w:space="0" w:color="auto"/>
        <w:left w:val="none" w:sz="0" w:space="0" w:color="auto"/>
        <w:bottom w:val="none" w:sz="0" w:space="0" w:color="auto"/>
        <w:right w:val="none" w:sz="0" w:space="0" w:color="auto"/>
      </w:divBdr>
    </w:div>
    <w:div w:id="336007745">
      <w:marLeft w:val="0"/>
      <w:marRight w:val="0"/>
      <w:marTop w:val="180"/>
      <w:marBottom w:val="180"/>
      <w:divBdr>
        <w:top w:val="none" w:sz="0" w:space="0" w:color="auto"/>
        <w:left w:val="none" w:sz="0" w:space="0" w:color="auto"/>
        <w:bottom w:val="none" w:sz="0" w:space="0" w:color="auto"/>
        <w:right w:val="none" w:sz="0" w:space="0" w:color="auto"/>
      </w:divBdr>
    </w:div>
    <w:div w:id="336427699">
      <w:marLeft w:val="0"/>
      <w:marRight w:val="0"/>
      <w:marTop w:val="180"/>
      <w:marBottom w:val="180"/>
      <w:divBdr>
        <w:top w:val="none" w:sz="0" w:space="0" w:color="auto"/>
        <w:left w:val="none" w:sz="0" w:space="0" w:color="auto"/>
        <w:bottom w:val="none" w:sz="0" w:space="0" w:color="auto"/>
        <w:right w:val="none" w:sz="0" w:space="0" w:color="auto"/>
      </w:divBdr>
    </w:div>
    <w:div w:id="339044205">
      <w:marLeft w:val="0"/>
      <w:marRight w:val="0"/>
      <w:marTop w:val="0"/>
      <w:marBottom w:val="0"/>
      <w:divBdr>
        <w:top w:val="none" w:sz="0" w:space="0" w:color="auto"/>
        <w:left w:val="none" w:sz="0" w:space="0" w:color="auto"/>
        <w:bottom w:val="none" w:sz="0" w:space="0" w:color="auto"/>
        <w:right w:val="none" w:sz="0" w:space="0" w:color="auto"/>
      </w:divBdr>
      <w:divsChild>
        <w:div w:id="1464233181">
          <w:marLeft w:val="0"/>
          <w:marRight w:val="0"/>
          <w:marTop w:val="60"/>
          <w:marBottom w:val="60"/>
          <w:divBdr>
            <w:top w:val="none" w:sz="0" w:space="0" w:color="auto"/>
            <w:left w:val="none" w:sz="0" w:space="0" w:color="auto"/>
            <w:bottom w:val="none" w:sz="0" w:space="0" w:color="auto"/>
            <w:right w:val="none" w:sz="0" w:space="0" w:color="auto"/>
          </w:divBdr>
        </w:div>
      </w:divsChild>
    </w:div>
    <w:div w:id="339162316">
      <w:marLeft w:val="0"/>
      <w:marRight w:val="0"/>
      <w:marTop w:val="180"/>
      <w:marBottom w:val="180"/>
      <w:divBdr>
        <w:top w:val="none" w:sz="0" w:space="0" w:color="auto"/>
        <w:left w:val="none" w:sz="0" w:space="0" w:color="auto"/>
        <w:bottom w:val="none" w:sz="0" w:space="0" w:color="auto"/>
        <w:right w:val="none" w:sz="0" w:space="0" w:color="auto"/>
      </w:divBdr>
    </w:div>
    <w:div w:id="339508625">
      <w:marLeft w:val="0"/>
      <w:marRight w:val="0"/>
      <w:marTop w:val="180"/>
      <w:marBottom w:val="180"/>
      <w:divBdr>
        <w:top w:val="none" w:sz="0" w:space="0" w:color="auto"/>
        <w:left w:val="none" w:sz="0" w:space="0" w:color="auto"/>
        <w:bottom w:val="none" w:sz="0" w:space="0" w:color="auto"/>
        <w:right w:val="none" w:sz="0" w:space="0" w:color="auto"/>
      </w:divBdr>
    </w:div>
    <w:div w:id="340621955">
      <w:marLeft w:val="0"/>
      <w:marRight w:val="0"/>
      <w:marTop w:val="180"/>
      <w:marBottom w:val="180"/>
      <w:divBdr>
        <w:top w:val="none" w:sz="0" w:space="0" w:color="auto"/>
        <w:left w:val="none" w:sz="0" w:space="0" w:color="auto"/>
        <w:bottom w:val="none" w:sz="0" w:space="0" w:color="auto"/>
        <w:right w:val="none" w:sz="0" w:space="0" w:color="auto"/>
      </w:divBdr>
    </w:div>
    <w:div w:id="344677826">
      <w:marLeft w:val="0"/>
      <w:marRight w:val="0"/>
      <w:marTop w:val="60"/>
      <w:marBottom w:val="60"/>
      <w:divBdr>
        <w:top w:val="none" w:sz="0" w:space="0" w:color="auto"/>
        <w:left w:val="none" w:sz="0" w:space="0" w:color="auto"/>
        <w:bottom w:val="none" w:sz="0" w:space="0" w:color="auto"/>
        <w:right w:val="none" w:sz="0" w:space="0" w:color="auto"/>
      </w:divBdr>
    </w:div>
    <w:div w:id="344793354">
      <w:marLeft w:val="0"/>
      <w:marRight w:val="0"/>
      <w:marTop w:val="180"/>
      <w:marBottom w:val="60"/>
      <w:divBdr>
        <w:top w:val="none" w:sz="0" w:space="0" w:color="auto"/>
        <w:left w:val="none" w:sz="0" w:space="0" w:color="auto"/>
        <w:bottom w:val="none" w:sz="0" w:space="0" w:color="auto"/>
        <w:right w:val="none" w:sz="0" w:space="0" w:color="auto"/>
      </w:divBdr>
    </w:div>
    <w:div w:id="347367893">
      <w:marLeft w:val="0"/>
      <w:marRight w:val="0"/>
      <w:marTop w:val="180"/>
      <w:marBottom w:val="60"/>
      <w:divBdr>
        <w:top w:val="none" w:sz="0" w:space="0" w:color="auto"/>
        <w:left w:val="none" w:sz="0" w:space="0" w:color="auto"/>
        <w:bottom w:val="none" w:sz="0" w:space="0" w:color="auto"/>
        <w:right w:val="none" w:sz="0" w:space="0" w:color="auto"/>
      </w:divBdr>
    </w:div>
    <w:div w:id="348457393">
      <w:marLeft w:val="0"/>
      <w:marRight w:val="0"/>
      <w:marTop w:val="180"/>
      <w:marBottom w:val="180"/>
      <w:divBdr>
        <w:top w:val="none" w:sz="0" w:space="0" w:color="auto"/>
        <w:left w:val="none" w:sz="0" w:space="0" w:color="auto"/>
        <w:bottom w:val="none" w:sz="0" w:space="0" w:color="auto"/>
        <w:right w:val="none" w:sz="0" w:space="0" w:color="auto"/>
      </w:divBdr>
    </w:div>
    <w:div w:id="348989856">
      <w:marLeft w:val="0"/>
      <w:marRight w:val="0"/>
      <w:marTop w:val="60"/>
      <w:marBottom w:val="60"/>
      <w:divBdr>
        <w:top w:val="none" w:sz="0" w:space="0" w:color="auto"/>
        <w:left w:val="none" w:sz="0" w:space="0" w:color="auto"/>
        <w:bottom w:val="none" w:sz="0" w:space="0" w:color="auto"/>
        <w:right w:val="none" w:sz="0" w:space="0" w:color="auto"/>
      </w:divBdr>
    </w:div>
    <w:div w:id="349181092">
      <w:marLeft w:val="0"/>
      <w:marRight w:val="0"/>
      <w:marTop w:val="60"/>
      <w:marBottom w:val="60"/>
      <w:divBdr>
        <w:top w:val="none" w:sz="0" w:space="0" w:color="auto"/>
        <w:left w:val="none" w:sz="0" w:space="0" w:color="auto"/>
        <w:bottom w:val="none" w:sz="0" w:space="0" w:color="auto"/>
        <w:right w:val="none" w:sz="0" w:space="0" w:color="auto"/>
      </w:divBdr>
    </w:div>
    <w:div w:id="350033837">
      <w:marLeft w:val="0"/>
      <w:marRight w:val="0"/>
      <w:marTop w:val="160"/>
      <w:marBottom w:val="160"/>
      <w:divBdr>
        <w:top w:val="none" w:sz="0" w:space="0" w:color="auto"/>
        <w:left w:val="none" w:sz="0" w:space="0" w:color="auto"/>
        <w:bottom w:val="none" w:sz="0" w:space="0" w:color="auto"/>
        <w:right w:val="none" w:sz="0" w:space="0" w:color="auto"/>
      </w:divBdr>
    </w:div>
    <w:div w:id="352001463">
      <w:marLeft w:val="0"/>
      <w:marRight w:val="0"/>
      <w:marTop w:val="180"/>
      <w:marBottom w:val="180"/>
      <w:divBdr>
        <w:top w:val="none" w:sz="0" w:space="0" w:color="auto"/>
        <w:left w:val="none" w:sz="0" w:space="0" w:color="auto"/>
        <w:bottom w:val="none" w:sz="0" w:space="0" w:color="auto"/>
        <w:right w:val="none" w:sz="0" w:space="0" w:color="auto"/>
      </w:divBdr>
    </w:div>
    <w:div w:id="352651876">
      <w:marLeft w:val="0"/>
      <w:marRight w:val="0"/>
      <w:marTop w:val="180"/>
      <w:marBottom w:val="180"/>
      <w:divBdr>
        <w:top w:val="none" w:sz="0" w:space="0" w:color="auto"/>
        <w:left w:val="none" w:sz="0" w:space="0" w:color="auto"/>
        <w:bottom w:val="none" w:sz="0" w:space="0" w:color="auto"/>
        <w:right w:val="none" w:sz="0" w:space="0" w:color="auto"/>
      </w:divBdr>
    </w:div>
    <w:div w:id="352730538">
      <w:marLeft w:val="0"/>
      <w:marRight w:val="0"/>
      <w:marTop w:val="100"/>
      <w:marBottom w:val="100"/>
      <w:divBdr>
        <w:top w:val="none" w:sz="0" w:space="0" w:color="auto"/>
        <w:left w:val="none" w:sz="0" w:space="0" w:color="auto"/>
        <w:bottom w:val="none" w:sz="0" w:space="0" w:color="auto"/>
        <w:right w:val="none" w:sz="0" w:space="0" w:color="auto"/>
      </w:divBdr>
    </w:div>
    <w:div w:id="354578832">
      <w:marLeft w:val="0"/>
      <w:marRight w:val="0"/>
      <w:marTop w:val="180"/>
      <w:marBottom w:val="180"/>
      <w:divBdr>
        <w:top w:val="none" w:sz="0" w:space="0" w:color="auto"/>
        <w:left w:val="none" w:sz="0" w:space="0" w:color="auto"/>
        <w:bottom w:val="none" w:sz="0" w:space="0" w:color="auto"/>
        <w:right w:val="none" w:sz="0" w:space="0" w:color="auto"/>
      </w:divBdr>
    </w:div>
    <w:div w:id="355160445">
      <w:marLeft w:val="0"/>
      <w:marRight w:val="0"/>
      <w:marTop w:val="0"/>
      <w:marBottom w:val="0"/>
      <w:divBdr>
        <w:top w:val="none" w:sz="0" w:space="0" w:color="auto"/>
        <w:left w:val="none" w:sz="0" w:space="0" w:color="auto"/>
        <w:bottom w:val="none" w:sz="0" w:space="0" w:color="auto"/>
        <w:right w:val="none" w:sz="0" w:space="0" w:color="auto"/>
      </w:divBdr>
      <w:divsChild>
        <w:div w:id="538707795">
          <w:marLeft w:val="0"/>
          <w:marRight w:val="0"/>
          <w:marTop w:val="60"/>
          <w:marBottom w:val="60"/>
          <w:divBdr>
            <w:top w:val="none" w:sz="0" w:space="0" w:color="auto"/>
            <w:left w:val="none" w:sz="0" w:space="0" w:color="auto"/>
            <w:bottom w:val="none" w:sz="0" w:space="0" w:color="auto"/>
            <w:right w:val="none" w:sz="0" w:space="0" w:color="auto"/>
          </w:divBdr>
        </w:div>
      </w:divsChild>
    </w:div>
    <w:div w:id="357511876">
      <w:marLeft w:val="0"/>
      <w:marRight w:val="0"/>
      <w:marTop w:val="0"/>
      <w:marBottom w:val="0"/>
      <w:divBdr>
        <w:top w:val="none" w:sz="0" w:space="0" w:color="auto"/>
        <w:left w:val="none" w:sz="0" w:space="0" w:color="auto"/>
        <w:bottom w:val="none" w:sz="0" w:space="0" w:color="auto"/>
        <w:right w:val="none" w:sz="0" w:space="0" w:color="auto"/>
      </w:divBdr>
    </w:div>
    <w:div w:id="357660730">
      <w:marLeft w:val="0"/>
      <w:marRight w:val="0"/>
      <w:marTop w:val="180"/>
      <w:marBottom w:val="180"/>
      <w:divBdr>
        <w:top w:val="none" w:sz="0" w:space="0" w:color="auto"/>
        <w:left w:val="none" w:sz="0" w:space="0" w:color="auto"/>
        <w:bottom w:val="none" w:sz="0" w:space="0" w:color="auto"/>
        <w:right w:val="none" w:sz="0" w:space="0" w:color="auto"/>
      </w:divBdr>
    </w:div>
    <w:div w:id="358093749">
      <w:marLeft w:val="0"/>
      <w:marRight w:val="0"/>
      <w:marTop w:val="60"/>
      <w:marBottom w:val="60"/>
      <w:divBdr>
        <w:top w:val="none" w:sz="0" w:space="0" w:color="auto"/>
        <w:left w:val="none" w:sz="0" w:space="0" w:color="auto"/>
        <w:bottom w:val="none" w:sz="0" w:space="0" w:color="auto"/>
        <w:right w:val="none" w:sz="0" w:space="0" w:color="auto"/>
      </w:divBdr>
    </w:div>
    <w:div w:id="359665407">
      <w:marLeft w:val="0"/>
      <w:marRight w:val="0"/>
      <w:marTop w:val="180"/>
      <w:marBottom w:val="180"/>
      <w:divBdr>
        <w:top w:val="none" w:sz="0" w:space="0" w:color="auto"/>
        <w:left w:val="none" w:sz="0" w:space="0" w:color="auto"/>
        <w:bottom w:val="none" w:sz="0" w:space="0" w:color="auto"/>
        <w:right w:val="none" w:sz="0" w:space="0" w:color="auto"/>
      </w:divBdr>
    </w:div>
    <w:div w:id="360781868">
      <w:marLeft w:val="0"/>
      <w:marRight w:val="0"/>
      <w:marTop w:val="60"/>
      <w:marBottom w:val="60"/>
      <w:divBdr>
        <w:top w:val="none" w:sz="0" w:space="0" w:color="auto"/>
        <w:left w:val="none" w:sz="0" w:space="0" w:color="auto"/>
        <w:bottom w:val="none" w:sz="0" w:space="0" w:color="auto"/>
        <w:right w:val="none" w:sz="0" w:space="0" w:color="auto"/>
      </w:divBdr>
    </w:div>
    <w:div w:id="360977466">
      <w:marLeft w:val="0"/>
      <w:marRight w:val="0"/>
      <w:marTop w:val="60"/>
      <w:marBottom w:val="60"/>
      <w:divBdr>
        <w:top w:val="none" w:sz="0" w:space="0" w:color="auto"/>
        <w:left w:val="none" w:sz="0" w:space="0" w:color="auto"/>
        <w:bottom w:val="none" w:sz="0" w:space="0" w:color="auto"/>
        <w:right w:val="none" w:sz="0" w:space="0" w:color="auto"/>
      </w:divBdr>
    </w:div>
    <w:div w:id="365761548">
      <w:marLeft w:val="0"/>
      <w:marRight w:val="0"/>
      <w:marTop w:val="60"/>
      <w:marBottom w:val="60"/>
      <w:divBdr>
        <w:top w:val="none" w:sz="0" w:space="0" w:color="auto"/>
        <w:left w:val="none" w:sz="0" w:space="0" w:color="auto"/>
        <w:bottom w:val="none" w:sz="0" w:space="0" w:color="auto"/>
        <w:right w:val="none" w:sz="0" w:space="0" w:color="auto"/>
      </w:divBdr>
    </w:div>
    <w:div w:id="367419059">
      <w:marLeft w:val="0"/>
      <w:marRight w:val="0"/>
      <w:marTop w:val="0"/>
      <w:marBottom w:val="0"/>
      <w:divBdr>
        <w:top w:val="none" w:sz="0" w:space="0" w:color="auto"/>
        <w:left w:val="none" w:sz="0" w:space="0" w:color="auto"/>
        <w:bottom w:val="none" w:sz="0" w:space="0" w:color="auto"/>
        <w:right w:val="none" w:sz="0" w:space="0" w:color="auto"/>
      </w:divBdr>
    </w:div>
    <w:div w:id="367801327">
      <w:marLeft w:val="0"/>
      <w:marRight w:val="0"/>
      <w:marTop w:val="0"/>
      <w:marBottom w:val="0"/>
      <w:divBdr>
        <w:top w:val="none" w:sz="0" w:space="0" w:color="auto"/>
        <w:left w:val="none" w:sz="0" w:space="0" w:color="auto"/>
        <w:bottom w:val="none" w:sz="0" w:space="0" w:color="auto"/>
        <w:right w:val="none" w:sz="0" w:space="0" w:color="auto"/>
      </w:divBdr>
      <w:divsChild>
        <w:div w:id="2025355603">
          <w:marLeft w:val="0"/>
          <w:marRight w:val="0"/>
          <w:marTop w:val="60"/>
          <w:marBottom w:val="60"/>
          <w:divBdr>
            <w:top w:val="none" w:sz="0" w:space="0" w:color="auto"/>
            <w:left w:val="none" w:sz="0" w:space="0" w:color="auto"/>
            <w:bottom w:val="none" w:sz="0" w:space="0" w:color="auto"/>
            <w:right w:val="none" w:sz="0" w:space="0" w:color="auto"/>
          </w:divBdr>
        </w:div>
      </w:divsChild>
    </w:div>
    <w:div w:id="373232320">
      <w:marLeft w:val="0"/>
      <w:marRight w:val="0"/>
      <w:marTop w:val="180"/>
      <w:marBottom w:val="180"/>
      <w:divBdr>
        <w:top w:val="none" w:sz="0" w:space="0" w:color="auto"/>
        <w:left w:val="none" w:sz="0" w:space="0" w:color="auto"/>
        <w:bottom w:val="none" w:sz="0" w:space="0" w:color="auto"/>
        <w:right w:val="none" w:sz="0" w:space="0" w:color="auto"/>
      </w:divBdr>
    </w:div>
    <w:div w:id="373501183">
      <w:marLeft w:val="0"/>
      <w:marRight w:val="0"/>
      <w:marTop w:val="180"/>
      <w:marBottom w:val="180"/>
      <w:divBdr>
        <w:top w:val="none" w:sz="0" w:space="0" w:color="auto"/>
        <w:left w:val="none" w:sz="0" w:space="0" w:color="auto"/>
        <w:bottom w:val="none" w:sz="0" w:space="0" w:color="auto"/>
        <w:right w:val="none" w:sz="0" w:space="0" w:color="auto"/>
      </w:divBdr>
    </w:div>
    <w:div w:id="373584589">
      <w:marLeft w:val="0"/>
      <w:marRight w:val="0"/>
      <w:marTop w:val="0"/>
      <w:marBottom w:val="0"/>
      <w:divBdr>
        <w:top w:val="none" w:sz="0" w:space="0" w:color="auto"/>
        <w:left w:val="none" w:sz="0" w:space="0" w:color="auto"/>
        <w:bottom w:val="none" w:sz="0" w:space="0" w:color="auto"/>
        <w:right w:val="none" w:sz="0" w:space="0" w:color="auto"/>
      </w:divBdr>
    </w:div>
    <w:div w:id="374088014">
      <w:marLeft w:val="0"/>
      <w:marRight w:val="0"/>
      <w:marTop w:val="180"/>
      <w:marBottom w:val="180"/>
      <w:divBdr>
        <w:top w:val="none" w:sz="0" w:space="0" w:color="auto"/>
        <w:left w:val="none" w:sz="0" w:space="0" w:color="auto"/>
        <w:bottom w:val="none" w:sz="0" w:space="0" w:color="auto"/>
        <w:right w:val="none" w:sz="0" w:space="0" w:color="auto"/>
      </w:divBdr>
    </w:div>
    <w:div w:id="374350208">
      <w:marLeft w:val="0"/>
      <w:marRight w:val="0"/>
      <w:marTop w:val="180"/>
      <w:marBottom w:val="180"/>
      <w:divBdr>
        <w:top w:val="none" w:sz="0" w:space="0" w:color="auto"/>
        <w:left w:val="none" w:sz="0" w:space="0" w:color="auto"/>
        <w:bottom w:val="none" w:sz="0" w:space="0" w:color="auto"/>
        <w:right w:val="none" w:sz="0" w:space="0" w:color="auto"/>
      </w:divBdr>
    </w:div>
    <w:div w:id="376244195">
      <w:marLeft w:val="0"/>
      <w:marRight w:val="0"/>
      <w:marTop w:val="60"/>
      <w:marBottom w:val="60"/>
      <w:divBdr>
        <w:top w:val="none" w:sz="0" w:space="0" w:color="auto"/>
        <w:left w:val="none" w:sz="0" w:space="0" w:color="auto"/>
        <w:bottom w:val="none" w:sz="0" w:space="0" w:color="auto"/>
        <w:right w:val="none" w:sz="0" w:space="0" w:color="auto"/>
      </w:divBdr>
    </w:div>
    <w:div w:id="376440287">
      <w:marLeft w:val="0"/>
      <w:marRight w:val="0"/>
      <w:marTop w:val="180"/>
      <w:marBottom w:val="180"/>
      <w:divBdr>
        <w:top w:val="none" w:sz="0" w:space="0" w:color="auto"/>
        <w:left w:val="none" w:sz="0" w:space="0" w:color="auto"/>
        <w:bottom w:val="none" w:sz="0" w:space="0" w:color="auto"/>
        <w:right w:val="none" w:sz="0" w:space="0" w:color="auto"/>
      </w:divBdr>
    </w:div>
    <w:div w:id="376442291">
      <w:marLeft w:val="0"/>
      <w:marRight w:val="0"/>
      <w:marTop w:val="180"/>
      <w:marBottom w:val="180"/>
      <w:divBdr>
        <w:top w:val="none" w:sz="0" w:space="0" w:color="auto"/>
        <w:left w:val="none" w:sz="0" w:space="0" w:color="auto"/>
        <w:bottom w:val="none" w:sz="0" w:space="0" w:color="auto"/>
        <w:right w:val="none" w:sz="0" w:space="0" w:color="auto"/>
      </w:divBdr>
    </w:div>
    <w:div w:id="376661765">
      <w:marLeft w:val="0"/>
      <w:marRight w:val="0"/>
      <w:marTop w:val="60"/>
      <w:marBottom w:val="60"/>
      <w:divBdr>
        <w:top w:val="none" w:sz="0" w:space="0" w:color="auto"/>
        <w:left w:val="none" w:sz="0" w:space="0" w:color="auto"/>
        <w:bottom w:val="none" w:sz="0" w:space="0" w:color="auto"/>
        <w:right w:val="none" w:sz="0" w:space="0" w:color="auto"/>
      </w:divBdr>
    </w:div>
    <w:div w:id="377820619">
      <w:marLeft w:val="0"/>
      <w:marRight w:val="0"/>
      <w:marTop w:val="60"/>
      <w:marBottom w:val="60"/>
      <w:divBdr>
        <w:top w:val="none" w:sz="0" w:space="0" w:color="auto"/>
        <w:left w:val="none" w:sz="0" w:space="0" w:color="auto"/>
        <w:bottom w:val="none" w:sz="0" w:space="0" w:color="auto"/>
        <w:right w:val="none" w:sz="0" w:space="0" w:color="auto"/>
      </w:divBdr>
    </w:div>
    <w:div w:id="378406531">
      <w:marLeft w:val="0"/>
      <w:marRight w:val="0"/>
      <w:marTop w:val="100"/>
      <w:marBottom w:val="100"/>
      <w:divBdr>
        <w:top w:val="none" w:sz="0" w:space="0" w:color="auto"/>
        <w:left w:val="none" w:sz="0" w:space="0" w:color="auto"/>
        <w:bottom w:val="none" w:sz="0" w:space="0" w:color="auto"/>
        <w:right w:val="none" w:sz="0" w:space="0" w:color="auto"/>
      </w:divBdr>
      <w:divsChild>
        <w:div w:id="846871149">
          <w:marLeft w:val="0"/>
          <w:marRight w:val="0"/>
          <w:marTop w:val="0"/>
          <w:marBottom w:val="0"/>
          <w:divBdr>
            <w:top w:val="none" w:sz="0" w:space="0" w:color="auto"/>
            <w:left w:val="none" w:sz="0" w:space="0" w:color="auto"/>
            <w:bottom w:val="none" w:sz="0" w:space="0" w:color="auto"/>
            <w:right w:val="none" w:sz="0" w:space="0" w:color="auto"/>
          </w:divBdr>
        </w:div>
        <w:div w:id="28455959">
          <w:marLeft w:val="0"/>
          <w:marRight w:val="0"/>
          <w:marTop w:val="0"/>
          <w:marBottom w:val="0"/>
          <w:divBdr>
            <w:top w:val="none" w:sz="0" w:space="0" w:color="auto"/>
            <w:left w:val="none" w:sz="0" w:space="0" w:color="auto"/>
            <w:bottom w:val="none" w:sz="0" w:space="0" w:color="auto"/>
            <w:right w:val="none" w:sz="0" w:space="0" w:color="auto"/>
          </w:divBdr>
        </w:div>
        <w:div w:id="1622029204">
          <w:marLeft w:val="0"/>
          <w:marRight w:val="0"/>
          <w:marTop w:val="0"/>
          <w:marBottom w:val="0"/>
          <w:divBdr>
            <w:top w:val="none" w:sz="0" w:space="0" w:color="auto"/>
            <w:left w:val="none" w:sz="0" w:space="0" w:color="auto"/>
            <w:bottom w:val="none" w:sz="0" w:space="0" w:color="auto"/>
            <w:right w:val="none" w:sz="0" w:space="0" w:color="auto"/>
          </w:divBdr>
        </w:div>
        <w:div w:id="1329938465">
          <w:marLeft w:val="0"/>
          <w:marRight w:val="0"/>
          <w:marTop w:val="0"/>
          <w:marBottom w:val="0"/>
          <w:divBdr>
            <w:top w:val="none" w:sz="0" w:space="0" w:color="auto"/>
            <w:left w:val="none" w:sz="0" w:space="0" w:color="auto"/>
            <w:bottom w:val="none" w:sz="0" w:space="0" w:color="auto"/>
            <w:right w:val="none" w:sz="0" w:space="0" w:color="auto"/>
          </w:divBdr>
        </w:div>
      </w:divsChild>
    </w:div>
    <w:div w:id="380902365">
      <w:marLeft w:val="0"/>
      <w:marRight w:val="0"/>
      <w:marTop w:val="100"/>
      <w:marBottom w:val="100"/>
      <w:divBdr>
        <w:top w:val="none" w:sz="0" w:space="0" w:color="auto"/>
        <w:left w:val="none" w:sz="0" w:space="0" w:color="auto"/>
        <w:bottom w:val="none" w:sz="0" w:space="0" w:color="auto"/>
        <w:right w:val="none" w:sz="0" w:space="0" w:color="auto"/>
      </w:divBdr>
    </w:div>
    <w:div w:id="383414222">
      <w:marLeft w:val="0"/>
      <w:marRight w:val="0"/>
      <w:marTop w:val="0"/>
      <w:marBottom w:val="15"/>
      <w:divBdr>
        <w:top w:val="none" w:sz="0" w:space="0" w:color="auto"/>
        <w:left w:val="none" w:sz="0" w:space="0" w:color="auto"/>
        <w:bottom w:val="none" w:sz="0" w:space="0" w:color="auto"/>
        <w:right w:val="none" w:sz="0" w:space="0" w:color="auto"/>
      </w:divBdr>
    </w:div>
    <w:div w:id="385691519">
      <w:marLeft w:val="0"/>
      <w:marRight w:val="0"/>
      <w:marTop w:val="0"/>
      <w:marBottom w:val="0"/>
      <w:divBdr>
        <w:top w:val="none" w:sz="0" w:space="0" w:color="auto"/>
        <w:left w:val="none" w:sz="0" w:space="0" w:color="auto"/>
        <w:bottom w:val="none" w:sz="0" w:space="0" w:color="auto"/>
        <w:right w:val="none" w:sz="0" w:space="0" w:color="auto"/>
      </w:divBdr>
      <w:divsChild>
        <w:div w:id="1559513767">
          <w:marLeft w:val="0"/>
          <w:marRight w:val="0"/>
          <w:marTop w:val="0"/>
          <w:marBottom w:val="0"/>
          <w:divBdr>
            <w:top w:val="none" w:sz="0" w:space="0" w:color="auto"/>
            <w:left w:val="none" w:sz="0" w:space="0" w:color="auto"/>
            <w:bottom w:val="none" w:sz="0" w:space="0" w:color="auto"/>
            <w:right w:val="none" w:sz="0" w:space="0" w:color="auto"/>
          </w:divBdr>
          <w:divsChild>
            <w:div w:id="7049093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6296537">
      <w:marLeft w:val="0"/>
      <w:marRight w:val="0"/>
      <w:marTop w:val="60"/>
      <w:marBottom w:val="60"/>
      <w:divBdr>
        <w:top w:val="none" w:sz="0" w:space="0" w:color="auto"/>
        <w:left w:val="none" w:sz="0" w:space="0" w:color="auto"/>
        <w:bottom w:val="none" w:sz="0" w:space="0" w:color="auto"/>
        <w:right w:val="none" w:sz="0" w:space="0" w:color="auto"/>
      </w:divBdr>
    </w:div>
    <w:div w:id="387194942">
      <w:marLeft w:val="0"/>
      <w:marRight w:val="0"/>
      <w:marTop w:val="0"/>
      <w:marBottom w:val="0"/>
      <w:divBdr>
        <w:top w:val="none" w:sz="0" w:space="0" w:color="auto"/>
        <w:left w:val="none" w:sz="0" w:space="0" w:color="auto"/>
        <w:bottom w:val="none" w:sz="0" w:space="0" w:color="auto"/>
        <w:right w:val="none" w:sz="0" w:space="0" w:color="auto"/>
      </w:divBdr>
      <w:divsChild>
        <w:div w:id="1106001718">
          <w:marLeft w:val="0"/>
          <w:marRight w:val="0"/>
          <w:marTop w:val="180"/>
          <w:marBottom w:val="180"/>
          <w:divBdr>
            <w:top w:val="none" w:sz="0" w:space="0" w:color="auto"/>
            <w:left w:val="none" w:sz="0" w:space="0" w:color="auto"/>
            <w:bottom w:val="none" w:sz="0" w:space="0" w:color="auto"/>
            <w:right w:val="none" w:sz="0" w:space="0" w:color="auto"/>
          </w:divBdr>
        </w:div>
      </w:divsChild>
    </w:div>
    <w:div w:id="388849024">
      <w:marLeft w:val="0"/>
      <w:marRight w:val="0"/>
      <w:marTop w:val="60"/>
      <w:marBottom w:val="60"/>
      <w:divBdr>
        <w:top w:val="none" w:sz="0" w:space="0" w:color="auto"/>
        <w:left w:val="none" w:sz="0" w:space="0" w:color="auto"/>
        <w:bottom w:val="none" w:sz="0" w:space="0" w:color="auto"/>
        <w:right w:val="none" w:sz="0" w:space="0" w:color="auto"/>
      </w:divBdr>
    </w:div>
    <w:div w:id="389350547">
      <w:marLeft w:val="0"/>
      <w:marRight w:val="0"/>
      <w:marTop w:val="180"/>
      <w:marBottom w:val="180"/>
      <w:divBdr>
        <w:top w:val="none" w:sz="0" w:space="0" w:color="auto"/>
        <w:left w:val="none" w:sz="0" w:space="0" w:color="auto"/>
        <w:bottom w:val="none" w:sz="0" w:space="0" w:color="auto"/>
        <w:right w:val="none" w:sz="0" w:space="0" w:color="auto"/>
      </w:divBdr>
    </w:div>
    <w:div w:id="389425589">
      <w:marLeft w:val="0"/>
      <w:marRight w:val="0"/>
      <w:marTop w:val="180"/>
      <w:marBottom w:val="180"/>
      <w:divBdr>
        <w:top w:val="none" w:sz="0" w:space="0" w:color="auto"/>
        <w:left w:val="none" w:sz="0" w:space="0" w:color="auto"/>
        <w:bottom w:val="none" w:sz="0" w:space="0" w:color="auto"/>
        <w:right w:val="none" w:sz="0" w:space="0" w:color="auto"/>
      </w:divBdr>
    </w:div>
    <w:div w:id="391931047">
      <w:marLeft w:val="0"/>
      <w:marRight w:val="0"/>
      <w:marTop w:val="0"/>
      <w:marBottom w:val="0"/>
      <w:divBdr>
        <w:top w:val="none" w:sz="0" w:space="0" w:color="auto"/>
        <w:left w:val="none" w:sz="0" w:space="0" w:color="auto"/>
        <w:bottom w:val="none" w:sz="0" w:space="0" w:color="auto"/>
        <w:right w:val="none" w:sz="0" w:space="0" w:color="auto"/>
      </w:divBdr>
      <w:divsChild>
        <w:div w:id="1650985148">
          <w:marLeft w:val="0"/>
          <w:marRight w:val="0"/>
          <w:marTop w:val="0"/>
          <w:marBottom w:val="0"/>
          <w:divBdr>
            <w:top w:val="none" w:sz="0" w:space="0" w:color="auto"/>
            <w:left w:val="none" w:sz="0" w:space="0" w:color="auto"/>
            <w:bottom w:val="none" w:sz="0" w:space="0" w:color="auto"/>
            <w:right w:val="none" w:sz="0" w:space="0" w:color="auto"/>
          </w:divBdr>
          <w:divsChild>
            <w:div w:id="9305541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93892853">
      <w:marLeft w:val="0"/>
      <w:marRight w:val="0"/>
      <w:marTop w:val="60"/>
      <w:marBottom w:val="60"/>
      <w:divBdr>
        <w:top w:val="none" w:sz="0" w:space="0" w:color="auto"/>
        <w:left w:val="none" w:sz="0" w:space="0" w:color="auto"/>
        <w:bottom w:val="none" w:sz="0" w:space="0" w:color="auto"/>
        <w:right w:val="none" w:sz="0" w:space="0" w:color="auto"/>
      </w:divBdr>
    </w:div>
    <w:div w:id="398793047">
      <w:marLeft w:val="0"/>
      <w:marRight w:val="0"/>
      <w:marTop w:val="60"/>
      <w:marBottom w:val="60"/>
      <w:divBdr>
        <w:top w:val="none" w:sz="0" w:space="0" w:color="auto"/>
        <w:left w:val="none" w:sz="0" w:space="0" w:color="auto"/>
        <w:bottom w:val="none" w:sz="0" w:space="0" w:color="auto"/>
        <w:right w:val="none" w:sz="0" w:space="0" w:color="auto"/>
      </w:divBdr>
    </w:div>
    <w:div w:id="404761924">
      <w:marLeft w:val="0"/>
      <w:marRight w:val="0"/>
      <w:marTop w:val="180"/>
      <w:marBottom w:val="180"/>
      <w:divBdr>
        <w:top w:val="none" w:sz="0" w:space="0" w:color="auto"/>
        <w:left w:val="none" w:sz="0" w:space="0" w:color="auto"/>
        <w:bottom w:val="none" w:sz="0" w:space="0" w:color="auto"/>
        <w:right w:val="none" w:sz="0" w:space="0" w:color="auto"/>
      </w:divBdr>
    </w:div>
    <w:div w:id="407726390">
      <w:marLeft w:val="0"/>
      <w:marRight w:val="0"/>
      <w:marTop w:val="0"/>
      <w:marBottom w:val="15"/>
      <w:divBdr>
        <w:top w:val="none" w:sz="0" w:space="0" w:color="auto"/>
        <w:left w:val="none" w:sz="0" w:space="0" w:color="auto"/>
        <w:bottom w:val="none" w:sz="0" w:space="0" w:color="auto"/>
        <w:right w:val="none" w:sz="0" w:space="0" w:color="auto"/>
      </w:divBdr>
    </w:div>
    <w:div w:id="408040211">
      <w:marLeft w:val="0"/>
      <w:marRight w:val="0"/>
      <w:marTop w:val="100"/>
      <w:marBottom w:val="100"/>
      <w:divBdr>
        <w:top w:val="none" w:sz="0" w:space="0" w:color="auto"/>
        <w:left w:val="none" w:sz="0" w:space="0" w:color="auto"/>
        <w:bottom w:val="none" w:sz="0" w:space="0" w:color="auto"/>
        <w:right w:val="none" w:sz="0" w:space="0" w:color="auto"/>
      </w:divBdr>
      <w:divsChild>
        <w:div w:id="1331249680">
          <w:marLeft w:val="0"/>
          <w:marRight w:val="0"/>
          <w:marTop w:val="0"/>
          <w:marBottom w:val="0"/>
          <w:divBdr>
            <w:top w:val="none" w:sz="0" w:space="0" w:color="auto"/>
            <w:left w:val="none" w:sz="0" w:space="0" w:color="auto"/>
            <w:bottom w:val="none" w:sz="0" w:space="0" w:color="auto"/>
            <w:right w:val="none" w:sz="0" w:space="0" w:color="auto"/>
          </w:divBdr>
        </w:div>
      </w:divsChild>
    </w:div>
    <w:div w:id="408115892">
      <w:marLeft w:val="0"/>
      <w:marRight w:val="0"/>
      <w:marTop w:val="0"/>
      <w:marBottom w:val="0"/>
      <w:divBdr>
        <w:top w:val="none" w:sz="0" w:space="0" w:color="auto"/>
        <w:left w:val="none" w:sz="0" w:space="0" w:color="auto"/>
        <w:bottom w:val="none" w:sz="0" w:space="0" w:color="auto"/>
        <w:right w:val="none" w:sz="0" w:space="0" w:color="auto"/>
      </w:divBdr>
      <w:divsChild>
        <w:div w:id="1033454811">
          <w:marLeft w:val="0"/>
          <w:marRight w:val="0"/>
          <w:marTop w:val="60"/>
          <w:marBottom w:val="60"/>
          <w:divBdr>
            <w:top w:val="none" w:sz="0" w:space="0" w:color="auto"/>
            <w:left w:val="none" w:sz="0" w:space="0" w:color="auto"/>
            <w:bottom w:val="none" w:sz="0" w:space="0" w:color="auto"/>
            <w:right w:val="none" w:sz="0" w:space="0" w:color="auto"/>
          </w:divBdr>
        </w:div>
      </w:divsChild>
    </w:div>
    <w:div w:id="408425096">
      <w:marLeft w:val="0"/>
      <w:marRight w:val="0"/>
      <w:marTop w:val="60"/>
      <w:marBottom w:val="60"/>
      <w:divBdr>
        <w:top w:val="none" w:sz="0" w:space="0" w:color="auto"/>
        <w:left w:val="none" w:sz="0" w:space="0" w:color="auto"/>
        <w:bottom w:val="none" w:sz="0" w:space="0" w:color="auto"/>
        <w:right w:val="none" w:sz="0" w:space="0" w:color="auto"/>
      </w:divBdr>
    </w:div>
    <w:div w:id="409426213">
      <w:marLeft w:val="0"/>
      <w:marRight w:val="0"/>
      <w:marTop w:val="0"/>
      <w:marBottom w:val="0"/>
      <w:divBdr>
        <w:top w:val="none" w:sz="0" w:space="0" w:color="auto"/>
        <w:left w:val="none" w:sz="0" w:space="0" w:color="auto"/>
        <w:bottom w:val="none" w:sz="0" w:space="0" w:color="auto"/>
        <w:right w:val="none" w:sz="0" w:space="0" w:color="auto"/>
      </w:divBdr>
    </w:div>
    <w:div w:id="409471418">
      <w:marLeft w:val="0"/>
      <w:marRight w:val="0"/>
      <w:marTop w:val="180"/>
      <w:marBottom w:val="180"/>
      <w:divBdr>
        <w:top w:val="none" w:sz="0" w:space="0" w:color="auto"/>
        <w:left w:val="none" w:sz="0" w:space="0" w:color="auto"/>
        <w:bottom w:val="none" w:sz="0" w:space="0" w:color="auto"/>
        <w:right w:val="none" w:sz="0" w:space="0" w:color="auto"/>
      </w:divBdr>
    </w:div>
    <w:div w:id="410397076">
      <w:marLeft w:val="0"/>
      <w:marRight w:val="0"/>
      <w:marTop w:val="180"/>
      <w:marBottom w:val="180"/>
      <w:divBdr>
        <w:top w:val="none" w:sz="0" w:space="0" w:color="auto"/>
        <w:left w:val="none" w:sz="0" w:space="0" w:color="auto"/>
        <w:bottom w:val="none" w:sz="0" w:space="0" w:color="auto"/>
        <w:right w:val="none" w:sz="0" w:space="0" w:color="auto"/>
      </w:divBdr>
    </w:div>
    <w:div w:id="410544092">
      <w:marLeft w:val="0"/>
      <w:marRight w:val="0"/>
      <w:marTop w:val="60"/>
      <w:marBottom w:val="60"/>
      <w:divBdr>
        <w:top w:val="none" w:sz="0" w:space="0" w:color="auto"/>
        <w:left w:val="none" w:sz="0" w:space="0" w:color="auto"/>
        <w:bottom w:val="none" w:sz="0" w:space="0" w:color="auto"/>
        <w:right w:val="none" w:sz="0" w:space="0" w:color="auto"/>
      </w:divBdr>
    </w:div>
    <w:div w:id="411127775">
      <w:marLeft w:val="0"/>
      <w:marRight w:val="0"/>
      <w:marTop w:val="180"/>
      <w:marBottom w:val="180"/>
      <w:divBdr>
        <w:top w:val="none" w:sz="0" w:space="0" w:color="auto"/>
        <w:left w:val="none" w:sz="0" w:space="0" w:color="auto"/>
        <w:bottom w:val="none" w:sz="0" w:space="0" w:color="auto"/>
        <w:right w:val="none" w:sz="0" w:space="0" w:color="auto"/>
      </w:divBdr>
    </w:div>
    <w:div w:id="415251580">
      <w:marLeft w:val="0"/>
      <w:marRight w:val="0"/>
      <w:marTop w:val="180"/>
      <w:marBottom w:val="180"/>
      <w:divBdr>
        <w:top w:val="none" w:sz="0" w:space="0" w:color="auto"/>
        <w:left w:val="none" w:sz="0" w:space="0" w:color="auto"/>
        <w:bottom w:val="none" w:sz="0" w:space="0" w:color="auto"/>
        <w:right w:val="none" w:sz="0" w:space="0" w:color="auto"/>
      </w:divBdr>
    </w:div>
    <w:div w:id="416445518">
      <w:marLeft w:val="0"/>
      <w:marRight w:val="0"/>
      <w:marTop w:val="60"/>
      <w:marBottom w:val="60"/>
      <w:divBdr>
        <w:top w:val="none" w:sz="0" w:space="0" w:color="auto"/>
        <w:left w:val="none" w:sz="0" w:space="0" w:color="auto"/>
        <w:bottom w:val="none" w:sz="0" w:space="0" w:color="auto"/>
        <w:right w:val="none" w:sz="0" w:space="0" w:color="auto"/>
      </w:divBdr>
    </w:div>
    <w:div w:id="421533984">
      <w:marLeft w:val="0"/>
      <w:marRight w:val="0"/>
      <w:marTop w:val="180"/>
      <w:marBottom w:val="180"/>
      <w:divBdr>
        <w:top w:val="none" w:sz="0" w:space="0" w:color="auto"/>
        <w:left w:val="none" w:sz="0" w:space="0" w:color="auto"/>
        <w:bottom w:val="none" w:sz="0" w:space="0" w:color="auto"/>
        <w:right w:val="none" w:sz="0" w:space="0" w:color="auto"/>
      </w:divBdr>
    </w:div>
    <w:div w:id="421730586">
      <w:marLeft w:val="0"/>
      <w:marRight w:val="0"/>
      <w:marTop w:val="60"/>
      <w:marBottom w:val="60"/>
      <w:divBdr>
        <w:top w:val="none" w:sz="0" w:space="0" w:color="auto"/>
        <w:left w:val="none" w:sz="0" w:space="0" w:color="auto"/>
        <w:bottom w:val="none" w:sz="0" w:space="0" w:color="auto"/>
        <w:right w:val="none" w:sz="0" w:space="0" w:color="auto"/>
      </w:divBdr>
    </w:div>
    <w:div w:id="421995570">
      <w:marLeft w:val="0"/>
      <w:marRight w:val="0"/>
      <w:marTop w:val="180"/>
      <w:marBottom w:val="180"/>
      <w:divBdr>
        <w:top w:val="none" w:sz="0" w:space="0" w:color="auto"/>
        <w:left w:val="none" w:sz="0" w:space="0" w:color="auto"/>
        <w:bottom w:val="none" w:sz="0" w:space="0" w:color="auto"/>
        <w:right w:val="none" w:sz="0" w:space="0" w:color="auto"/>
      </w:divBdr>
    </w:div>
    <w:div w:id="424889111">
      <w:marLeft w:val="0"/>
      <w:marRight w:val="0"/>
      <w:marTop w:val="180"/>
      <w:marBottom w:val="180"/>
      <w:divBdr>
        <w:top w:val="none" w:sz="0" w:space="0" w:color="auto"/>
        <w:left w:val="none" w:sz="0" w:space="0" w:color="auto"/>
        <w:bottom w:val="none" w:sz="0" w:space="0" w:color="auto"/>
        <w:right w:val="none" w:sz="0" w:space="0" w:color="auto"/>
      </w:divBdr>
    </w:div>
    <w:div w:id="425809729">
      <w:marLeft w:val="0"/>
      <w:marRight w:val="0"/>
      <w:marTop w:val="60"/>
      <w:marBottom w:val="60"/>
      <w:divBdr>
        <w:top w:val="none" w:sz="0" w:space="0" w:color="auto"/>
        <w:left w:val="none" w:sz="0" w:space="0" w:color="auto"/>
        <w:bottom w:val="none" w:sz="0" w:space="0" w:color="auto"/>
        <w:right w:val="none" w:sz="0" w:space="0" w:color="auto"/>
      </w:divBdr>
    </w:div>
    <w:div w:id="434717466">
      <w:marLeft w:val="0"/>
      <w:marRight w:val="0"/>
      <w:marTop w:val="100"/>
      <w:marBottom w:val="100"/>
      <w:divBdr>
        <w:top w:val="none" w:sz="0" w:space="0" w:color="auto"/>
        <w:left w:val="none" w:sz="0" w:space="0" w:color="auto"/>
        <w:bottom w:val="none" w:sz="0" w:space="0" w:color="auto"/>
        <w:right w:val="none" w:sz="0" w:space="0" w:color="auto"/>
      </w:divBdr>
      <w:divsChild>
        <w:div w:id="804548657">
          <w:marLeft w:val="0"/>
          <w:marRight w:val="0"/>
          <w:marTop w:val="0"/>
          <w:marBottom w:val="0"/>
          <w:divBdr>
            <w:top w:val="none" w:sz="0" w:space="0" w:color="auto"/>
            <w:left w:val="none" w:sz="0" w:space="0" w:color="auto"/>
            <w:bottom w:val="none" w:sz="0" w:space="0" w:color="auto"/>
            <w:right w:val="none" w:sz="0" w:space="0" w:color="auto"/>
          </w:divBdr>
        </w:div>
      </w:divsChild>
    </w:div>
    <w:div w:id="435298327">
      <w:marLeft w:val="0"/>
      <w:marRight w:val="0"/>
      <w:marTop w:val="180"/>
      <w:marBottom w:val="180"/>
      <w:divBdr>
        <w:top w:val="none" w:sz="0" w:space="0" w:color="auto"/>
        <w:left w:val="none" w:sz="0" w:space="0" w:color="auto"/>
        <w:bottom w:val="none" w:sz="0" w:space="0" w:color="auto"/>
        <w:right w:val="none" w:sz="0" w:space="0" w:color="auto"/>
      </w:divBdr>
    </w:div>
    <w:div w:id="435636323">
      <w:marLeft w:val="0"/>
      <w:marRight w:val="0"/>
      <w:marTop w:val="60"/>
      <w:marBottom w:val="60"/>
      <w:divBdr>
        <w:top w:val="none" w:sz="0" w:space="0" w:color="auto"/>
        <w:left w:val="none" w:sz="0" w:space="0" w:color="auto"/>
        <w:bottom w:val="none" w:sz="0" w:space="0" w:color="auto"/>
        <w:right w:val="none" w:sz="0" w:space="0" w:color="auto"/>
      </w:divBdr>
    </w:div>
    <w:div w:id="435904141">
      <w:marLeft w:val="0"/>
      <w:marRight w:val="0"/>
      <w:marTop w:val="180"/>
      <w:marBottom w:val="180"/>
      <w:divBdr>
        <w:top w:val="none" w:sz="0" w:space="0" w:color="auto"/>
        <w:left w:val="none" w:sz="0" w:space="0" w:color="auto"/>
        <w:bottom w:val="none" w:sz="0" w:space="0" w:color="auto"/>
        <w:right w:val="none" w:sz="0" w:space="0" w:color="auto"/>
      </w:divBdr>
    </w:div>
    <w:div w:id="435951766">
      <w:marLeft w:val="0"/>
      <w:marRight w:val="0"/>
      <w:marTop w:val="180"/>
      <w:marBottom w:val="180"/>
      <w:divBdr>
        <w:top w:val="none" w:sz="0" w:space="0" w:color="auto"/>
        <w:left w:val="none" w:sz="0" w:space="0" w:color="auto"/>
        <w:bottom w:val="none" w:sz="0" w:space="0" w:color="auto"/>
        <w:right w:val="none" w:sz="0" w:space="0" w:color="auto"/>
      </w:divBdr>
    </w:div>
    <w:div w:id="437264235">
      <w:marLeft w:val="0"/>
      <w:marRight w:val="0"/>
      <w:marTop w:val="180"/>
      <w:marBottom w:val="180"/>
      <w:divBdr>
        <w:top w:val="none" w:sz="0" w:space="0" w:color="auto"/>
        <w:left w:val="none" w:sz="0" w:space="0" w:color="auto"/>
        <w:bottom w:val="none" w:sz="0" w:space="0" w:color="auto"/>
        <w:right w:val="none" w:sz="0" w:space="0" w:color="auto"/>
      </w:divBdr>
    </w:div>
    <w:div w:id="437722904">
      <w:marLeft w:val="0"/>
      <w:marRight w:val="0"/>
      <w:marTop w:val="180"/>
      <w:marBottom w:val="180"/>
      <w:divBdr>
        <w:top w:val="none" w:sz="0" w:space="0" w:color="auto"/>
        <w:left w:val="none" w:sz="0" w:space="0" w:color="auto"/>
        <w:bottom w:val="none" w:sz="0" w:space="0" w:color="auto"/>
        <w:right w:val="none" w:sz="0" w:space="0" w:color="auto"/>
      </w:divBdr>
    </w:div>
    <w:div w:id="438640890">
      <w:marLeft w:val="0"/>
      <w:marRight w:val="0"/>
      <w:marTop w:val="180"/>
      <w:marBottom w:val="180"/>
      <w:divBdr>
        <w:top w:val="none" w:sz="0" w:space="0" w:color="auto"/>
        <w:left w:val="none" w:sz="0" w:space="0" w:color="auto"/>
        <w:bottom w:val="none" w:sz="0" w:space="0" w:color="auto"/>
        <w:right w:val="none" w:sz="0" w:space="0" w:color="auto"/>
      </w:divBdr>
    </w:div>
    <w:div w:id="442379491">
      <w:marLeft w:val="0"/>
      <w:marRight w:val="0"/>
      <w:marTop w:val="60"/>
      <w:marBottom w:val="60"/>
      <w:divBdr>
        <w:top w:val="none" w:sz="0" w:space="0" w:color="auto"/>
        <w:left w:val="none" w:sz="0" w:space="0" w:color="auto"/>
        <w:bottom w:val="none" w:sz="0" w:space="0" w:color="auto"/>
        <w:right w:val="none" w:sz="0" w:space="0" w:color="auto"/>
      </w:divBdr>
    </w:div>
    <w:div w:id="444234129">
      <w:marLeft w:val="0"/>
      <w:marRight w:val="0"/>
      <w:marTop w:val="180"/>
      <w:marBottom w:val="60"/>
      <w:divBdr>
        <w:top w:val="none" w:sz="0" w:space="0" w:color="auto"/>
        <w:left w:val="none" w:sz="0" w:space="0" w:color="auto"/>
        <w:bottom w:val="none" w:sz="0" w:space="0" w:color="auto"/>
        <w:right w:val="none" w:sz="0" w:space="0" w:color="auto"/>
      </w:divBdr>
    </w:div>
    <w:div w:id="447697389">
      <w:marLeft w:val="0"/>
      <w:marRight w:val="0"/>
      <w:marTop w:val="0"/>
      <w:marBottom w:val="0"/>
      <w:divBdr>
        <w:top w:val="none" w:sz="0" w:space="0" w:color="auto"/>
        <w:left w:val="none" w:sz="0" w:space="0" w:color="auto"/>
        <w:bottom w:val="none" w:sz="0" w:space="0" w:color="auto"/>
        <w:right w:val="none" w:sz="0" w:space="0" w:color="auto"/>
      </w:divBdr>
      <w:divsChild>
        <w:div w:id="1024476032">
          <w:marLeft w:val="0"/>
          <w:marRight w:val="0"/>
          <w:marTop w:val="60"/>
          <w:marBottom w:val="60"/>
          <w:divBdr>
            <w:top w:val="none" w:sz="0" w:space="0" w:color="auto"/>
            <w:left w:val="none" w:sz="0" w:space="0" w:color="auto"/>
            <w:bottom w:val="none" w:sz="0" w:space="0" w:color="auto"/>
            <w:right w:val="none" w:sz="0" w:space="0" w:color="auto"/>
          </w:divBdr>
        </w:div>
      </w:divsChild>
    </w:div>
    <w:div w:id="448278598">
      <w:marLeft w:val="0"/>
      <w:marRight w:val="0"/>
      <w:marTop w:val="180"/>
      <w:marBottom w:val="180"/>
      <w:divBdr>
        <w:top w:val="none" w:sz="0" w:space="0" w:color="auto"/>
        <w:left w:val="none" w:sz="0" w:space="0" w:color="auto"/>
        <w:bottom w:val="none" w:sz="0" w:space="0" w:color="auto"/>
        <w:right w:val="none" w:sz="0" w:space="0" w:color="auto"/>
      </w:divBdr>
    </w:div>
    <w:div w:id="449469584">
      <w:marLeft w:val="0"/>
      <w:marRight w:val="0"/>
      <w:marTop w:val="180"/>
      <w:marBottom w:val="60"/>
      <w:divBdr>
        <w:top w:val="none" w:sz="0" w:space="0" w:color="auto"/>
        <w:left w:val="none" w:sz="0" w:space="0" w:color="auto"/>
        <w:bottom w:val="none" w:sz="0" w:space="0" w:color="auto"/>
        <w:right w:val="none" w:sz="0" w:space="0" w:color="auto"/>
      </w:divBdr>
    </w:div>
    <w:div w:id="449904660">
      <w:marLeft w:val="0"/>
      <w:marRight w:val="0"/>
      <w:marTop w:val="0"/>
      <w:marBottom w:val="0"/>
      <w:divBdr>
        <w:top w:val="none" w:sz="0" w:space="0" w:color="auto"/>
        <w:left w:val="none" w:sz="0" w:space="0" w:color="auto"/>
        <w:bottom w:val="none" w:sz="0" w:space="0" w:color="auto"/>
        <w:right w:val="none" w:sz="0" w:space="0" w:color="auto"/>
      </w:divBdr>
    </w:div>
    <w:div w:id="450589420">
      <w:marLeft w:val="0"/>
      <w:marRight w:val="0"/>
      <w:marTop w:val="100"/>
      <w:marBottom w:val="100"/>
      <w:divBdr>
        <w:top w:val="none" w:sz="0" w:space="0" w:color="auto"/>
        <w:left w:val="none" w:sz="0" w:space="0" w:color="auto"/>
        <w:bottom w:val="none" w:sz="0" w:space="0" w:color="auto"/>
        <w:right w:val="none" w:sz="0" w:space="0" w:color="auto"/>
      </w:divBdr>
      <w:divsChild>
        <w:div w:id="1267229487">
          <w:marLeft w:val="0"/>
          <w:marRight w:val="0"/>
          <w:marTop w:val="0"/>
          <w:marBottom w:val="0"/>
          <w:divBdr>
            <w:top w:val="none" w:sz="0" w:space="0" w:color="auto"/>
            <w:left w:val="none" w:sz="0" w:space="0" w:color="auto"/>
            <w:bottom w:val="none" w:sz="0" w:space="0" w:color="auto"/>
            <w:right w:val="none" w:sz="0" w:space="0" w:color="auto"/>
          </w:divBdr>
        </w:div>
        <w:div w:id="396323563">
          <w:marLeft w:val="0"/>
          <w:marRight w:val="0"/>
          <w:marTop w:val="0"/>
          <w:marBottom w:val="0"/>
          <w:divBdr>
            <w:top w:val="none" w:sz="0" w:space="0" w:color="auto"/>
            <w:left w:val="none" w:sz="0" w:space="0" w:color="auto"/>
            <w:bottom w:val="none" w:sz="0" w:space="0" w:color="auto"/>
            <w:right w:val="none" w:sz="0" w:space="0" w:color="auto"/>
          </w:divBdr>
        </w:div>
      </w:divsChild>
    </w:div>
    <w:div w:id="452018558">
      <w:marLeft w:val="0"/>
      <w:marRight w:val="0"/>
      <w:marTop w:val="180"/>
      <w:marBottom w:val="180"/>
      <w:divBdr>
        <w:top w:val="none" w:sz="0" w:space="0" w:color="auto"/>
        <w:left w:val="none" w:sz="0" w:space="0" w:color="auto"/>
        <w:bottom w:val="none" w:sz="0" w:space="0" w:color="auto"/>
        <w:right w:val="none" w:sz="0" w:space="0" w:color="auto"/>
      </w:divBdr>
    </w:div>
    <w:div w:id="452291427">
      <w:marLeft w:val="0"/>
      <w:marRight w:val="0"/>
      <w:marTop w:val="0"/>
      <w:marBottom w:val="0"/>
      <w:divBdr>
        <w:top w:val="none" w:sz="0" w:space="0" w:color="auto"/>
        <w:left w:val="none" w:sz="0" w:space="0" w:color="auto"/>
        <w:bottom w:val="none" w:sz="0" w:space="0" w:color="auto"/>
        <w:right w:val="none" w:sz="0" w:space="0" w:color="auto"/>
      </w:divBdr>
      <w:divsChild>
        <w:div w:id="644311425">
          <w:marLeft w:val="0"/>
          <w:marRight w:val="0"/>
          <w:marTop w:val="180"/>
          <w:marBottom w:val="180"/>
          <w:divBdr>
            <w:top w:val="none" w:sz="0" w:space="0" w:color="auto"/>
            <w:left w:val="none" w:sz="0" w:space="0" w:color="auto"/>
            <w:bottom w:val="none" w:sz="0" w:space="0" w:color="auto"/>
            <w:right w:val="none" w:sz="0" w:space="0" w:color="auto"/>
          </w:divBdr>
        </w:div>
      </w:divsChild>
    </w:div>
    <w:div w:id="452751393">
      <w:marLeft w:val="0"/>
      <w:marRight w:val="0"/>
      <w:marTop w:val="60"/>
      <w:marBottom w:val="60"/>
      <w:divBdr>
        <w:top w:val="none" w:sz="0" w:space="0" w:color="auto"/>
        <w:left w:val="none" w:sz="0" w:space="0" w:color="auto"/>
        <w:bottom w:val="none" w:sz="0" w:space="0" w:color="auto"/>
        <w:right w:val="none" w:sz="0" w:space="0" w:color="auto"/>
      </w:divBdr>
    </w:div>
    <w:div w:id="453602126">
      <w:marLeft w:val="0"/>
      <w:marRight w:val="0"/>
      <w:marTop w:val="180"/>
      <w:marBottom w:val="100"/>
      <w:divBdr>
        <w:top w:val="none" w:sz="0" w:space="0" w:color="auto"/>
        <w:left w:val="none" w:sz="0" w:space="0" w:color="auto"/>
        <w:bottom w:val="none" w:sz="0" w:space="0" w:color="auto"/>
        <w:right w:val="none" w:sz="0" w:space="0" w:color="auto"/>
      </w:divBdr>
    </w:div>
    <w:div w:id="456949021">
      <w:marLeft w:val="0"/>
      <w:marRight w:val="0"/>
      <w:marTop w:val="180"/>
      <w:marBottom w:val="180"/>
      <w:divBdr>
        <w:top w:val="none" w:sz="0" w:space="0" w:color="auto"/>
        <w:left w:val="none" w:sz="0" w:space="0" w:color="auto"/>
        <w:bottom w:val="none" w:sz="0" w:space="0" w:color="auto"/>
        <w:right w:val="none" w:sz="0" w:space="0" w:color="auto"/>
      </w:divBdr>
    </w:div>
    <w:div w:id="457529820">
      <w:marLeft w:val="0"/>
      <w:marRight w:val="0"/>
      <w:marTop w:val="180"/>
      <w:marBottom w:val="180"/>
      <w:divBdr>
        <w:top w:val="none" w:sz="0" w:space="0" w:color="auto"/>
        <w:left w:val="none" w:sz="0" w:space="0" w:color="auto"/>
        <w:bottom w:val="none" w:sz="0" w:space="0" w:color="auto"/>
        <w:right w:val="none" w:sz="0" w:space="0" w:color="auto"/>
      </w:divBdr>
    </w:div>
    <w:div w:id="458455733">
      <w:marLeft w:val="0"/>
      <w:marRight w:val="0"/>
      <w:marTop w:val="60"/>
      <w:marBottom w:val="60"/>
      <w:divBdr>
        <w:top w:val="none" w:sz="0" w:space="0" w:color="auto"/>
        <w:left w:val="none" w:sz="0" w:space="0" w:color="auto"/>
        <w:bottom w:val="none" w:sz="0" w:space="0" w:color="auto"/>
        <w:right w:val="none" w:sz="0" w:space="0" w:color="auto"/>
      </w:divBdr>
    </w:div>
    <w:div w:id="459037666">
      <w:marLeft w:val="0"/>
      <w:marRight w:val="0"/>
      <w:marTop w:val="180"/>
      <w:marBottom w:val="160"/>
      <w:divBdr>
        <w:top w:val="none" w:sz="0" w:space="0" w:color="auto"/>
        <w:left w:val="none" w:sz="0" w:space="0" w:color="auto"/>
        <w:bottom w:val="none" w:sz="0" w:space="0" w:color="auto"/>
        <w:right w:val="none" w:sz="0" w:space="0" w:color="auto"/>
      </w:divBdr>
    </w:div>
    <w:div w:id="459619009">
      <w:marLeft w:val="0"/>
      <w:marRight w:val="0"/>
      <w:marTop w:val="60"/>
      <w:marBottom w:val="60"/>
      <w:divBdr>
        <w:top w:val="none" w:sz="0" w:space="0" w:color="auto"/>
        <w:left w:val="none" w:sz="0" w:space="0" w:color="auto"/>
        <w:bottom w:val="none" w:sz="0" w:space="0" w:color="auto"/>
        <w:right w:val="none" w:sz="0" w:space="0" w:color="auto"/>
      </w:divBdr>
    </w:div>
    <w:div w:id="460074803">
      <w:marLeft w:val="0"/>
      <w:marRight w:val="0"/>
      <w:marTop w:val="180"/>
      <w:marBottom w:val="180"/>
      <w:divBdr>
        <w:top w:val="none" w:sz="0" w:space="0" w:color="auto"/>
        <w:left w:val="none" w:sz="0" w:space="0" w:color="auto"/>
        <w:bottom w:val="none" w:sz="0" w:space="0" w:color="auto"/>
        <w:right w:val="none" w:sz="0" w:space="0" w:color="auto"/>
      </w:divBdr>
    </w:div>
    <w:div w:id="460075906">
      <w:marLeft w:val="0"/>
      <w:marRight w:val="0"/>
      <w:marTop w:val="180"/>
      <w:marBottom w:val="180"/>
      <w:divBdr>
        <w:top w:val="none" w:sz="0" w:space="0" w:color="auto"/>
        <w:left w:val="none" w:sz="0" w:space="0" w:color="auto"/>
        <w:bottom w:val="none" w:sz="0" w:space="0" w:color="auto"/>
        <w:right w:val="none" w:sz="0" w:space="0" w:color="auto"/>
      </w:divBdr>
    </w:div>
    <w:div w:id="461268866">
      <w:marLeft w:val="0"/>
      <w:marRight w:val="0"/>
      <w:marTop w:val="180"/>
      <w:marBottom w:val="180"/>
      <w:divBdr>
        <w:top w:val="none" w:sz="0" w:space="0" w:color="auto"/>
        <w:left w:val="none" w:sz="0" w:space="0" w:color="auto"/>
        <w:bottom w:val="none" w:sz="0" w:space="0" w:color="auto"/>
        <w:right w:val="none" w:sz="0" w:space="0" w:color="auto"/>
      </w:divBdr>
    </w:div>
    <w:div w:id="461968357">
      <w:marLeft w:val="0"/>
      <w:marRight w:val="0"/>
      <w:marTop w:val="60"/>
      <w:marBottom w:val="60"/>
      <w:divBdr>
        <w:top w:val="none" w:sz="0" w:space="0" w:color="auto"/>
        <w:left w:val="none" w:sz="0" w:space="0" w:color="auto"/>
        <w:bottom w:val="none" w:sz="0" w:space="0" w:color="auto"/>
        <w:right w:val="none" w:sz="0" w:space="0" w:color="auto"/>
      </w:divBdr>
    </w:div>
    <w:div w:id="464080125">
      <w:marLeft w:val="0"/>
      <w:marRight w:val="0"/>
      <w:marTop w:val="180"/>
      <w:marBottom w:val="180"/>
      <w:divBdr>
        <w:top w:val="none" w:sz="0" w:space="0" w:color="auto"/>
        <w:left w:val="none" w:sz="0" w:space="0" w:color="auto"/>
        <w:bottom w:val="none" w:sz="0" w:space="0" w:color="auto"/>
        <w:right w:val="none" w:sz="0" w:space="0" w:color="auto"/>
      </w:divBdr>
    </w:div>
    <w:div w:id="467628300">
      <w:marLeft w:val="0"/>
      <w:marRight w:val="0"/>
      <w:marTop w:val="60"/>
      <w:marBottom w:val="60"/>
      <w:divBdr>
        <w:top w:val="none" w:sz="0" w:space="0" w:color="auto"/>
        <w:left w:val="none" w:sz="0" w:space="0" w:color="auto"/>
        <w:bottom w:val="none" w:sz="0" w:space="0" w:color="auto"/>
        <w:right w:val="none" w:sz="0" w:space="0" w:color="auto"/>
      </w:divBdr>
    </w:div>
    <w:div w:id="468942365">
      <w:marLeft w:val="0"/>
      <w:marRight w:val="0"/>
      <w:marTop w:val="240"/>
      <w:marBottom w:val="180"/>
      <w:divBdr>
        <w:top w:val="none" w:sz="0" w:space="0" w:color="auto"/>
        <w:left w:val="none" w:sz="0" w:space="0" w:color="auto"/>
        <w:bottom w:val="none" w:sz="0" w:space="0" w:color="auto"/>
        <w:right w:val="none" w:sz="0" w:space="0" w:color="auto"/>
      </w:divBdr>
    </w:div>
    <w:div w:id="471678237">
      <w:marLeft w:val="0"/>
      <w:marRight w:val="0"/>
      <w:marTop w:val="0"/>
      <w:marBottom w:val="0"/>
      <w:divBdr>
        <w:top w:val="none" w:sz="0" w:space="0" w:color="auto"/>
        <w:left w:val="none" w:sz="0" w:space="0" w:color="auto"/>
        <w:bottom w:val="none" w:sz="0" w:space="0" w:color="auto"/>
        <w:right w:val="none" w:sz="0" w:space="0" w:color="auto"/>
      </w:divBdr>
    </w:div>
    <w:div w:id="480389031">
      <w:marLeft w:val="0"/>
      <w:marRight w:val="0"/>
      <w:marTop w:val="0"/>
      <w:marBottom w:val="0"/>
      <w:divBdr>
        <w:top w:val="none" w:sz="0" w:space="0" w:color="auto"/>
        <w:left w:val="none" w:sz="0" w:space="0" w:color="auto"/>
        <w:bottom w:val="none" w:sz="0" w:space="0" w:color="auto"/>
        <w:right w:val="none" w:sz="0" w:space="0" w:color="auto"/>
      </w:divBdr>
      <w:divsChild>
        <w:div w:id="1335959885">
          <w:marLeft w:val="0"/>
          <w:marRight w:val="0"/>
          <w:marTop w:val="60"/>
          <w:marBottom w:val="60"/>
          <w:divBdr>
            <w:top w:val="none" w:sz="0" w:space="0" w:color="auto"/>
            <w:left w:val="none" w:sz="0" w:space="0" w:color="auto"/>
            <w:bottom w:val="none" w:sz="0" w:space="0" w:color="auto"/>
            <w:right w:val="none" w:sz="0" w:space="0" w:color="auto"/>
          </w:divBdr>
        </w:div>
      </w:divsChild>
    </w:div>
    <w:div w:id="481048413">
      <w:marLeft w:val="0"/>
      <w:marRight w:val="0"/>
      <w:marTop w:val="0"/>
      <w:marBottom w:val="60"/>
      <w:divBdr>
        <w:top w:val="none" w:sz="0" w:space="0" w:color="auto"/>
        <w:left w:val="none" w:sz="0" w:space="0" w:color="auto"/>
        <w:bottom w:val="none" w:sz="0" w:space="0" w:color="auto"/>
        <w:right w:val="none" w:sz="0" w:space="0" w:color="auto"/>
      </w:divBdr>
    </w:div>
    <w:div w:id="481777386">
      <w:marLeft w:val="0"/>
      <w:marRight w:val="0"/>
      <w:marTop w:val="180"/>
      <w:marBottom w:val="180"/>
      <w:divBdr>
        <w:top w:val="none" w:sz="0" w:space="0" w:color="auto"/>
        <w:left w:val="none" w:sz="0" w:space="0" w:color="auto"/>
        <w:bottom w:val="none" w:sz="0" w:space="0" w:color="auto"/>
        <w:right w:val="none" w:sz="0" w:space="0" w:color="auto"/>
      </w:divBdr>
    </w:div>
    <w:div w:id="482434161">
      <w:marLeft w:val="0"/>
      <w:marRight w:val="0"/>
      <w:marTop w:val="180"/>
      <w:marBottom w:val="180"/>
      <w:divBdr>
        <w:top w:val="none" w:sz="0" w:space="0" w:color="auto"/>
        <w:left w:val="none" w:sz="0" w:space="0" w:color="auto"/>
        <w:bottom w:val="none" w:sz="0" w:space="0" w:color="auto"/>
        <w:right w:val="none" w:sz="0" w:space="0" w:color="auto"/>
      </w:divBdr>
    </w:div>
    <w:div w:id="482553373">
      <w:marLeft w:val="0"/>
      <w:marRight w:val="0"/>
      <w:marTop w:val="100"/>
      <w:marBottom w:val="100"/>
      <w:divBdr>
        <w:top w:val="none" w:sz="0" w:space="0" w:color="auto"/>
        <w:left w:val="none" w:sz="0" w:space="0" w:color="auto"/>
        <w:bottom w:val="none" w:sz="0" w:space="0" w:color="auto"/>
        <w:right w:val="none" w:sz="0" w:space="0" w:color="auto"/>
      </w:divBdr>
      <w:divsChild>
        <w:div w:id="941107205">
          <w:marLeft w:val="0"/>
          <w:marRight w:val="0"/>
          <w:marTop w:val="0"/>
          <w:marBottom w:val="0"/>
          <w:divBdr>
            <w:top w:val="none" w:sz="0" w:space="0" w:color="auto"/>
            <w:left w:val="none" w:sz="0" w:space="0" w:color="auto"/>
            <w:bottom w:val="none" w:sz="0" w:space="0" w:color="auto"/>
            <w:right w:val="none" w:sz="0" w:space="0" w:color="auto"/>
          </w:divBdr>
        </w:div>
        <w:div w:id="1506436431">
          <w:marLeft w:val="0"/>
          <w:marRight w:val="0"/>
          <w:marTop w:val="0"/>
          <w:marBottom w:val="0"/>
          <w:divBdr>
            <w:top w:val="none" w:sz="0" w:space="0" w:color="auto"/>
            <w:left w:val="none" w:sz="0" w:space="0" w:color="auto"/>
            <w:bottom w:val="none" w:sz="0" w:space="0" w:color="auto"/>
            <w:right w:val="none" w:sz="0" w:space="0" w:color="auto"/>
          </w:divBdr>
        </w:div>
      </w:divsChild>
    </w:div>
    <w:div w:id="484316889">
      <w:marLeft w:val="0"/>
      <w:marRight w:val="0"/>
      <w:marTop w:val="0"/>
      <w:marBottom w:val="0"/>
      <w:divBdr>
        <w:top w:val="none" w:sz="0" w:space="0" w:color="auto"/>
        <w:left w:val="none" w:sz="0" w:space="0" w:color="auto"/>
        <w:bottom w:val="none" w:sz="0" w:space="0" w:color="auto"/>
        <w:right w:val="none" w:sz="0" w:space="0" w:color="auto"/>
      </w:divBdr>
    </w:div>
    <w:div w:id="485703731">
      <w:marLeft w:val="0"/>
      <w:marRight w:val="0"/>
      <w:marTop w:val="180"/>
      <w:marBottom w:val="180"/>
      <w:divBdr>
        <w:top w:val="none" w:sz="0" w:space="0" w:color="auto"/>
        <w:left w:val="none" w:sz="0" w:space="0" w:color="auto"/>
        <w:bottom w:val="none" w:sz="0" w:space="0" w:color="auto"/>
        <w:right w:val="none" w:sz="0" w:space="0" w:color="auto"/>
      </w:divBdr>
    </w:div>
    <w:div w:id="488132990">
      <w:marLeft w:val="0"/>
      <w:marRight w:val="0"/>
      <w:marTop w:val="180"/>
      <w:marBottom w:val="60"/>
      <w:divBdr>
        <w:top w:val="none" w:sz="0" w:space="0" w:color="auto"/>
        <w:left w:val="none" w:sz="0" w:space="0" w:color="auto"/>
        <w:bottom w:val="none" w:sz="0" w:space="0" w:color="auto"/>
        <w:right w:val="none" w:sz="0" w:space="0" w:color="auto"/>
      </w:divBdr>
    </w:div>
    <w:div w:id="488719381">
      <w:marLeft w:val="0"/>
      <w:marRight w:val="0"/>
      <w:marTop w:val="180"/>
      <w:marBottom w:val="60"/>
      <w:divBdr>
        <w:top w:val="none" w:sz="0" w:space="0" w:color="auto"/>
        <w:left w:val="none" w:sz="0" w:space="0" w:color="auto"/>
        <w:bottom w:val="none" w:sz="0" w:space="0" w:color="auto"/>
        <w:right w:val="none" w:sz="0" w:space="0" w:color="auto"/>
      </w:divBdr>
    </w:div>
    <w:div w:id="489096830">
      <w:marLeft w:val="0"/>
      <w:marRight w:val="0"/>
      <w:marTop w:val="180"/>
      <w:marBottom w:val="180"/>
      <w:divBdr>
        <w:top w:val="none" w:sz="0" w:space="0" w:color="auto"/>
        <w:left w:val="none" w:sz="0" w:space="0" w:color="auto"/>
        <w:bottom w:val="none" w:sz="0" w:space="0" w:color="auto"/>
        <w:right w:val="none" w:sz="0" w:space="0" w:color="auto"/>
      </w:divBdr>
    </w:div>
    <w:div w:id="489977897">
      <w:marLeft w:val="0"/>
      <w:marRight w:val="0"/>
      <w:marTop w:val="0"/>
      <w:marBottom w:val="0"/>
      <w:divBdr>
        <w:top w:val="none" w:sz="0" w:space="0" w:color="auto"/>
        <w:left w:val="none" w:sz="0" w:space="0" w:color="auto"/>
        <w:bottom w:val="none" w:sz="0" w:space="0" w:color="auto"/>
        <w:right w:val="none" w:sz="0" w:space="0" w:color="auto"/>
      </w:divBdr>
      <w:divsChild>
        <w:div w:id="1477065336">
          <w:marLeft w:val="0"/>
          <w:marRight w:val="0"/>
          <w:marTop w:val="60"/>
          <w:marBottom w:val="60"/>
          <w:divBdr>
            <w:top w:val="none" w:sz="0" w:space="0" w:color="auto"/>
            <w:left w:val="none" w:sz="0" w:space="0" w:color="auto"/>
            <w:bottom w:val="none" w:sz="0" w:space="0" w:color="auto"/>
            <w:right w:val="none" w:sz="0" w:space="0" w:color="auto"/>
          </w:divBdr>
        </w:div>
      </w:divsChild>
    </w:div>
    <w:div w:id="491527920">
      <w:marLeft w:val="0"/>
      <w:marRight w:val="0"/>
      <w:marTop w:val="0"/>
      <w:marBottom w:val="0"/>
      <w:divBdr>
        <w:top w:val="none" w:sz="0" w:space="0" w:color="auto"/>
        <w:left w:val="none" w:sz="0" w:space="0" w:color="auto"/>
        <w:bottom w:val="none" w:sz="0" w:space="0" w:color="auto"/>
        <w:right w:val="none" w:sz="0" w:space="0" w:color="auto"/>
      </w:divBdr>
    </w:div>
    <w:div w:id="494222451">
      <w:marLeft w:val="0"/>
      <w:marRight w:val="0"/>
      <w:marTop w:val="180"/>
      <w:marBottom w:val="180"/>
      <w:divBdr>
        <w:top w:val="none" w:sz="0" w:space="0" w:color="auto"/>
        <w:left w:val="none" w:sz="0" w:space="0" w:color="auto"/>
        <w:bottom w:val="none" w:sz="0" w:space="0" w:color="auto"/>
        <w:right w:val="none" w:sz="0" w:space="0" w:color="auto"/>
      </w:divBdr>
    </w:div>
    <w:div w:id="495339019">
      <w:marLeft w:val="0"/>
      <w:marRight w:val="0"/>
      <w:marTop w:val="240"/>
      <w:marBottom w:val="180"/>
      <w:divBdr>
        <w:top w:val="none" w:sz="0" w:space="0" w:color="auto"/>
        <w:left w:val="none" w:sz="0" w:space="0" w:color="auto"/>
        <w:bottom w:val="none" w:sz="0" w:space="0" w:color="auto"/>
        <w:right w:val="none" w:sz="0" w:space="0" w:color="auto"/>
      </w:divBdr>
    </w:div>
    <w:div w:id="495415804">
      <w:marLeft w:val="0"/>
      <w:marRight w:val="0"/>
      <w:marTop w:val="180"/>
      <w:marBottom w:val="180"/>
      <w:divBdr>
        <w:top w:val="none" w:sz="0" w:space="0" w:color="auto"/>
        <w:left w:val="none" w:sz="0" w:space="0" w:color="auto"/>
        <w:bottom w:val="none" w:sz="0" w:space="0" w:color="auto"/>
        <w:right w:val="none" w:sz="0" w:space="0" w:color="auto"/>
      </w:divBdr>
    </w:div>
    <w:div w:id="497113601">
      <w:marLeft w:val="0"/>
      <w:marRight w:val="0"/>
      <w:marTop w:val="180"/>
      <w:marBottom w:val="180"/>
      <w:divBdr>
        <w:top w:val="none" w:sz="0" w:space="0" w:color="auto"/>
        <w:left w:val="none" w:sz="0" w:space="0" w:color="auto"/>
        <w:bottom w:val="none" w:sz="0" w:space="0" w:color="auto"/>
        <w:right w:val="none" w:sz="0" w:space="0" w:color="auto"/>
      </w:divBdr>
    </w:div>
    <w:div w:id="497842386">
      <w:marLeft w:val="0"/>
      <w:marRight w:val="0"/>
      <w:marTop w:val="100"/>
      <w:marBottom w:val="280"/>
      <w:divBdr>
        <w:top w:val="none" w:sz="0" w:space="0" w:color="auto"/>
        <w:left w:val="none" w:sz="0" w:space="0" w:color="auto"/>
        <w:bottom w:val="none" w:sz="0" w:space="0" w:color="auto"/>
        <w:right w:val="none" w:sz="0" w:space="0" w:color="auto"/>
      </w:divBdr>
    </w:div>
    <w:div w:id="503782777">
      <w:marLeft w:val="0"/>
      <w:marRight w:val="0"/>
      <w:marTop w:val="0"/>
      <w:marBottom w:val="0"/>
      <w:divBdr>
        <w:top w:val="none" w:sz="0" w:space="0" w:color="auto"/>
        <w:left w:val="none" w:sz="0" w:space="0" w:color="auto"/>
        <w:bottom w:val="none" w:sz="0" w:space="0" w:color="auto"/>
        <w:right w:val="none" w:sz="0" w:space="0" w:color="auto"/>
      </w:divBdr>
      <w:divsChild>
        <w:div w:id="447359550">
          <w:marLeft w:val="0"/>
          <w:marRight w:val="0"/>
          <w:marTop w:val="60"/>
          <w:marBottom w:val="60"/>
          <w:divBdr>
            <w:top w:val="none" w:sz="0" w:space="0" w:color="auto"/>
            <w:left w:val="none" w:sz="0" w:space="0" w:color="auto"/>
            <w:bottom w:val="none" w:sz="0" w:space="0" w:color="auto"/>
            <w:right w:val="none" w:sz="0" w:space="0" w:color="auto"/>
          </w:divBdr>
        </w:div>
      </w:divsChild>
    </w:div>
    <w:div w:id="504171442">
      <w:marLeft w:val="0"/>
      <w:marRight w:val="0"/>
      <w:marTop w:val="0"/>
      <w:marBottom w:val="0"/>
      <w:divBdr>
        <w:top w:val="none" w:sz="0" w:space="0" w:color="auto"/>
        <w:left w:val="none" w:sz="0" w:space="0" w:color="auto"/>
        <w:bottom w:val="none" w:sz="0" w:space="0" w:color="auto"/>
        <w:right w:val="none" w:sz="0" w:space="0" w:color="auto"/>
      </w:divBdr>
    </w:div>
    <w:div w:id="504442592">
      <w:marLeft w:val="0"/>
      <w:marRight w:val="0"/>
      <w:marTop w:val="0"/>
      <w:marBottom w:val="0"/>
      <w:divBdr>
        <w:top w:val="none" w:sz="0" w:space="0" w:color="auto"/>
        <w:left w:val="none" w:sz="0" w:space="0" w:color="auto"/>
        <w:bottom w:val="none" w:sz="0" w:space="0" w:color="auto"/>
        <w:right w:val="none" w:sz="0" w:space="0" w:color="auto"/>
      </w:divBdr>
    </w:div>
    <w:div w:id="504636379">
      <w:marLeft w:val="0"/>
      <w:marRight w:val="0"/>
      <w:marTop w:val="100"/>
      <w:marBottom w:val="100"/>
      <w:divBdr>
        <w:top w:val="none" w:sz="0" w:space="0" w:color="auto"/>
        <w:left w:val="none" w:sz="0" w:space="0" w:color="auto"/>
        <w:bottom w:val="none" w:sz="0" w:space="0" w:color="auto"/>
        <w:right w:val="none" w:sz="0" w:space="0" w:color="auto"/>
      </w:divBdr>
      <w:divsChild>
        <w:div w:id="563758916">
          <w:marLeft w:val="0"/>
          <w:marRight w:val="0"/>
          <w:marTop w:val="0"/>
          <w:marBottom w:val="0"/>
          <w:divBdr>
            <w:top w:val="none" w:sz="0" w:space="0" w:color="auto"/>
            <w:left w:val="none" w:sz="0" w:space="0" w:color="auto"/>
            <w:bottom w:val="none" w:sz="0" w:space="0" w:color="auto"/>
            <w:right w:val="none" w:sz="0" w:space="0" w:color="auto"/>
          </w:divBdr>
        </w:div>
        <w:div w:id="242035373">
          <w:marLeft w:val="0"/>
          <w:marRight w:val="0"/>
          <w:marTop w:val="0"/>
          <w:marBottom w:val="0"/>
          <w:divBdr>
            <w:top w:val="none" w:sz="0" w:space="0" w:color="auto"/>
            <w:left w:val="none" w:sz="0" w:space="0" w:color="auto"/>
            <w:bottom w:val="none" w:sz="0" w:space="0" w:color="auto"/>
            <w:right w:val="none" w:sz="0" w:space="0" w:color="auto"/>
          </w:divBdr>
        </w:div>
        <w:div w:id="1280919500">
          <w:marLeft w:val="0"/>
          <w:marRight w:val="0"/>
          <w:marTop w:val="0"/>
          <w:marBottom w:val="0"/>
          <w:divBdr>
            <w:top w:val="none" w:sz="0" w:space="0" w:color="auto"/>
            <w:left w:val="none" w:sz="0" w:space="0" w:color="auto"/>
            <w:bottom w:val="none" w:sz="0" w:space="0" w:color="auto"/>
            <w:right w:val="none" w:sz="0" w:space="0" w:color="auto"/>
          </w:divBdr>
        </w:div>
      </w:divsChild>
    </w:div>
    <w:div w:id="505630110">
      <w:marLeft w:val="0"/>
      <w:marRight w:val="0"/>
      <w:marTop w:val="180"/>
      <w:marBottom w:val="180"/>
      <w:divBdr>
        <w:top w:val="none" w:sz="0" w:space="0" w:color="auto"/>
        <w:left w:val="none" w:sz="0" w:space="0" w:color="auto"/>
        <w:bottom w:val="none" w:sz="0" w:space="0" w:color="auto"/>
        <w:right w:val="none" w:sz="0" w:space="0" w:color="auto"/>
      </w:divBdr>
    </w:div>
    <w:div w:id="506558264">
      <w:marLeft w:val="0"/>
      <w:marRight w:val="0"/>
      <w:marTop w:val="180"/>
      <w:marBottom w:val="180"/>
      <w:divBdr>
        <w:top w:val="none" w:sz="0" w:space="0" w:color="auto"/>
        <w:left w:val="none" w:sz="0" w:space="0" w:color="auto"/>
        <w:bottom w:val="none" w:sz="0" w:space="0" w:color="auto"/>
        <w:right w:val="none" w:sz="0" w:space="0" w:color="auto"/>
      </w:divBdr>
    </w:div>
    <w:div w:id="507522879">
      <w:marLeft w:val="0"/>
      <w:marRight w:val="0"/>
      <w:marTop w:val="180"/>
      <w:marBottom w:val="180"/>
      <w:divBdr>
        <w:top w:val="none" w:sz="0" w:space="0" w:color="auto"/>
        <w:left w:val="none" w:sz="0" w:space="0" w:color="auto"/>
        <w:bottom w:val="none" w:sz="0" w:space="0" w:color="auto"/>
        <w:right w:val="none" w:sz="0" w:space="0" w:color="auto"/>
      </w:divBdr>
    </w:div>
    <w:div w:id="508101643">
      <w:marLeft w:val="0"/>
      <w:marRight w:val="0"/>
      <w:marTop w:val="180"/>
      <w:marBottom w:val="180"/>
      <w:divBdr>
        <w:top w:val="none" w:sz="0" w:space="0" w:color="auto"/>
        <w:left w:val="none" w:sz="0" w:space="0" w:color="auto"/>
        <w:bottom w:val="none" w:sz="0" w:space="0" w:color="auto"/>
        <w:right w:val="none" w:sz="0" w:space="0" w:color="auto"/>
      </w:divBdr>
    </w:div>
    <w:div w:id="508256845">
      <w:marLeft w:val="0"/>
      <w:marRight w:val="0"/>
      <w:marTop w:val="60"/>
      <w:marBottom w:val="60"/>
      <w:divBdr>
        <w:top w:val="none" w:sz="0" w:space="0" w:color="auto"/>
        <w:left w:val="none" w:sz="0" w:space="0" w:color="auto"/>
        <w:bottom w:val="none" w:sz="0" w:space="0" w:color="auto"/>
        <w:right w:val="none" w:sz="0" w:space="0" w:color="auto"/>
      </w:divBdr>
    </w:div>
    <w:div w:id="508644614">
      <w:marLeft w:val="0"/>
      <w:marRight w:val="0"/>
      <w:marTop w:val="0"/>
      <w:marBottom w:val="0"/>
      <w:divBdr>
        <w:top w:val="none" w:sz="0" w:space="0" w:color="auto"/>
        <w:left w:val="none" w:sz="0" w:space="0" w:color="auto"/>
        <w:bottom w:val="none" w:sz="0" w:space="0" w:color="auto"/>
        <w:right w:val="none" w:sz="0" w:space="0" w:color="auto"/>
      </w:divBdr>
    </w:div>
    <w:div w:id="508714698">
      <w:marLeft w:val="0"/>
      <w:marRight w:val="0"/>
      <w:marTop w:val="180"/>
      <w:marBottom w:val="60"/>
      <w:divBdr>
        <w:top w:val="none" w:sz="0" w:space="0" w:color="auto"/>
        <w:left w:val="none" w:sz="0" w:space="0" w:color="auto"/>
        <w:bottom w:val="none" w:sz="0" w:space="0" w:color="auto"/>
        <w:right w:val="none" w:sz="0" w:space="0" w:color="auto"/>
      </w:divBdr>
    </w:div>
    <w:div w:id="510267273">
      <w:marLeft w:val="0"/>
      <w:marRight w:val="0"/>
      <w:marTop w:val="180"/>
      <w:marBottom w:val="180"/>
      <w:divBdr>
        <w:top w:val="none" w:sz="0" w:space="0" w:color="auto"/>
        <w:left w:val="none" w:sz="0" w:space="0" w:color="auto"/>
        <w:bottom w:val="none" w:sz="0" w:space="0" w:color="auto"/>
        <w:right w:val="none" w:sz="0" w:space="0" w:color="auto"/>
      </w:divBdr>
    </w:div>
    <w:div w:id="517430581">
      <w:marLeft w:val="0"/>
      <w:marRight w:val="0"/>
      <w:marTop w:val="180"/>
      <w:marBottom w:val="180"/>
      <w:divBdr>
        <w:top w:val="none" w:sz="0" w:space="0" w:color="auto"/>
        <w:left w:val="none" w:sz="0" w:space="0" w:color="auto"/>
        <w:bottom w:val="none" w:sz="0" w:space="0" w:color="auto"/>
        <w:right w:val="none" w:sz="0" w:space="0" w:color="auto"/>
      </w:divBdr>
    </w:div>
    <w:div w:id="519899250">
      <w:marLeft w:val="0"/>
      <w:marRight w:val="0"/>
      <w:marTop w:val="180"/>
      <w:marBottom w:val="180"/>
      <w:divBdr>
        <w:top w:val="none" w:sz="0" w:space="0" w:color="auto"/>
        <w:left w:val="none" w:sz="0" w:space="0" w:color="auto"/>
        <w:bottom w:val="none" w:sz="0" w:space="0" w:color="auto"/>
        <w:right w:val="none" w:sz="0" w:space="0" w:color="auto"/>
      </w:divBdr>
    </w:div>
    <w:div w:id="521895105">
      <w:marLeft w:val="0"/>
      <w:marRight w:val="0"/>
      <w:marTop w:val="60"/>
      <w:marBottom w:val="60"/>
      <w:divBdr>
        <w:top w:val="none" w:sz="0" w:space="0" w:color="auto"/>
        <w:left w:val="none" w:sz="0" w:space="0" w:color="auto"/>
        <w:bottom w:val="none" w:sz="0" w:space="0" w:color="auto"/>
        <w:right w:val="none" w:sz="0" w:space="0" w:color="auto"/>
      </w:divBdr>
    </w:div>
    <w:div w:id="522717012">
      <w:marLeft w:val="0"/>
      <w:marRight w:val="0"/>
      <w:marTop w:val="60"/>
      <w:marBottom w:val="60"/>
      <w:divBdr>
        <w:top w:val="none" w:sz="0" w:space="0" w:color="auto"/>
        <w:left w:val="none" w:sz="0" w:space="0" w:color="auto"/>
        <w:bottom w:val="none" w:sz="0" w:space="0" w:color="auto"/>
        <w:right w:val="none" w:sz="0" w:space="0" w:color="auto"/>
      </w:divBdr>
    </w:div>
    <w:div w:id="524485899">
      <w:marLeft w:val="0"/>
      <w:marRight w:val="0"/>
      <w:marTop w:val="180"/>
      <w:marBottom w:val="0"/>
      <w:divBdr>
        <w:top w:val="none" w:sz="0" w:space="0" w:color="auto"/>
        <w:left w:val="none" w:sz="0" w:space="0" w:color="auto"/>
        <w:bottom w:val="none" w:sz="0" w:space="0" w:color="auto"/>
        <w:right w:val="none" w:sz="0" w:space="0" w:color="auto"/>
      </w:divBdr>
    </w:div>
    <w:div w:id="524949679">
      <w:marLeft w:val="0"/>
      <w:marRight w:val="0"/>
      <w:marTop w:val="60"/>
      <w:marBottom w:val="60"/>
      <w:divBdr>
        <w:top w:val="none" w:sz="0" w:space="0" w:color="auto"/>
        <w:left w:val="none" w:sz="0" w:space="0" w:color="auto"/>
        <w:bottom w:val="none" w:sz="0" w:space="0" w:color="auto"/>
        <w:right w:val="none" w:sz="0" w:space="0" w:color="auto"/>
      </w:divBdr>
    </w:div>
    <w:div w:id="528878988">
      <w:marLeft w:val="0"/>
      <w:marRight w:val="0"/>
      <w:marTop w:val="0"/>
      <w:marBottom w:val="60"/>
      <w:divBdr>
        <w:top w:val="none" w:sz="0" w:space="0" w:color="auto"/>
        <w:left w:val="none" w:sz="0" w:space="0" w:color="auto"/>
        <w:bottom w:val="none" w:sz="0" w:space="0" w:color="auto"/>
        <w:right w:val="none" w:sz="0" w:space="0" w:color="auto"/>
      </w:divBdr>
    </w:div>
    <w:div w:id="532310283">
      <w:marLeft w:val="0"/>
      <w:marRight w:val="0"/>
      <w:marTop w:val="180"/>
      <w:marBottom w:val="180"/>
      <w:divBdr>
        <w:top w:val="none" w:sz="0" w:space="0" w:color="auto"/>
        <w:left w:val="none" w:sz="0" w:space="0" w:color="auto"/>
        <w:bottom w:val="none" w:sz="0" w:space="0" w:color="auto"/>
        <w:right w:val="none" w:sz="0" w:space="0" w:color="auto"/>
      </w:divBdr>
    </w:div>
    <w:div w:id="536431867">
      <w:marLeft w:val="0"/>
      <w:marRight w:val="0"/>
      <w:marTop w:val="180"/>
      <w:marBottom w:val="180"/>
      <w:divBdr>
        <w:top w:val="none" w:sz="0" w:space="0" w:color="auto"/>
        <w:left w:val="none" w:sz="0" w:space="0" w:color="auto"/>
        <w:bottom w:val="none" w:sz="0" w:space="0" w:color="auto"/>
        <w:right w:val="none" w:sz="0" w:space="0" w:color="auto"/>
      </w:divBdr>
    </w:div>
    <w:div w:id="542910516">
      <w:marLeft w:val="0"/>
      <w:marRight w:val="0"/>
      <w:marTop w:val="180"/>
      <w:marBottom w:val="180"/>
      <w:divBdr>
        <w:top w:val="none" w:sz="0" w:space="0" w:color="auto"/>
        <w:left w:val="none" w:sz="0" w:space="0" w:color="auto"/>
        <w:bottom w:val="none" w:sz="0" w:space="0" w:color="auto"/>
        <w:right w:val="none" w:sz="0" w:space="0" w:color="auto"/>
      </w:divBdr>
    </w:div>
    <w:div w:id="545067303">
      <w:marLeft w:val="0"/>
      <w:marRight w:val="0"/>
      <w:marTop w:val="0"/>
      <w:marBottom w:val="0"/>
      <w:divBdr>
        <w:top w:val="none" w:sz="0" w:space="0" w:color="auto"/>
        <w:left w:val="none" w:sz="0" w:space="0" w:color="auto"/>
        <w:bottom w:val="none" w:sz="0" w:space="0" w:color="auto"/>
        <w:right w:val="none" w:sz="0" w:space="0" w:color="auto"/>
      </w:divBdr>
      <w:divsChild>
        <w:div w:id="1666203163">
          <w:marLeft w:val="0"/>
          <w:marRight w:val="0"/>
          <w:marTop w:val="60"/>
          <w:marBottom w:val="60"/>
          <w:divBdr>
            <w:top w:val="none" w:sz="0" w:space="0" w:color="auto"/>
            <w:left w:val="none" w:sz="0" w:space="0" w:color="auto"/>
            <w:bottom w:val="none" w:sz="0" w:space="0" w:color="auto"/>
            <w:right w:val="none" w:sz="0" w:space="0" w:color="auto"/>
          </w:divBdr>
        </w:div>
      </w:divsChild>
    </w:div>
    <w:div w:id="547306486">
      <w:marLeft w:val="0"/>
      <w:marRight w:val="0"/>
      <w:marTop w:val="180"/>
      <w:marBottom w:val="180"/>
      <w:divBdr>
        <w:top w:val="none" w:sz="0" w:space="0" w:color="auto"/>
        <w:left w:val="none" w:sz="0" w:space="0" w:color="auto"/>
        <w:bottom w:val="none" w:sz="0" w:space="0" w:color="auto"/>
        <w:right w:val="none" w:sz="0" w:space="0" w:color="auto"/>
      </w:divBdr>
    </w:div>
    <w:div w:id="549003685">
      <w:marLeft w:val="0"/>
      <w:marRight w:val="0"/>
      <w:marTop w:val="180"/>
      <w:marBottom w:val="180"/>
      <w:divBdr>
        <w:top w:val="none" w:sz="0" w:space="0" w:color="auto"/>
        <w:left w:val="none" w:sz="0" w:space="0" w:color="auto"/>
        <w:bottom w:val="none" w:sz="0" w:space="0" w:color="auto"/>
        <w:right w:val="none" w:sz="0" w:space="0" w:color="auto"/>
      </w:divBdr>
    </w:div>
    <w:div w:id="549071586">
      <w:marLeft w:val="0"/>
      <w:marRight w:val="0"/>
      <w:marTop w:val="180"/>
      <w:marBottom w:val="180"/>
      <w:divBdr>
        <w:top w:val="none" w:sz="0" w:space="0" w:color="auto"/>
        <w:left w:val="none" w:sz="0" w:space="0" w:color="auto"/>
        <w:bottom w:val="none" w:sz="0" w:space="0" w:color="auto"/>
        <w:right w:val="none" w:sz="0" w:space="0" w:color="auto"/>
      </w:divBdr>
    </w:div>
    <w:div w:id="551117077">
      <w:marLeft w:val="0"/>
      <w:marRight w:val="0"/>
      <w:marTop w:val="60"/>
      <w:marBottom w:val="60"/>
      <w:divBdr>
        <w:top w:val="none" w:sz="0" w:space="0" w:color="auto"/>
        <w:left w:val="none" w:sz="0" w:space="0" w:color="auto"/>
        <w:bottom w:val="none" w:sz="0" w:space="0" w:color="auto"/>
        <w:right w:val="none" w:sz="0" w:space="0" w:color="auto"/>
      </w:divBdr>
    </w:div>
    <w:div w:id="551813296">
      <w:marLeft w:val="0"/>
      <w:marRight w:val="0"/>
      <w:marTop w:val="0"/>
      <w:marBottom w:val="0"/>
      <w:divBdr>
        <w:top w:val="none" w:sz="0" w:space="0" w:color="auto"/>
        <w:left w:val="none" w:sz="0" w:space="0" w:color="auto"/>
        <w:bottom w:val="none" w:sz="0" w:space="0" w:color="auto"/>
        <w:right w:val="none" w:sz="0" w:space="0" w:color="auto"/>
      </w:divBdr>
      <w:divsChild>
        <w:div w:id="815072684">
          <w:marLeft w:val="0"/>
          <w:marRight w:val="0"/>
          <w:marTop w:val="0"/>
          <w:marBottom w:val="0"/>
          <w:divBdr>
            <w:top w:val="none" w:sz="0" w:space="0" w:color="auto"/>
            <w:left w:val="none" w:sz="0" w:space="0" w:color="auto"/>
            <w:bottom w:val="none" w:sz="0" w:space="0" w:color="auto"/>
            <w:right w:val="none" w:sz="0" w:space="0" w:color="auto"/>
          </w:divBdr>
          <w:divsChild>
            <w:div w:id="12287579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2470026">
      <w:marLeft w:val="0"/>
      <w:marRight w:val="0"/>
      <w:marTop w:val="180"/>
      <w:marBottom w:val="180"/>
      <w:divBdr>
        <w:top w:val="none" w:sz="0" w:space="0" w:color="auto"/>
        <w:left w:val="none" w:sz="0" w:space="0" w:color="auto"/>
        <w:bottom w:val="none" w:sz="0" w:space="0" w:color="auto"/>
        <w:right w:val="none" w:sz="0" w:space="0" w:color="auto"/>
      </w:divBdr>
    </w:div>
    <w:div w:id="552620622">
      <w:marLeft w:val="0"/>
      <w:marRight w:val="0"/>
      <w:marTop w:val="100"/>
      <w:marBottom w:val="100"/>
      <w:divBdr>
        <w:top w:val="none" w:sz="0" w:space="0" w:color="auto"/>
        <w:left w:val="none" w:sz="0" w:space="0" w:color="auto"/>
        <w:bottom w:val="none" w:sz="0" w:space="0" w:color="auto"/>
        <w:right w:val="none" w:sz="0" w:space="0" w:color="auto"/>
      </w:divBdr>
      <w:divsChild>
        <w:div w:id="1496605568">
          <w:marLeft w:val="0"/>
          <w:marRight w:val="0"/>
          <w:marTop w:val="0"/>
          <w:marBottom w:val="0"/>
          <w:divBdr>
            <w:top w:val="none" w:sz="0" w:space="0" w:color="auto"/>
            <w:left w:val="none" w:sz="0" w:space="0" w:color="auto"/>
            <w:bottom w:val="none" w:sz="0" w:space="0" w:color="auto"/>
            <w:right w:val="none" w:sz="0" w:space="0" w:color="auto"/>
          </w:divBdr>
        </w:div>
        <w:div w:id="1037968507">
          <w:marLeft w:val="0"/>
          <w:marRight w:val="0"/>
          <w:marTop w:val="0"/>
          <w:marBottom w:val="0"/>
          <w:divBdr>
            <w:top w:val="none" w:sz="0" w:space="0" w:color="auto"/>
            <w:left w:val="none" w:sz="0" w:space="0" w:color="auto"/>
            <w:bottom w:val="none" w:sz="0" w:space="0" w:color="auto"/>
            <w:right w:val="none" w:sz="0" w:space="0" w:color="auto"/>
          </w:divBdr>
        </w:div>
      </w:divsChild>
    </w:div>
    <w:div w:id="555360120">
      <w:marLeft w:val="0"/>
      <w:marRight w:val="0"/>
      <w:marTop w:val="0"/>
      <w:marBottom w:val="0"/>
      <w:divBdr>
        <w:top w:val="none" w:sz="0" w:space="0" w:color="auto"/>
        <w:left w:val="none" w:sz="0" w:space="0" w:color="auto"/>
        <w:bottom w:val="none" w:sz="0" w:space="0" w:color="auto"/>
        <w:right w:val="none" w:sz="0" w:space="0" w:color="auto"/>
      </w:divBdr>
    </w:div>
    <w:div w:id="557740287">
      <w:marLeft w:val="0"/>
      <w:marRight w:val="0"/>
      <w:marTop w:val="0"/>
      <w:marBottom w:val="0"/>
      <w:divBdr>
        <w:top w:val="none" w:sz="0" w:space="0" w:color="auto"/>
        <w:left w:val="none" w:sz="0" w:space="0" w:color="auto"/>
        <w:bottom w:val="none" w:sz="0" w:space="0" w:color="auto"/>
        <w:right w:val="none" w:sz="0" w:space="0" w:color="auto"/>
      </w:divBdr>
    </w:div>
    <w:div w:id="562913775">
      <w:marLeft w:val="0"/>
      <w:marRight w:val="0"/>
      <w:marTop w:val="180"/>
      <w:marBottom w:val="180"/>
      <w:divBdr>
        <w:top w:val="none" w:sz="0" w:space="0" w:color="auto"/>
        <w:left w:val="none" w:sz="0" w:space="0" w:color="auto"/>
        <w:bottom w:val="none" w:sz="0" w:space="0" w:color="auto"/>
        <w:right w:val="none" w:sz="0" w:space="0" w:color="auto"/>
      </w:divBdr>
    </w:div>
    <w:div w:id="567306823">
      <w:marLeft w:val="0"/>
      <w:marRight w:val="0"/>
      <w:marTop w:val="60"/>
      <w:marBottom w:val="60"/>
      <w:divBdr>
        <w:top w:val="none" w:sz="0" w:space="0" w:color="auto"/>
        <w:left w:val="none" w:sz="0" w:space="0" w:color="auto"/>
        <w:bottom w:val="none" w:sz="0" w:space="0" w:color="auto"/>
        <w:right w:val="none" w:sz="0" w:space="0" w:color="auto"/>
      </w:divBdr>
    </w:div>
    <w:div w:id="568268920">
      <w:marLeft w:val="0"/>
      <w:marRight w:val="0"/>
      <w:marTop w:val="60"/>
      <w:marBottom w:val="180"/>
      <w:divBdr>
        <w:top w:val="none" w:sz="0" w:space="0" w:color="auto"/>
        <w:left w:val="none" w:sz="0" w:space="0" w:color="auto"/>
        <w:bottom w:val="none" w:sz="0" w:space="0" w:color="auto"/>
        <w:right w:val="none" w:sz="0" w:space="0" w:color="auto"/>
      </w:divBdr>
    </w:div>
    <w:div w:id="568658269">
      <w:marLeft w:val="0"/>
      <w:marRight w:val="0"/>
      <w:marTop w:val="180"/>
      <w:marBottom w:val="180"/>
      <w:divBdr>
        <w:top w:val="none" w:sz="0" w:space="0" w:color="auto"/>
        <w:left w:val="none" w:sz="0" w:space="0" w:color="auto"/>
        <w:bottom w:val="none" w:sz="0" w:space="0" w:color="auto"/>
        <w:right w:val="none" w:sz="0" w:space="0" w:color="auto"/>
      </w:divBdr>
    </w:div>
    <w:div w:id="570624900">
      <w:marLeft w:val="0"/>
      <w:marRight w:val="0"/>
      <w:marTop w:val="0"/>
      <w:marBottom w:val="0"/>
      <w:divBdr>
        <w:top w:val="none" w:sz="0" w:space="0" w:color="auto"/>
        <w:left w:val="none" w:sz="0" w:space="0" w:color="auto"/>
        <w:bottom w:val="none" w:sz="0" w:space="0" w:color="auto"/>
        <w:right w:val="none" w:sz="0" w:space="0" w:color="auto"/>
      </w:divBdr>
      <w:divsChild>
        <w:div w:id="800881840">
          <w:marLeft w:val="0"/>
          <w:marRight w:val="0"/>
          <w:marTop w:val="60"/>
          <w:marBottom w:val="60"/>
          <w:divBdr>
            <w:top w:val="none" w:sz="0" w:space="0" w:color="auto"/>
            <w:left w:val="none" w:sz="0" w:space="0" w:color="auto"/>
            <w:bottom w:val="none" w:sz="0" w:space="0" w:color="auto"/>
            <w:right w:val="none" w:sz="0" w:space="0" w:color="auto"/>
          </w:divBdr>
        </w:div>
      </w:divsChild>
    </w:div>
    <w:div w:id="570778362">
      <w:marLeft w:val="0"/>
      <w:marRight w:val="0"/>
      <w:marTop w:val="60"/>
      <w:marBottom w:val="60"/>
      <w:divBdr>
        <w:top w:val="none" w:sz="0" w:space="0" w:color="auto"/>
        <w:left w:val="none" w:sz="0" w:space="0" w:color="auto"/>
        <w:bottom w:val="none" w:sz="0" w:space="0" w:color="auto"/>
        <w:right w:val="none" w:sz="0" w:space="0" w:color="auto"/>
      </w:divBdr>
    </w:div>
    <w:div w:id="570969031">
      <w:marLeft w:val="0"/>
      <w:marRight w:val="0"/>
      <w:marTop w:val="180"/>
      <w:marBottom w:val="180"/>
      <w:divBdr>
        <w:top w:val="none" w:sz="0" w:space="0" w:color="auto"/>
        <w:left w:val="none" w:sz="0" w:space="0" w:color="auto"/>
        <w:bottom w:val="none" w:sz="0" w:space="0" w:color="auto"/>
        <w:right w:val="none" w:sz="0" w:space="0" w:color="auto"/>
      </w:divBdr>
    </w:div>
    <w:div w:id="572088373">
      <w:marLeft w:val="0"/>
      <w:marRight w:val="0"/>
      <w:marTop w:val="180"/>
      <w:marBottom w:val="180"/>
      <w:divBdr>
        <w:top w:val="none" w:sz="0" w:space="0" w:color="auto"/>
        <w:left w:val="none" w:sz="0" w:space="0" w:color="auto"/>
        <w:bottom w:val="none" w:sz="0" w:space="0" w:color="auto"/>
        <w:right w:val="none" w:sz="0" w:space="0" w:color="auto"/>
      </w:divBdr>
    </w:div>
    <w:div w:id="572396823">
      <w:marLeft w:val="0"/>
      <w:marRight w:val="0"/>
      <w:marTop w:val="180"/>
      <w:marBottom w:val="180"/>
      <w:divBdr>
        <w:top w:val="none" w:sz="0" w:space="0" w:color="auto"/>
        <w:left w:val="none" w:sz="0" w:space="0" w:color="auto"/>
        <w:bottom w:val="none" w:sz="0" w:space="0" w:color="auto"/>
        <w:right w:val="none" w:sz="0" w:space="0" w:color="auto"/>
      </w:divBdr>
    </w:div>
    <w:div w:id="573853920">
      <w:marLeft w:val="0"/>
      <w:marRight w:val="0"/>
      <w:marTop w:val="180"/>
      <w:marBottom w:val="180"/>
      <w:divBdr>
        <w:top w:val="none" w:sz="0" w:space="0" w:color="auto"/>
        <w:left w:val="none" w:sz="0" w:space="0" w:color="auto"/>
        <w:bottom w:val="none" w:sz="0" w:space="0" w:color="auto"/>
        <w:right w:val="none" w:sz="0" w:space="0" w:color="auto"/>
      </w:divBdr>
    </w:div>
    <w:div w:id="575287104">
      <w:marLeft w:val="0"/>
      <w:marRight w:val="0"/>
      <w:marTop w:val="180"/>
      <w:marBottom w:val="180"/>
      <w:divBdr>
        <w:top w:val="none" w:sz="0" w:space="0" w:color="auto"/>
        <w:left w:val="none" w:sz="0" w:space="0" w:color="auto"/>
        <w:bottom w:val="none" w:sz="0" w:space="0" w:color="auto"/>
        <w:right w:val="none" w:sz="0" w:space="0" w:color="auto"/>
      </w:divBdr>
    </w:div>
    <w:div w:id="576943224">
      <w:marLeft w:val="0"/>
      <w:marRight w:val="0"/>
      <w:marTop w:val="180"/>
      <w:marBottom w:val="60"/>
      <w:divBdr>
        <w:top w:val="none" w:sz="0" w:space="0" w:color="auto"/>
        <w:left w:val="none" w:sz="0" w:space="0" w:color="auto"/>
        <w:bottom w:val="none" w:sz="0" w:space="0" w:color="auto"/>
        <w:right w:val="none" w:sz="0" w:space="0" w:color="auto"/>
      </w:divBdr>
    </w:div>
    <w:div w:id="577136495">
      <w:marLeft w:val="0"/>
      <w:marRight w:val="0"/>
      <w:marTop w:val="0"/>
      <w:marBottom w:val="0"/>
      <w:divBdr>
        <w:top w:val="none" w:sz="0" w:space="0" w:color="auto"/>
        <w:left w:val="none" w:sz="0" w:space="0" w:color="auto"/>
        <w:bottom w:val="none" w:sz="0" w:space="0" w:color="auto"/>
        <w:right w:val="none" w:sz="0" w:space="0" w:color="auto"/>
      </w:divBdr>
    </w:div>
    <w:div w:id="580870492">
      <w:marLeft w:val="0"/>
      <w:marRight w:val="0"/>
      <w:marTop w:val="180"/>
      <w:marBottom w:val="180"/>
      <w:divBdr>
        <w:top w:val="none" w:sz="0" w:space="0" w:color="auto"/>
        <w:left w:val="none" w:sz="0" w:space="0" w:color="auto"/>
        <w:bottom w:val="none" w:sz="0" w:space="0" w:color="auto"/>
        <w:right w:val="none" w:sz="0" w:space="0" w:color="auto"/>
      </w:divBdr>
    </w:div>
    <w:div w:id="581455630">
      <w:marLeft w:val="0"/>
      <w:marRight w:val="0"/>
      <w:marTop w:val="60"/>
      <w:marBottom w:val="60"/>
      <w:divBdr>
        <w:top w:val="none" w:sz="0" w:space="0" w:color="auto"/>
        <w:left w:val="none" w:sz="0" w:space="0" w:color="auto"/>
        <w:bottom w:val="none" w:sz="0" w:space="0" w:color="auto"/>
        <w:right w:val="none" w:sz="0" w:space="0" w:color="auto"/>
      </w:divBdr>
    </w:div>
    <w:div w:id="583684702">
      <w:marLeft w:val="0"/>
      <w:marRight w:val="0"/>
      <w:marTop w:val="0"/>
      <w:marBottom w:val="0"/>
      <w:divBdr>
        <w:top w:val="none" w:sz="0" w:space="0" w:color="auto"/>
        <w:left w:val="none" w:sz="0" w:space="0" w:color="auto"/>
        <w:bottom w:val="none" w:sz="0" w:space="0" w:color="auto"/>
        <w:right w:val="none" w:sz="0" w:space="0" w:color="auto"/>
      </w:divBdr>
      <w:divsChild>
        <w:div w:id="1456949187">
          <w:marLeft w:val="0"/>
          <w:marRight w:val="0"/>
          <w:marTop w:val="0"/>
          <w:marBottom w:val="0"/>
          <w:divBdr>
            <w:top w:val="none" w:sz="0" w:space="0" w:color="auto"/>
            <w:left w:val="none" w:sz="0" w:space="0" w:color="auto"/>
            <w:bottom w:val="none" w:sz="0" w:space="0" w:color="auto"/>
            <w:right w:val="none" w:sz="0" w:space="0" w:color="auto"/>
          </w:divBdr>
          <w:divsChild>
            <w:div w:id="13184126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84845956">
      <w:marLeft w:val="0"/>
      <w:marRight w:val="0"/>
      <w:marTop w:val="180"/>
      <w:marBottom w:val="180"/>
      <w:divBdr>
        <w:top w:val="none" w:sz="0" w:space="0" w:color="auto"/>
        <w:left w:val="none" w:sz="0" w:space="0" w:color="auto"/>
        <w:bottom w:val="none" w:sz="0" w:space="0" w:color="auto"/>
        <w:right w:val="none" w:sz="0" w:space="0" w:color="auto"/>
      </w:divBdr>
    </w:div>
    <w:div w:id="587927838">
      <w:marLeft w:val="0"/>
      <w:marRight w:val="0"/>
      <w:marTop w:val="180"/>
      <w:marBottom w:val="0"/>
      <w:divBdr>
        <w:top w:val="none" w:sz="0" w:space="0" w:color="auto"/>
        <w:left w:val="none" w:sz="0" w:space="0" w:color="auto"/>
        <w:bottom w:val="none" w:sz="0" w:space="0" w:color="auto"/>
        <w:right w:val="none" w:sz="0" w:space="0" w:color="auto"/>
      </w:divBdr>
    </w:div>
    <w:div w:id="590549047">
      <w:marLeft w:val="0"/>
      <w:marRight w:val="0"/>
      <w:marTop w:val="180"/>
      <w:marBottom w:val="180"/>
      <w:divBdr>
        <w:top w:val="none" w:sz="0" w:space="0" w:color="auto"/>
        <w:left w:val="none" w:sz="0" w:space="0" w:color="auto"/>
        <w:bottom w:val="none" w:sz="0" w:space="0" w:color="auto"/>
        <w:right w:val="none" w:sz="0" w:space="0" w:color="auto"/>
      </w:divBdr>
    </w:div>
    <w:div w:id="591205165">
      <w:marLeft w:val="0"/>
      <w:marRight w:val="0"/>
      <w:marTop w:val="180"/>
      <w:marBottom w:val="180"/>
      <w:divBdr>
        <w:top w:val="none" w:sz="0" w:space="0" w:color="auto"/>
        <w:left w:val="none" w:sz="0" w:space="0" w:color="auto"/>
        <w:bottom w:val="none" w:sz="0" w:space="0" w:color="auto"/>
        <w:right w:val="none" w:sz="0" w:space="0" w:color="auto"/>
      </w:divBdr>
    </w:div>
    <w:div w:id="593704245">
      <w:marLeft w:val="0"/>
      <w:marRight w:val="0"/>
      <w:marTop w:val="180"/>
      <w:marBottom w:val="180"/>
      <w:divBdr>
        <w:top w:val="none" w:sz="0" w:space="0" w:color="auto"/>
        <w:left w:val="none" w:sz="0" w:space="0" w:color="auto"/>
        <w:bottom w:val="none" w:sz="0" w:space="0" w:color="auto"/>
        <w:right w:val="none" w:sz="0" w:space="0" w:color="auto"/>
      </w:divBdr>
    </w:div>
    <w:div w:id="594944484">
      <w:marLeft w:val="0"/>
      <w:marRight w:val="0"/>
      <w:marTop w:val="180"/>
      <w:marBottom w:val="180"/>
      <w:divBdr>
        <w:top w:val="none" w:sz="0" w:space="0" w:color="auto"/>
        <w:left w:val="none" w:sz="0" w:space="0" w:color="auto"/>
        <w:bottom w:val="none" w:sz="0" w:space="0" w:color="auto"/>
        <w:right w:val="none" w:sz="0" w:space="0" w:color="auto"/>
      </w:divBdr>
    </w:div>
    <w:div w:id="596598698">
      <w:marLeft w:val="0"/>
      <w:marRight w:val="0"/>
      <w:marTop w:val="180"/>
      <w:marBottom w:val="180"/>
      <w:divBdr>
        <w:top w:val="none" w:sz="0" w:space="0" w:color="auto"/>
        <w:left w:val="none" w:sz="0" w:space="0" w:color="auto"/>
        <w:bottom w:val="none" w:sz="0" w:space="0" w:color="auto"/>
        <w:right w:val="none" w:sz="0" w:space="0" w:color="auto"/>
      </w:divBdr>
    </w:div>
    <w:div w:id="597904801">
      <w:marLeft w:val="0"/>
      <w:marRight w:val="0"/>
      <w:marTop w:val="180"/>
      <w:marBottom w:val="60"/>
      <w:divBdr>
        <w:top w:val="none" w:sz="0" w:space="0" w:color="auto"/>
        <w:left w:val="none" w:sz="0" w:space="0" w:color="auto"/>
        <w:bottom w:val="none" w:sz="0" w:space="0" w:color="auto"/>
        <w:right w:val="none" w:sz="0" w:space="0" w:color="auto"/>
      </w:divBdr>
    </w:div>
    <w:div w:id="598802481">
      <w:marLeft w:val="0"/>
      <w:marRight w:val="0"/>
      <w:marTop w:val="180"/>
      <w:marBottom w:val="180"/>
      <w:divBdr>
        <w:top w:val="none" w:sz="0" w:space="0" w:color="auto"/>
        <w:left w:val="none" w:sz="0" w:space="0" w:color="auto"/>
        <w:bottom w:val="none" w:sz="0" w:space="0" w:color="auto"/>
        <w:right w:val="none" w:sz="0" w:space="0" w:color="auto"/>
      </w:divBdr>
    </w:div>
    <w:div w:id="599870488">
      <w:marLeft w:val="0"/>
      <w:marRight w:val="0"/>
      <w:marTop w:val="0"/>
      <w:marBottom w:val="0"/>
      <w:divBdr>
        <w:top w:val="none" w:sz="0" w:space="0" w:color="auto"/>
        <w:left w:val="none" w:sz="0" w:space="0" w:color="auto"/>
        <w:bottom w:val="none" w:sz="0" w:space="0" w:color="auto"/>
        <w:right w:val="none" w:sz="0" w:space="0" w:color="auto"/>
      </w:divBdr>
      <w:divsChild>
        <w:div w:id="647561620">
          <w:marLeft w:val="0"/>
          <w:marRight w:val="0"/>
          <w:marTop w:val="60"/>
          <w:marBottom w:val="60"/>
          <w:divBdr>
            <w:top w:val="none" w:sz="0" w:space="0" w:color="auto"/>
            <w:left w:val="none" w:sz="0" w:space="0" w:color="auto"/>
            <w:bottom w:val="none" w:sz="0" w:space="0" w:color="auto"/>
            <w:right w:val="none" w:sz="0" w:space="0" w:color="auto"/>
          </w:divBdr>
        </w:div>
      </w:divsChild>
    </w:div>
    <w:div w:id="600071700">
      <w:marLeft w:val="0"/>
      <w:marRight w:val="0"/>
      <w:marTop w:val="60"/>
      <w:marBottom w:val="60"/>
      <w:divBdr>
        <w:top w:val="none" w:sz="0" w:space="0" w:color="auto"/>
        <w:left w:val="none" w:sz="0" w:space="0" w:color="auto"/>
        <w:bottom w:val="none" w:sz="0" w:space="0" w:color="auto"/>
        <w:right w:val="none" w:sz="0" w:space="0" w:color="auto"/>
      </w:divBdr>
    </w:div>
    <w:div w:id="600113239">
      <w:marLeft w:val="0"/>
      <w:marRight w:val="0"/>
      <w:marTop w:val="180"/>
      <w:marBottom w:val="180"/>
      <w:divBdr>
        <w:top w:val="none" w:sz="0" w:space="0" w:color="auto"/>
        <w:left w:val="none" w:sz="0" w:space="0" w:color="auto"/>
        <w:bottom w:val="none" w:sz="0" w:space="0" w:color="auto"/>
        <w:right w:val="none" w:sz="0" w:space="0" w:color="auto"/>
      </w:divBdr>
    </w:div>
    <w:div w:id="604002543">
      <w:marLeft w:val="0"/>
      <w:marRight w:val="0"/>
      <w:marTop w:val="180"/>
      <w:marBottom w:val="180"/>
      <w:divBdr>
        <w:top w:val="none" w:sz="0" w:space="0" w:color="auto"/>
        <w:left w:val="none" w:sz="0" w:space="0" w:color="auto"/>
        <w:bottom w:val="none" w:sz="0" w:space="0" w:color="auto"/>
        <w:right w:val="none" w:sz="0" w:space="0" w:color="auto"/>
      </w:divBdr>
    </w:div>
    <w:div w:id="604506761">
      <w:marLeft w:val="0"/>
      <w:marRight w:val="0"/>
      <w:marTop w:val="180"/>
      <w:marBottom w:val="60"/>
      <w:divBdr>
        <w:top w:val="none" w:sz="0" w:space="0" w:color="auto"/>
        <w:left w:val="none" w:sz="0" w:space="0" w:color="auto"/>
        <w:bottom w:val="none" w:sz="0" w:space="0" w:color="auto"/>
        <w:right w:val="none" w:sz="0" w:space="0" w:color="auto"/>
      </w:divBdr>
    </w:div>
    <w:div w:id="609238407">
      <w:marLeft w:val="0"/>
      <w:marRight w:val="0"/>
      <w:marTop w:val="60"/>
      <w:marBottom w:val="60"/>
      <w:divBdr>
        <w:top w:val="none" w:sz="0" w:space="0" w:color="auto"/>
        <w:left w:val="none" w:sz="0" w:space="0" w:color="auto"/>
        <w:bottom w:val="none" w:sz="0" w:space="0" w:color="auto"/>
        <w:right w:val="none" w:sz="0" w:space="0" w:color="auto"/>
      </w:divBdr>
    </w:div>
    <w:div w:id="610942713">
      <w:marLeft w:val="0"/>
      <w:marRight w:val="0"/>
      <w:marTop w:val="0"/>
      <w:marBottom w:val="0"/>
      <w:divBdr>
        <w:top w:val="none" w:sz="0" w:space="0" w:color="auto"/>
        <w:left w:val="none" w:sz="0" w:space="0" w:color="auto"/>
        <w:bottom w:val="none" w:sz="0" w:space="0" w:color="auto"/>
        <w:right w:val="none" w:sz="0" w:space="0" w:color="auto"/>
      </w:divBdr>
    </w:div>
    <w:div w:id="612440237">
      <w:marLeft w:val="0"/>
      <w:marRight w:val="0"/>
      <w:marTop w:val="240"/>
      <w:marBottom w:val="180"/>
      <w:divBdr>
        <w:top w:val="none" w:sz="0" w:space="0" w:color="auto"/>
        <w:left w:val="none" w:sz="0" w:space="0" w:color="auto"/>
        <w:bottom w:val="none" w:sz="0" w:space="0" w:color="auto"/>
        <w:right w:val="none" w:sz="0" w:space="0" w:color="auto"/>
      </w:divBdr>
    </w:div>
    <w:div w:id="613099202">
      <w:marLeft w:val="0"/>
      <w:marRight w:val="0"/>
      <w:marTop w:val="180"/>
      <w:marBottom w:val="180"/>
      <w:divBdr>
        <w:top w:val="none" w:sz="0" w:space="0" w:color="auto"/>
        <w:left w:val="none" w:sz="0" w:space="0" w:color="auto"/>
        <w:bottom w:val="none" w:sz="0" w:space="0" w:color="auto"/>
        <w:right w:val="none" w:sz="0" w:space="0" w:color="auto"/>
      </w:divBdr>
    </w:div>
    <w:div w:id="615019687">
      <w:marLeft w:val="0"/>
      <w:marRight w:val="0"/>
      <w:marTop w:val="180"/>
      <w:marBottom w:val="180"/>
      <w:divBdr>
        <w:top w:val="none" w:sz="0" w:space="0" w:color="auto"/>
        <w:left w:val="none" w:sz="0" w:space="0" w:color="auto"/>
        <w:bottom w:val="none" w:sz="0" w:space="0" w:color="auto"/>
        <w:right w:val="none" w:sz="0" w:space="0" w:color="auto"/>
      </w:divBdr>
    </w:div>
    <w:div w:id="615331449">
      <w:marLeft w:val="0"/>
      <w:marRight w:val="0"/>
      <w:marTop w:val="180"/>
      <w:marBottom w:val="180"/>
      <w:divBdr>
        <w:top w:val="none" w:sz="0" w:space="0" w:color="auto"/>
        <w:left w:val="none" w:sz="0" w:space="0" w:color="auto"/>
        <w:bottom w:val="none" w:sz="0" w:space="0" w:color="auto"/>
        <w:right w:val="none" w:sz="0" w:space="0" w:color="auto"/>
      </w:divBdr>
    </w:div>
    <w:div w:id="617564793">
      <w:marLeft w:val="0"/>
      <w:marRight w:val="0"/>
      <w:marTop w:val="180"/>
      <w:marBottom w:val="60"/>
      <w:divBdr>
        <w:top w:val="none" w:sz="0" w:space="0" w:color="auto"/>
        <w:left w:val="none" w:sz="0" w:space="0" w:color="auto"/>
        <w:bottom w:val="none" w:sz="0" w:space="0" w:color="auto"/>
        <w:right w:val="none" w:sz="0" w:space="0" w:color="auto"/>
      </w:divBdr>
    </w:div>
    <w:div w:id="618025401">
      <w:marLeft w:val="0"/>
      <w:marRight w:val="0"/>
      <w:marTop w:val="180"/>
      <w:marBottom w:val="180"/>
      <w:divBdr>
        <w:top w:val="none" w:sz="0" w:space="0" w:color="auto"/>
        <w:left w:val="none" w:sz="0" w:space="0" w:color="auto"/>
        <w:bottom w:val="none" w:sz="0" w:space="0" w:color="auto"/>
        <w:right w:val="none" w:sz="0" w:space="0" w:color="auto"/>
      </w:divBdr>
    </w:div>
    <w:div w:id="620644998">
      <w:marLeft w:val="0"/>
      <w:marRight w:val="0"/>
      <w:marTop w:val="60"/>
      <w:marBottom w:val="60"/>
      <w:divBdr>
        <w:top w:val="none" w:sz="0" w:space="0" w:color="auto"/>
        <w:left w:val="none" w:sz="0" w:space="0" w:color="auto"/>
        <w:bottom w:val="none" w:sz="0" w:space="0" w:color="auto"/>
        <w:right w:val="none" w:sz="0" w:space="0" w:color="auto"/>
      </w:divBdr>
    </w:div>
    <w:div w:id="622468025">
      <w:marLeft w:val="0"/>
      <w:marRight w:val="0"/>
      <w:marTop w:val="180"/>
      <w:marBottom w:val="180"/>
      <w:divBdr>
        <w:top w:val="none" w:sz="0" w:space="0" w:color="auto"/>
        <w:left w:val="none" w:sz="0" w:space="0" w:color="auto"/>
        <w:bottom w:val="none" w:sz="0" w:space="0" w:color="auto"/>
        <w:right w:val="none" w:sz="0" w:space="0" w:color="auto"/>
      </w:divBdr>
    </w:div>
    <w:div w:id="623736565">
      <w:marLeft w:val="0"/>
      <w:marRight w:val="0"/>
      <w:marTop w:val="0"/>
      <w:marBottom w:val="0"/>
      <w:divBdr>
        <w:top w:val="none" w:sz="0" w:space="0" w:color="auto"/>
        <w:left w:val="none" w:sz="0" w:space="0" w:color="auto"/>
        <w:bottom w:val="none" w:sz="0" w:space="0" w:color="auto"/>
        <w:right w:val="none" w:sz="0" w:space="0" w:color="auto"/>
      </w:divBdr>
      <w:divsChild>
        <w:div w:id="150607791">
          <w:marLeft w:val="0"/>
          <w:marRight w:val="0"/>
          <w:marTop w:val="60"/>
          <w:marBottom w:val="60"/>
          <w:divBdr>
            <w:top w:val="none" w:sz="0" w:space="0" w:color="auto"/>
            <w:left w:val="none" w:sz="0" w:space="0" w:color="auto"/>
            <w:bottom w:val="none" w:sz="0" w:space="0" w:color="auto"/>
            <w:right w:val="none" w:sz="0" w:space="0" w:color="auto"/>
          </w:divBdr>
        </w:div>
      </w:divsChild>
    </w:div>
    <w:div w:id="624046225">
      <w:marLeft w:val="0"/>
      <w:marRight w:val="0"/>
      <w:marTop w:val="180"/>
      <w:marBottom w:val="180"/>
      <w:divBdr>
        <w:top w:val="none" w:sz="0" w:space="0" w:color="auto"/>
        <w:left w:val="none" w:sz="0" w:space="0" w:color="auto"/>
        <w:bottom w:val="none" w:sz="0" w:space="0" w:color="auto"/>
        <w:right w:val="none" w:sz="0" w:space="0" w:color="auto"/>
      </w:divBdr>
    </w:div>
    <w:div w:id="624435205">
      <w:marLeft w:val="0"/>
      <w:marRight w:val="0"/>
      <w:marTop w:val="180"/>
      <w:marBottom w:val="180"/>
      <w:divBdr>
        <w:top w:val="none" w:sz="0" w:space="0" w:color="auto"/>
        <w:left w:val="none" w:sz="0" w:space="0" w:color="auto"/>
        <w:bottom w:val="none" w:sz="0" w:space="0" w:color="auto"/>
        <w:right w:val="none" w:sz="0" w:space="0" w:color="auto"/>
      </w:divBdr>
    </w:div>
    <w:div w:id="626544310">
      <w:marLeft w:val="0"/>
      <w:marRight w:val="0"/>
      <w:marTop w:val="180"/>
      <w:marBottom w:val="180"/>
      <w:divBdr>
        <w:top w:val="none" w:sz="0" w:space="0" w:color="auto"/>
        <w:left w:val="none" w:sz="0" w:space="0" w:color="auto"/>
        <w:bottom w:val="none" w:sz="0" w:space="0" w:color="auto"/>
        <w:right w:val="none" w:sz="0" w:space="0" w:color="auto"/>
      </w:divBdr>
    </w:div>
    <w:div w:id="627785955">
      <w:marLeft w:val="0"/>
      <w:marRight w:val="0"/>
      <w:marTop w:val="180"/>
      <w:marBottom w:val="180"/>
      <w:divBdr>
        <w:top w:val="none" w:sz="0" w:space="0" w:color="auto"/>
        <w:left w:val="none" w:sz="0" w:space="0" w:color="auto"/>
        <w:bottom w:val="none" w:sz="0" w:space="0" w:color="auto"/>
        <w:right w:val="none" w:sz="0" w:space="0" w:color="auto"/>
      </w:divBdr>
    </w:div>
    <w:div w:id="628364061">
      <w:marLeft w:val="0"/>
      <w:marRight w:val="0"/>
      <w:marTop w:val="0"/>
      <w:marBottom w:val="0"/>
      <w:divBdr>
        <w:top w:val="none" w:sz="0" w:space="0" w:color="auto"/>
        <w:left w:val="none" w:sz="0" w:space="0" w:color="auto"/>
        <w:bottom w:val="none" w:sz="0" w:space="0" w:color="auto"/>
        <w:right w:val="none" w:sz="0" w:space="0" w:color="auto"/>
      </w:divBdr>
      <w:divsChild>
        <w:div w:id="1842964418">
          <w:marLeft w:val="0"/>
          <w:marRight w:val="0"/>
          <w:marTop w:val="60"/>
          <w:marBottom w:val="60"/>
          <w:divBdr>
            <w:top w:val="none" w:sz="0" w:space="0" w:color="auto"/>
            <w:left w:val="none" w:sz="0" w:space="0" w:color="auto"/>
            <w:bottom w:val="none" w:sz="0" w:space="0" w:color="auto"/>
            <w:right w:val="none" w:sz="0" w:space="0" w:color="auto"/>
          </w:divBdr>
        </w:div>
      </w:divsChild>
    </w:div>
    <w:div w:id="628825795">
      <w:marLeft w:val="0"/>
      <w:marRight w:val="0"/>
      <w:marTop w:val="60"/>
      <w:marBottom w:val="60"/>
      <w:divBdr>
        <w:top w:val="none" w:sz="0" w:space="0" w:color="auto"/>
        <w:left w:val="none" w:sz="0" w:space="0" w:color="auto"/>
        <w:bottom w:val="none" w:sz="0" w:space="0" w:color="auto"/>
        <w:right w:val="none" w:sz="0" w:space="0" w:color="auto"/>
      </w:divBdr>
    </w:div>
    <w:div w:id="630789203">
      <w:marLeft w:val="0"/>
      <w:marRight w:val="0"/>
      <w:marTop w:val="60"/>
      <w:marBottom w:val="60"/>
      <w:divBdr>
        <w:top w:val="none" w:sz="0" w:space="0" w:color="auto"/>
        <w:left w:val="none" w:sz="0" w:space="0" w:color="auto"/>
        <w:bottom w:val="none" w:sz="0" w:space="0" w:color="auto"/>
        <w:right w:val="none" w:sz="0" w:space="0" w:color="auto"/>
      </w:divBdr>
    </w:div>
    <w:div w:id="631443283">
      <w:marLeft w:val="0"/>
      <w:marRight w:val="0"/>
      <w:marTop w:val="180"/>
      <w:marBottom w:val="180"/>
      <w:divBdr>
        <w:top w:val="none" w:sz="0" w:space="0" w:color="auto"/>
        <w:left w:val="none" w:sz="0" w:space="0" w:color="auto"/>
        <w:bottom w:val="none" w:sz="0" w:space="0" w:color="auto"/>
        <w:right w:val="none" w:sz="0" w:space="0" w:color="auto"/>
      </w:divBdr>
    </w:div>
    <w:div w:id="631594862">
      <w:marLeft w:val="0"/>
      <w:marRight w:val="0"/>
      <w:marTop w:val="180"/>
      <w:marBottom w:val="180"/>
      <w:divBdr>
        <w:top w:val="none" w:sz="0" w:space="0" w:color="auto"/>
        <w:left w:val="none" w:sz="0" w:space="0" w:color="auto"/>
        <w:bottom w:val="none" w:sz="0" w:space="0" w:color="auto"/>
        <w:right w:val="none" w:sz="0" w:space="0" w:color="auto"/>
      </w:divBdr>
    </w:div>
    <w:div w:id="631985764">
      <w:marLeft w:val="0"/>
      <w:marRight w:val="0"/>
      <w:marTop w:val="0"/>
      <w:marBottom w:val="0"/>
      <w:divBdr>
        <w:top w:val="none" w:sz="0" w:space="0" w:color="auto"/>
        <w:left w:val="none" w:sz="0" w:space="0" w:color="auto"/>
        <w:bottom w:val="none" w:sz="0" w:space="0" w:color="auto"/>
        <w:right w:val="none" w:sz="0" w:space="0" w:color="auto"/>
      </w:divBdr>
    </w:div>
    <w:div w:id="632445863">
      <w:marLeft w:val="0"/>
      <w:marRight w:val="0"/>
      <w:marTop w:val="180"/>
      <w:marBottom w:val="180"/>
      <w:divBdr>
        <w:top w:val="none" w:sz="0" w:space="0" w:color="auto"/>
        <w:left w:val="none" w:sz="0" w:space="0" w:color="auto"/>
        <w:bottom w:val="none" w:sz="0" w:space="0" w:color="auto"/>
        <w:right w:val="none" w:sz="0" w:space="0" w:color="auto"/>
      </w:divBdr>
    </w:div>
    <w:div w:id="632558850">
      <w:marLeft w:val="0"/>
      <w:marRight w:val="0"/>
      <w:marTop w:val="180"/>
      <w:marBottom w:val="180"/>
      <w:divBdr>
        <w:top w:val="none" w:sz="0" w:space="0" w:color="auto"/>
        <w:left w:val="none" w:sz="0" w:space="0" w:color="auto"/>
        <w:bottom w:val="none" w:sz="0" w:space="0" w:color="auto"/>
        <w:right w:val="none" w:sz="0" w:space="0" w:color="auto"/>
      </w:divBdr>
    </w:div>
    <w:div w:id="632562913">
      <w:marLeft w:val="0"/>
      <w:marRight w:val="0"/>
      <w:marTop w:val="180"/>
      <w:marBottom w:val="180"/>
      <w:divBdr>
        <w:top w:val="none" w:sz="0" w:space="0" w:color="auto"/>
        <w:left w:val="none" w:sz="0" w:space="0" w:color="auto"/>
        <w:bottom w:val="none" w:sz="0" w:space="0" w:color="auto"/>
        <w:right w:val="none" w:sz="0" w:space="0" w:color="auto"/>
      </w:divBdr>
    </w:div>
    <w:div w:id="633557988">
      <w:marLeft w:val="0"/>
      <w:marRight w:val="0"/>
      <w:marTop w:val="0"/>
      <w:marBottom w:val="0"/>
      <w:divBdr>
        <w:top w:val="none" w:sz="0" w:space="0" w:color="auto"/>
        <w:left w:val="none" w:sz="0" w:space="0" w:color="auto"/>
        <w:bottom w:val="none" w:sz="0" w:space="0" w:color="auto"/>
        <w:right w:val="none" w:sz="0" w:space="0" w:color="auto"/>
      </w:divBdr>
    </w:div>
    <w:div w:id="633607008">
      <w:marLeft w:val="0"/>
      <w:marRight w:val="0"/>
      <w:marTop w:val="180"/>
      <w:marBottom w:val="180"/>
      <w:divBdr>
        <w:top w:val="none" w:sz="0" w:space="0" w:color="auto"/>
        <w:left w:val="none" w:sz="0" w:space="0" w:color="auto"/>
        <w:bottom w:val="none" w:sz="0" w:space="0" w:color="auto"/>
        <w:right w:val="none" w:sz="0" w:space="0" w:color="auto"/>
      </w:divBdr>
    </w:div>
    <w:div w:id="637422449">
      <w:marLeft w:val="0"/>
      <w:marRight w:val="0"/>
      <w:marTop w:val="180"/>
      <w:marBottom w:val="60"/>
      <w:divBdr>
        <w:top w:val="none" w:sz="0" w:space="0" w:color="auto"/>
        <w:left w:val="none" w:sz="0" w:space="0" w:color="auto"/>
        <w:bottom w:val="none" w:sz="0" w:space="0" w:color="auto"/>
        <w:right w:val="none" w:sz="0" w:space="0" w:color="auto"/>
      </w:divBdr>
    </w:div>
    <w:div w:id="638458130">
      <w:marLeft w:val="0"/>
      <w:marRight w:val="0"/>
      <w:marTop w:val="180"/>
      <w:marBottom w:val="60"/>
      <w:divBdr>
        <w:top w:val="none" w:sz="0" w:space="0" w:color="auto"/>
        <w:left w:val="none" w:sz="0" w:space="0" w:color="auto"/>
        <w:bottom w:val="none" w:sz="0" w:space="0" w:color="auto"/>
        <w:right w:val="none" w:sz="0" w:space="0" w:color="auto"/>
      </w:divBdr>
    </w:div>
    <w:div w:id="639118834">
      <w:marLeft w:val="0"/>
      <w:marRight w:val="0"/>
      <w:marTop w:val="180"/>
      <w:marBottom w:val="180"/>
      <w:divBdr>
        <w:top w:val="none" w:sz="0" w:space="0" w:color="auto"/>
        <w:left w:val="none" w:sz="0" w:space="0" w:color="auto"/>
        <w:bottom w:val="none" w:sz="0" w:space="0" w:color="auto"/>
        <w:right w:val="none" w:sz="0" w:space="0" w:color="auto"/>
      </w:divBdr>
    </w:div>
    <w:div w:id="640113352">
      <w:marLeft w:val="0"/>
      <w:marRight w:val="0"/>
      <w:marTop w:val="0"/>
      <w:marBottom w:val="0"/>
      <w:divBdr>
        <w:top w:val="none" w:sz="0" w:space="0" w:color="auto"/>
        <w:left w:val="none" w:sz="0" w:space="0" w:color="auto"/>
        <w:bottom w:val="none" w:sz="0" w:space="0" w:color="auto"/>
        <w:right w:val="none" w:sz="0" w:space="0" w:color="auto"/>
      </w:divBdr>
    </w:div>
    <w:div w:id="644310783">
      <w:marLeft w:val="0"/>
      <w:marRight w:val="0"/>
      <w:marTop w:val="180"/>
      <w:marBottom w:val="60"/>
      <w:divBdr>
        <w:top w:val="none" w:sz="0" w:space="0" w:color="auto"/>
        <w:left w:val="none" w:sz="0" w:space="0" w:color="auto"/>
        <w:bottom w:val="none" w:sz="0" w:space="0" w:color="auto"/>
        <w:right w:val="none" w:sz="0" w:space="0" w:color="auto"/>
      </w:divBdr>
    </w:div>
    <w:div w:id="647056718">
      <w:marLeft w:val="0"/>
      <w:marRight w:val="0"/>
      <w:marTop w:val="180"/>
      <w:marBottom w:val="180"/>
      <w:divBdr>
        <w:top w:val="none" w:sz="0" w:space="0" w:color="auto"/>
        <w:left w:val="none" w:sz="0" w:space="0" w:color="auto"/>
        <w:bottom w:val="none" w:sz="0" w:space="0" w:color="auto"/>
        <w:right w:val="none" w:sz="0" w:space="0" w:color="auto"/>
      </w:divBdr>
    </w:div>
    <w:div w:id="648485386">
      <w:marLeft w:val="0"/>
      <w:marRight w:val="0"/>
      <w:marTop w:val="180"/>
      <w:marBottom w:val="180"/>
      <w:divBdr>
        <w:top w:val="none" w:sz="0" w:space="0" w:color="auto"/>
        <w:left w:val="none" w:sz="0" w:space="0" w:color="auto"/>
        <w:bottom w:val="none" w:sz="0" w:space="0" w:color="auto"/>
        <w:right w:val="none" w:sz="0" w:space="0" w:color="auto"/>
      </w:divBdr>
    </w:div>
    <w:div w:id="651787445">
      <w:marLeft w:val="0"/>
      <w:marRight w:val="0"/>
      <w:marTop w:val="180"/>
      <w:marBottom w:val="180"/>
      <w:divBdr>
        <w:top w:val="none" w:sz="0" w:space="0" w:color="auto"/>
        <w:left w:val="none" w:sz="0" w:space="0" w:color="auto"/>
        <w:bottom w:val="none" w:sz="0" w:space="0" w:color="auto"/>
        <w:right w:val="none" w:sz="0" w:space="0" w:color="auto"/>
      </w:divBdr>
    </w:div>
    <w:div w:id="655184593">
      <w:marLeft w:val="0"/>
      <w:marRight w:val="0"/>
      <w:marTop w:val="180"/>
      <w:marBottom w:val="180"/>
      <w:divBdr>
        <w:top w:val="none" w:sz="0" w:space="0" w:color="auto"/>
        <w:left w:val="none" w:sz="0" w:space="0" w:color="auto"/>
        <w:bottom w:val="none" w:sz="0" w:space="0" w:color="auto"/>
        <w:right w:val="none" w:sz="0" w:space="0" w:color="auto"/>
      </w:divBdr>
    </w:div>
    <w:div w:id="658077988">
      <w:marLeft w:val="0"/>
      <w:marRight w:val="0"/>
      <w:marTop w:val="0"/>
      <w:marBottom w:val="0"/>
      <w:divBdr>
        <w:top w:val="none" w:sz="0" w:space="0" w:color="auto"/>
        <w:left w:val="none" w:sz="0" w:space="0" w:color="auto"/>
        <w:bottom w:val="none" w:sz="0" w:space="0" w:color="auto"/>
        <w:right w:val="none" w:sz="0" w:space="0" w:color="auto"/>
      </w:divBdr>
      <w:divsChild>
        <w:div w:id="987395141">
          <w:marLeft w:val="0"/>
          <w:marRight w:val="0"/>
          <w:marTop w:val="0"/>
          <w:marBottom w:val="0"/>
          <w:divBdr>
            <w:top w:val="none" w:sz="0" w:space="0" w:color="auto"/>
            <w:left w:val="none" w:sz="0" w:space="0" w:color="auto"/>
            <w:bottom w:val="none" w:sz="0" w:space="0" w:color="auto"/>
            <w:right w:val="none" w:sz="0" w:space="0" w:color="auto"/>
          </w:divBdr>
          <w:divsChild>
            <w:div w:id="16785398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60275715">
      <w:marLeft w:val="0"/>
      <w:marRight w:val="0"/>
      <w:marTop w:val="180"/>
      <w:marBottom w:val="180"/>
      <w:divBdr>
        <w:top w:val="none" w:sz="0" w:space="0" w:color="auto"/>
        <w:left w:val="none" w:sz="0" w:space="0" w:color="auto"/>
        <w:bottom w:val="none" w:sz="0" w:space="0" w:color="auto"/>
        <w:right w:val="none" w:sz="0" w:space="0" w:color="auto"/>
      </w:divBdr>
    </w:div>
    <w:div w:id="660475188">
      <w:marLeft w:val="0"/>
      <w:marRight w:val="0"/>
      <w:marTop w:val="180"/>
      <w:marBottom w:val="180"/>
      <w:divBdr>
        <w:top w:val="none" w:sz="0" w:space="0" w:color="auto"/>
        <w:left w:val="none" w:sz="0" w:space="0" w:color="auto"/>
        <w:bottom w:val="none" w:sz="0" w:space="0" w:color="auto"/>
        <w:right w:val="none" w:sz="0" w:space="0" w:color="auto"/>
      </w:divBdr>
    </w:div>
    <w:div w:id="661348542">
      <w:marLeft w:val="0"/>
      <w:marRight w:val="0"/>
      <w:marTop w:val="60"/>
      <w:marBottom w:val="60"/>
      <w:divBdr>
        <w:top w:val="none" w:sz="0" w:space="0" w:color="auto"/>
        <w:left w:val="none" w:sz="0" w:space="0" w:color="auto"/>
        <w:bottom w:val="none" w:sz="0" w:space="0" w:color="auto"/>
        <w:right w:val="none" w:sz="0" w:space="0" w:color="auto"/>
      </w:divBdr>
    </w:div>
    <w:div w:id="661666713">
      <w:marLeft w:val="0"/>
      <w:marRight w:val="0"/>
      <w:marTop w:val="180"/>
      <w:marBottom w:val="180"/>
      <w:divBdr>
        <w:top w:val="none" w:sz="0" w:space="0" w:color="auto"/>
        <w:left w:val="none" w:sz="0" w:space="0" w:color="auto"/>
        <w:bottom w:val="none" w:sz="0" w:space="0" w:color="auto"/>
        <w:right w:val="none" w:sz="0" w:space="0" w:color="auto"/>
      </w:divBdr>
    </w:div>
    <w:div w:id="662464759">
      <w:marLeft w:val="0"/>
      <w:marRight w:val="0"/>
      <w:marTop w:val="180"/>
      <w:marBottom w:val="60"/>
      <w:divBdr>
        <w:top w:val="none" w:sz="0" w:space="0" w:color="auto"/>
        <w:left w:val="none" w:sz="0" w:space="0" w:color="auto"/>
        <w:bottom w:val="none" w:sz="0" w:space="0" w:color="auto"/>
        <w:right w:val="none" w:sz="0" w:space="0" w:color="auto"/>
      </w:divBdr>
    </w:div>
    <w:div w:id="663045804">
      <w:marLeft w:val="0"/>
      <w:marRight w:val="0"/>
      <w:marTop w:val="60"/>
      <w:marBottom w:val="60"/>
      <w:divBdr>
        <w:top w:val="none" w:sz="0" w:space="0" w:color="auto"/>
        <w:left w:val="none" w:sz="0" w:space="0" w:color="auto"/>
        <w:bottom w:val="none" w:sz="0" w:space="0" w:color="auto"/>
        <w:right w:val="none" w:sz="0" w:space="0" w:color="auto"/>
      </w:divBdr>
    </w:div>
    <w:div w:id="663780300">
      <w:marLeft w:val="0"/>
      <w:marRight w:val="0"/>
      <w:marTop w:val="60"/>
      <w:marBottom w:val="60"/>
      <w:divBdr>
        <w:top w:val="none" w:sz="0" w:space="0" w:color="auto"/>
        <w:left w:val="none" w:sz="0" w:space="0" w:color="auto"/>
        <w:bottom w:val="none" w:sz="0" w:space="0" w:color="auto"/>
        <w:right w:val="none" w:sz="0" w:space="0" w:color="auto"/>
      </w:divBdr>
    </w:div>
    <w:div w:id="664626252">
      <w:marLeft w:val="0"/>
      <w:marRight w:val="0"/>
      <w:marTop w:val="180"/>
      <w:marBottom w:val="180"/>
      <w:divBdr>
        <w:top w:val="none" w:sz="0" w:space="0" w:color="auto"/>
        <w:left w:val="none" w:sz="0" w:space="0" w:color="auto"/>
        <w:bottom w:val="none" w:sz="0" w:space="0" w:color="auto"/>
        <w:right w:val="none" w:sz="0" w:space="0" w:color="auto"/>
      </w:divBdr>
    </w:div>
    <w:div w:id="664867110">
      <w:marLeft w:val="0"/>
      <w:marRight w:val="0"/>
      <w:marTop w:val="180"/>
      <w:marBottom w:val="180"/>
      <w:divBdr>
        <w:top w:val="none" w:sz="0" w:space="0" w:color="auto"/>
        <w:left w:val="none" w:sz="0" w:space="0" w:color="auto"/>
        <w:bottom w:val="none" w:sz="0" w:space="0" w:color="auto"/>
        <w:right w:val="none" w:sz="0" w:space="0" w:color="auto"/>
      </w:divBdr>
    </w:div>
    <w:div w:id="667439947">
      <w:marLeft w:val="0"/>
      <w:marRight w:val="0"/>
      <w:marTop w:val="180"/>
      <w:marBottom w:val="180"/>
      <w:divBdr>
        <w:top w:val="none" w:sz="0" w:space="0" w:color="auto"/>
        <w:left w:val="none" w:sz="0" w:space="0" w:color="auto"/>
        <w:bottom w:val="none" w:sz="0" w:space="0" w:color="auto"/>
        <w:right w:val="none" w:sz="0" w:space="0" w:color="auto"/>
      </w:divBdr>
    </w:div>
    <w:div w:id="667485081">
      <w:marLeft w:val="0"/>
      <w:marRight w:val="0"/>
      <w:marTop w:val="60"/>
      <w:marBottom w:val="60"/>
      <w:divBdr>
        <w:top w:val="none" w:sz="0" w:space="0" w:color="auto"/>
        <w:left w:val="none" w:sz="0" w:space="0" w:color="auto"/>
        <w:bottom w:val="none" w:sz="0" w:space="0" w:color="auto"/>
        <w:right w:val="none" w:sz="0" w:space="0" w:color="auto"/>
      </w:divBdr>
    </w:div>
    <w:div w:id="668605680">
      <w:marLeft w:val="0"/>
      <w:marRight w:val="0"/>
      <w:marTop w:val="180"/>
      <w:marBottom w:val="180"/>
      <w:divBdr>
        <w:top w:val="none" w:sz="0" w:space="0" w:color="auto"/>
        <w:left w:val="none" w:sz="0" w:space="0" w:color="auto"/>
        <w:bottom w:val="none" w:sz="0" w:space="0" w:color="auto"/>
        <w:right w:val="none" w:sz="0" w:space="0" w:color="auto"/>
      </w:divBdr>
    </w:div>
    <w:div w:id="668751385">
      <w:marLeft w:val="0"/>
      <w:marRight w:val="0"/>
      <w:marTop w:val="180"/>
      <w:marBottom w:val="180"/>
      <w:divBdr>
        <w:top w:val="none" w:sz="0" w:space="0" w:color="auto"/>
        <w:left w:val="none" w:sz="0" w:space="0" w:color="auto"/>
        <w:bottom w:val="none" w:sz="0" w:space="0" w:color="auto"/>
        <w:right w:val="none" w:sz="0" w:space="0" w:color="auto"/>
      </w:divBdr>
    </w:div>
    <w:div w:id="671566650">
      <w:marLeft w:val="0"/>
      <w:marRight w:val="0"/>
      <w:marTop w:val="180"/>
      <w:marBottom w:val="180"/>
      <w:divBdr>
        <w:top w:val="none" w:sz="0" w:space="0" w:color="auto"/>
        <w:left w:val="none" w:sz="0" w:space="0" w:color="auto"/>
        <w:bottom w:val="none" w:sz="0" w:space="0" w:color="auto"/>
        <w:right w:val="none" w:sz="0" w:space="0" w:color="auto"/>
      </w:divBdr>
    </w:div>
    <w:div w:id="671882000">
      <w:marLeft w:val="0"/>
      <w:marRight w:val="0"/>
      <w:marTop w:val="180"/>
      <w:marBottom w:val="180"/>
      <w:divBdr>
        <w:top w:val="none" w:sz="0" w:space="0" w:color="auto"/>
        <w:left w:val="none" w:sz="0" w:space="0" w:color="auto"/>
        <w:bottom w:val="none" w:sz="0" w:space="0" w:color="auto"/>
        <w:right w:val="none" w:sz="0" w:space="0" w:color="auto"/>
      </w:divBdr>
    </w:div>
    <w:div w:id="672686364">
      <w:marLeft w:val="0"/>
      <w:marRight w:val="0"/>
      <w:marTop w:val="0"/>
      <w:marBottom w:val="0"/>
      <w:divBdr>
        <w:top w:val="none" w:sz="0" w:space="0" w:color="auto"/>
        <w:left w:val="none" w:sz="0" w:space="0" w:color="auto"/>
        <w:bottom w:val="none" w:sz="0" w:space="0" w:color="auto"/>
        <w:right w:val="none" w:sz="0" w:space="0" w:color="auto"/>
      </w:divBdr>
    </w:div>
    <w:div w:id="673267462">
      <w:marLeft w:val="0"/>
      <w:marRight w:val="0"/>
      <w:marTop w:val="180"/>
      <w:marBottom w:val="100"/>
      <w:divBdr>
        <w:top w:val="none" w:sz="0" w:space="0" w:color="auto"/>
        <w:left w:val="none" w:sz="0" w:space="0" w:color="auto"/>
        <w:bottom w:val="none" w:sz="0" w:space="0" w:color="auto"/>
        <w:right w:val="none" w:sz="0" w:space="0" w:color="auto"/>
      </w:divBdr>
    </w:div>
    <w:div w:id="675575312">
      <w:marLeft w:val="0"/>
      <w:marRight w:val="0"/>
      <w:marTop w:val="0"/>
      <w:marBottom w:val="0"/>
      <w:divBdr>
        <w:top w:val="none" w:sz="0" w:space="0" w:color="auto"/>
        <w:left w:val="none" w:sz="0" w:space="0" w:color="auto"/>
        <w:bottom w:val="none" w:sz="0" w:space="0" w:color="auto"/>
        <w:right w:val="none" w:sz="0" w:space="0" w:color="auto"/>
      </w:divBdr>
      <w:divsChild>
        <w:div w:id="242305017">
          <w:marLeft w:val="0"/>
          <w:marRight w:val="0"/>
          <w:marTop w:val="60"/>
          <w:marBottom w:val="60"/>
          <w:divBdr>
            <w:top w:val="none" w:sz="0" w:space="0" w:color="auto"/>
            <w:left w:val="none" w:sz="0" w:space="0" w:color="auto"/>
            <w:bottom w:val="none" w:sz="0" w:space="0" w:color="auto"/>
            <w:right w:val="none" w:sz="0" w:space="0" w:color="auto"/>
          </w:divBdr>
        </w:div>
      </w:divsChild>
    </w:div>
    <w:div w:id="676540358">
      <w:marLeft w:val="0"/>
      <w:marRight w:val="0"/>
      <w:marTop w:val="180"/>
      <w:marBottom w:val="180"/>
      <w:divBdr>
        <w:top w:val="none" w:sz="0" w:space="0" w:color="auto"/>
        <w:left w:val="none" w:sz="0" w:space="0" w:color="auto"/>
        <w:bottom w:val="none" w:sz="0" w:space="0" w:color="auto"/>
        <w:right w:val="none" w:sz="0" w:space="0" w:color="auto"/>
      </w:divBdr>
    </w:div>
    <w:div w:id="678388263">
      <w:marLeft w:val="0"/>
      <w:marRight w:val="0"/>
      <w:marTop w:val="180"/>
      <w:marBottom w:val="180"/>
      <w:divBdr>
        <w:top w:val="none" w:sz="0" w:space="0" w:color="auto"/>
        <w:left w:val="none" w:sz="0" w:space="0" w:color="auto"/>
        <w:bottom w:val="none" w:sz="0" w:space="0" w:color="auto"/>
        <w:right w:val="none" w:sz="0" w:space="0" w:color="auto"/>
      </w:divBdr>
    </w:div>
    <w:div w:id="680669522">
      <w:marLeft w:val="0"/>
      <w:marRight w:val="0"/>
      <w:marTop w:val="180"/>
      <w:marBottom w:val="180"/>
      <w:divBdr>
        <w:top w:val="none" w:sz="0" w:space="0" w:color="auto"/>
        <w:left w:val="none" w:sz="0" w:space="0" w:color="auto"/>
        <w:bottom w:val="none" w:sz="0" w:space="0" w:color="auto"/>
        <w:right w:val="none" w:sz="0" w:space="0" w:color="auto"/>
      </w:divBdr>
    </w:div>
    <w:div w:id="680820567">
      <w:marLeft w:val="0"/>
      <w:marRight w:val="0"/>
      <w:marTop w:val="180"/>
      <w:marBottom w:val="180"/>
      <w:divBdr>
        <w:top w:val="none" w:sz="0" w:space="0" w:color="auto"/>
        <w:left w:val="none" w:sz="0" w:space="0" w:color="auto"/>
        <w:bottom w:val="none" w:sz="0" w:space="0" w:color="auto"/>
        <w:right w:val="none" w:sz="0" w:space="0" w:color="auto"/>
      </w:divBdr>
    </w:div>
    <w:div w:id="681663339">
      <w:marLeft w:val="0"/>
      <w:marRight w:val="0"/>
      <w:marTop w:val="180"/>
      <w:marBottom w:val="180"/>
      <w:divBdr>
        <w:top w:val="none" w:sz="0" w:space="0" w:color="auto"/>
        <w:left w:val="none" w:sz="0" w:space="0" w:color="auto"/>
        <w:bottom w:val="none" w:sz="0" w:space="0" w:color="auto"/>
        <w:right w:val="none" w:sz="0" w:space="0" w:color="auto"/>
      </w:divBdr>
    </w:div>
    <w:div w:id="681905141">
      <w:marLeft w:val="0"/>
      <w:marRight w:val="0"/>
      <w:marTop w:val="180"/>
      <w:marBottom w:val="60"/>
      <w:divBdr>
        <w:top w:val="none" w:sz="0" w:space="0" w:color="auto"/>
        <w:left w:val="none" w:sz="0" w:space="0" w:color="auto"/>
        <w:bottom w:val="none" w:sz="0" w:space="0" w:color="auto"/>
        <w:right w:val="none" w:sz="0" w:space="0" w:color="auto"/>
      </w:divBdr>
    </w:div>
    <w:div w:id="683870679">
      <w:marLeft w:val="0"/>
      <w:marRight w:val="0"/>
      <w:marTop w:val="60"/>
      <w:marBottom w:val="60"/>
      <w:divBdr>
        <w:top w:val="none" w:sz="0" w:space="0" w:color="auto"/>
        <w:left w:val="none" w:sz="0" w:space="0" w:color="auto"/>
        <w:bottom w:val="none" w:sz="0" w:space="0" w:color="auto"/>
        <w:right w:val="none" w:sz="0" w:space="0" w:color="auto"/>
      </w:divBdr>
    </w:div>
    <w:div w:id="684331392">
      <w:marLeft w:val="0"/>
      <w:marRight w:val="0"/>
      <w:marTop w:val="100"/>
      <w:marBottom w:val="100"/>
      <w:divBdr>
        <w:top w:val="none" w:sz="0" w:space="0" w:color="auto"/>
        <w:left w:val="none" w:sz="0" w:space="0" w:color="auto"/>
        <w:bottom w:val="none" w:sz="0" w:space="0" w:color="auto"/>
        <w:right w:val="none" w:sz="0" w:space="0" w:color="auto"/>
      </w:divBdr>
      <w:divsChild>
        <w:div w:id="947128141">
          <w:marLeft w:val="0"/>
          <w:marRight w:val="0"/>
          <w:marTop w:val="0"/>
          <w:marBottom w:val="0"/>
          <w:divBdr>
            <w:top w:val="none" w:sz="0" w:space="0" w:color="auto"/>
            <w:left w:val="none" w:sz="0" w:space="0" w:color="auto"/>
            <w:bottom w:val="none" w:sz="0" w:space="0" w:color="auto"/>
            <w:right w:val="none" w:sz="0" w:space="0" w:color="auto"/>
          </w:divBdr>
        </w:div>
        <w:div w:id="814219388">
          <w:marLeft w:val="0"/>
          <w:marRight w:val="0"/>
          <w:marTop w:val="0"/>
          <w:marBottom w:val="0"/>
          <w:divBdr>
            <w:top w:val="none" w:sz="0" w:space="0" w:color="auto"/>
            <w:left w:val="none" w:sz="0" w:space="0" w:color="auto"/>
            <w:bottom w:val="none" w:sz="0" w:space="0" w:color="auto"/>
            <w:right w:val="none" w:sz="0" w:space="0" w:color="auto"/>
          </w:divBdr>
        </w:div>
        <w:div w:id="779497521">
          <w:marLeft w:val="0"/>
          <w:marRight w:val="0"/>
          <w:marTop w:val="0"/>
          <w:marBottom w:val="0"/>
          <w:divBdr>
            <w:top w:val="none" w:sz="0" w:space="0" w:color="auto"/>
            <w:left w:val="none" w:sz="0" w:space="0" w:color="auto"/>
            <w:bottom w:val="none" w:sz="0" w:space="0" w:color="auto"/>
            <w:right w:val="none" w:sz="0" w:space="0" w:color="auto"/>
          </w:divBdr>
        </w:div>
        <w:div w:id="1663582775">
          <w:marLeft w:val="0"/>
          <w:marRight w:val="0"/>
          <w:marTop w:val="0"/>
          <w:marBottom w:val="0"/>
          <w:divBdr>
            <w:top w:val="none" w:sz="0" w:space="0" w:color="auto"/>
            <w:left w:val="none" w:sz="0" w:space="0" w:color="auto"/>
            <w:bottom w:val="none" w:sz="0" w:space="0" w:color="auto"/>
            <w:right w:val="none" w:sz="0" w:space="0" w:color="auto"/>
          </w:divBdr>
        </w:div>
        <w:div w:id="1515071398">
          <w:marLeft w:val="0"/>
          <w:marRight w:val="0"/>
          <w:marTop w:val="0"/>
          <w:marBottom w:val="0"/>
          <w:divBdr>
            <w:top w:val="none" w:sz="0" w:space="0" w:color="auto"/>
            <w:left w:val="none" w:sz="0" w:space="0" w:color="auto"/>
            <w:bottom w:val="none" w:sz="0" w:space="0" w:color="auto"/>
            <w:right w:val="none" w:sz="0" w:space="0" w:color="auto"/>
          </w:divBdr>
        </w:div>
        <w:div w:id="664826009">
          <w:marLeft w:val="0"/>
          <w:marRight w:val="0"/>
          <w:marTop w:val="0"/>
          <w:marBottom w:val="0"/>
          <w:divBdr>
            <w:top w:val="none" w:sz="0" w:space="0" w:color="auto"/>
            <w:left w:val="none" w:sz="0" w:space="0" w:color="auto"/>
            <w:bottom w:val="none" w:sz="0" w:space="0" w:color="auto"/>
            <w:right w:val="none" w:sz="0" w:space="0" w:color="auto"/>
          </w:divBdr>
        </w:div>
        <w:div w:id="1182351409">
          <w:marLeft w:val="0"/>
          <w:marRight w:val="0"/>
          <w:marTop w:val="0"/>
          <w:marBottom w:val="0"/>
          <w:divBdr>
            <w:top w:val="none" w:sz="0" w:space="0" w:color="auto"/>
            <w:left w:val="none" w:sz="0" w:space="0" w:color="auto"/>
            <w:bottom w:val="none" w:sz="0" w:space="0" w:color="auto"/>
            <w:right w:val="none" w:sz="0" w:space="0" w:color="auto"/>
          </w:divBdr>
        </w:div>
        <w:div w:id="907152880">
          <w:marLeft w:val="0"/>
          <w:marRight w:val="0"/>
          <w:marTop w:val="0"/>
          <w:marBottom w:val="0"/>
          <w:divBdr>
            <w:top w:val="none" w:sz="0" w:space="0" w:color="auto"/>
            <w:left w:val="none" w:sz="0" w:space="0" w:color="auto"/>
            <w:bottom w:val="none" w:sz="0" w:space="0" w:color="auto"/>
            <w:right w:val="none" w:sz="0" w:space="0" w:color="auto"/>
          </w:divBdr>
        </w:div>
        <w:div w:id="1244490425">
          <w:marLeft w:val="0"/>
          <w:marRight w:val="0"/>
          <w:marTop w:val="0"/>
          <w:marBottom w:val="0"/>
          <w:divBdr>
            <w:top w:val="none" w:sz="0" w:space="0" w:color="auto"/>
            <w:left w:val="none" w:sz="0" w:space="0" w:color="auto"/>
            <w:bottom w:val="none" w:sz="0" w:space="0" w:color="auto"/>
            <w:right w:val="none" w:sz="0" w:space="0" w:color="auto"/>
          </w:divBdr>
        </w:div>
        <w:div w:id="1980844107">
          <w:marLeft w:val="0"/>
          <w:marRight w:val="0"/>
          <w:marTop w:val="0"/>
          <w:marBottom w:val="0"/>
          <w:divBdr>
            <w:top w:val="none" w:sz="0" w:space="0" w:color="auto"/>
            <w:left w:val="none" w:sz="0" w:space="0" w:color="auto"/>
            <w:bottom w:val="none" w:sz="0" w:space="0" w:color="auto"/>
            <w:right w:val="none" w:sz="0" w:space="0" w:color="auto"/>
          </w:divBdr>
        </w:div>
        <w:div w:id="288517161">
          <w:marLeft w:val="0"/>
          <w:marRight w:val="0"/>
          <w:marTop w:val="0"/>
          <w:marBottom w:val="0"/>
          <w:divBdr>
            <w:top w:val="none" w:sz="0" w:space="0" w:color="auto"/>
            <w:left w:val="none" w:sz="0" w:space="0" w:color="auto"/>
            <w:bottom w:val="none" w:sz="0" w:space="0" w:color="auto"/>
            <w:right w:val="none" w:sz="0" w:space="0" w:color="auto"/>
          </w:divBdr>
        </w:div>
        <w:div w:id="253706003">
          <w:marLeft w:val="0"/>
          <w:marRight w:val="0"/>
          <w:marTop w:val="0"/>
          <w:marBottom w:val="0"/>
          <w:divBdr>
            <w:top w:val="none" w:sz="0" w:space="0" w:color="auto"/>
            <w:left w:val="none" w:sz="0" w:space="0" w:color="auto"/>
            <w:bottom w:val="none" w:sz="0" w:space="0" w:color="auto"/>
            <w:right w:val="none" w:sz="0" w:space="0" w:color="auto"/>
          </w:divBdr>
        </w:div>
        <w:div w:id="1570143964">
          <w:marLeft w:val="0"/>
          <w:marRight w:val="0"/>
          <w:marTop w:val="0"/>
          <w:marBottom w:val="0"/>
          <w:divBdr>
            <w:top w:val="none" w:sz="0" w:space="0" w:color="auto"/>
            <w:left w:val="none" w:sz="0" w:space="0" w:color="auto"/>
            <w:bottom w:val="none" w:sz="0" w:space="0" w:color="auto"/>
            <w:right w:val="none" w:sz="0" w:space="0" w:color="auto"/>
          </w:divBdr>
        </w:div>
        <w:div w:id="1842625735">
          <w:marLeft w:val="0"/>
          <w:marRight w:val="0"/>
          <w:marTop w:val="0"/>
          <w:marBottom w:val="0"/>
          <w:divBdr>
            <w:top w:val="none" w:sz="0" w:space="0" w:color="auto"/>
            <w:left w:val="none" w:sz="0" w:space="0" w:color="auto"/>
            <w:bottom w:val="none" w:sz="0" w:space="0" w:color="auto"/>
            <w:right w:val="none" w:sz="0" w:space="0" w:color="auto"/>
          </w:divBdr>
        </w:div>
        <w:div w:id="1188904558">
          <w:marLeft w:val="0"/>
          <w:marRight w:val="0"/>
          <w:marTop w:val="0"/>
          <w:marBottom w:val="0"/>
          <w:divBdr>
            <w:top w:val="none" w:sz="0" w:space="0" w:color="auto"/>
            <w:left w:val="none" w:sz="0" w:space="0" w:color="auto"/>
            <w:bottom w:val="none" w:sz="0" w:space="0" w:color="auto"/>
            <w:right w:val="none" w:sz="0" w:space="0" w:color="auto"/>
          </w:divBdr>
        </w:div>
        <w:div w:id="746731254">
          <w:marLeft w:val="0"/>
          <w:marRight w:val="0"/>
          <w:marTop w:val="0"/>
          <w:marBottom w:val="0"/>
          <w:divBdr>
            <w:top w:val="none" w:sz="0" w:space="0" w:color="auto"/>
            <w:left w:val="none" w:sz="0" w:space="0" w:color="auto"/>
            <w:bottom w:val="none" w:sz="0" w:space="0" w:color="auto"/>
            <w:right w:val="none" w:sz="0" w:space="0" w:color="auto"/>
          </w:divBdr>
        </w:div>
        <w:div w:id="497766707">
          <w:marLeft w:val="0"/>
          <w:marRight w:val="0"/>
          <w:marTop w:val="0"/>
          <w:marBottom w:val="0"/>
          <w:divBdr>
            <w:top w:val="none" w:sz="0" w:space="0" w:color="auto"/>
            <w:left w:val="none" w:sz="0" w:space="0" w:color="auto"/>
            <w:bottom w:val="none" w:sz="0" w:space="0" w:color="auto"/>
            <w:right w:val="none" w:sz="0" w:space="0" w:color="auto"/>
          </w:divBdr>
        </w:div>
        <w:div w:id="1120761230">
          <w:marLeft w:val="0"/>
          <w:marRight w:val="0"/>
          <w:marTop w:val="0"/>
          <w:marBottom w:val="0"/>
          <w:divBdr>
            <w:top w:val="none" w:sz="0" w:space="0" w:color="auto"/>
            <w:left w:val="none" w:sz="0" w:space="0" w:color="auto"/>
            <w:bottom w:val="none" w:sz="0" w:space="0" w:color="auto"/>
            <w:right w:val="none" w:sz="0" w:space="0" w:color="auto"/>
          </w:divBdr>
        </w:div>
        <w:div w:id="1912541736">
          <w:marLeft w:val="0"/>
          <w:marRight w:val="0"/>
          <w:marTop w:val="0"/>
          <w:marBottom w:val="0"/>
          <w:divBdr>
            <w:top w:val="none" w:sz="0" w:space="0" w:color="auto"/>
            <w:left w:val="none" w:sz="0" w:space="0" w:color="auto"/>
            <w:bottom w:val="none" w:sz="0" w:space="0" w:color="auto"/>
            <w:right w:val="none" w:sz="0" w:space="0" w:color="auto"/>
          </w:divBdr>
        </w:div>
        <w:div w:id="621885477">
          <w:marLeft w:val="0"/>
          <w:marRight w:val="0"/>
          <w:marTop w:val="0"/>
          <w:marBottom w:val="0"/>
          <w:divBdr>
            <w:top w:val="none" w:sz="0" w:space="0" w:color="auto"/>
            <w:left w:val="none" w:sz="0" w:space="0" w:color="auto"/>
            <w:bottom w:val="none" w:sz="0" w:space="0" w:color="auto"/>
            <w:right w:val="none" w:sz="0" w:space="0" w:color="auto"/>
          </w:divBdr>
        </w:div>
        <w:div w:id="1992588738">
          <w:marLeft w:val="0"/>
          <w:marRight w:val="0"/>
          <w:marTop w:val="0"/>
          <w:marBottom w:val="0"/>
          <w:divBdr>
            <w:top w:val="none" w:sz="0" w:space="0" w:color="auto"/>
            <w:left w:val="none" w:sz="0" w:space="0" w:color="auto"/>
            <w:bottom w:val="none" w:sz="0" w:space="0" w:color="auto"/>
            <w:right w:val="none" w:sz="0" w:space="0" w:color="auto"/>
          </w:divBdr>
        </w:div>
        <w:div w:id="502938703">
          <w:marLeft w:val="0"/>
          <w:marRight w:val="0"/>
          <w:marTop w:val="0"/>
          <w:marBottom w:val="0"/>
          <w:divBdr>
            <w:top w:val="none" w:sz="0" w:space="0" w:color="auto"/>
            <w:left w:val="none" w:sz="0" w:space="0" w:color="auto"/>
            <w:bottom w:val="none" w:sz="0" w:space="0" w:color="auto"/>
            <w:right w:val="none" w:sz="0" w:space="0" w:color="auto"/>
          </w:divBdr>
        </w:div>
        <w:div w:id="801507545">
          <w:marLeft w:val="0"/>
          <w:marRight w:val="0"/>
          <w:marTop w:val="0"/>
          <w:marBottom w:val="0"/>
          <w:divBdr>
            <w:top w:val="none" w:sz="0" w:space="0" w:color="auto"/>
            <w:left w:val="none" w:sz="0" w:space="0" w:color="auto"/>
            <w:bottom w:val="none" w:sz="0" w:space="0" w:color="auto"/>
            <w:right w:val="none" w:sz="0" w:space="0" w:color="auto"/>
          </w:divBdr>
        </w:div>
        <w:div w:id="1790934259">
          <w:marLeft w:val="0"/>
          <w:marRight w:val="0"/>
          <w:marTop w:val="0"/>
          <w:marBottom w:val="0"/>
          <w:divBdr>
            <w:top w:val="none" w:sz="0" w:space="0" w:color="auto"/>
            <w:left w:val="none" w:sz="0" w:space="0" w:color="auto"/>
            <w:bottom w:val="none" w:sz="0" w:space="0" w:color="auto"/>
            <w:right w:val="none" w:sz="0" w:space="0" w:color="auto"/>
          </w:divBdr>
        </w:div>
        <w:div w:id="795559948">
          <w:marLeft w:val="0"/>
          <w:marRight w:val="0"/>
          <w:marTop w:val="0"/>
          <w:marBottom w:val="0"/>
          <w:divBdr>
            <w:top w:val="none" w:sz="0" w:space="0" w:color="auto"/>
            <w:left w:val="none" w:sz="0" w:space="0" w:color="auto"/>
            <w:bottom w:val="none" w:sz="0" w:space="0" w:color="auto"/>
            <w:right w:val="none" w:sz="0" w:space="0" w:color="auto"/>
          </w:divBdr>
        </w:div>
        <w:div w:id="339629311">
          <w:marLeft w:val="0"/>
          <w:marRight w:val="0"/>
          <w:marTop w:val="0"/>
          <w:marBottom w:val="0"/>
          <w:divBdr>
            <w:top w:val="none" w:sz="0" w:space="0" w:color="auto"/>
            <w:left w:val="none" w:sz="0" w:space="0" w:color="auto"/>
            <w:bottom w:val="none" w:sz="0" w:space="0" w:color="auto"/>
            <w:right w:val="none" w:sz="0" w:space="0" w:color="auto"/>
          </w:divBdr>
        </w:div>
        <w:div w:id="1262568571">
          <w:marLeft w:val="0"/>
          <w:marRight w:val="0"/>
          <w:marTop w:val="0"/>
          <w:marBottom w:val="0"/>
          <w:divBdr>
            <w:top w:val="none" w:sz="0" w:space="0" w:color="auto"/>
            <w:left w:val="none" w:sz="0" w:space="0" w:color="auto"/>
            <w:bottom w:val="none" w:sz="0" w:space="0" w:color="auto"/>
            <w:right w:val="none" w:sz="0" w:space="0" w:color="auto"/>
          </w:divBdr>
        </w:div>
        <w:div w:id="781535650">
          <w:marLeft w:val="0"/>
          <w:marRight w:val="0"/>
          <w:marTop w:val="0"/>
          <w:marBottom w:val="0"/>
          <w:divBdr>
            <w:top w:val="none" w:sz="0" w:space="0" w:color="auto"/>
            <w:left w:val="none" w:sz="0" w:space="0" w:color="auto"/>
            <w:bottom w:val="none" w:sz="0" w:space="0" w:color="auto"/>
            <w:right w:val="none" w:sz="0" w:space="0" w:color="auto"/>
          </w:divBdr>
        </w:div>
        <w:div w:id="1554997408">
          <w:marLeft w:val="0"/>
          <w:marRight w:val="0"/>
          <w:marTop w:val="0"/>
          <w:marBottom w:val="0"/>
          <w:divBdr>
            <w:top w:val="none" w:sz="0" w:space="0" w:color="auto"/>
            <w:left w:val="none" w:sz="0" w:space="0" w:color="auto"/>
            <w:bottom w:val="none" w:sz="0" w:space="0" w:color="auto"/>
            <w:right w:val="none" w:sz="0" w:space="0" w:color="auto"/>
          </w:divBdr>
        </w:div>
        <w:div w:id="302272567">
          <w:marLeft w:val="0"/>
          <w:marRight w:val="0"/>
          <w:marTop w:val="0"/>
          <w:marBottom w:val="0"/>
          <w:divBdr>
            <w:top w:val="none" w:sz="0" w:space="0" w:color="auto"/>
            <w:left w:val="none" w:sz="0" w:space="0" w:color="auto"/>
            <w:bottom w:val="none" w:sz="0" w:space="0" w:color="auto"/>
            <w:right w:val="none" w:sz="0" w:space="0" w:color="auto"/>
          </w:divBdr>
        </w:div>
        <w:div w:id="1709065265">
          <w:marLeft w:val="0"/>
          <w:marRight w:val="0"/>
          <w:marTop w:val="0"/>
          <w:marBottom w:val="0"/>
          <w:divBdr>
            <w:top w:val="none" w:sz="0" w:space="0" w:color="auto"/>
            <w:left w:val="none" w:sz="0" w:space="0" w:color="auto"/>
            <w:bottom w:val="none" w:sz="0" w:space="0" w:color="auto"/>
            <w:right w:val="none" w:sz="0" w:space="0" w:color="auto"/>
          </w:divBdr>
        </w:div>
        <w:div w:id="798112567">
          <w:marLeft w:val="0"/>
          <w:marRight w:val="0"/>
          <w:marTop w:val="0"/>
          <w:marBottom w:val="0"/>
          <w:divBdr>
            <w:top w:val="none" w:sz="0" w:space="0" w:color="auto"/>
            <w:left w:val="none" w:sz="0" w:space="0" w:color="auto"/>
            <w:bottom w:val="none" w:sz="0" w:space="0" w:color="auto"/>
            <w:right w:val="none" w:sz="0" w:space="0" w:color="auto"/>
          </w:divBdr>
        </w:div>
        <w:div w:id="1099790437">
          <w:marLeft w:val="0"/>
          <w:marRight w:val="0"/>
          <w:marTop w:val="0"/>
          <w:marBottom w:val="0"/>
          <w:divBdr>
            <w:top w:val="none" w:sz="0" w:space="0" w:color="auto"/>
            <w:left w:val="none" w:sz="0" w:space="0" w:color="auto"/>
            <w:bottom w:val="none" w:sz="0" w:space="0" w:color="auto"/>
            <w:right w:val="none" w:sz="0" w:space="0" w:color="auto"/>
          </w:divBdr>
        </w:div>
        <w:div w:id="1447428115">
          <w:marLeft w:val="0"/>
          <w:marRight w:val="0"/>
          <w:marTop w:val="0"/>
          <w:marBottom w:val="0"/>
          <w:divBdr>
            <w:top w:val="none" w:sz="0" w:space="0" w:color="auto"/>
            <w:left w:val="none" w:sz="0" w:space="0" w:color="auto"/>
            <w:bottom w:val="none" w:sz="0" w:space="0" w:color="auto"/>
            <w:right w:val="none" w:sz="0" w:space="0" w:color="auto"/>
          </w:divBdr>
        </w:div>
        <w:div w:id="1386635446">
          <w:marLeft w:val="0"/>
          <w:marRight w:val="0"/>
          <w:marTop w:val="0"/>
          <w:marBottom w:val="0"/>
          <w:divBdr>
            <w:top w:val="none" w:sz="0" w:space="0" w:color="auto"/>
            <w:left w:val="none" w:sz="0" w:space="0" w:color="auto"/>
            <w:bottom w:val="none" w:sz="0" w:space="0" w:color="auto"/>
            <w:right w:val="none" w:sz="0" w:space="0" w:color="auto"/>
          </w:divBdr>
        </w:div>
        <w:div w:id="992442110">
          <w:marLeft w:val="0"/>
          <w:marRight w:val="0"/>
          <w:marTop w:val="0"/>
          <w:marBottom w:val="0"/>
          <w:divBdr>
            <w:top w:val="none" w:sz="0" w:space="0" w:color="auto"/>
            <w:left w:val="none" w:sz="0" w:space="0" w:color="auto"/>
            <w:bottom w:val="none" w:sz="0" w:space="0" w:color="auto"/>
            <w:right w:val="none" w:sz="0" w:space="0" w:color="auto"/>
          </w:divBdr>
        </w:div>
        <w:div w:id="372659385">
          <w:marLeft w:val="0"/>
          <w:marRight w:val="0"/>
          <w:marTop w:val="0"/>
          <w:marBottom w:val="0"/>
          <w:divBdr>
            <w:top w:val="none" w:sz="0" w:space="0" w:color="auto"/>
            <w:left w:val="none" w:sz="0" w:space="0" w:color="auto"/>
            <w:bottom w:val="none" w:sz="0" w:space="0" w:color="auto"/>
            <w:right w:val="none" w:sz="0" w:space="0" w:color="auto"/>
          </w:divBdr>
        </w:div>
        <w:div w:id="1678313335">
          <w:marLeft w:val="0"/>
          <w:marRight w:val="0"/>
          <w:marTop w:val="0"/>
          <w:marBottom w:val="0"/>
          <w:divBdr>
            <w:top w:val="none" w:sz="0" w:space="0" w:color="auto"/>
            <w:left w:val="none" w:sz="0" w:space="0" w:color="auto"/>
            <w:bottom w:val="none" w:sz="0" w:space="0" w:color="auto"/>
            <w:right w:val="none" w:sz="0" w:space="0" w:color="auto"/>
          </w:divBdr>
        </w:div>
        <w:div w:id="2081824182">
          <w:marLeft w:val="0"/>
          <w:marRight w:val="0"/>
          <w:marTop w:val="0"/>
          <w:marBottom w:val="0"/>
          <w:divBdr>
            <w:top w:val="none" w:sz="0" w:space="0" w:color="auto"/>
            <w:left w:val="none" w:sz="0" w:space="0" w:color="auto"/>
            <w:bottom w:val="none" w:sz="0" w:space="0" w:color="auto"/>
            <w:right w:val="none" w:sz="0" w:space="0" w:color="auto"/>
          </w:divBdr>
        </w:div>
        <w:div w:id="1789622371">
          <w:marLeft w:val="0"/>
          <w:marRight w:val="0"/>
          <w:marTop w:val="0"/>
          <w:marBottom w:val="0"/>
          <w:divBdr>
            <w:top w:val="none" w:sz="0" w:space="0" w:color="auto"/>
            <w:left w:val="none" w:sz="0" w:space="0" w:color="auto"/>
            <w:bottom w:val="none" w:sz="0" w:space="0" w:color="auto"/>
            <w:right w:val="none" w:sz="0" w:space="0" w:color="auto"/>
          </w:divBdr>
        </w:div>
        <w:div w:id="486746463">
          <w:marLeft w:val="0"/>
          <w:marRight w:val="0"/>
          <w:marTop w:val="0"/>
          <w:marBottom w:val="0"/>
          <w:divBdr>
            <w:top w:val="none" w:sz="0" w:space="0" w:color="auto"/>
            <w:left w:val="none" w:sz="0" w:space="0" w:color="auto"/>
            <w:bottom w:val="none" w:sz="0" w:space="0" w:color="auto"/>
            <w:right w:val="none" w:sz="0" w:space="0" w:color="auto"/>
          </w:divBdr>
        </w:div>
        <w:div w:id="805584802">
          <w:marLeft w:val="0"/>
          <w:marRight w:val="0"/>
          <w:marTop w:val="0"/>
          <w:marBottom w:val="0"/>
          <w:divBdr>
            <w:top w:val="none" w:sz="0" w:space="0" w:color="auto"/>
            <w:left w:val="none" w:sz="0" w:space="0" w:color="auto"/>
            <w:bottom w:val="none" w:sz="0" w:space="0" w:color="auto"/>
            <w:right w:val="none" w:sz="0" w:space="0" w:color="auto"/>
          </w:divBdr>
        </w:div>
      </w:divsChild>
    </w:div>
    <w:div w:id="684792189">
      <w:marLeft w:val="0"/>
      <w:marRight w:val="0"/>
      <w:marTop w:val="0"/>
      <w:marBottom w:val="0"/>
      <w:divBdr>
        <w:top w:val="none" w:sz="0" w:space="0" w:color="auto"/>
        <w:left w:val="none" w:sz="0" w:space="0" w:color="auto"/>
        <w:bottom w:val="none" w:sz="0" w:space="0" w:color="auto"/>
        <w:right w:val="none" w:sz="0" w:space="0" w:color="auto"/>
      </w:divBdr>
      <w:divsChild>
        <w:div w:id="2009212675">
          <w:marLeft w:val="0"/>
          <w:marRight w:val="0"/>
          <w:marTop w:val="60"/>
          <w:marBottom w:val="60"/>
          <w:divBdr>
            <w:top w:val="none" w:sz="0" w:space="0" w:color="auto"/>
            <w:left w:val="none" w:sz="0" w:space="0" w:color="auto"/>
            <w:bottom w:val="none" w:sz="0" w:space="0" w:color="auto"/>
            <w:right w:val="none" w:sz="0" w:space="0" w:color="auto"/>
          </w:divBdr>
        </w:div>
      </w:divsChild>
    </w:div>
    <w:div w:id="688289467">
      <w:marLeft w:val="0"/>
      <w:marRight w:val="0"/>
      <w:marTop w:val="180"/>
      <w:marBottom w:val="180"/>
      <w:divBdr>
        <w:top w:val="none" w:sz="0" w:space="0" w:color="auto"/>
        <w:left w:val="none" w:sz="0" w:space="0" w:color="auto"/>
        <w:bottom w:val="none" w:sz="0" w:space="0" w:color="auto"/>
        <w:right w:val="none" w:sz="0" w:space="0" w:color="auto"/>
      </w:divBdr>
    </w:div>
    <w:div w:id="688872983">
      <w:marLeft w:val="0"/>
      <w:marRight w:val="0"/>
      <w:marTop w:val="180"/>
      <w:marBottom w:val="60"/>
      <w:divBdr>
        <w:top w:val="none" w:sz="0" w:space="0" w:color="auto"/>
        <w:left w:val="none" w:sz="0" w:space="0" w:color="auto"/>
        <w:bottom w:val="none" w:sz="0" w:space="0" w:color="auto"/>
        <w:right w:val="none" w:sz="0" w:space="0" w:color="auto"/>
      </w:divBdr>
    </w:div>
    <w:div w:id="688945303">
      <w:marLeft w:val="0"/>
      <w:marRight w:val="0"/>
      <w:marTop w:val="180"/>
      <w:marBottom w:val="180"/>
      <w:divBdr>
        <w:top w:val="none" w:sz="0" w:space="0" w:color="auto"/>
        <w:left w:val="none" w:sz="0" w:space="0" w:color="auto"/>
        <w:bottom w:val="none" w:sz="0" w:space="0" w:color="auto"/>
        <w:right w:val="none" w:sz="0" w:space="0" w:color="auto"/>
      </w:divBdr>
    </w:div>
    <w:div w:id="696809767">
      <w:marLeft w:val="0"/>
      <w:marRight w:val="0"/>
      <w:marTop w:val="180"/>
      <w:marBottom w:val="180"/>
      <w:divBdr>
        <w:top w:val="none" w:sz="0" w:space="0" w:color="auto"/>
        <w:left w:val="none" w:sz="0" w:space="0" w:color="auto"/>
        <w:bottom w:val="none" w:sz="0" w:space="0" w:color="auto"/>
        <w:right w:val="none" w:sz="0" w:space="0" w:color="auto"/>
      </w:divBdr>
    </w:div>
    <w:div w:id="698044791">
      <w:marLeft w:val="0"/>
      <w:marRight w:val="0"/>
      <w:marTop w:val="180"/>
      <w:marBottom w:val="180"/>
      <w:divBdr>
        <w:top w:val="none" w:sz="0" w:space="0" w:color="auto"/>
        <w:left w:val="none" w:sz="0" w:space="0" w:color="auto"/>
        <w:bottom w:val="none" w:sz="0" w:space="0" w:color="auto"/>
        <w:right w:val="none" w:sz="0" w:space="0" w:color="auto"/>
      </w:divBdr>
    </w:div>
    <w:div w:id="698286926">
      <w:marLeft w:val="0"/>
      <w:marRight w:val="0"/>
      <w:marTop w:val="60"/>
      <w:marBottom w:val="60"/>
      <w:divBdr>
        <w:top w:val="none" w:sz="0" w:space="0" w:color="auto"/>
        <w:left w:val="none" w:sz="0" w:space="0" w:color="auto"/>
        <w:bottom w:val="none" w:sz="0" w:space="0" w:color="auto"/>
        <w:right w:val="none" w:sz="0" w:space="0" w:color="auto"/>
      </w:divBdr>
    </w:div>
    <w:div w:id="701128490">
      <w:marLeft w:val="0"/>
      <w:marRight w:val="0"/>
      <w:marTop w:val="180"/>
      <w:marBottom w:val="180"/>
      <w:divBdr>
        <w:top w:val="none" w:sz="0" w:space="0" w:color="auto"/>
        <w:left w:val="none" w:sz="0" w:space="0" w:color="auto"/>
        <w:bottom w:val="none" w:sz="0" w:space="0" w:color="auto"/>
        <w:right w:val="none" w:sz="0" w:space="0" w:color="auto"/>
      </w:divBdr>
    </w:div>
    <w:div w:id="702361625">
      <w:marLeft w:val="0"/>
      <w:marRight w:val="0"/>
      <w:marTop w:val="180"/>
      <w:marBottom w:val="0"/>
      <w:divBdr>
        <w:top w:val="none" w:sz="0" w:space="0" w:color="auto"/>
        <w:left w:val="none" w:sz="0" w:space="0" w:color="auto"/>
        <w:bottom w:val="none" w:sz="0" w:space="0" w:color="auto"/>
        <w:right w:val="none" w:sz="0" w:space="0" w:color="auto"/>
      </w:divBdr>
    </w:div>
    <w:div w:id="704867010">
      <w:marLeft w:val="0"/>
      <w:marRight w:val="0"/>
      <w:marTop w:val="180"/>
      <w:marBottom w:val="180"/>
      <w:divBdr>
        <w:top w:val="none" w:sz="0" w:space="0" w:color="auto"/>
        <w:left w:val="none" w:sz="0" w:space="0" w:color="auto"/>
        <w:bottom w:val="none" w:sz="0" w:space="0" w:color="auto"/>
        <w:right w:val="none" w:sz="0" w:space="0" w:color="auto"/>
      </w:divBdr>
    </w:div>
    <w:div w:id="706029881">
      <w:marLeft w:val="0"/>
      <w:marRight w:val="0"/>
      <w:marTop w:val="0"/>
      <w:marBottom w:val="0"/>
      <w:divBdr>
        <w:top w:val="none" w:sz="0" w:space="0" w:color="auto"/>
        <w:left w:val="none" w:sz="0" w:space="0" w:color="auto"/>
        <w:bottom w:val="none" w:sz="0" w:space="0" w:color="auto"/>
        <w:right w:val="none" w:sz="0" w:space="0" w:color="auto"/>
      </w:divBdr>
    </w:div>
    <w:div w:id="707343587">
      <w:marLeft w:val="0"/>
      <w:marRight w:val="0"/>
      <w:marTop w:val="180"/>
      <w:marBottom w:val="180"/>
      <w:divBdr>
        <w:top w:val="none" w:sz="0" w:space="0" w:color="auto"/>
        <w:left w:val="none" w:sz="0" w:space="0" w:color="auto"/>
        <w:bottom w:val="none" w:sz="0" w:space="0" w:color="auto"/>
        <w:right w:val="none" w:sz="0" w:space="0" w:color="auto"/>
      </w:divBdr>
    </w:div>
    <w:div w:id="708649127">
      <w:marLeft w:val="0"/>
      <w:marRight w:val="0"/>
      <w:marTop w:val="180"/>
      <w:marBottom w:val="180"/>
      <w:divBdr>
        <w:top w:val="none" w:sz="0" w:space="0" w:color="auto"/>
        <w:left w:val="none" w:sz="0" w:space="0" w:color="auto"/>
        <w:bottom w:val="none" w:sz="0" w:space="0" w:color="auto"/>
        <w:right w:val="none" w:sz="0" w:space="0" w:color="auto"/>
      </w:divBdr>
    </w:div>
    <w:div w:id="708727406">
      <w:marLeft w:val="0"/>
      <w:marRight w:val="0"/>
      <w:marTop w:val="100"/>
      <w:marBottom w:val="60"/>
      <w:divBdr>
        <w:top w:val="none" w:sz="0" w:space="0" w:color="auto"/>
        <w:left w:val="none" w:sz="0" w:space="0" w:color="auto"/>
        <w:bottom w:val="none" w:sz="0" w:space="0" w:color="auto"/>
        <w:right w:val="none" w:sz="0" w:space="0" w:color="auto"/>
      </w:divBdr>
      <w:divsChild>
        <w:div w:id="1479103943">
          <w:marLeft w:val="0"/>
          <w:marRight w:val="0"/>
          <w:marTop w:val="0"/>
          <w:marBottom w:val="0"/>
          <w:divBdr>
            <w:top w:val="none" w:sz="0" w:space="0" w:color="auto"/>
            <w:left w:val="none" w:sz="0" w:space="0" w:color="auto"/>
            <w:bottom w:val="none" w:sz="0" w:space="0" w:color="auto"/>
            <w:right w:val="none" w:sz="0" w:space="0" w:color="auto"/>
          </w:divBdr>
        </w:div>
      </w:divsChild>
    </w:div>
    <w:div w:id="712115138">
      <w:marLeft w:val="0"/>
      <w:marRight w:val="0"/>
      <w:marTop w:val="60"/>
      <w:marBottom w:val="60"/>
      <w:divBdr>
        <w:top w:val="none" w:sz="0" w:space="0" w:color="auto"/>
        <w:left w:val="none" w:sz="0" w:space="0" w:color="auto"/>
        <w:bottom w:val="none" w:sz="0" w:space="0" w:color="auto"/>
        <w:right w:val="none" w:sz="0" w:space="0" w:color="auto"/>
      </w:divBdr>
    </w:div>
    <w:div w:id="714081665">
      <w:marLeft w:val="0"/>
      <w:marRight w:val="0"/>
      <w:marTop w:val="180"/>
      <w:marBottom w:val="60"/>
      <w:divBdr>
        <w:top w:val="none" w:sz="0" w:space="0" w:color="auto"/>
        <w:left w:val="none" w:sz="0" w:space="0" w:color="auto"/>
        <w:bottom w:val="none" w:sz="0" w:space="0" w:color="auto"/>
        <w:right w:val="none" w:sz="0" w:space="0" w:color="auto"/>
      </w:divBdr>
    </w:div>
    <w:div w:id="714353325">
      <w:marLeft w:val="0"/>
      <w:marRight w:val="0"/>
      <w:marTop w:val="60"/>
      <w:marBottom w:val="60"/>
      <w:divBdr>
        <w:top w:val="none" w:sz="0" w:space="0" w:color="auto"/>
        <w:left w:val="none" w:sz="0" w:space="0" w:color="auto"/>
        <w:bottom w:val="none" w:sz="0" w:space="0" w:color="auto"/>
        <w:right w:val="none" w:sz="0" w:space="0" w:color="auto"/>
      </w:divBdr>
    </w:div>
    <w:div w:id="714358084">
      <w:marLeft w:val="0"/>
      <w:marRight w:val="0"/>
      <w:marTop w:val="180"/>
      <w:marBottom w:val="60"/>
      <w:divBdr>
        <w:top w:val="none" w:sz="0" w:space="0" w:color="auto"/>
        <w:left w:val="none" w:sz="0" w:space="0" w:color="auto"/>
        <w:bottom w:val="none" w:sz="0" w:space="0" w:color="auto"/>
        <w:right w:val="none" w:sz="0" w:space="0" w:color="auto"/>
      </w:divBdr>
    </w:div>
    <w:div w:id="715397993">
      <w:marLeft w:val="0"/>
      <w:marRight w:val="0"/>
      <w:marTop w:val="180"/>
      <w:marBottom w:val="180"/>
      <w:divBdr>
        <w:top w:val="none" w:sz="0" w:space="0" w:color="auto"/>
        <w:left w:val="none" w:sz="0" w:space="0" w:color="auto"/>
        <w:bottom w:val="none" w:sz="0" w:space="0" w:color="auto"/>
        <w:right w:val="none" w:sz="0" w:space="0" w:color="auto"/>
      </w:divBdr>
    </w:div>
    <w:div w:id="717894901">
      <w:marLeft w:val="0"/>
      <w:marRight w:val="0"/>
      <w:marTop w:val="0"/>
      <w:marBottom w:val="0"/>
      <w:divBdr>
        <w:top w:val="none" w:sz="0" w:space="0" w:color="auto"/>
        <w:left w:val="none" w:sz="0" w:space="0" w:color="auto"/>
        <w:bottom w:val="none" w:sz="0" w:space="0" w:color="auto"/>
        <w:right w:val="none" w:sz="0" w:space="0" w:color="auto"/>
      </w:divBdr>
      <w:divsChild>
        <w:div w:id="1265532010">
          <w:marLeft w:val="0"/>
          <w:marRight w:val="0"/>
          <w:marTop w:val="0"/>
          <w:marBottom w:val="0"/>
          <w:divBdr>
            <w:top w:val="none" w:sz="0" w:space="0" w:color="auto"/>
            <w:left w:val="none" w:sz="0" w:space="0" w:color="auto"/>
            <w:bottom w:val="none" w:sz="0" w:space="0" w:color="auto"/>
            <w:right w:val="none" w:sz="0" w:space="0" w:color="auto"/>
          </w:divBdr>
          <w:divsChild>
            <w:div w:id="20589664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18548859">
      <w:marLeft w:val="0"/>
      <w:marRight w:val="0"/>
      <w:marTop w:val="60"/>
      <w:marBottom w:val="60"/>
      <w:divBdr>
        <w:top w:val="none" w:sz="0" w:space="0" w:color="auto"/>
        <w:left w:val="none" w:sz="0" w:space="0" w:color="auto"/>
        <w:bottom w:val="none" w:sz="0" w:space="0" w:color="auto"/>
        <w:right w:val="none" w:sz="0" w:space="0" w:color="auto"/>
      </w:divBdr>
    </w:div>
    <w:div w:id="720831235">
      <w:marLeft w:val="0"/>
      <w:marRight w:val="0"/>
      <w:marTop w:val="180"/>
      <w:marBottom w:val="0"/>
      <w:divBdr>
        <w:top w:val="none" w:sz="0" w:space="0" w:color="auto"/>
        <w:left w:val="none" w:sz="0" w:space="0" w:color="auto"/>
        <w:bottom w:val="none" w:sz="0" w:space="0" w:color="auto"/>
        <w:right w:val="none" w:sz="0" w:space="0" w:color="auto"/>
      </w:divBdr>
    </w:div>
    <w:div w:id="723988291">
      <w:marLeft w:val="0"/>
      <w:marRight w:val="0"/>
      <w:marTop w:val="60"/>
      <w:marBottom w:val="60"/>
      <w:divBdr>
        <w:top w:val="none" w:sz="0" w:space="0" w:color="auto"/>
        <w:left w:val="none" w:sz="0" w:space="0" w:color="auto"/>
        <w:bottom w:val="none" w:sz="0" w:space="0" w:color="auto"/>
        <w:right w:val="none" w:sz="0" w:space="0" w:color="auto"/>
      </w:divBdr>
    </w:div>
    <w:div w:id="724719424">
      <w:marLeft w:val="0"/>
      <w:marRight w:val="0"/>
      <w:marTop w:val="0"/>
      <w:marBottom w:val="0"/>
      <w:divBdr>
        <w:top w:val="none" w:sz="0" w:space="0" w:color="auto"/>
        <w:left w:val="none" w:sz="0" w:space="0" w:color="auto"/>
        <w:bottom w:val="none" w:sz="0" w:space="0" w:color="auto"/>
        <w:right w:val="none" w:sz="0" w:space="0" w:color="auto"/>
      </w:divBdr>
      <w:divsChild>
        <w:div w:id="914782458">
          <w:marLeft w:val="0"/>
          <w:marRight w:val="0"/>
          <w:marTop w:val="0"/>
          <w:marBottom w:val="0"/>
          <w:divBdr>
            <w:top w:val="none" w:sz="0" w:space="0" w:color="auto"/>
            <w:left w:val="none" w:sz="0" w:space="0" w:color="auto"/>
            <w:bottom w:val="none" w:sz="0" w:space="0" w:color="auto"/>
            <w:right w:val="none" w:sz="0" w:space="0" w:color="auto"/>
          </w:divBdr>
          <w:divsChild>
            <w:div w:id="7698559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5179474">
      <w:marLeft w:val="0"/>
      <w:marRight w:val="0"/>
      <w:marTop w:val="180"/>
      <w:marBottom w:val="180"/>
      <w:divBdr>
        <w:top w:val="none" w:sz="0" w:space="0" w:color="auto"/>
        <w:left w:val="none" w:sz="0" w:space="0" w:color="auto"/>
        <w:bottom w:val="none" w:sz="0" w:space="0" w:color="auto"/>
        <w:right w:val="none" w:sz="0" w:space="0" w:color="auto"/>
      </w:divBdr>
    </w:div>
    <w:div w:id="726689019">
      <w:marLeft w:val="0"/>
      <w:marRight w:val="0"/>
      <w:marTop w:val="180"/>
      <w:marBottom w:val="180"/>
      <w:divBdr>
        <w:top w:val="none" w:sz="0" w:space="0" w:color="auto"/>
        <w:left w:val="none" w:sz="0" w:space="0" w:color="auto"/>
        <w:bottom w:val="none" w:sz="0" w:space="0" w:color="auto"/>
        <w:right w:val="none" w:sz="0" w:space="0" w:color="auto"/>
      </w:divBdr>
    </w:div>
    <w:div w:id="726950771">
      <w:marLeft w:val="0"/>
      <w:marRight w:val="0"/>
      <w:marTop w:val="180"/>
      <w:marBottom w:val="180"/>
      <w:divBdr>
        <w:top w:val="none" w:sz="0" w:space="0" w:color="auto"/>
        <w:left w:val="none" w:sz="0" w:space="0" w:color="auto"/>
        <w:bottom w:val="none" w:sz="0" w:space="0" w:color="auto"/>
        <w:right w:val="none" w:sz="0" w:space="0" w:color="auto"/>
      </w:divBdr>
    </w:div>
    <w:div w:id="727341554">
      <w:marLeft w:val="0"/>
      <w:marRight w:val="0"/>
      <w:marTop w:val="0"/>
      <w:marBottom w:val="0"/>
      <w:divBdr>
        <w:top w:val="none" w:sz="0" w:space="0" w:color="auto"/>
        <w:left w:val="none" w:sz="0" w:space="0" w:color="auto"/>
        <w:bottom w:val="none" w:sz="0" w:space="0" w:color="auto"/>
        <w:right w:val="none" w:sz="0" w:space="0" w:color="auto"/>
      </w:divBdr>
    </w:div>
    <w:div w:id="727804044">
      <w:marLeft w:val="0"/>
      <w:marRight w:val="0"/>
      <w:marTop w:val="180"/>
      <w:marBottom w:val="180"/>
      <w:divBdr>
        <w:top w:val="none" w:sz="0" w:space="0" w:color="auto"/>
        <w:left w:val="none" w:sz="0" w:space="0" w:color="auto"/>
        <w:bottom w:val="none" w:sz="0" w:space="0" w:color="auto"/>
        <w:right w:val="none" w:sz="0" w:space="0" w:color="auto"/>
      </w:divBdr>
    </w:div>
    <w:div w:id="732318485">
      <w:marLeft w:val="0"/>
      <w:marRight w:val="0"/>
      <w:marTop w:val="180"/>
      <w:marBottom w:val="180"/>
      <w:divBdr>
        <w:top w:val="none" w:sz="0" w:space="0" w:color="auto"/>
        <w:left w:val="none" w:sz="0" w:space="0" w:color="auto"/>
        <w:bottom w:val="none" w:sz="0" w:space="0" w:color="auto"/>
        <w:right w:val="none" w:sz="0" w:space="0" w:color="auto"/>
      </w:divBdr>
    </w:div>
    <w:div w:id="732973680">
      <w:marLeft w:val="0"/>
      <w:marRight w:val="0"/>
      <w:marTop w:val="60"/>
      <w:marBottom w:val="60"/>
      <w:divBdr>
        <w:top w:val="none" w:sz="0" w:space="0" w:color="auto"/>
        <w:left w:val="none" w:sz="0" w:space="0" w:color="auto"/>
        <w:bottom w:val="none" w:sz="0" w:space="0" w:color="auto"/>
        <w:right w:val="none" w:sz="0" w:space="0" w:color="auto"/>
      </w:divBdr>
    </w:div>
    <w:div w:id="734477986">
      <w:marLeft w:val="0"/>
      <w:marRight w:val="0"/>
      <w:marTop w:val="100"/>
      <w:marBottom w:val="60"/>
      <w:divBdr>
        <w:top w:val="none" w:sz="0" w:space="0" w:color="auto"/>
        <w:left w:val="none" w:sz="0" w:space="0" w:color="auto"/>
        <w:bottom w:val="none" w:sz="0" w:space="0" w:color="auto"/>
        <w:right w:val="none" w:sz="0" w:space="0" w:color="auto"/>
      </w:divBdr>
    </w:div>
    <w:div w:id="735854801">
      <w:marLeft w:val="0"/>
      <w:marRight w:val="0"/>
      <w:marTop w:val="100"/>
      <w:marBottom w:val="100"/>
      <w:divBdr>
        <w:top w:val="none" w:sz="0" w:space="0" w:color="auto"/>
        <w:left w:val="none" w:sz="0" w:space="0" w:color="auto"/>
        <w:bottom w:val="none" w:sz="0" w:space="0" w:color="auto"/>
        <w:right w:val="none" w:sz="0" w:space="0" w:color="auto"/>
      </w:divBdr>
      <w:divsChild>
        <w:div w:id="1654144004">
          <w:marLeft w:val="0"/>
          <w:marRight w:val="0"/>
          <w:marTop w:val="0"/>
          <w:marBottom w:val="0"/>
          <w:divBdr>
            <w:top w:val="none" w:sz="0" w:space="0" w:color="auto"/>
            <w:left w:val="none" w:sz="0" w:space="0" w:color="auto"/>
            <w:bottom w:val="none" w:sz="0" w:space="0" w:color="auto"/>
            <w:right w:val="none" w:sz="0" w:space="0" w:color="auto"/>
          </w:divBdr>
        </w:div>
      </w:divsChild>
    </w:div>
    <w:div w:id="736634381">
      <w:marLeft w:val="0"/>
      <w:marRight w:val="0"/>
      <w:marTop w:val="0"/>
      <w:marBottom w:val="0"/>
      <w:divBdr>
        <w:top w:val="none" w:sz="0" w:space="0" w:color="auto"/>
        <w:left w:val="none" w:sz="0" w:space="0" w:color="auto"/>
        <w:bottom w:val="none" w:sz="0" w:space="0" w:color="auto"/>
        <w:right w:val="none" w:sz="0" w:space="0" w:color="auto"/>
      </w:divBdr>
    </w:div>
    <w:div w:id="737283645">
      <w:marLeft w:val="0"/>
      <w:marRight w:val="0"/>
      <w:marTop w:val="60"/>
      <w:marBottom w:val="60"/>
      <w:divBdr>
        <w:top w:val="none" w:sz="0" w:space="0" w:color="auto"/>
        <w:left w:val="none" w:sz="0" w:space="0" w:color="auto"/>
        <w:bottom w:val="none" w:sz="0" w:space="0" w:color="auto"/>
        <w:right w:val="none" w:sz="0" w:space="0" w:color="auto"/>
      </w:divBdr>
    </w:div>
    <w:div w:id="737704330">
      <w:marLeft w:val="0"/>
      <w:marRight w:val="0"/>
      <w:marTop w:val="0"/>
      <w:marBottom w:val="0"/>
      <w:divBdr>
        <w:top w:val="none" w:sz="0" w:space="0" w:color="auto"/>
        <w:left w:val="none" w:sz="0" w:space="0" w:color="auto"/>
        <w:bottom w:val="none" w:sz="0" w:space="0" w:color="auto"/>
        <w:right w:val="none" w:sz="0" w:space="0" w:color="auto"/>
      </w:divBdr>
      <w:divsChild>
        <w:div w:id="1255165972">
          <w:marLeft w:val="0"/>
          <w:marRight w:val="0"/>
          <w:marTop w:val="60"/>
          <w:marBottom w:val="60"/>
          <w:divBdr>
            <w:top w:val="none" w:sz="0" w:space="0" w:color="auto"/>
            <w:left w:val="none" w:sz="0" w:space="0" w:color="auto"/>
            <w:bottom w:val="none" w:sz="0" w:space="0" w:color="auto"/>
            <w:right w:val="none" w:sz="0" w:space="0" w:color="auto"/>
          </w:divBdr>
        </w:div>
      </w:divsChild>
    </w:div>
    <w:div w:id="737896606">
      <w:marLeft w:val="0"/>
      <w:marRight w:val="0"/>
      <w:marTop w:val="100"/>
      <w:marBottom w:val="100"/>
      <w:divBdr>
        <w:top w:val="none" w:sz="0" w:space="0" w:color="auto"/>
        <w:left w:val="none" w:sz="0" w:space="0" w:color="auto"/>
        <w:bottom w:val="none" w:sz="0" w:space="0" w:color="auto"/>
        <w:right w:val="none" w:sz="0" w:space="0" w:color="auto"/>
      </w:divBdr>
      <w:divsChild>
        <w:div w:id="1701665949">
          <w:marLeft w:val="0"/>
          <w:marRight w:val="0"/>
          <w:marTop w:val="0"/>
          <w:marBottom w:val="0"/>
          <w:divBdr>
            <w:top w:val="none" w:sz="0" w:space="0" w:color="auto"/>
            <w:left w:val="none" w:sz="0" w:space="0" w:color="auto"/>
            <w:bottom w:val="none" w:sz="0" w:space="0" w:color="auto"/>
            <w:right w:val="none" w:sz="0" w:space="0" w:color="auto"/>
          </w:divBdr>
        </w:div>
        <w:div w:id="237519166">
          <w:marLeft w:val="0"/>
          <w:marRight w:val="0"/>
          <w:marTop w:val="0"/>
          <w:marBottom w:val="0"/>
          <w:divBdr>
            <w:top w:val="none" w:sz="0" w:space="0" w:color="auto"/>
            <w:left w:val="none" w:sz="0" w:space="0" w:color="auto"/>
            <w:bottom w:val="none" w:sz="0" w:space="0" w:color="auto"/>
            <w:right w:val="none" w:sz="0" w:space="0" w:color="auto"/>
          </w:divBdr>
        </w:div>
        <w:div w:id="123891563">
          <w:marLeft w:val="0"/>
          <w:marRight w:val="0"/>
          <w:marTop w:val="0"/>
          <w:marBottom w:val="0"/>
          <w:divBdr>
            <w:top w:val="none" w:sz="0" w:space="0" w:color="auto"/>
            <w:left w:val="none" w:sz="0" w:space="0" w:color="auto"/>
            <w:bottom w:val="none" w:sz="0" w:space="0" w:color="auto"/>
            <w:right w:val="none" w:sz="0" w:space="0" w:color="auto"/>
          </w:divBdr>
        </w:div>
      </w:divsChild>
    </w:div>
    <w:div w:id="739013042">
      <w:marLeft w:val="0"/>
      <w:marRight w:val="0"/>
      <w:marTop w:val="60"/>
      <w:marBottom w:val="60"/>
      <w:divBdr>
        <w:top w:val="none" w:sz="0" w:space="0" w:color="auto"/>
        <w:left w:val="none" w:sz="0" w:space="0" w:color="auto"/>
        <w:bottom w:val="none" w:sz="0" w:space="0" w:color="auto"/>
        <w:right w:val="none" w:sz="0" w:space="0" w:color="auto"/>
      </w:divBdr>
    </w:div>
    <w:div w:id="739213115">
      <w:marLeft w:val="0"/>
      <w:marRight w:val="0"/>
      <w:marTop w:val="180"/>
      <w:marBottom w:val="60"/>
      <w:divBdr>
        <w:top w:val="none" w:sz="0" w:space="0" w:color="auto"/>
        <w:left w:val="none" w:sz="0" w:space="0" w:color="auto"/>
        <w:bottom w:val="none" w:sz="0" w:space="0" w:color="auto"/>
        <w:right w:val="none" w:sz="0" w:space="0" w:color="auto"/>
      </w:divBdr>
    </w:div>
    <w:div w:id="740054700">
      <w:marLeft w:val="0"/>
      <w:marRight w:val="0"/>
      <w:marTop w:val="0"/>
      <w:marBottom w:val="0"/>
      <w:divBdr>
        <w:top w:val="none" w:sz="0" w:space="0" w:color="auto"/>
        <w:left w:val="none" w:sz="0" w:space="0" w:color="auto"/>
        <w:bottom w:val="none" w:sz="0" w:space="0" w:color="auto"/>
        <w:right w:val="none" w:sz="0" w:space="0" w:color="auto"/>
      </w:divBdr>
      <w:divsChild>
        <w:div w:id="1650288722">
          <w:marLeft w:val="0"/>
          <w:marRight w:val="0"/>
          <w:marTop w:val="0"/>
          <w:marBottom w:val="0"/>
          <w:divBdr>
            <w:top w:val="none" w:sz="0" w:space="0" w:color="auto"/>
            <w:left w:val="none" w:sz="0" w:space="0" w:color="auto"/>
            <w:bottom w:val="none" w:sz="0" w:space="0" w:color="auto"/>
            <w:right w:val="none" w:sz="0" w:space="0" w:color="auto"/>
          </w:divBdr>
          <w:divsChild>
            <w:div w:id="197398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1562995">
      <w:marLeft w:val="0"/>
      <w:marRight w:val="0"/>
      <w:marTop w:val="180"/>
      <w:marBottom w:val="180"/>
      <w:divBdr>
        <w:top w:val="none" w:sz="0" w:space="0" w:color="auto"/>
        <w:left w:val="none" w:sz="0" w:space="0" w:color="auto"/>
        <w:bottom w:val="none" w:sz="0" w:space="0" w:color="auto"/>
        <w:right w:val="none" w:sz="0" w:space="0" w:color="auto"/>
      </w:divBdr>
    </w:div>
    <w:div w:id="748381451">
      <w:marLeft w:val="0"/>
      <w:marRight w:val="0"/>
      <w:marTop w:val="180"/>
      <w:marBottom w:val="180"/>
      <w:divBdr>
        <w:top w:val="none" w:sz="0" w:space="0" w:color="auto"/>
        <w:left w:val="none" w:sz="0" w:space="0" w:color="auto"/>
        <w:bottom w:val="none" w:sz="0" w:space="0" w:color="auto"/>
        <w:right w:val="none" w:sz="0" w:space="0" w:color="auto"/>
      </w:divBdr>
    </w:div>
    <w:div w:id="748818737">
      <w:marLeft w:val="0"/>
      <w:marRight w:val="0"/>
      <w:marTop w:val="60"/>
      <w:marBottom w:val="60"/>
      <w:divBdr>
        <w:top w:val="none" w:sz="0" w:space="0" w:color="auto"/>
        <w:left w:val="none" w:sz="0" w:space="0" w:color="auto"/>
        <w:bottom w:val="none" w:sz="0" w:space="0" w:color="auto"/>
        <w:right w:val="none" w:sz="0" w:space="0" w:color="auto"/>
      </w:divBdr>
    </w:div>
    <w:div w:id="756832122">
      <w:marLeft w:val="0"/>
      <w:marRight w:val="0"/>
      <w:marTop w:val="60"/>
      <w:marBottom w:val="60"/>
      <w:divBdr>
        <w:top w:val="none" w:sz="0" w:space="0" w:color="auto"/>
        <w:left w:val="none" w:sz="0" w:space="0" w:color="auto"/>
        <w:bottom w:val="none" w:sz="0" w:space="0" w:color="auto"/>
        <w:right w:val="none" w:sz="0" w:space="0" w:color="auto"/>
      </w:divBdr>
    </w:div>
    <w:div w:id="757989623">
      <w:marLeft w:val="0"/>
      <w:marRight w:val="0"/>
      <w:marTop w:val="180"/>
      <w:marBottom w:val="180"/>
      <w:divBdr>
        <w:top w:val="none" w:sz="0" w:space="0" w:color="auto"/>
        <w:left w:val="none" w:sz="0" w:space="0" w:color="auto"/>
        <w:bottom w:val="none" w:sz="0" w:space="0" w:color="auto"/>
        <w:right w:val="none" w:sz="0" w:space="0" w:color="auto"/>
      </w:divBdr>
    </w:div>
    <w:div w:id="759105347">
      <w:marLeft w:val="0"/>
      <w:marRight w:val="0"/>
      <w:marTop w:val="0"/>
      <w:marBottom w:val="0"/>
      <w:divBdr>
        <w:top w:val="none" w:sz="0" w:space="0" w:color="auto"/>
        <w:left w:val="none" w:sz="0" w:space="0" w:color="auto"/>
        <w:bottom w:val="none" w:sz="0" w:space="0" w:color="auto"/>
        <w:right w:val="none" w:sz="0" w:space="0" w:color="auto"/>
      </w:divBdr>
    </w:div>
    <w:div w:id="760446389">
      <w:marLeft w:val="0"/>
      <w:marRight w:val="0"/>
      <w:marTop w:val="180"/>
      <w:marBottom w:val="180"/>
      <w:divBdr>
        <w:top w:val="none" w:sz="0" w:space="0" w:color="auto"/>
        <w:left w:val="none" w:sz="0" w:space="0" w:color="auto"/>
        <w:bottom w:val="none" w:sz="0" w:space="0" w:color="auto"/>
        <w:right w:val="none" w:sz="0" w:space="0" w:color="auto"/>
      </w:divBdr>
    </w:div>
    <w:div w:id="761874144">
      <w:marLeft w:val="0"/>
      <w:marRight w:val="0"/>
      <w:marTop w:val="60"/>
      <w:marBottom w:val="60"/>
      <w:divBdr>
        <w:top w:val="none" w:sz="0" w:space="0" w:color="auto"/>
        <w:left w:val="none" w:sz="0" w:space="0" w:color="auto"/>
        <w:bottom w:val="none" w:sz="0" w:space="0" w:color="auto"/>
        <w:right w:val="none" w:sz="0" w:space="0" w:color="auto"/>
      </w:divBdr>
      <w:divsChild>
        <w:div w:id="1400858222">
          <w:marLeft w:val="0"/>
          <w:marRight w:val="0"/>
          <w:marTop w:val="0"/>
          <w:marBottom w:val="0"/>
          <w:divBdr>
            <w:top w:val="none" w:sz="0" w:space="0" w:color="auto"/>
            <w:left w:val="none" w:sz="0" w:space="0" w:color="auto"/>
            <w:bottom w:val="none" w:sz="0" w:space="0" w:color="auto"/>
            <w:right w:val="none" w:sz="0" w:space="0" w:color="auto"/>
          </w:divBdr>
        </w:div>
        <w:div w:id="1003899983">
          <w:marLeft w:val="0"/>
          <w:marRight w:val="0"/>
          <w:marTop w:val="0"/>
          <w:marBottom w:val="0"/>
          <w:divBdr>
            <w:top w:val="none" w:sz="0" w:space="0" w:color="auto"/>
            <w:left w:val="none" w:sz="0" w:space="0" w:color="auto"/>
            <w:bottom w:val="none" w:sz="0" w:space="0" w:color="auto"/>
            <w:right w:val="none" w:sz="0" w:space="0" w:color="auto"/>
          </w:divBdr>
        </w:div>
      </w:divsChild>
    </w:div>
    <w:div w:id="763654072">
      <w:marLeft w:val="0"/>
      <w:marRight w:val="0"/>
      <w:marTop w:val="60"/>
      <w:marBottom w:val="60"/>
      <w:divBdr>
        <w:top w:val="none" w:sz="0" w:space="0" w:color="auto"/>
        <w:left w:val="none" w:sz="0" w:space="0" w:color="auto"/>
        <w:bottom w:val="none" w:sz="0" w:space="0" w:color="auto"/>
        <w:right w:val="none" w:sz="0" w:space="0" w:color="auto"/>
      </w:divBdr>
    </w:div>
    <w:div w:id="764226062">
      <w:marLeft w:val="0"/>
      <w:marRight w:val="0"/>
      <w:marTop w:val="180"/>
      <w:marBottom w:val="180"/>
      <w:divBdr>
        <w:top w:val="none" w:sz="0" w:space="0" w:color="auto"/>
        <w:left w:val="none" w:sz="0" w:space="0" w:color="auto"/>
        <w:bottom w:val="none" w:sz="0" w:space="0" w:color="auto"/>
        <w:right w:val="none" w:sz="0" w:space="0" w:color="auto"/>
      </w:divBdr>
    </w:div>
    <w:div w:id="764689608">
      <w:marLeft w:val="0"/>
      <w:marRight w:val="0"/>
      <w:marTop w:val="0"/>
      <w:marBottom w:val="0"/>
      <w:divBdr>
        <w:top w:val="none" w:sz="0" w:space="0" w:color="auto"/>
        <w:left w:val="none" w:sz="0" w:space="0" w:color="auto"/>
        <w:bottom w:val="none" w:sz="0" w:space="0" w:color="auto"/>
        <w:right w:val="none" w:sz="0" w:space="0" w:color="auto"/>
      </w:divBdr>
      <w:divsChild>
        <w:div w:id="1956597687">
          <w:marLeft w:val="0"/>
          <w:marRight w:val="0"/>
          <w:marTop w:val="0"/>
          <w:marBottom w:val="0"/>
          <w:divBdr>
            <w:top w:val="none" w:sz="0" w:space="0" w:color="auto"/>
            <w:left w:val="none" w:sz="0" w:space="0" w:color="auto"/>
            <w:bottom w:val="none" w:sz="0" w:space="0" w:color="auto"/>
            <w:right w:val="none" w:sz="0" w:space="0" w:color="auto"/>
          </w:divBdr>
          <w:divsChild>
            <w:div w:id="17688484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65417616">
      <w:marLeft w:val="0"/>
      <w:marRight w:val="0"/>
      <w:marTop w:val="0"/>
      <w:marBottom w:val="15"/>
      <w:divBdr>
        <w:top w:val="none" w:sz="0" w:space="0" w:color="auto"/>
        <w:left w:val="none" w:sz="0" w:space="0" w:color="auto"/>
        <w:bottom w:val="none" w:sz="0" w:space="0" w:color="auto"/>
        <w:right w:val="none" w:sz="0" w:space="0" w:color="auto"/>
      </w:divBdr>
    </w:div>
    <w:div w:id="765808307">
      <w:marLeft w:val="0"/>
      <w:marRight w:val="0"/>
      <w:marTop w:val="60"/>
      <w:marBottom w:val="60"/>
      <w:divBdr>
        <w:top w:val="none" w:sz="0" w:space="0" w:color="auto"/>
        <w:left w:val="none" w:sz="0" w:space="0" w:color="auto"/>
        <w:bottom w:val="none" w:sz="0" w:space="0" w:color="auto"/>
        <w:right w:val="none" w:sz="0" w:space="0" w:color="auto"/>
      </w:divBdr>
    </w:div>
    <w:div w:id="767651409">
      <w:marLeft w:val="0"/>
      <w:marRight w:val="0"/>
      <w:marTop w:val="180"/>
      <w:marBottom w:val="180"/>
      <w:divBdr>
        <w:top w:val="none" w:sz="0" w:space="0" w:color="auto"/>
        <w:left w:val="none" w:sz="0" w:space="0" w:color="auto"/>
        <w:bottom w:val="none" w:sz="0" w:space="0" w:color="auto"/>
        <w:right w:val="none" w:sz="0" w:space="0" w:color="auto"/>
      </w:divBdr>
    </w:div>
    <w:div w:id="770904353">
      <w:marLeft w:val="0"/>
      <w:marRight w:val="0"/>
      <w:marTop w:val="180"/>
      <w:marBottom w:val="180"/>
      <w:divBdr>
        <w:top w:val="none" w:sz="0" w:space="0" w:color="auto"/>
        <w:left w:val="none" w:sz="0" w:space="0" w:color="auto"/>
        <w:bottom w:val="none" w:sz="0" w:space="0" w:color="auto"/>
        <w:right w:val="none" w:sz="0" w:space="0" w:color="auto"/>
      </w:divBdr>
    </w:div>
    <w:div w:id="771314267">
      <w:marLeft w:val="0"/>
      <w:marRight w:val="0"/>
      <w:marTop w:val="180"/>
      <w:marBottom w:val="180"/>
      <w:divBdr>
        <w:top w:val="none" w:sz="0" w:space="0" w:color="auto"/>
        <w:left w:val="none" w:sz="0" w:space="0" w:color="auto"/>
        <w:bottom w:val="none" w:sz="0" w:space="0" w:color="auto"/>
        <w:right w:val="none" w:sz="0" w:space="0" w:color="auto"/>
      </w:divBdr>
    </w:div>
    <w:div w:id="772431490">
      <w:marLeft w:val="0"/>
      <w:marRight w:val="0"/>
      <w:marTop w:val="0"/>
      <w:marBottom w:val="0"/>
      <w:divBdr>
        <w:top w:val="none" w:sz="0" w:space="0" w:color="auto"/>
        <w:left w:val="none" w:sz="0" w:space="0" w:color="auto"/>
        <w:bottom w:val="none" w:sz="0" w:space="0" w:color="auto"/>
        <w:right w:val="none" w:sz="0" w:space="0" w:color="auto"/>
      </w:divBdr>
    </w:div>
    <w:div w:id="775447946">
      <w:marLeft w:val="0"/>
      <w:marRight w:val="0"/>
      <w:marTop w:val="0"/>
      <w:marBottom w:val="0"/>
      <w:divBdr>
        <w:top w:val="none" w:sz="0" w:space="0" w:color="auto"/>
        <w:left w:val="none" w:sz="0" w:space="0" w:color="auto"/>
        <w:bottom w:val="none" w:sz="0" w:space="0" w:color="auto"/>
        <w:right w:val="none" w:sz="0" w:space="0" w:color="auto"/>
      </w:divBdr>
      <w:divsChild>
        <w:div w:id="52582711">
          <w:marLeft w:val="0"/>
          <w:marRight w:val="0"/>
          <w:marTop w:val="0"/>
          <w:marBottom w:val="0"/>
          <w:divBdr>
            <w:top w:val="none" w:sz="0" w:space="0" w:color="auto"/>
            <w:left w:val="none" w:sz="0" w:space="0" w:color="auto"/>
            <w:bottom w:val="none" w:sz="0" w:space="0" w:color="auto"/>
            <w:right w:val="none" w:sz="0" w:space="0" w:color="auto"/>
          </w:divBdr>
          <w:divsChild>
            <w:div w:id="7772593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9106097">
      <w:marLeft w:val="0"/>
      <w:marRight w:val="0"/>
      <w:marTop w:val="180"/>
      <w:marBottom w:val="180"/>
      <w:divBdr>
        <w:top w:val="none" w:sz="0" w:space="0" w:color="auto"/>
        <w:left w:val="none" w:sz="0" w:space="0" w:color="auto"/>
        <w:bottom w:val="none" w:sz="0" w:space="0" w:color="auto"/>
        <w:right w:val="none" w:sz="0" w:space="0" w:color="auto"/>
      </w:divBdr>
    </w:div>
    <w:div w:id="779761079">
      <w:marLeft w:val="0"/>
      <w:marRight w:val="0"/>
      <w:marTop w:val="0"/>
      <w:marBottom w:val="15"/>
      <w:divBdr>
        <w:top w:val="none" w:sz="0" w:space="0" w:color="auto"/>
        <w:left w:val="none" w:sz="0" w:space="0" w:color="auto"/>
        <w:bottom w:val="none" w:sz="0" w:space="0" w:color="auto"/>
        <w:right w:val="none" w:sz="0" w:space="0" w:color="auto"/>
      </w:divBdr>
    </w:div>
    <w:div w:id="779763251">
      <w:marLeft w:val="0"/>
      <w:marRight w:val="0"/>
      <w:marTop w:val="180"/>
      <w:marBottom w:val="180"/>
      <w:divBdr>
        <w:top w:val="none" w:sz="0" w:space="0" w:color="auto"/>
        <w:left w:val="none" w:sz="0" w:space="0" w:color="auto"/>
        <w:bottom w:val="none" w:sz="0" w:space="0" w:color="auto"/>
        <w:right w:val="none" w:sz="0" w:space="0" w:color="auto"/>
      </w:divBdr>
    </w:div>
    <w:div w:id="782459924">
      <w:marLeft w:val="0"/>
      <w:marRight w:val="0"/>
      <w:marTop w:val="180"/>
      <w:marBottom w:val="180"/>
      <w:divBdr>
        <w:top w:val="none" w:sz="0" w:space="0" w:color="auto"/>
        <w:left w:val="none" w:sz="0" w:space="0" w:color="auto"/>
        <w:bottom w:val="none" w:sz="0" w:space="0" w:color="auto"/>
        <w:right w:val="none" w:sz="0" w:space="0" w:color="auto"/>
      </w:divBdr>
    </w:div>
    <w:div w:id="782502563">
      <w:marLeft w:val="0"/>
      <w:marRight w:val="0"/>
      <w:marTop w:val="180"/>
      <w:marBottom w:val="180"/>
      <w:divBdr>
        <w:top w:val="none" w:sz="0" w:space="0" w:color="auto"/>
        <w:left w:val="none" w:sz="0" w:space="0" w:color="auto"/>
        <w:bottom w:val="none" w:sz="0" w:space="0" w:color="auto"/>
        <w:right w:val="none" w:sz="0" w:space="0" w:color="auto"/>
      </w:divBdr>
    </w:div>
    <w:div w:id="783811974">
      <w:marLeft w:val="0"/>
      <w:marRight w:val="0"/>
      <w:marTop w:val="60"/>
      <w:marBottom w:val="60"/>
      <w:divBdr>
        <w:top w:val="none" w:sz="0" w:space="0" w:color="auto"/>
        <w:left w:val="none" w:sz="0" w:space="0" w:color="auto"/>
        <w:bottom w:val="none" w:sz="0" w:space="0" w:color="auto"/>
        <w:right w:val="none" w:sz="0" w:space="0" w:color="auto"/>
      </w:divBdr>
    </w:div>
    <w:div w:id="784278298">
      <w:marLeft w:val="0"/>
      <w:marRight w:val="0"/>
      <w:marTop w:val="180"/>
      <w:marBottom w:val="180"/>
      <w:divBdr>
        <w:top w:val="none" w:sz="0" w:space="0" w:color="auto"/>
        <w:left w:val="none" w:sz="0" w:space="0" w:color="auto"/>
        <w:bottom w:val="none" w:sz="0" w:space="0" w:color="auto"/>
        <w:right w:val="none" w:sz="0" w:space="0" w:color="auto"/>
      </w:divBdr>
    </w:div>
    <w:div w:id="784349218">
      <w:marLeft w:val="0"/>
      <w:marRight w:val="0"/>
      <w:marTop w:val="180"/>
      <w:marBottom w:val="180"/>
      <w:divBdr>
        <w:top w:val="none" w:sz="0" w:space="0" w:color="auto"/>
        <w:left w:val="none" w:sz="0" w:space="0" w:color="auto"/>
        <w:bottom w:val="none" w:sz="0" w:space="0" w:color="auto"/>
        <w:right w:val="none" w:sz="0" w:space="0" w:color="auto"/>
      </w:divBdr>
    </w:div>
    <w:div w:id="790587506">
      <w:marLeft w:val="0"/>
      <w:marRight w:val="0"/>
      <w:marTop w:val="60"/>
      <w:marBottom w:val="60"/>
      <w:divBdr>
        <w:top w:val="none" w:sz="0" w:space="0" w:color="auto"/>
        <w:left w:val="none" w:sz="0" w:space="0" w:color="auto"/>
        <w:bottom w:val="none" w:sz="0" w:space="0" w:color="auto"/>
        <w:right w:val="none" w:sz="0" w:space="0" w:color="auto"/>
      </w:divBdr>
    </w:div>
    <w:div w:id="791631792">
      <w:marLeft w:val="0"/>
      <w:marRight w:val="0"/>
      <w:marTop w:val="180"/>
      <w:marBottom w:val="180"/>
      <w:divBdr>
        <w:top w:val="none" w:sz="0" w:space="0" w:color="auto"/>
        <w:left w:val="none" w:sz="0" w:space="0" w:color="auto"/>
        <w:bottom w:val="none" w:sz="0" w:space="0" w:color="auto"/>
        <w:right w:val="none" w:sz="0" w:space="0" w:color="auto"/>
      </w:divBdr>
    </w:div>
    <w:div w:id="799686117">
      <w:marLeft w:val="0"/>
      <w:marRight w:val="0"/>
      <w:marTop w:val="180"/>
      <w:marBottom w:val="180"/>
      <w:divBdr>
        <w:top w:val="none" w:sz="0" w:space="0" w:color="auto"/>
        <w:left w:val="none" w:sz="0" w:space="0" w:color="auto"/>
        <w:bottom w:val="none" w:sz="0" w:space="0" w:color="auto"/>
        <w:right w:val="none" w:sz="0" w:space="0" w:color="auto"/>
      </w:divBdr>
    </w:div>
    <w:div w:id="803354551">
      <w:marLeft w:val="0"/>
      <w:marRight w:val="0"/>
      <w:marTop w:val="100"/>
      <w:marBottom w:val="100"/>
      <w:divBdr>
        <w:top w:val="none" w:sz="0" w:space="0" w:color="auto"/>
        <w:left w:val="none" w:sz="0" w:space="0" w:color="auto"/>
        <w:bottom w:val="none" w:sz="0" w:space="0" w:color="auto"/>
        <w:right w:val="none" w:sz="0" w:space="0" w:color="auto"/>
      </w:divBdr>
    </w:div>
    <w:div w:id="804085435">
      <w:marLeft w:val="0"/>
      <w:marRight w:val="0"/>
      <w:marTop w:val="60"/>
      <w:marBottom w:val="60"/>
      <w:divBdr>
        <w:top w:val="none" w:sz="0" w:space="0" w:color="auto"/>
        <w:left w:val="none" w:sz="0" w:space="0" w:color="auto"/>
        <w:bottom w:val="none" w:sz="0" w:space="0" w:color="auto"/>
        <w:right w:val="none" w:sz="0" w:space="0" w:color="auto"/>
      </w:divBdr>
    </w:div>
    <w:div w:id="807014068">
      <w:marLeft w:val="0"/>
      <w:marRight w:val="0"/>
      <w:marTop w:val="180"/>
      <w:marBottom w:val="180"/>
      <w:divBdr>
        <w:top w:val="none" w:sz="0" w:space="0" w:color="auto"/>
        <w:left w:val="none" w:sz="0" w:space="0" w:color="auto"/>
        <w:bottom w:val="none" w:sz="0" w:space="0" w:color="auto"/>
        <w:right w:val="none" w:sz="0" w:space="0" w:color="auto"/>
      </w:divBdr>
    </w:div>
    <w:div w:id="809128140">
      <w:marLeft w:val="0"/>
      <w:marRight w:val="0"/>
      <w:marTop w:val="0"/>
      <w:marBottom w:val="0"/>
      <w:divBdr>
        <w:top w:val="none" w:sz="0" w:space="0" w:color="auto"/>
        <w:left w:val="none" w:sz="0" w:space="0" w:color="auto"/>
        <w:bottom w:val="none" w:sz="0" w:space="0" w:color="auto"/>
        <w:right w:val="none" w:sz="0" w:space="0" w:color="auto"/>
      </w:divBdr>
    </w:div>
    <w:div w:id="810560883">
      <w:marLeft w:val="0"/>
      <w:marRight w:val="0"/>
      <w:marTop w:val="180"/>
      <w:marBottom w:val="180"/>
      <w:divBdr>
        <w:top w:val="none" w:sz="0" w:space="0" w:color="auto"/>
        <w:left w:val="none" w:sz="0" w:space="0" w:color="auto"/>
        <w:bottom w:val="none" w:sz="0" w:space="0" w:color="auto"/>
        <w:right w:val="none" w:sz="0" w:space="0" w:color="auto"/>
      </w:divBdr>
    </w:div>
    <w:div w:id="810682397">
      <w:marLeft w:val="0"/>
      <w:marRight w:val="0"/>
      <w:marTop w:val="180"/>
      <w:marBottom w:val="180"/>
      <w:divBdr>
        <w:top w:val="none" w:sz="0" w:space="0" w:color="auto"/>
        <w:left w:val="none" w:sz="0" w:space="0" w:color="auto"/>
        <w:bottom w:val="none" w:sz="0" w:space="0" w:color="auto"/>
        <w:right w:val="none" w:sz="0" w:space="0" w:color="auto"/>
      </w:divBdr>
    </w:div>
    <w:div w:id="815951451">
      <w:marLeft w:val="0"/>
      <w:marRight w:val="0"/>
      <w:marTop w:val="0"/>
      <w:marBottom w:val="0"/>
      <w:divBdr>
        <w:top w:val="none" w:sz="0" w:space="0" w:color="auto"/>
        <w:left w:val="none" w:sz="0" w:space="0" w:color="auto"/>
        <w:bottom w:val="none" w:sz="0" w:space="0" w:color="auto"/>
        <w:right w:val="none" w:sz="0" w:space="0" w:color="auto"/>
      </w:divBdr>
    </w:div>
    <w:div w:id="815994916">
      <w:marLeft w:val="0"/>
      <w:marRight w:val="0"/>
      <w:marTop w:val="0"/>
      <w:marBottom w:val="0"/>
      <w:divBdr>
        <w:top w:val="none" w:sz="0" w:space="0" w:color="auto"/>
        <w:left w:val="none" w:sz="0" w:space="0" w:color="auto"/>
        <w:bottom w:val="none" w:sz="0" w:space="0" w:color="auto"/>
        <w:right w:val="none" w:sz="0" w:space="0" w:color="auto"/>
      </w:divBdr>
      <w:divsChild>
        <w:div w:id="179777430">
          <w:marLeft w:val="0"/>
          <w:marRight w:val="0"/>
          <w:marTop w:val="0"/>
          <w:marBottom w:val="0"/>
          <w:divBdr>
            <w:top w:val="none" w:sz="0" w:space="0" w:color="auto"/>
            <w:left w:val="none" w:sz="0" w:space="0" w:color="auto"/>
            <w:bottom w:val="none" w:sz="0" w:space="0" w:color="auto"/>
            <w:right w:val="none" w:sz="0" w:space="0" w:color="auto"/>
          </w:divBdr>
          <w:divsChild>
            <w:div w:id="1763145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6648164">
      <w:marLeft w:val="0"/>
      <w:marRight w:val="0"/>
      <w:marTop w:val="180"/>
      <w:marBottom w:val="60"/>
      <w:divBdr>
        <w:top w:val="none" w:sz="0" w:space="0" w:color="auto"/>
        <w:left w:val="none" w:sz="0" w:space="0" w:color="auto"/>
        <w:bottom w:val="none" w:sz="0" w:space="0" w:color="auto"/>
        <w:right w:val="none" w:sz="0" w:space="0" w:color="auto"/>
      </w:divBdr>
    </w:div>
    <w:div w:id="819734555">
      <w:marLeft w:val="0"/>
      <w:marRight w:val="0"/>
      <w:marTop w:val="0"/>
      <w:marBottom w:val="0"/>
      <w:divBdr>
        <w:top w:val="none" w:sz="0" w:space="0" w:color="auto"/>
        <w:left w:val="none" w:sz="0" w:space="0" w:color="auto"/>
        <w:bottom w:val="none" w:sz="0" w:space="0" w:color="auto"/>
        <w:right w:val="none" w:sz="0" w:space="0" w:color="auto"/>
      </w:divBdr>
    </w:div>
    <w:div w:id="821196721">
      <w:marLeft w:val="0"/>
      <w:marRight w:val="0"/>
      <w:marTop w:val="60"/>
      <w:marBottom w:val="60"/>
      <w:divBdr>
        <w:top w:val="none" w:sz="0" w:space="0" w:color="auto"/>
        <w:left w:val="none" w:sz="0" w:space="0" w:color="auto"/>
        <w:bottom w:val="none" w:sz="0" w:space="0" w:color="auto"/>
        <w:right w:val="none" w:sz="0" w:space="0" w:color="auto"/>
      </w:divBdr>
    </w:div>
    <w:div w:id="823400593">
      <w:marLeft w:val="0"/>
      <w:marRight w:val="0"/>
      <w:marTop w:val="180"/>
      <w:marBottom w:val="0"/>
      <w:divBdr>
        <w:top w:val="none" w:sz="0" w:space="0" w:color="auto"/>
        <w:left w:val="none" w:sz="0" w:space="0" w:color="auto"/>
        <w:bottom w:val="none" w:sz="0" w:space="0" w:color="auto"/>
        <w:right w:val="none" w:sz="0" w:space="0" w:color="auto"/>
      </w:divBdr>
    </w:div>
    <w:div w:id="824051356">
      <w:marLeft w:val="0"/>
      <w:marRight w:val="0"/>
      <w:marTop w:val="180"/>
      <w:marBottom w:val="180"/>
      <w:divBdr>
        <w:top w:val="none" w:sz="0" w:space="0" w:color="auto"/>
        <w:left w:val="none" w:sz="0" w:space="0" w:color="auto"/>
        <w:bottom w:val="none" w:sz="0" w:space="0" w:color="auto"/>
        <w:right w:val="none" w:sz="0" w:space="0" w:color="auto"/>
      </w:divBdr>
    </w:div>
    <w:div w:id="825046501">
      <w:marLeft w:val="0"/>
      <w:marRight w:val="0"/>
      <w:marTop w:val="100"/>
      <w:marBottom w:val="100"/>
      <w:divBdr>
        <w:top w:val="none" w:sz="0" w:space="0" w:color="auto"/>
        <w:left w:val="none" w:sz="0" w:space="0" w:color="auto"/>
        <w:bottom w:val="none" w:sz="0" w:space="0" w:color="auto"/>
        <w:right w:val="none" w:sz="0" w:space="0" w:color="auto"/>
      </w:divBdr>
    </w:div>
    <w:div w:id="825243830">
      <w:marLeft w:val="0"/>
      <w:marRight w:val="0"/>
      <w:marTop w:val="180"/>
      <w:marBottom w:val="180"/>
      <w:divBdr>
        <w:top w:val="none" w:sz="0" w:space="0" w:color="auto"/>
        <w:left w:val="none" w:sz="0" w:space="0" w:color="auto"/>
        <w:bottom w:val="none" w:sz="0" w:space="0" w:color="auto"/>
        <w:right w:val="none" w:sz="0" w:space="0" w:color="auto"/>
      </w:divBdr>
    </w:div>
    <w:div w:id="828135484">
      <w:marLeft w:val="0"/>
      <w:marRight w:val="0"/>
      <w:marTop w:val="0"/>
      <w:marBottom w:val="0"/>
      <w:divBdr>
        <w:top w:val="none" w:sz="0" w:space="0" w:color="auto"/>
        <w:left w:val="none" w:sz="0" w:space="0" w:color="auto"/>
        <w:bottom w:val="none" w:sz="0" w:space="0" w:color="auto"/>
        <w:right w:val="none" w:sz="0" w:space="0" w:color="auto"/>
      </w:divBdr>
    </w:div>
    <w:div w:id="830024475">
      <w:marLeft w:val="0"/>
      <w:marRight w:val="0"/>
      <w:marTop w:val="180"/>
      <w:marBottom w:val="180"/>
      <w:divBdr>
        <w:top w:val="none" w:sz="0" w:space="0" w:color="auto"/>
        <w:left w:val="none" w:sz="0" w:space="0" w:color="auto"/>
        <w:bottom w:val="none" w:sz="0" w:space="0" w:color="auto"/>
        <w:right w:val="none" w:sz="0" w:space="0" w:color="auto"/>
      </w:divBdr>
    </w:div>
    <w:div w:id="830026541">
      <w:marLeft w:val="0"/>
      <w:marRight w:val="0"/>
      <w:marTop w:val="60"/>
      <w:marBottom w:val="0"/>
      <w:divBdr>
        <w:top w:val="none" w:sz="0" w:space="0" w:color="auto"/>
        <w:left w:val="none" w:sz="0" w:space="0" w:color="auto"/>
        <w:bottom w:val="none" w:sz="0" w:space="0" w:color="auto"/>
        <w:right w:val="none" w:sz="0" w:space="0" w:color="auto"/>
      </w:divBdr>
    </w:div>
    <w:div w:id="831214766">
      <w:marLeft w:val="0"/>
      <w:marRight w:val="0"/>
      <w:marTop w:val="180"/>
      <w:marBottom w:val="180"/>
      <w:divBdr>
        <w:top w:val="none" w:sz="0" w:space="0" w:color="auto"/>
        <w:left w:val="none" w:sz="0" w:space="0" w:color="auto"/>
        <w:bottom w:val="none" w:sz="0" w:space="0" w:color="auto"/>
        <w:right w:val="none" w:sz="0" w:space="0" w:color="auto"/>
      </w:divBdr>
    </w:div>
    <w:div w:id="831215221">
      <w:marLeft w:val="0"/>
      <w:marRight w:val="0"/>
      <w:marTop w:val="0"/>
      <w:marBottom w:val="0"/>
      <w:divBdr>
        <w:top w:val="none" w:sz="0" w:space="0" w:color="auto"/>
        <w:left w:val="none" w:sz="0" w:space="0" w:color="auto"/>
        <w:bottom w:val="none" w:sz="0" w:space="0" w:color="auto"/>
        <w:right w:val="none" w:sz="0" w:space="0" w:color="auto"/>
      </w:divBdr>
      <w:divsChild>
        <w:div w:id="2116171844">
          <w:marLeft w:val="0"/>
          <w:marRight w:val="0"/>
          <w:marTop w:val="60"/>
          <w:marBottom w:val="60"/>
          <w:divBdr>
            <w:top w:val="none" w:sz="0" w:space="0" w:color="auto"/>
            <w:left w:val="none" w:sz="0" w:space="0" w:color="auto"/>
            <w:bottom w:val="none" w:sz="0" w:space="0" w:color="auto"/>
            <w:right w:val="none" w:sz="0" w:space="0" w:color="auto"/>
          </w:divBdr>
        </w:div>
      </w:divsChild>
    </w:div>
    <w:div w:id="833302034">
      <w:marLeft w:val="0"/>
      <w:marRight w:val="0"/>
      <w:marTop w:val="60"/>
      <w:marBottom w:val="60"/>
      <w:divBdr>
        <w:top w:val="none" w:sz="0" w:space="0" w:color="auto"/>
        <w:left w:val="none" w:sz="0" w:space="0" w:color="auto"/>
        <w:bottom w:val="none" w:sz="0" w:space="0" w:color="auto"/>
        <w:right w:val="none" w:sz="0" w:space="0" w:color="auto"/>
      </w:divBdr>
    </w:div>
    <w:div w:id="834610206">
      <w:marLeft w:val="0"/>
      <w:marRight w:val="0"/>
      <w:marTop w:val="180"/>
      <w:marBottom w:val="60"/>
      <w:divBdr>
        <w:top w:val="none" w:sz="0" w:space="0" w:color="auto"/>
        <w:left w:val="none" w:sz="0" w:space="0" w:color="auto"/>
        <w:bottom w:val="none" w:sz="0" w:space="0" w:color="auto"/>
        <w:right w:val="none" w:sz="0" w:space="0" w:color="auto"/>
      </w:divBdr>
    </w:div>
    <w:div w:id="838737748">
      <w:marLeft w:val="0"/>
      <w:marRight w:val="0"/>
      <w:marTop w:val="180"/>
      <w:marBottom w:val="180"/>
      <w:divBdr>
        <w:top w:val="none" w:sz="0" w:space="0" w:color="auto"/>
        <w:left w:val="none" w:sz="0" w:space="0" w:color="auto"/>
        <w:bottom w:val="none" w:sz="0" w:space="0" w:color="auto"/>
        <w:right w:val="none" w:sz="0" w:space="0" w:color="auto"/>
      </w:divBdr>
    </w:div>
    <w:div w:id="838886300">
      <w:marLeft w:val="0"/>
      <w:marRight w:val="0"/>
      <w:marTop w:val="0"/>
      <w:marBottom w:val="0"/>
      <w:divBdr>
        <w:top w:val="none" w:sz="0" w:space="0" w:color="auto"/>
        <w:left w:val="none" w:sz="0" w:space="0" w:color="auto"/>
        <w:bottom w:val="none" w:sz="0" w:space="0" w:color="auto"/>
        <w:right w:val="none" w:sz="0" w:space="0" w:color="auto"/>
      </w:divBdr>
      <w:divsChild>
        <w:div w:id="574357782">
          <w:marLeft w:val="0"/>
          <w:marRight w:val="0"/>
          <w:marTop w:val="0"/>
          <w:marBottom w:val="0"/>
          <w:divBdr>
            <w:top w:val="none" w:sz="0" w:space="0" w:color="auto"/>
            <w:left w:val="none" w:sz="0" w:space="0" w:color="auto"/>
            <w:bottom w:val="none" w:sz="0" w:space="0" w:color="auto"/>
            <w:right w:val="none" w:sz="0" w:space="0" w:color="auto"/>
          </w:divBdr>
          <w:divsChild>
            <w:div w:id="18458956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9543027">
      <w:marLeft w:val="0"/>
      <w:marRight w:val="0"/>
      <w:marTop w:val="60"/>
      <w:marBottom w:val="60"/>
      <w:divBdr>
        <w:top w:val="none" w:sz="0" w:space="0" w:color="auto"/>
        <w:left w:val="none" w:sz="0" w:space="0" w:color="auto"/>
        <w:bottom w:val="none" w:sz="0" w:space="0" w:color="auto"/>
        <w:right w:val="none" w:sz="0" w:space="0" w:color="auto"/>
      </w:divBdr>
    </w:div>
    <w:div w:id="840511291">
      <w:marLeft w:val="0"/>
      <w:marRight w:val="0"/>
      <w:marTop w:val="60"/>
      <w:marBottom w:val="0"/>
      <w:divBdr>
        <w:top w:val="none" w:sz="0" w:space="0" w:color="auto"/>
        <w:left w:val="none" w:sz="0" w:space="0" w:color="auto"/>
        <w:bottom w:val="none" w:sz="0" w:space="0" w:color="auto"/>
        <w:right w:val="none" w:sz="0" w:space="0" w:color="auto"/>
      </w:divBdr>
    </w:div>
    <w:div w:id="840776840">
      <w:marLeft w:val="0"/>
      <w:marRight w:val="0"/>
      <w:marTop w:val="0"/>
      <w:marBottom w:val="0"/>
      <w:divBdr>
        <w:top w:val="none" w:sz="0" w:space="0" w:color="auto"/>
        <w:left w:val="none" w:sz="0" w:space="0" w:color="auto"/>
        <w:bottom w:val="none" w:sz="0" w:space="0" w:color="auto"/>
        <w:right w:val="none" w:sz="0" w:space="0" w:color="auto"/>
      </w:divBdr>
      <w:divsChild>
        <w:div w:id="520709492">
          <w:marLeft w:val="0"/>
          <w:marRight w:val="0"/>
          <w:marTop w:val="180"/>
          <w:marBottom w:val="180"/>
          <w:divBdr>
            <w:top w:val="none" w:sz="0" w:space="0" w:color="auto"/>
            <w:left w:val="none" w:sz="0" w:space="0" w:color="auto"/>
            <w:bottom w:val="none" w:sz="0" w:space="0" w:color="auto"/>
            <w:right w:val="none" w:sz="0" w:space="0" w:color="auto"/>
          </w:divBdr>
        </w:div>
      </w:divsChild>
    </w:div>
    <w:div w:id="841505594">
      <w:marLeft w:val="0"/>
      <w:marRight w:val="0"/>
      <w:marTop w:val="180"/>
      <w:marBottom w:val="180"/>
      <w:divBdr>
        <w:top w:val="none" w:sz="0" w:space="0" w:color="auto"/>
        <w:left w:val="none" w:sz="0" w:space="0" w:color="auto"/>
        <w:bottom w:val="none" w:sz="0" w:space="0" w:color="auto"/>
        <w:right w:val="none" w:sz="0" w:space="0" w:color="auto"/>
      </w:divBdr>
    </w:div>
    <w:div w:id="843011828">
      <w:marLeft w:val="0"/>
      <w:marRight w:val="0"/>
      <w:marTop w:val="60"/>
      <w:marBottom w:val="60"/>
      <w:divBdr>
        <w:top w:val="none" w:sz="0" w:space="0" w:color="auto"/>
        <w:left w:val="none" w:sz="0" w:space="0" w:color="auto"/>
        <w:bottom w:val="none" w:sz="0" w:space="0" w:color="auto"/>
        <w:right w:val="none" w:sz="0" w:space="0" w:color="auto"/>
      </w:divBdr>
    </w:div>
    <w:div w:id="843128132">
      <w:marLeft w:val="0"/>
      <w:marRight w:val="0"/>
      <w:marTop w:val="100"/>
      <w:marBottom w:val="100"/>
      <w:divBdr>
        <w:top w:val="none" w:sz="0" w:space="0" w:color="auto"/>
        <w:left w:val="none" w:sz="0" w:space="0" w:color="auto"/>
        <w:bottom w:val="none" w:sz="0" w:space="0" w:color="auto"/>
        <w:right w:val="none" w:sz="0" w:space="0" w:color="auto"/>
      </w:divBdr>
      <w:divsChild>
        <w:div w:id="1316690943">
          <w:marLeft w:val="0"/>
          <w:marRight w:val="0"/>
          <w:marTop w:val="0"/>
          <w:marBottom w:val="0"/>
          <w:divBdr>
            <w:top w:val="none" w:sz="0" w:space="0" w:color="auto"/>
            <w:left w:val="none" w:sz="0" w:space="0" w:color="auto"/>
            <w:bottom w:val="none" w:sz="0" w:space="0" w:color="auto"/>
            <w:right w:val="none" w:sz="0" w:space="0" w:color="auto"/>
          </w:divBdr>
        </w:div>
        <w:div w:id="499202309">
          <w:marLeft w:val="0"/>
          <w:marRight w:val="0"/>
          <w:marTop w:val="0"/>
          <w:marBottom w:val="0"/>
          <w:divBdr>
            <w:top w:val="none" w:sz="0" w:space="0" w:color="auto"/>
            <w:left w:val="none" w:sz="0" w:space="0" w:color="auto"/>
            <w:bottom w:val="none" w:sz="0" w:space="0" w:color="auto"/>
            <w:right w:val="none" w:sz="0" w:space="0" w:color="auto"/>
          </w:divBdr>
        </w:div>
      </w:divsChild>
    </w:div>
    <w:div w:id="844367940">
      <w:marLeft w:val="0"/>
      <w:marRight w:val="0"/>
      <w:marTop w:val="60"/>
      <w:marBottom w:val="60"/>
      <w:divBdr>
        <w:top w:val="none" w:sz="0" w:space="0" w:color="auto"/>
        <w:left w:val="none" w:sz="0" w:space="0" w:color="auto"/>
        <w:bottom w:val="none" w:sz="0" w:space="0" w:color="auto"/>
        <w:right w:val="none" w:sz="0" w:space="0" w:color="auto"/>
      </w:divBdr>
    </w:div>
    <w:div w:id="844589322">
      <w:marLeft w:val="0"/>
      <w:marRight w:val="0"/>
      <w:marTop w:val="180"/>
      <w:marBottom w:val="180"/>
      <w:divBdr>
        <w:top w:val="none" w:sz="0" w:space="0" w:color="auto"/>
        <w:left w:val="none" w:sz="0" w:space="0" w:color="auto"/>
        <w:bottom w:val="none" w:sz="0" w:space="0" w:color="auto"/>
        <w:right w:val="none" w:sz="0" w:space="0" w:color="auto"/>
      </w:divBdr>
    </w:div>
    <w:div w:id="844826058">
      <w:marLeft w:val="0"/>
      <w:marRight w:val="0"/>
      <w:marTop w:val="100"/>
      <w:marBottom w:val="60"/>
      <w:divBdr>
        <w:top w:val="none" w:sz="0" w:space="0" w:color="auto"/>
        <w:left w:val="none" w:sz="0" w:space="0" w:color="auto"/>
        <w:bottom w:val="none" w:sz="0" w:space="0" w:color="auto"/>
        <w:right w:val="none" w:sz="0" w:space="0" w:color="auto"/>
      </w:divBdr>
      <w:divsChild>
        <w:div w:id="1236427934">
          <w:marLeft w:val="0"/>
          <w:marRight w:val="0"/>
          <w:marTop w:val="0"/>
          <w:marBottom w:val="0"/>
          <w:divBdr>
            <w:top w:val="none" w:sz="0" w:space="0" w:color="auto"/>
            <w:left w:val="none" w:sz="0" w:space="0" w:color="auto"/>
            <w:bottom w:val="none" w:sz="0" w:space="0" w:color="auto"/>
            <w:right w:val="none" w:sz="0" w:space="0" w:color="auto"/>
          </w:divBdr>
        </w:div>
        <w:div w:id="778909563">
          <w:marLeft w:val="0"/>
          <w:marRight w:val="0"/>
          <w:marTop w:val="0"/>
          <w:marBottom w:val="0"/>
          <w:divBdr>
            <w:top w:val="none" w:sz="0" w:space="0" w:color="auto"/>
            <w:left w:val="none" w:sz="0" w:space="0" w:color="auto"/>
            <w:bottom w:val="none" w:sz="0" w:space="0" w:color="auto"/>
            <w:right w:val="none" w:sz="0" w:space="0" w:color="auto"/>
          </w:divBdr>
        </w:div>
        <w:div w:id="1873029098">
          <w:marLeft w:val="0"/>
          <w:marRight w:val="0"/>
          <w:marTop w:val="0"/>
          <w:marBottom w:val="0"/>
          <w:divBdr>
            <w:top w:val="none" w:sz="0" w:space="0" w:color="auto"/>
            <w:left w:val="none" w:sz="0" w:space="0" w:color="auto"/>
            <w:bottom w:val="none" w:sz="0" w:space="0" w:color="auto"/>
            <w:right w:val="none" w:sz="0" w:space="0" w:color="auto"/>
          </w:divBdr>
        </w:div>
        <w:div w:id="1228957546">
          <w:marLeft w:val="0"/>
          <w:marRight w:val="0"/>
          <w:marTop w:val="0"/>
          <w:marBottom w:val="0"/>
          <w:divBdr>
            <w:top w:val="none" w:sz="0" w:space="0" w:color="auto"/>
            <w:left w:val="none" w:sz="0" w:space="0" w:color="auto"/>
            <w:bottom w:val="none" w:sz="0" w:space="0" w:color="auto"/>
            <w:right w:val="none" w:sz="0" w:space="0" w:color="auto"/>
          </w:divBdr>
        </w:div>
        <w:div w:id="1652251256">
          <w:marLeft w:val="0"/>
          <w:marRight w:val="0"/>
          <w:marTop w:val="0"/>
          <w:marBottom w:val="0"/>
          <w:divBdr>
            <w:top w:val="none" w:sz="0" w:space="0" w:color="auto"/>
            <w:left w:val="none" w:sz="0" w:space="0" w:color="auto"/>
            <w:bottom w:val="none" w:sz="0" w:space="0" w:color="auto"/>
            <w:right w:val="none" w:sz="0" w:space="0" w:color="auto"/>
          </w:divBdr>
        </w:div>
        <w:div w:id="1572039822">
          <w:marLeft w:val="0"/>
          <w:marRight w:val="0"/>
          <w:marTop w:val="0"/>
          <w:marBottom w:val="0"/>
          <w:divBdr>
            <w:top w:val="none" w:sz="0" w:space="0" w:color="auto"/>
            <w:left w:val="none" w:sz="0" w:space="0" w:color="auto"/>
            <w:bottom w:val="none" w:sz="0" w:space="0" w:color="auto"/>
            <w:right w:val="none" w:sz="0" w:space="0" w:color="auto"/>
          </w:divBdr>
        </w:div>
        <w:div w:id="895046300">
          <w:marLeft w:val="0"/>
          <w:marRight w:val="0"/>
          <w:marTop w:val="0"/>
          <w:marBottom w:val="0"/>
          <w:divBdr>
            <w:top w:val="none" w:sz="0" w:space="0" w:color="auto"/>
            <w:left w:val="none" w:sz="0" w:space="0" w:color="auto"/>
            <w:bottom w:val="none" w:sz="0" w:space="0" w:color="auto"/>
            <w:right w:val="none" w:sz="0" w:space="0" w:color="auto"/>
          </w:divBdr>
        </w:div>
        <w:div w:id="1476335127">
          <w:marLeft w:val="0"/>
          <w:marRight w:val="0"/>
          <w:marTop w:val="0"/>
          <w:marBottom w:val="0"/>
          <w:divBdr>
            <w:top w:val="none" w:sz="0" w:space="0" w:color="auto"/>
            <w:left w:val="none" w:sz="0" w:space="0" w:color="auto"/>
            <w:bottom w:val="none" w:sz="0" w:space="0" w:color="auto"/>
            <w:right w:val="none" w:sz="0" w:space="0" w:color="auto"/>
          </w:divBdr>
        </w:div>
      </w:divsChild>
    </w:div>
    <w:div w:id="844899037">
      <w:marLeft w:val="0"/>
      <w:marRight w:val="0"/>
      <w:marTop w:val="100"/>
      <w:marBottom w:val="100"/>
      <w:divBdr>
        <w:top w:val="none" w:sz="0" w:space="0" w:color="auto"/>
        <w:left w:val="none" w:sz="0" w:space="0" w:color="auto"/>
        <w:bottom w:val="none" w:sz="0" w:space="0" w:color="auto"/>
        <w:right w:val="none" w:sz="0" w:space="0" w:color="auto"/>
      </w:divBdr>
      <w:divsChild>
        <w:div w:id="1164277900">
          <w:marLeft w:val="0"/>
          <w:marRight w:val="0"/>
          <w:marTop w:val="0"/>
          <w:marBottom w:val="0"/>
          <w:divBdr>
            <w:top w:val="none" w:sz="0" w:space="0" w:color="auto"/>
            <w:left w:val="none" w:sz="0" w:space="0" w:color="auto"/>
            <w:bottom w:val="none" w:sz="0" w:space="0" w:color="auto"/>
            <w:right w:val="none" w:sz="0" w:space="0" w:color="auto"/>
          </w:divBdr>
        </w:div>
        <w:div w:id="996959619">
          <w:marLeft w:val="0"/>
          <w:marRight w:val="0"/>
          <w:marTop w:val="0"/>
          <w:marBottom w:val="0"/>
          <w:divBdr>
            <w:top w:val="none" w:sz="0" w:space="0" w:color="auto"/>
            <w:left w:val="none" w:sz="0" w:space="0" w:color="auto"/>
            <w:bottom w:val="none" w:sz="0" w:space="0" w:color="auto"/>
            <w:right w:val="none" w:sz="0" w:space="0" w:color="auto"/>
          </w:divBdr>
        </w:div>
      </w:divsChild>
    </w:div>
    <w:div w:id="844901159">
      <w:marLeft w:val="0"/>
      <w:marRight w:val="0"/>
      <w:marTop w:val="180"/>
      <w:marBottom w:val="180"/>
      <w:divBdr>
        <w:top w:val="none" w:sz="0" w:space="0" w:color="auto"/>
        <w:left w:val="none" w:sz="0" w:space="0" w:color="auto"/>
        <w:bottom w:val="none" w:sz="0" w:space="0" w:color="auto"/>
        <w:right w:val="none" w:sz="0" w:space="0" w:color="auto"/>
      </w:divBdr>
    </w:div>
    <w:div w:id="845024212">
      <w:marLeft w:val="0"/>
      <w:marRight w:val="0"/>
      <w:marTop w:val="180"/>
      <w:marBottom w:val="180"/>
      <w:divBdr>
        <w:top w:val="none" w:sz="0" w:space="0" w:color="auto"/>
        <w:left w:val="none" w:sz="0" w:space="0" w:color="auto"/>
        <w:bottom w:val="none" w:sz="0" w:space="0" w:color="auto"/>
        <w:right w:val="none" w:sz="0" w:space="0" w:color="auto"/>
      </w:divBdr>
    </w:div>
    <w:div w:id="850879342">
      <w:marLeft w:val="0"/>
      <w:marRight w:val="0"/>
      <w:marTop w:val="180"/>
      <w:marBottom w:val="180"/>
      <w:divBdr>
        <w:top w:val="none" w:sz="0" w:space="0" w:color="auto"/>
        <w:left w:val="none" w:sz="0" w:space="0" w:color="auto"/>
        <w:bottom w:val="none" w:sz="0" w:space="0" w:color="auto"/>
        <w:right w:val="none" w:sz="0" w:space="0" w:color="auto"/>
      </w:divBdr>
    </w:div>
    <w:div w:id="851266313">
      <w:marLeft w:val="0"/>
      <w:marRight w:val="0"/>
      <w:marTop w:val="60"/>
      <w:marBottom w:val="60"/>
      <w:divBdr>
        <w:top w:val="none" w:sz="0" w:space="0" w:color="auto"/>
        <w:left w:val="none" w:sz="0" w:space="0" w:color="auto"/>
        <w:bottom w:val="none" w:sz="0" w:space="0" w:color="auto"/>
        <w:right w:val="none" w:sz="0" w:space="0" w:color="auto"/>
      </w:divBdr>
    </w:div>
    <w:div w:id="851651589">
      <w:marLeft w:val="0"/>
      <w:marRight w:val="0"/>
      <w:marTop w:val="180"/>
      <w:marBottom w:val="180"/>
      <w:divBdr>
        <w:top w:val="none" w:sz="0" w:space="0" w:color="auto"/>
        <w:left w:val="none" w:sz="0" w:space="0" w:color="auto"/>
        <w:bottom w:val="none" w:sz="0" w:space="0" w:color="auto"/>
        <w:right w:val="none" w:sz="0" w:space="0" w:color="auto"/>
      </w:divBdr>
    </w:div>
    <w:div w:id="852381319">
      <w:marLeft w:val="0"/>
      <w:marRight w:val="0"/>
      <w:marTop w:val="60"/>
      <w:marBottom w:val="60"/>
      <w:divBdr>
        <w:top w:val="none" w:sz="0" w:space="0" w:color="auto"/>
        <w:left w:val="none" w:sz="0" w:space="0" w:color="auto"/>
        <w:bottom w:val="none" w:sz="0" w:space="0" w:color="auto"/>
        <w:right w:val="none" w:sz="0" w:space="0" w:color="auto"/>
      </w:divBdr>
    </w:div>
    <w:div w:id="854542097">
      <w:marLeft w:val="0"/>
      <w:marRight w:val="0"/>
      <w:marTop w:val="180"/>
      <w:marBottom w:val="180"/>
      <w:divBdr>
        <w:top w:val="none" w:sz="0" w:space="0" w:color="auto"/>
        <w:left w:val="none" w:sz="0" w:space="0" w:color="auto"/>
        <w:bottom w:val="none" w:sz="0" w:space="0" w:color="auto"/>
        <w:right w:val="none" w:sz="0" w:space="0" w:color="auto"/>
      </w:divBdr>
    </w:div>
    <w:div w:id="855391579">
      <w:marLeft w:val="0"/>
      <w:marRight w:val="0"/>
      <w:marTop w:val="100"/>
      <w:marBottom w:val="100"/>
      <w:divBdr>
        <w:top w:val="none" w:sz="0" w:space="0" w:color="auto"/>
        <w:left w:val="none" w:sz="0" w:space="0" w:color="auto"/>
        <w:bottom w:val="none" w:sz="0" w:space="0" w:color="auto"/>
        <w:right w:val="none" w:sz="0" w:space="0" w:color="auto"/>
      </w:divBdr>
      <w:divsChild>
        <w:div w:id="695810638">
          <w:marLeft w:val="0"/>
          <w:marRight w:val="0"/>
          <w:marTop w:val="0"/>
          <w:marBottom w:val="0"/>
          <w:divBdr>
            <w:top w:val="none" w:sz="0" w:space="0" w:color="auto"/>
            <w:left w:val="none" w:sz="0" w:space="0" w:color="auto"/>
            <w:bottom w:val="none" w:sz="0" w:space="0" w:color="auto"/>
            <w:right w:val="none" w:sz="0" w:space="0" w:color="auto"/>
          </w:divBdr>
        </w:div>
        <w:div w:id="1512178892">
          <w:marLeft w:val="0"/>
          <w:marRight w:val="0"/>
          <w:marTop w:val="0"/>
          <w:marBottom w:val="0"/>
          <w:divBdr>
            <w:top w:val="none" w:sz="0" w:space="0" w:color="auto"/>
            <w:left w:val="none" w:sz="0" w:space="0" w:color="auto"/>
            <w:bottom w:val="none" w:sz="0" w:space="0" w:color="auto"/>
            <w:right w:val="none" w:sz="0" w:space="0" w:color="auto"/>
          </w:divBdr>
        </w:div>
      </w:divsChild>
    </w:div>
    <w:div w:id="856190135">
      <w:marLeft w:val="0"/>
      <w:marRight w:val="0"/>
      <w:marTop w:val="60"/>
      <w:marBottom w:val="60"/>
      <w:divBdr>
        <w:top w:val="none" w:sz="0" w:space="0" w:color="auto"/>
        <w:left w:val="none" w:sz="0" w:space="0" w:color="auto"/>
        <w:bottom w:val="none" w:sz="0" w:space="0" w:color="auto"/>
        <w:right w:val="none" w:sz="0" w:space="0" w:color="auto"/>
      </w:divBdr>
    </w:div>
    <w:div w:id="862400254">
      <w:marLeft w:val="0"/>
      <w:marRight w:val="0"/>
      <w:marTop w:val="180"/>
      <w:marBottom w:val="180"/>
      <w:divBdr>
        <w:top w:val="none" w:sz="0" w:space="0" w:color="auto"/>
        <w:left w:val="none" w:sz="0" w:space="0" w:color="auto"/>
        <w:bottom w:val="none" w:sz="0" w:space="0" w:color="auto"/>
        <w:right w:val="none" w:sz="0" w:space="0" w:color="auto"/>
      </w:divBdr>
    </w:div>
    <w:div w:id="863204697">
      <w:marLeft w:val="0"/>
      <w:marRight w:val="0"/>
      <w:marTop w:val="180"/>
      <w:marBottom w:val="180"/>
      <w:divBdr>
        <w:top w:val="none" w:sz="0" w:space="0" w:color="auto"/>
        <w:left w:val="none" w:sz="0" w:space="0" w:color="auto"/>
        <w:bottom w:val="none" w:sz="0" w:space="0" w:color="auto"/>
        <w:right w:val="none" w:sz="0" w:space="0" w:color="auto"/>
      </w:divBdr>
    </w:div>
    <w:div w:id="865290411">
      <w:marLeft w:val="0"/>
      <w:marRight w:val="0"/>
      <w:marTop w:val="0"/>
      <w:marBottom w:val="0"/>
      <w:divBdr>
        <w:top w:val="none" w:sz="0" w:space="0" w:color="auto"/>
        <w:left w:val="none" w:sz="0" w:space="0" w:color="auto"/>
        <w:bottom w:val="none" w:sz="0" w:space="0" w:color="auto"/>
        <w:right w:val="none" w:sz="0" w:space="0" w:color="auto"/>
      </w:divBdr>
      <w:divsChild>
        <w:div w:id="855073550">
          <w:marLeft w:val="0"/>
          <w:marRight w:val="0"/>
          <w:marTop w:val="60"/>
          <w:marBottom w:val="60"/>
          <w:divBdr>
            <w:top w:val="none" w:sz="0" w:space="0" w:color="auto"/>
            <w:left w:val="none" w:sz="0" w:space="0" w:color="auto"/>
            <w:bottom w:val="none" w:sz="0" w:space="0" w:color="auto"/>
            <w:right w:val="none" w:sz="0" w:space="0" w:color="auto"/>
          </w:divBdr>
        </w:div>
      </w:divsChild>
    </w:div>
    <w:div w:id="867640780">
      <w:marLeft w:val="0"/>
      <w:marRight w:val="0"/>
      <w:marTop w:val="160"/>
      <w:marBottom w:val="100"/>
      <w:divBdr>
        <w:top w:val="none" w:sz="0" w:space="0" w:color="auto"/>
        <w:left w:val="none" w:sz="0" w:space="0" w:color="auto"/>
        <w:bottom w:val="none" w:sz="0" w:space="0" w:color="auto"/>
        <w:right w:val="none" w:sz="0" w:space="0" w:color="auto"/>
      </w:divBdr>
    </w:div>
    <w:div w:id="867983476">
      <w:marLeft w:val="0"/>
      <w:marRight w:val="0"/>
      <w:marTop w:val="60"/>
      <w:marBottom w:val="60"/>
      <w:divBdr>
        <w:top w:val="none" w:sz="0" w:space="0" w:color="auto"/>
        <w:left w:val="none" w:sz="0" w:space="0" w:color="auto"/>
        <w:bottom w:val="none" w:sz="0" w:space="0" w:color="auto"/>
        <w:right w:val="none" w:sz="0" w:space="0" w:color="auto"/>
      </w:divBdr>
    </w:div>
    <w:div w:id="870843633">
      <w:marLeft w:val="0"/>
      <w:marRight w:val="0"/>
      <w:marTop w:val="180"/>
      <w:marBottom w:val="180"/>
      <w:divBdr>
        <w:top w:val="none" w:sz="0" w:space="0" w:color="auto"/>
        <w:left w:val="none" w:sz="0" w:space="0" w:color="auto"/>
        <w:bottom w:val="none" w:sz="0" w:space="0" w:color="auto"/>
        <w:right w:val="none" w:sz="0" w:space="0" w:color="auto"/>
      </w:divBdr>
    </w:div>
    <w:div w:id="872497390">
      <w:marLeft w:val="0"/>
      <w:marRight w:val="0"/>
      <w:marTop w:val="180"/>
      <w:marBottom w:val="180"/>
      <w:divBdr>
        <w:top w:val="none" w:sz="0" w:space="0" w:color="auto"/>
        <w:left w:val="none" w:sz="0" w:space="0" w:color="auto"/>
        <w:bottom w:val="none" w:sz="0" w:space="0" w:color="auto"/>
        <w:right w:val="none" w:sz="0" w:space="0" w:color="auto"/>
      </w:divBdr>
    </w:div>
    <w:div w:id="872838856">
      <w:marLeft w:val="0"/>
      <w:marRight w:val="0"/>
      <w:marTop w:val="60"/>
      <w:marBottom w:val="60"/>
      <w:divBdr>
        <w:top w:val="none" w:sz="0" w:space="0" w:color="auto"/>
        <w:left w:val="none" w:sz="0" w:space="0" w:color="auto"/>
        <w:bottom w:val="none" w:sz="0" w:space="0" w:color="auto"/>
        <w:right w:val="none" w:sz="0" w:space="0" w:color="auto"/>
      </w:divBdr>
    </w:div>
    <w:div w:id="875776694">
      <w:marLeft w:val="0"/>
      <w:marRight w:val="0"/>
      <w:marTop w:val="180"/>
      <w:marBottom w:val="180"/>
      <w:divBdr>
        <w:top w:val="none" w:sz="0" w:space="0" w:color="auto"/>
        <w:left w:val="none" w:sz="0" w:space="0" w:color="auto"/>
        <w:bottom w:val="none" w:sz="0" w:space="0" w:color="auto"/>
        <w:right w:val="none" w:sz="0" w:space="0" w:color="auto"/>
      </w:divBdr>
    </w:div>
    <w:div w:id="877472709">
      <w:marLeft w:val="0"/>
      <w:marRight w:val="0"/>
      <w:marTop w:val="180"/>
      <w:marBottom w:val="180"/>
      <w:divBdr>
        <w:top w:val="none" w:sz="0" w:space="0" w:color="auto"/>
        <w:left w:val="none" w:sz="0" w:space="0" w:color="auto"/>
        <w:bottom w:val="none" w:sz="0" w:space="0" w:color="auto"/>
        <w:right w:val="none" w:sz="0" w:space="0" w:color="auto"/>
      </w:divBdr>
    </w:div>
    <w:div w:id="878468504">
      <w:marLeft w:val="0"/>
      <w:marRight w:val="0"/>
      <w:marTop w:val="0"/>
      <w:marBottom w:val="0"/>
      <w:divBdr>
        <w:top w:val="none" w:sz="0" w:space="0" w:color="auto"/>
        <w:left w:val="none" w:sz="0" w:space="0" w:color="auto"/>
        <w:bottom w:val="none" w:sz="0" w:space="0" w:color="auto"/>
        <w:right w:val="none" w:sz="0" w:space="0" w:color="auto"/>
      </w:divBdr>
      <w:divsChild>
        <w:div w:id="360664184">
          <w:marLeft w:val="0"/>
          <w:marRight w:val="0"/>
          <w:marTop w:val="0"/>
          <w:marBottom w:val="0"/>
          <w:divBdr>
            <w:top w:val="none" w:sz="0" w:space="0" w:color="auto"/>
            <w:left w:val="none" w:sz="0" w:space="0" w:color="auto"/>
            <w:bottom w:val="none" w:sz="0" w:space="0" w:color="auto"/>
            <w:right w:val="none" w:sz="0" w:space="0" w:color="auto"/>
          </w:divBdr>
          <w:divsChild>
            <w:div w:id="20731127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78588075">
      <w:marLeft w:val="0"/>
      <w:marRight w:val="0"/>
      <w:marTop w:val="0"/>
      <w:marBottom w:val="0"/>
      <w:divBdr>
        <w:top w:val="none" w:sz="0" w:space="0" w:color="auto"/>
        <w:left w:val="none" w:sz="0" w:space="0" w:color="auto"/>
        <w:bottom w:val="none" w:sz="0" w:space="0" w:color="auto"/>
        <w:right w:val="none" w:sz="0" w:space="0" w:color="auto"/>
      </w:divBdr>
      <w:divsChild>
        <w:div w:id="435909291">
          <w:marLeft w:val="0"/>
          <w:marRight w:val="0"/>
          <w:marTop w:val="0"/>
          <w:marBottom w:val="0"/>
          <w:divBdr>
            <w:top w:val="none" w:sz="0" w:space="0" w:color="auto"/>
            <w:left w:val="none" w:sz="0" w:space="0" w:color="auto"/>
            <w:bottom w:val="none" w:sz="0" w:space="0" w:color="auto"/>
            <w:right w:val="none" w:sz="0" w:space="0" w:color="auto"/>
          </w:divBdr>
          <w:divsChild>
            <w:div w:id="11882499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81283878">
      <w:marLeft w:val="0"/>
      <w:marRight w:val="0"/>
      <w:marTop w:val="0"/>
      <w:marBottom w:val="0"/>
      <w:divBdr>
        <w:top w:val="none" w:sz="0" w:space="0" w:color="auto"/>
        <w:left w:val="none" w:sz="0" w:space="0" w:color="auto"/>
        <w:bottom w:val="none" w:sz="0" w:space="0" w:color="auto"/>
        <w:right w:val="none" w:sz="0" w:space="0" w:color="auto"/>
      </w:divBdr>
      <w:divsChild>
        <w:div w:id="1502429547">
          <w:marLeft w:val="0"/>
          <w:marRight w:val="0"/>
          <w:marTop w:val="0"/>
          <w:marBottom w:val="0"/>
          <w:divBdr>
            <w:top w:val="none" w:sz="0" w:space="0" w:color="auto"/>
            <w:left w:val="none" w:sz="0" w:space="0" w:color="auto"/>
            <w:bottom w:val="none" w:sz="0" w:space="0" w:color="auto"/>
            <w:right w:val="none" w:sz="0" w:space="0" w:color="auto"/>
          </w:divBdr>
          <w:divsChild>
            <w:div w:id="4940314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81944136">
      <w:marLeft w:val="0"/>
      <w:marRight w:val="0"/>
      <w:marTop w:val="180"/>
      <w:marBottom w:val="180"/>
      <w:divBdr>
        <w:top w:val="none" w:sz="0" w:space="0" w:color="auto"/>
        <w:left w:val="none" w:sz="0" w:space="0" w:color="auto"/>
        <w:bottom w:val="none" w:sz="0" w:space="0" w:color="auto"/>
        <w:right w:val="none" w:sz="0" w:space="0" w:color="auto"/>
      </w:divBdr>
    </w:div>
    <w:div w:id="882715428">
      <w:marLeft w:val="0"/>
      <w:marRight w:val="0"/>
      <w:marTop w:val="180"/>
      <w:marBottom w:val="180"/>
      <w:divBdr>
        <w:top w:val="none" w:sz="0" w:space="0" w:color="auto"/>
        <w:left w:val="none" w:sz="0" w:space="0" w:color="auto"/>
        <w:bottom w:val="none" w:sz="0" w:space="0" w:color="auto"/>
        <w:right w:val="none" w:sz="0" w:space="0" w:color="auto"/>
      </w:divBdr>
    </w:div>
    <w:div w:id="884416051">
      <w:marLeft w:val="0"/>
      <w:marRight w:val="0"/>
      <w:marTop w:val="60"/>
      <w:marBottom w:val="60"/>
      <w:divBdr>
        <w:top w:val="none" w:sz="0" w:space="0" w:color="auto"/>
        <w:left w:val="none" w:sz="0" w:space="0" w:color="auto"/>
        <w:bottom w:val="none" w:sz="0" w:space="0" w:color="auto"/>
        <w:right w:val="none" w:sz="0" w:space="0" w:color="auto"/>
      </w:divBdr>
    </w:div>
    <w:div w:id="887885090">
      <w:marLeft w:val="0"/>
      <w:marRight w:val="0"/>
      <w:marTop w:val="0"/>
      <w:marBottom w:val="0"/>
      <w:divBdr>
        <w:top w:val="none" w:sz="0" w:space="0" w:color="auto"/>
        <w:left w:val="none" w:sz="0" w:space="0" w:color="auto"/>
        <w:bottom w:val="none" w:sz="0" w:space="0" w:color="auto"/>
        <w:right w:val="none" w:sz="0" w:space="0" w:color="auto"/>
      </w:divBdr>
    </w:div>
    <w:div w:id="887911972">
      <w:marLeft w:val="0"/>
      <w:marRight w:val="0"/>
      <w:marTop w:val="60"/>
      <w:marBottom w:val="60"/>
      <w:divBdr>
        <w:top w:val="none" w:sz="0" w:space="0" w:color="auto"/>
        <w:left w:val="none" w:sz="0" w:space="0" w:color="auto"/>
        <w:bottom w:val="none" w:sz="0" w:space="0" w:color="auto"/>
        <w:right w:val="none" w:sz="0" w:space="0" w:color="auto"/>
      </w:divBdr>
    </w:div>
    <w:div w:id="888109569">
      <w:marLeft w:val="0"/>
      <w:marRight w:val="0"/>
      <w:marTop w:val="180"/>
      <w:marBottom w:val="180"/>
      <w:divBdr>
        <w:top w:val="none" w:sz="0" w:space="0" w:color="auto"/>
        <w:left w:val="none" w:sz="0" w:space="0" w:color="auto"/>
        <w:bottom w:val="none" w:sz="0" w:space="0" w:color="auto"/>
        <w:right w:val="none" w:sz="0" w:space="0" w:color="auto"/>
      </w:divBdr>
    </w:div>
    <w:div w:id="891036930">
      <w:marLeft w:val="0"/>
      <w:marRight w:val="0"/>
      <w:marTop w:val="180"/>
      <w:marBottom w:val="180"/>
      <w:divBdr>
        <w:top w:val="none" w:sz="0" w:space="0" w:color="auto"/>
        <w:left w:val="none" w:sz="0" w:space="0" w:color="auto"/>
        <w:bottom w:val="none" w:sz="0" w:space="0" w:color="auto"/>
        <w:right w:val="none" w:sz="0" w:space="0" w:color="auto"/>
      </w:divBdr>
    </w:div>
    <w:div w:id="897202431">
      <w:marLeft w:val="0"/>
      <w:marRight w:val="0"/>
      <w:marTop w:val="180"/>
      <w:marBottom w:val="180"/>
      <w:divBdr>
        <w:top w:val="none" w:sz="0" w:space="0" w:color="auto"/>
        <w:left w:val="none" w:sz="0" w:space="0" w:color="auto"/>
        <w:bottom w:val="none" w:sz="0" w:space="0" w:color="auto"/>
        <w:right w:val="none" w:sz="0" w:space="0" w:color="auto"/>
      </w:divBdr>
    </w:div>
    <w:div w:id="897937121">
      <w:marLeft w:val="0"/>
      <w:marRight w:val="0"/>
      <w:marTop w:val="180"/>
      <w:marBottom w:val="180"/>
      <w:divBdr>
        <w:top w:val="none" w:sz="0" w:space="0" w:color="auto"/>
        <w:left w:val="none" w:sz="0" w:space="0" w:color="auto"/>
        <w:bottom w:val="none" w:sz="0" w:space="0" w:color="auto"/>
        <w:right w:val="none" w:sz="0" w:space="0" w:color="auto"/>
      </w:divBdr>
    </w:div>
    <w:div w:id="900365599">
      <w:marLeft w:val="0"/>
      <w:marRight w:val="0"/>
      <w:marTop w:val="180"/>
      <w:marBottom w:val="180"/>
      <w:divBdr>
        <w:top w:val="none" w:sz="0" w:space="0" w:color="auto"/>
        <w:left w:val="none" w:sz="0" w:space="0" w:color="auto"/>
        <w:bottom w:val="none" w:sz="0" w:space="0" w:color="auto"/>
        <w:right w:val="none" w:sz="0" w:space="0" w:color="auto"/>
      </w:divBdr>
    </w:div>
    <w:div w:id="902061597">
      <w:marLeft w:val="0"/>
      <w:marRight w:val="0"/>
      <w:marTop w:val="180"/>
      <w:marBottom w:val="0"/>
      <w:divBdr>
        <w:top w:val="none" w:sz="0" w:space="0" w:color="auto"/>
        <w:left w:val="none" w:sz="0" w:space="0" w:color="auto"/>
        <w:bottom w:val="none" w:sz="0" w:space="0" w:color="auto"/>
        <w:right w:val="none" w:sz="0" w:space="0" w:color="auto"/>
      </w:divBdr>
    </w:div>
    <w:div w:id="903219722">
      <w:marLeft w:val="0"/>
      <w:marRight w:val="0"/>
      <w:marTop w:val="0"/>
      <w:marBottom w:val="180"/>
      <w:divBdr>
        <w:top w:val="none" w:sz="0" w:space="0" w:color="auto"/>
        <w:left w:val="none" w:sz="0" w:space="0" w:color="auto"/>
        <w:bottom w:val="none" w:sz="0" w:space="0" w:color="auto"/>
        <w:right w:val="none" w:sz="0" w:space="0" w:color="auto"/>
      </w:divBdr>
    </w:div>
    <w:div w:id="903222718">
      <w:marLeft w:val="0"/>
      <w:marRight w:val="0"/>
      <w:marTop w:val="100"/>
      <w:marBottom w:val="100"/>
      <w:divBdr>
        <w:top w:val="none" w:sz="0" w:space="0" w:color="auto"/>
        <w:left w:val="none" w:sz="0" w:space="0" w:color="auto"/>
        <w:bottom w:val="none" w:sz="0" w:space="0" w:color="auto"/>
        <w:right w:val="none" w:sz="0" w:space="0" w:color="auto"/>
      </w:divBdr>
    </w:div>
    <w:div w:id="905385002">
      <w:marLeft w:val="0"/>
      <w:marRight w:val="0"/>
      <w:marTop w:val="60"/>
      <w:marBottom w:val="60"/>
      <w:divBdr>
        <w:top w:val="none" w:sz="0" w:space="0" w:color="auto"/>
        <w:left w:val="none" w:sz="0" w:space="0" w:color="auto"/>
        <w:bottom w:val="none" w:sz="0" w:space="0" w:color="auto"/>
        <w:right w:val="none" w:sz="0" w:space="0" w:color="auto"/>
      </w:divBdr>
    </w:div>
    <w:div w:id="905726749">
      <w:marLeft w:val="0"/>
      <w:marRight w:val="0"/>
      <w:marTop w:val="180"/>
      <w:marBottom w:val="180"/>
      <w:divBdr>
        <w:top w:val="none" w:sz="0" w:space="0" w:color="auto"/>
        <w:left w:val="none" w:sz="0" w:space="0" w:color="auto"/>
        <w:bottom w:val="none" w:sz="0" w:space="0" w:color="auto"/>
        <w:right w:val="none" w:sz="0" w:space="0" w:color="auto"/>
      </w:divBdr>
    </w:div>
    <w:div w:id="906720542">
      <w:marLeft w:val="0"/>
      <w:marRight w:val="0"/>
      <w:marTop w:val="60"/>
      <w:marBottom w:val="60"/>
      <w:divBdr>
        <w:top w:val="none" w:sz="0" w:space="0" w:color="auto"/>
        <w:left w:val="none" w:sz="0" w:space="0" w:color="auto"/>
        <w:bottom w:val="none" w:sz="0" w:space="0" w:color="auto"/>
        <w:right w:val="none" w:sz="0" w:space="0" w:color="auto"/>
      </w:divBdr>
    </w:div>
    <w:div w:id="908002543">
      <w:marLeft w:val="0"/>
      <w:marRight w:val="0"/>
      <w:marTop w:val="0"/>
      <w:marBottom w:val="0"/>
      <w:divBdr>
        <w:top w:val="none" w:sz="0" w:space="0" w:color="auto"/>
        <w:left w:val="none" w:sz="0" w:space="0" w:color="auto"/>
        <w:bottom w:val="none" w:sz="0" w:space="0" w:color="auto"/>
        <w:right w:val="none" w:sz="0" w:space="0" w:color="auto"/>
      </w:divBdr>
      <w:divsChild>
        <w:div w:id="1748457736">
          <w:marLeft w:val="0"/>
          <w:marRight w:val="0"/>
          <w:marTop w:val="180"/>
          <w:marBottom w:val="180"/>
          <w:divBdr>
            <w:top w:val="none" w:sz="0" w:space="0" w:color="auto"/>
            <w:left w:val="none" w:sz="0" w:space="0" w:color="auto"/>
            <w:bottom w:val="none" w:sz="0" w:space="0" w:color="auto"/>
            <w:right w:val="none" w:sz="0" w:space="0" w:color="auto"/>
          </w:divBdr>
        </w:div>
      </w:divsChild>
    </w:div>
    <w:div w:id="909387984">
      <w:marLeft w:val="0"/>
      <w:marRight w:val="0"/>
      <w:marTop w:val="100"/>
      <w:marBottom w:val="100"/>
      <w:divBdr>
        <w:top w:val="none" w:sz="0" w:space="0" w:color="auto"/>
        <w:left w:val="none" w:sz="0" w:space="0" w:color="auto"/>
        <w:bottom w:val="none" w:sz="0" w:space="0" w:color="auto"/>
        <w:right w:val="none" w:sz="0" w:space="0" w:color="auto"/>
      </w:divBdr>
      <w:divsChild>
        <w:div w:id="1257710083">
          <w:marLeft w:val="0"/>
          <w:marRight w:val="0"/>
          <w:marTop w:val="0"/>
          <w:marBottom w:val="0"/>
          <w:divBdr>
            <w:top w:val="none" w:sz="0" w:space="0" w:color="auto"/>
            <w:left w:val="none" w:sz="0" w:space="0" w:color="auto"/>
            <w:bottom w:val="none" w:sz="0" w:space="0" w:color="auto"/>
            <w:right w:val="none" w:sz="0" w:space="0" w:color="auto"/>
          </w:divBdr>
        </w:div>
        <w:div w:id="1608386271">
          <w:marLeft w:val="0"/>
          <w:marRight w:val="0"/>
          <w:marTop w:val="0"/>
          <w:marBottom w:val="0"/>
          <w:divBdr>
            <w:top w:val="none" w:sz="0" w:space="0" w:color="auto"/>
            <w:left w:val="none" w:sz="0" w:space="0" w:color="auto"/>
            <w:bottom w:val="none" w:sz="0" w:space="0" w:color="auto"/>
            <w:right w:val="none" w:sz="0" w:space="0" w:color="auto"/>
          </w:divBdr>
        </w:div>
      </w:divsChild>
    </w:div>
    <w:div w:id="911161476">
      <w:marLeft w:val="0"/>
      <w:marRight w:val="0"/>
      <w:marTop w:val="180"/>
      <w:marBottom w:val="180"/>
      <w:divBdr>
        <w:top w:val="none" w:sz="0" w:space="0" w:color="auto"/>
        <w:left w:val="none" w:sz="0" w:space="0" w:color="auto"/>
        <w:bottom w:val="none" w:sz="0" w:space="0" w:color="auto"/>
        <w:right w:val="none" w:sz="0" w:space="0" w:color="auto"/>
      </w:divBdr>
    </w:div>
    <w:div w:id="911233227">
      <w:marLeft w:val="0"/>
      <w:marRight w:val="0"/>
      <w:marTop w:val="180"/>
      <w:marBottom w:val="180"/>
      <w:divBdr>
        <w:top w:val="none" w:sz="0" w:space="0" w:color="auto"/>
        <w:left w:val="none" w:sz="0" w:space="0" w:color="auto"/>
        <w:bottom w:val="none" w:sz="0" w:space="0" w:color="auto"/>
        <w:right w:val="none" w:sz="0" w:space="0" w:color="auto"/>
      </w:divBdr>
    </w:div>
    <w:div w:id="913776882">
      <w:marLeft w:val="0"/>
      <w:marRight w:val="0"/>
      <w:marTop w:val="100"/>
      <w:marBottom w:val="100"/>
      <w:divBdr>
        <w:top w:val="none" w:sz="0" w:space="0" w:color="auto"/>
        <w:left w:val="none" w:sz="0" w:space="0" w:color="auto"/>
        <w:bottom w:val="none" w:sz="0" w:space="0" w:color="auto"/>
        <w:right w:val="none" w:sz="0" w:space="0" w:color="auto"/>
      </w:divBdr>
    </w:div>
    <w:div w:id="914361401">
      <w:marLeft w:val="0"/>
      <w:marRight w:val="0"/>
      <w:marTop w:val="180"/>
      <w:marBottom w:val="180"/>
      <w:divBdr>
        <w:top w:val="none" w:sz="0" w:space="0" w:color="auto"/>
        <w:left w:val="none" w:sz="0" w:space="0" w:color="auto"/>
        <w:bottom w:val="none" w:sz="0" w:space="0" w:color="auto"/>
        <w:right w:val="none" w:sz="0" w:space="0" w:color="auto"/>
      </w:divBdr>
    </w:div>
    <w:div w:id="914390706">
      <w:marLeft w:val="0"/>
      <w:marRight w:val="0"/>
      <w:marTop w:val="180"/>
      <w:marBottom w:val="180"/>
      <w:divBdr>
        <w:top w:val="none" w:sz="0" w:space="0" w:color="auto"/>
        <w:left w:val="none" w:sz="0" w:space="0" w:color="auto"/>
        <w:bottom w:val="none" w:sz="0" w:space="0" w:color="auto"/>
        <w:right w:val="none" w:sz="0" w:space="0" w:color="auto"/>
      </w:divBdr>
    </w:div>
    <w:div w:id="915633076">
      <w:marLeft w:val="0"/>
      <w:marRight w:val="0"/>
      <w:marTop w:val="0"/>
      <w:marBottom w:val="0"/>
      <w:divBdr>
        <w:top w:val="none" w:sz="0" w:space="0" w:color="auto"/>
        <w:left w:val="none" w:sz="0" w:space="0" w:color="auto"/>
        <w:bottom w:val="none" w:sz="0" w:space="0" w:color="auto"/>
        <w:right w:val="none" w:sz="0" w:space="0" w:color="auto"/>
      </w:divBdr>
      <w:divsChild>
        <w:div w:id="2026440372">
          <w:marLeft w:val="0"/>
          <w:marRight w:val="0"/>
          <w:marTop w:val="0"/>
          <w:marBottom w:val="0"/>
          <w:divBdr>
            <w:top w:val="none" w:sz="0" w:space="0" w:color="auto"/>
            <w:left w:val="none" w:sz="0" w:space="0" w:color="auto"/>
            <w:bottom w:val="none" w:sz="0" w:space="0" w:color="auto"/>
            <w:right w:val="none" w:sz="0" w:space="0" w:color="auto"/>
          </w:divBdr>
          <w:divsChild>
            <w:div w:id="17537451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7253527">
      <w:marLeft w:val="0"/>
      <w:marRight w:val="0"/>
      <w:marTop w:val="180"/>
      <w:marBottom w:val="180"/>
      <w:divBdr>
        <w:top w:val="none" w:sz="0" w:space="0" w:color="auto"/>
        <w:left w:val="none" w:sz="0" w:space="0" w:color="auto"/>
        <w:bottom w:val="none" w:sz="0" w:space="0" w:color="auto"/>
        <w:right w:val="none" w:sz="0" w:space="0" w:color="auto"/>
      </w:divBdr>
    </w:div>
    <w:div w:id="917447163">
      <w:marLeft w:val="0"/>
      <w:marRight w:val="0"/>
      <w:marTop w:val="180"/>
      <w:marBottom w:val="180"/>
      <w:divBdr>
        <w:top w:val="none" w:sz="0" w:space="0" w:color="auto"/>
        <w:left w:val="none" w:sz="0" w:space="0" w:color="auto"/>
        <w:bottom w:val="none" w:sz="0" w:space="0" w:color="auto"/>
        <w:right w:val="none" w:sz="0" w:space="0" w:color="auto"/>
      </w:divBdr>
    </w:div>
    <w:div w:id="918637502">
      <w:marLeft w:val="0"/>
      <w:marRight w:val="0"/>
      <w:marTop w:val="180"/>
      <w:marBottom w:val="180"/>
      <w:divBdr>
        <w:top w:val="none" w:sz="0" w:space="0" w:color="auto"/>
        <w:left w:val="none" w:sz="0" w:space="0" w:color="auto"/>
        <w:bottom w:val="none" w:sz="0" w:space="0" w:color="auto"/>
        <w:right w:val="none" w:sz="0" w:space="0" w:color="auto"/>
      </w:divBdr>
    </w:div>
    <w:div w:id="921330959">
      <w:marLeft w:val="0"/>
      <w:marRight w:val="0"/>
      <w:marTop w:val="180"/>
      <w:marBottom w:val="180"/>
      <w:divBdr>
        <w:top w:val="none" w:sz="0" w:space="0" w:color="auto"/>
        <w:left w:val="none" w:sz="0" w:space="0" w:color="auto"/>
        <w:bottom w:val="none" w:sz="0" w:space="0" w:color="auto"/>
        <w:right w:val="none" w:sz="0" w:space="0" w:color="auto"/>
      </w:divBdr>
    </w:div>
    <w:div w:id="921378845">
      <w:marLeft w:val="0"/>
      <w:marRight w:val="0"/>
      <w:marTop w:val="180"/>
      <w:marBottom w:val="180"/>
      <w:divBdr>
        <w:top w:val="none" w:sz="0" w:space="0" w:color="auto"/>
        <w:left w:val="none" w:sz="0" w:space="0" w:color="auto"/>
        <w:bottom w:val="none" w:sz="0" w:space="0" w:color="auto"/>
        <w:right w:val="none" w:sz="0" w:space="0" w:color="auto"/>
      </w:divBdr>
    </w:div>
    <w:div w:id="923337360">
      <w:marLeft w:val="0"/>
      <w:marRight w:val="0"/>
      <w:marTop w:val="60"/>
      <w:marBottom w:val="60"/>
      <w:divBdr>
        <w:top w:val="none" w:sz="0" w:space="0" w:color="auto"/>
        <w:left w:val="none" w:sz="0" w:space="0" w:color="auto"/>
        <w:bottom w:val="none" w:sz="0" w:space="0" w:color="auto"/>
        <w:right w:val="none" w:sz="0" w:space="0" w:color="auto"/>
      </w:divBdr>
    </w:div>
    <w:div w:id="924151270">
      <w:marLeft w:val="0"/>
      <w:marRight w:val="0"/>
      <w:marTop w:val="100"/>
      <w:marBottom w:val="60"/>
      <w:divBdr>
        <w:top w:val="none" w:sz="0" w:space="0" w:color="auto"/>
        <w:left w:val="none" w:sz="0" w:space="0" w:color="auto"/>
        <w:bottom w:val="none" w:sz="0" w:space="0" w:color="auto"/>
        <w:right w:val="none" w:sz="0" w:space="0" w:color="auto"/>
      </w:divBdr>
    </w:div>
    <w:div w:id="926839105">
      <w:marLeft w:val="0"/>
      <w:marRight w:val="0"/>
      <w:marTop w:val="180"/>
      <w:marBottom w:val="180"/>
      <w:divBdr>
        <w:top w:val="none" w:sz="0" w:space="0" w:color="auto"/>
        <w:left w:val="none" w:sz="0" w:space="0" w:color="auto"/>
        <w:bottom w:val="none" w:sz="0" w:space="0" w:color="auto"/>
        <w:right w:val="none" w:sz="0" w:space="0" w:color="auto"/>
      </w:divBdr>
    </w:div>
    <w:div w:id="928974034">
      <w:marLeft w:val="0"/>
      <w:marRight w:val="0"/>
      <w:marTop w:val="180"/>
      <w:marBottom w:val="180"/>
      <w:divBdr>
        <w:top w:val="none" w:sz="0" w:space="0" w:color="auto"/>
        <w:left w:val="none" w:sz="0" w:space="0" w:color="auto"/>
        <w:bottom w:val="none" w:sz="0" w:space="0" w:color="auto"/>
        <w:right w:val="none" w:sz="0" w:space="0" w:color="auto"/>
      </w:divBdr>
    </w:div>
    <w:div w:id="929507890">
      <w:marLeft w:val="0"/>
      <w:marRight w:val="0"/>
      <w:marTop w:val="60"/>
      <w:marBottom w:val="60"/>
      <w:divBdr>
        <w:top w:val="none" w:sz="0" w:space="0" w:color="auto"/>
        <w:left w:val="none" w:sz="0" w:space="0" w:color="auto"/>
        <w:bottom w:val="none" w:sz="0" w:space="0" w:color="auto"/>
        <w:right w:val="none" w:sz="0" w:space="0" w:color="auto"/>
      </w:divBdr>
    </w:div>
    <w:div w:id="930552150">
      <w:marLeft w:val="0"/>
      <w:marRight w:val="0"/>
      <w:marTop w:val="180"/>
      <w:marBottom w:val="180"/>
      <w:divBdr>
        <w:top w:val="none" w:sz="0" w:space="0" w:color="auto"/>
        <w:left w:val="none" w:sz="0" w:space="0" w:color="auto"/>
        <w:bottom w:val="none" w:sz="0" w:space="0" w:color="auto"/>
        <w:right w:val="none" w:sz="0" w:space="0" w:color="auto"/>
      </w:divBdr>
    </w:div>
    <w:div w:id="931087069">
      <w:marLeft w:val="0"/>
      <w:marRight w:val="0"/>
      <w:marTop w:val="100"/>
      <w:marBottom w:val="180"/>
      <w:divBdr>
        <w:top w:val="none" w:sz="0" w:space="0" w:color="auto"/>
        <w:left w:val="none" w:sz="0" w:space="0" w:color="auto"/>
        <w:bottom w:val="none" w:sz="0" w:space="0" w:color="auto"/>
        <w:right w:val="none" w:sz="0" w:space="0" w:color="auto"/>
      </w:divBdr>
    </w:div>
    <w:div w:id="931863747">
      <w:marLeft w:val="0"/>
      <w:marRight w:val="0"/>
      <w:marTop w:val="60"/>
      <w:marBottom w:val="60"/>
      <w:divBdr>
        <w:top w:val="none" w:sz="0" w:space="0" w:color="auto"/>
        <w:left w:val="none" w:sz="0" w:space="0" w:color="auto"/>
        <w:bottom w:val="none" w:sz="0" w:space="0" w:color="auto"/>
        <w:right w:val="none" w:sz="0" w:space="0" w:color="auto"/>
      </w:divBdr>
    </w:div>
    <w:div w:id="934096284">
      <w:marLeft w:val="0"/>
      <w:marRight w:val="0"/>
      <w:marTop w:val="180"/>
      <w:marBottom w:val="60"/>
      <w:divBdr>
        <w:top w:val="none" w:sz="0" w:space="0" w:color="auto"/>
        <w:left w:val="none" w:sz="0" w:space="0" w:color="auto"/>
        <w:bottom w:val="none" w:sz="0" w:space="0" w:color="auto"/>
        <w:right w:val="none" w:sz="0" w:space="0" w:color="auto"/>
      </w:divBdr>
    </w:div>
    <w:div w:id="935746801">
      <w:marLeft w:val="0"/>
      <w:marRight w:val="0"/>
      <w:marTop w:val="180"/>
      <w:marBottom w:val="180"/>
      <w:divBdr>
        <w:top w:val="none" w:sz="0" w:space="0" w:color="auto"/>
        <w:left w:val="none" w:sz="0" w:space="0" w:color="auto"/>
        <w:bottom w:val="none" w:sz="0" w:space="0" w:color="auto"/>
        <w:right w:val="none" w:sz="0" w:space="0" w:color="auto"/>
      </w:divBdr>
    </w:div>
    <w:div w:id="938488724">
      <w:marLeft w:val="0"/>
      <w:marRight w:val="0"/>
      <w:marTop w:val="60"/>
      <w:marBottom w:val="60"/>
      <w:divBdr>
        <w:top w:val="none" w:sz="0" w:space="0" w:color="auto"/>
        <w:left w:val="none" w:sz="0" w:space="0" w:color="auto"/>
        <w:bottom w:val="none" w:sz="0" w:space="0" w:color="auto"/>
        <w:right w:val="none" w:sz="0" w:space="0" w:color="auto"/>
      </w:divBdr>
    </w:div>
    <w:div w:id="939214536">
      <w:marLeft w:val="0"/>
      <w:marRight w:val="0"/>
      <w:marTop w:val="0"/>
      <w:marBottom w:val="0"/>
      <w:divBdr>
        <w:top w:val="none" w:sz="0" w:space="0" w:color="auto"/>
        <w:left w:val="none" w:sz="0" w:space="0" w:color="auto"/>
        <w:bottom w:val="none" w:sz="0" w:space="0" w:color="auto"/>
        <w:right w:val="none" w:sz="0" w:space="0" w:color="auto"/>
      </w:divBdr>
    </w:div>
    <w:div w:id="944774022">
      <w:marLeft w:val="0"/>
      <w:marRight w:val="0"/>
      <w:marTop w:val="180"/>
      <w:marBottom w:val="180"/>
      <w:divBdr>
        <w:top w:val="none" w:sz="0" w:space="0" w:color="auto"/>
        <w:left w:val="none" w:sz="0" w:space="0" w:color="auto"/>
        <w:bottom w:val="none" w:sz="0" w:space="0" w:color="auto"/>
        <w:right w:val="none" w:sz="0" w:space="0" w:color="auto"/>
      </w:divBdr>
    </w:div>
    <w:div w:id="947463786">
      <w:marLeft w:val="0"/>
      <w:marRight w:val="0"/>
      <w:marTop w:val="180"/>
      <w:marBottom w:val="180"/>
      <w:divBdr>
        <w:top w:val="none" w:sz="0" w:space="0" w:color="auto"/>
        <w:left w:val="none" w:sz="0" w:space="0" w:color="auto"/>
        <w:bottom w:val="none" w:sz="0" w:space="0" w:color="auto"/>
        <w:right w:val="none" w:sz="0" w:space="0" w:color="auto"/>
      </w:divBdr>
    </w:div>
    <w:div w:id="950164104">
      <w:marLeft w:val="0"/>
      <w:marRight w:val="0"/>
      <w:marTop w:val="180"/>
      <w:marBottom w:val="180"/>
      <w:divBdr>
        <w:top w:val="none" w:sz="0" w:space="0" w:color="auto"/>
        <w:left w:val="none" w:sz="0" w:space="0" w:color="auto"/>
        <w:bottom w:val="none" w:sz="0" w:space="0" w:color="auto"/>
        <w:right w:val="none" w:sz="0" w:space="0" w:color="auto"/>
      </w:divBdr>
    </w:div>
    <w:div w:id="952172607">
      <w:marLeft w:val="0"/>
      <w:marRight w:val="0"/>
      <w:marTop w:val="180"/>
      <w:marBottom w:val="180"/>
      <w:divBdr>
        <w:top w:val="none" w:sz="0" w:space="0" w:color="auto"/>
        <w:left w:val="none" w:sz="0" w:space="0" w:color="auto"/>
        <w:bottom w:val="none" w:sz="0" w:space="0" w:color="auto"/>
        <w:right w:val="none" w:sz="0" w:space="0" w:color="auto"/>
      </w:divBdr>
    </w:div>
    <w:div w:id="953290445">
      <w:marLeft w:val="0"/>
      <w:marRight w:val="0"/>
      <w:marTop w:val="180"/>
      <w:marBottom w:val="180"/>
      <w:divBdr>
        <w:top w:val="none" w:sz="0" w:space="0" w:color="auto"/>
        <w:left w:val="none" w:sz="0" w:space="0" w:color="auto"/>
        <w:bottom w:val="none" w:sz="0" w:space="0" w:color="auto"/>
        <w:right w:val="none" w:sz="0" w:space="0" w:color="auto"/>
      </w:divBdr>
    </w:div>
    <w:div w:id="953485854">
      <w:marLeft w:val="0"/>
      <w:marRight w:val="0"/>
      <w:marTop w:val="0"/>
      <w:marBottom w:val="0"/>
      <w:divBdr>
        <w:top w:val="none" w:sz="0" w:space="0" w:color="auto"/>
        <w:left w:val="none" w:sz="0" w:space="0" w:color="auto"/>
        <w:bottom w:val="none" w:sz="0" w:space="0" w:color="auto"/>
        <w:right w:val="none" w:sz="0" w:space="0" w:color="auto"/>
      </w:divBdr>
      <w:divsChild>
        <w:div w:id="166869308">
          <w:marLeft w:val="0"/>
          <w:marRight w:val="0"/>
          <w:marTop w:val="60"/>
          <w:marBottom w:val="60"/>
          <w:divBdr>
            <w:top w:val="none" w:sz="0" w:space="0" w:color="auto"/>
            <w:left w:val="none" w:sz="0" w:space="0" w:color="auto"/>
            <w:bottom w:val="none" w:sz="0" w:space="0" w:color="auto"/>
            <w:right w:val="none" w:sz="0" w:space="0" w:color="auto"/>
          </w:divBdr>
        </w:div>
      </w:divsChild>
    </w:div>
    <w:div w:id="955450861">
      <w:marLeft w:val="0"/>
      <w:marRight w:val="0"/>
      <w:marTop w:val="0"/>
      <w:marBottom w:val="100"/>
      <w:divBdr>
        <w:top w:val="none" w:sz="0" w:space="0" w:color="auto"/>
        <w:left w:val="none" w:sz="0" w:space="0" w:color="auto"/>
        <w:bottom w:val="none" w:sz="0" w:space="0" w:color="auto"/>
        <w:right w:val="none" w:sz="0" w:space="0" w:color="auto"/>
      </w:divBdr>
    </w:div>
    <w:div w:id="956568719">
      <w:marLeft w:val="0"/>
      <w:marRight w:val="0"/>
      <w:marTop w:val="0"/>
      <w:marBottom w:val="0"/>
      <w:divBdr>
        <w:top w:val="none" w:sz="0" w:space="0" w:color="auto"/>
        <w:left w:val="none" w:sz="0" w:space="0" w:color="auto"/>
        <w:bottom w:val="none" w:sz="0" w:space="0" w:color="auto"/>
        <w:right w:val="none" w:sz="0" w:space="0" w:color="auto"/>
      </w:divBdr>
      <w:divsChild>
        <w:div w:id="1879467587">
          <w:marLeft w:val="0"/>
          <w:marRight w:val="0"/>
          <w:marTop w:val="0"/>
          <w:marBottom w:val="0"/>
          <w:divBdr>
            <w:top w:val="none" w:sz="0" w:space="0" w:color="auto"/>
            <w:left w:val="none" w:sz="0" w:space="0" w:color="auto"/>
            <w:bottom w:val="none" w:sz="0" w:space="0" w:color="auto"/>
            <w:right w:val="none" w:sz="0" w:space="0" w:color="auto"/>
          </w:divBdr>
          <w:divsChild>
            <w:div w:id="1216583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56982869">
      <w:marLeft w:val="0"/>
      <w:marRight w:val="0"/>
      <w:marTop w:val="100"/>
      <w:marBottom w:val="100"/>
      <w:divBdr>
        <w:top w:val="none" w:sz="0" w:space="0" w:color="auto"/>
        <w:left w:val="none" w:sz="0" w:space="0" w:color="auto"/>
        <w:bottom w:val="none" w:sz="0" w:space="0" w:color="auto"/>
        <w:right w:val="none" w:sz="0" w:space="0" w:color="auto"/>
      </w:divBdr>
      <w:divsChild>
        <w:div w:id="415980748">
          <w:marLeft w:val="0"/>
          <w:marRight w:val="0"/>
          <w:marTop w:val="0"/>
          <w:marBottom w:val="0"/>
          <w:divBdr>
            <w:top w:val="none" w:sz="0" w:space="0" w:color="auto"/>
            <w:left w:val="none" w:sz="0" w:space="0" w:color="auto"/>
            <w:bottom w:val="none" w:sz="0" w:space="0" w:color="auto"/>
            <w:right w:val="none" w:sz="0" w:space="0" w:color="auto"/>
          </w:divBdr>
        </w:div>
        <w:div w:id="618217493">
          <w:marLeft w:val="0"/>
          <w:marRight w:val="0"/>
          <w:marTop w:val="0"/>
          <w:marBottom w:val="0"/>
          <w:divBdr>
            <w:top w:val="none" w:sz="0" w:space="0" w:color="auto"/>
            <w:left w:val="none" w:sz="0" w:space="0" w:color="auto"/>
            <w:bottom w:val="none" w:sz="0" w:space="0" w:color="auto"/>
            <w:right w:val="none" w:sz="0" w:space="0" w:color="auto"/>
          </w:divBdr>
        </w:div>
        <w:div w:id="2085487501">
          <w:marLeft w:val="0"/>
          <w:marRight w:val="0"/>
          <w:marTop w:val="0"/>
          <w:marBottom w:val="0"/>
          <w:divBdr>
            <w:top w:val="none" w:sz="0" w:space="0" w:color="auto"/>
            <w:left w:val="none" w:sz="0" w:space="0" w:color="auto"/>
            <w:bottom w:val="none" w:sz="0" w:space="0" w:color="auto"/>
            <w:right w:val="none" w:sz="0" w:space="0" w:color="auto"/>
          </w:divBdr>
        </w:div>
        <w:div w:id="1069303718">
          <w:marLeft w:val="0"/>
          <w:marRight w:val="0"/>
          <w:marTop w:val="0"/>
          <w:marBottom w:val="0"/>
          <w:divBdr>
            <w:top w:val="none" w:sz="0" w:space="0" w:color="auto"/>
            <w:left w:val="none" w:sz="0" w:space="0" w:color="auto"/>
            <w:bottom w:val="none" w:sz="0" w:space="0" w:color="auto"/>
            <w:right w:val="none" w:sz="0" w:space="0" w:color="auto"/>
          </w:divBdr>
        </w:div>
        <w:div w:id="1323965299">
          <w:marLeft w:val="0"/>
          <w:marRight w:val="0"/>
          <w:marTop w:val="0"/>
          <w:marBottom w:val="0"/>
          <w:divBdr>
            <w:top w:val="none" w:sz="0" w:space="0" w:color="auto"/>
            <w:left w:val="none" w:sz="0" w:space="0" w:color="auto"/>
            <w:bottom w:val="none" w:sz="0" w:space="0" w:color="auto"/>
            <w:right w:val="none" w:sz="0" w:space="0" w:color="auto"/>
          </w:divBdr>
        </w:div>
      </w:divsChild>
    </w:div>
    <w:div w:id="959847776">
      <w:marLeft w:val="0"/>
      <w:marRight w:val="0"/>
      <w:marTop w:val="180"/>
      <w:marBottom w:val="180"/>
      <w:divBdr>
        <w:top w:val="none" w:sz="0" w:space="0" w:color="auto"/>
        <w:left w:val="none" w:sz="0" w:space="0" w:color="auto"/>
        <w:bottom w:val="none" w:sz="0" w:space="0" w:color="auto"/>
        <w:right w:val="none" w:sz="0" w:space="0" w:color="auto"/>
      </w:divBdr>
    </w:div>
    <w:div w:id="962735292">
      <w:marLeft w:val="0"/>
      <w:marRight w:val="0"/>
      <w:marTop w:val="180"/>
      <w:marBottom w:val="180"/>
      <w:divBdr>
        <w:top w:val="none" w:sz="0" w:space="0" w:color="auto"/>
        <w:left w:val="none" w:sz="0" w:space="0" w:color="auto"/>
        <w:bottom w:val="none" w:sz="0" w:space="0" w:color="auto"/>
        <w:right w:val="none" w:sz="0" w:space="0" w:color="auto"/>
      </w:divBdr>
    </w:div>
    <w:div w:id="966275458">
      <w:marLeft w:val="0"/>
      <w:marRight w:val="0"/>
      <w:marTop w:val="180"/>
      <w:marBottom w:val="60"/>
      <w:divBdr>
        <w:top w:val="none" w:sz="0" w:space="0" w:color="auto"/>
        <w:left w:val="none" w:sz="0" w:space="0" w:color="auto"/>
        <w:bottom w:val="none" w:sz="0" w:space="0" w:color="auto"/>
        <w:right w:val="none" w:sz="0" w:space="0" w:color="auto"/>
      </w:divBdr>
    </w:div>
    <w:div w:id="969478343">
      <w:marLeft w:val="0"/>
      <w:marRight w:val="0"/>
      <w:marTop w:val="180"/>
      <w:marBottom w:val="180"/>
      <w:divBdr>
        <w:top w:val="none" w:sz="0" w:space="0" w:color="auto"/>
        <w:left w:val="none" w:sz="0" w:space="0" w:color="auto"/>
        <w:bottom w:val="none" w:sz="0" w:space="0" w:color="auto"/>
        <w:right w:val="none" w:sz="0" w:space="0" w:color="auto"/>
      </w:divBdr>
    </w:div>
    <w:div w:id="975718457">
      <w:marLeft w:val="0"/>
      <w:marRight w:val="0"/>
      <w:marTop w:val="180"/>
      <w:marBottom w:val="180"/>
      <w:divBdr>
        <w:top w:val="none" w:sz="0" w:space="0" w:color="auto"/>
        <w:left w:val="none" w:sz="0" w:space="0" w:color="auto"/>
        <w:bottom w:val="none" w:sz="0" w:space="0" w:color="auto"/>
        <w:right w:val="none" w:sz="0" w:space="0" w:color="auto"/>
      </w:divBdr>
    </w:div>
    <w:div w:id="977148565">
      <w:marLeft w:val="0"/>
      <w:marRight w:val="0"/>
      <w:marTop w:val="60"/>
      <w:marBottom w:val="60"/>
      <w:divBdr>
        <w:top w:val="none" w:sz="0" w:space="0" w:color="auto"/>
        <w:left w:val="none" w:sz="0" w:space="0" w:color="auto"/>
        <w:bottom w:val="none" w:sz="0" w:space="0" w:color="auto"/>
        <w:right w:val="none" w:sz="0" w:space="0" w:color="auto"/>
      </w:divBdr>
    </w:div>
    <w:div w:id="978993150">
      <w:marLeft w:val="0"/>
      <w:marRight w:val="0"/>
      <w:marTop w:val="60"/>
      <w:marBottom w:val="0"/>
      <w:divBdr>
        <w:top w:val="none" w:sz="0" w:space="0" w:color="auto"/>
        <w:left w:val="none" w:sz="0" w:space="0" w:color="auto"/>
        <w:bottom w:val="none" w:sz="0" w:space="0" w:color="auto"/>
        <w:right w:val="none" w:sz="0" w:space="0" w:color="auto"/>
      </w:divBdr>
    </w:div>
    <w:div w:id="980185725">
      <w:marLeft w:val="0"/>
      <w:marRight w:val="0"/>
      <w:marTop w:val="180"/>
      <w:marBottom w:val="180"/>
      <w:divBdr>
        <w:top w:val="none" w:sz="0" w:space="0" w:color="auto"/>
        <w:left w:val="none" w:sz="0" w:space="0" w:color="auto"/>
        <w:bottom w:val="none" w:sz="0" w:space="0" w:color="auto"/>
        <w:right w:val="none" w:sz="0" w:space="0" w:color="auto"/>
      </w:divBdr>
    </w:div>
    <w:div w:id="980766922">
      <w:marLeft w:val="0"/>
      <w:marRight w:val="0"/>
      <w:marTop w:val="0"/>
      <w:marBottom w:val="0"/>
      <w:divBdr>
        <w:top w:val="none" w:sz="0" w:space="0" w:color="auto"/>
        <w:left w:val="none" w:sz="0" w:space="0" w:color="auto"/>
        <w:bottom w:val="none" w:sz="0" w:space="0" w:color="auto"/>
        <w:right w:val="none" w:sz="0" w:space="0" w:color="auto"/>
      </w:divBdr>
    </w:div>
    <w:div w:id="982806726">
      <w:marLeft w:val="0"/>
      <w:marRight w:val="0"/>
      <w:marTop w:val="180"/>
      <w:marBottom w:val="180"/>
      <w:divBdr>
        <w:top w:val="none" w:sz="0" w:space="0" w:color="auto"/>
        <w:left w:val="none" w:sz="0" w:space="0" w:color="auto"/>
        <w:bottom w:val="none" w:sz="0" w:space="0" w:color="auto"/>
        <w:right w:val="none" w:sz="0" w:space="0" w:color="auto"/>
      </w:divBdr>
    </w:div>
    <w:div w:id="982930821">
      <w:marLeft w:val="0"/>
      <w:marRight w:val="0"/>
      <w:marTop w:val="100"/>
      <w:marBottom w:val="100"/>
      <w:divBdr>
        <w:top w:val="none" w:sz="0" w:space="0" w:color="auto"/>
        <w:left w:val="none" w:sz="0" w:space="0" w:color="auto"/>
        <w:bottom w:val="none" w:sz="0" w:space="0" w:color="auto"/>
        <w:right w:val="none" w:sz="0" w:space="0" w:color="auto"/>
      </w:divBdr>
      <w:divsChild>
        <w:div w:id="149369941">
          <w:marLeft w:val="0"/>
          <w:marRight w:val="0"/>
          <w:marTop w:val="180"/>
          <w:marBottom w:val="180"/>
          <w:divBdr>
            <w:top w:val="none" w:sz="0" w:space="0" w:color="auto"/>
            <w:left w:val="none" w:sz="0" w:space="0" w:color="auto"/>
            <w:bottom w:val="none" w:sz="0" w:space="0" w:color="auto"/>
            <w:right w:val="none" w:sz="0" w:space="0" w:color="auto"/>
          </w:divBdr>
        </w:div>
        <w:div w:id="1143044609">
          <w:marLeft w:val="0"/>
          <w:marRight w:val="0"/>
          <w:marTop w:val="180"/>
          <w:marBottom w:val="180"/>
          <w:divBdr>
            <w:top w:val="none" w:sz="0" w:space="0" w:color="auto"/>
            <w:left w:val="none" w:sz="0" w:space="0" w:color="auto"/>
            <w:bottom w:val="none" w:sz="0" w:space="0" w:color="auto"/>
            <w:right w:val="none" w:sz="0" w:space="0" w:color="auto"/>
          </w:divBdr>
        </w:div>
        <w:div w:id="847447125">
          <w:marLeft w:val="0"/>
          <w:marRight w:val="0"/>
          <w:marTop w:val="180"/>
          <w:marBottom w:val="180"/>
          <w:divBdr>
            <w:top w:val="none" w:sz="0" w:space="0" w:color="auto"/>
            <w:left w:val="none" w:sz="0" w:space="0" w:color="auto"/>
            <w:bottom w:val="none" w:sz="0" w:space="0" w:color="auto"/>
            <w:right w:val="none" w:sz="0" w:space="0" w:color="auto"/>
          </w:divBdr>
        </w:div>
        <w:div w:id="1276014456">
          <w:marLeft w:val="0"/>
          <w:marRight w:val="0"/>
          <w:marTop w:val="180"/>
          <w:marBottom w:val="180"/>
          <w:divBdr>
            <w:top w:val="none" w:sz="0" w:space="0" w:color="auto"/>
            <w:left w:val="none" w:sz="0" w:space="0" w:color="auto"/>
            <w:bottom w:val="none" w:sz="0" w:space="0" w:color="auto"/>
            <w:right w:val="none" w:sz="0" w:space="0" w:color="auto"/>
          </w:divBdr>
        </w:div>
        <w:div w:id="1834373218">
          <w:marLeft w:val="0"/>
          <w:marRight w:val="0"/>
          <w:marTop w:val="180"/>
          <w:marBottom w:val="180"/>
          <w:divBdr>
            <w:top w:val="none" w:sz="0" w:space="0" w:color="auto"/>
            <w:left w:val="none" w:sz="0" w:space="0" w:color="auto"/>
            <w:bottom w:val="none" w:sz="0" w:space="0" w:color="auto"/>
            <w:right w:val="none" w:sz="0" w:space="0" w:color="auto"/>
          </w:divBdr>
        </w:div>
      </w:divsChild>
    </w:div>
    <w:div w:id="982932793">
      <w:marLeft w:val="0"/>
      <w:marRight w:val="0"/>
      <w:marTop w:val="100"/>
      <w:marBottom w:val="100"/>
      <w:divBdr>
        <w:top w:val="none" w:sz="0" w:space="0" w:color="auto"/>
        <w:left w:val="none" w:sz="0" w:space="0" w:color="auto"/>
        <w:bottom w:val="none" w:sz="0" w:space="0" w:color="auto"/>
        <w:right w:val="none" w:sz="0" w:space="0" w:color="auto"/>
      </w:divBdr>
    </w:div>
    <w:div w:id="983778290">
      <w:marLeft w:val="0"/>
      <w:marRight w:val="0"/>
      <w:marTop w:val="180"/>
      <w:marBottom w:val="180"/>
      <w:divBdr>
        <w:top w:val="none" w:sz="0" w:space="0" w:color="auto"/>
        <w:left w:val="none" w:sz="0" w:space="0" w:color="auto"/>
        <w:bottom w:val="none" w:sz="0" w:space="0" w:color="auto"/>
        <w:right w:val="none" w:sz="0" w:space="0" w:color="auto"/>
      </w:divBdr>
    </w:div>
    <w:div w:id="985622438">
      <w:marLeft w:val="0"/>
      <w:marRight w:val="0"/>
      <w:marTop w:val="180"/>
      <w:marBottom w:val="180"/>
      <w:divBdr>
        <w:top w:val="none" w:sz="0" w:space="0" w:color="auto"/>
        <w:left w:val="none" w:sz="0" w:space="0" w:color="auto"/>
        <w:bottom w:val="none" w:sz="0" w:space="0" w:color="auto"/>
        <w:right w:val="none" w:sz="0" w:space="0" w:color="auto"/>
      </w:divBdr>
    </w:div>
    <w:div w:id="989594554">
      <w:marLeft w:val="0"/>
      <w:marRight w:val="0"/>
      <w:marTop w:val="180"/>
      <w:marBottom w:val="180"/>
      <w:divBdr>
        <w:top w:val="none" w:sz="0" w:space="0" w:color="auto"/>
        <w:left w:val="none" w:sz="0" w:space="0" w:color="auto"/>
        <w:bottom w:val="none" w:sz="0" w:space="0" w:color="auto"/>
        <w:right w:val="none" w:sz="0" w:space="0" w:color="auto"/>
      </w:divBdr>
    </w:div>
    <w:div w:id="990674454">
      <w:marLeft w:val="0"/>
      <w:marRight w:val="0"/>
      <w:marTop w:val="0"/>
      <w:marBottom w:val="15"/>
      <w:divBdr>
        <w:top w:val="none" w:sz="0" w:space="0" w:color="auto"/>
        <w:left w:val="none" w:sz="0" w:space="0" w:color="auto"/>
        <w:bottom w:val="none" w:sz="0" w:space="0" w:color="auto"/>
        <w:right w:val="none" w:sz="0" w:space="0" w:color="auto"/>
      </w:divBdr>
    </w:div>
    <w:div w:id="993144426">
      <w:marLeft w:val="0"/>
      <w:marRight w:val="0"/>
      <w:marTop w:val="180"/>
      <w:marBottom w:val="60"/>
      <w:divBdr>
        <w:top w:val="none" w:sz="0" w:space="0" w:color="auto"/>
        <w:left w:val="none" w:sz="0" w:space="0" w:color="auto"/>
        <w:bottom w:val="none" w:sz="0" w:space="0" w:color="auto"/>
        <w:right w:val="none" w:sz="0" w:space="0" w:color="auto"/>
      </w:divBdr>
    </w:div>
    <w:div w:id="994381251">
      <w:marLeft w:val="0"/>
      <w:marRight w:val="0"/>
      <w:marTop w:val="60"/>
      <w:marBottom w:val="60"/>
      <w:divBdr>
        <w:top w:val="none" w:sz="0" w:space="0" w:color="auto"/>
        <w:left w:val="none" w:sz="0" w:space="0" w:color="auto"/>
        <w:bottom w:val="none" w:sz="0" w:space="0" w:color="auto"/>
        <w:right w:val="none" w:sz="0" w:space="0" w:color="auto"/>
      </w:divBdr>
      <w:divsChild>
        <w:div w:id="1308319741">
          <w:marLeft w:val="0"/>
          <w:marRight w:val="0"/>
          <w:marTop w:val="0"/>
          <w:marBottom w:val="0"/>
          <w:divBdr>
            <w:top w:val="none" w:sz="0" w:space="0" w:color="auto"/>
            <w:left w:val="none" w:sz="0" w:space="0" w:color="auto"/>
            <w:bottom w:val="none" w:sz="0" w:space="0" w:color="auto"/>
            <w:right w:val="none" w:sz="0" w:space="0" w:color="auto"/>
          </w:divBdr>
        </w:div>
      </w:divsChild>
    </w:div>
    <w:div w:id="995576228">
      <w:marLeft w:val="0"/>
      <w:marRight w:val="0"/>
      <w:marTop w:val="100"/>
      <w:marBottom w:val="100"/>
      <w:divBdr>
        <w:top w:val="none" w:sz="0" w:space="0" w:color="auto"/>
        <w:left w:val="none" w:sz="0" w:space="0" w:color="auto"/>
        <w:bottom w:val="none" w:sz="0" w:space="0" w:color="auto"/>
        <w:right w:val="none" w:sz="0" w:space="0" w:color="auto"/>
      </w:divBdr>
    </w:div>
    <w:div w:id="996610172">
      <w:marLeft w:val="0"/>
      <w:marRight w:val="0"/>
      <w:marTop w:val="180"/>
      <w:marBottom w:val="180"/>
      <w:divBdr>
        <w:top w:val="none" w:sz="0" w:space="0" w:color="auto"/>
        <w:left w:val="none" w:sz="0" w:space="0" w:color="auto"/>
        <w:bottom w:val="none" w:sz="0" w:space="0" w:color="auto"/>
        <w:right w:val="none" w:sz="0" w:space="0" w:color="auto"/>
      </w:divBdr>
    </w:div>
    <w:div w:id="998073922">
      <w:marLeft w:val="0"/>
      <w:marRight w:val="0"/>
      <w:marTop w:val="180"/>
      <w:marBottom w:val="180"/>
      <w:divBdr>
        <w:top w:val="none" w:sz="0" w:space="0" w:color="auto"/>
        <w:left w:val="none" w:sz="0" w:space="0" w:color="auto"/>
        <w:bottom w:val="none" w:sz="0" w:space="0" w:color="auto"/>
        <w:right w:val="none" w:sz="0" w:space="0" w:color="auto"/>
      </w:divBdr>
    </w:div>
    <w:div w:id="999384645">
      <w:marLeft w:val="0"/>
      <w:marRight w:val="0"/>
      <w:marTop w:val="60"/>
      <w:marBottom w:val="60"/>
      <w:divBdr>
        <w:top w:val="none" w:sz="0" w:space="0" w:color="auto"/>
        <w:left w:val="none" w:sz="0" w:space="0" w:color="auto"/>
        <w:bottom w:val="none" w:sz="0" w:space="0" w:color="auto"/>
        <w:right w:val="none" w:sz="0" w:space="0" w:color="auto"/>
      </w:divBdr>
    </w:div>
    <w:div w:id="1001154836">
      <w:marLeft w:val="0"/>
      <w:marRight w:val="0"/>
      <w:marTop w:val="300"/>
      <w:marBottom w:val="100"/>
      <w:divBdr>
        <w:top w:val="none" w:sz="0" w:space="0" w:color="auto"/>
        <w:left w:val="none" w:sz="0" w:space="0" w:color="auto"/>
        <w:bottom w:val="none" w:sz="0" w:space="0" w:color="auto"/>
        <w:right w:val="none" w:sz="0" w:space="0" w:color="auto"/>
      </w:divBdr>
    </w:div>
    <w:div w:id="1001785132">
      <w:marLeft w:val="0"/>
      <w:marRight w:val="0"/>
      <w:marTop w:val="180"/>
      <w:marBottom w:val="60"/>
      <w:divBdr>
        <w:top w:val="none" w:sz="0" w:space="0" w:color="auto"/>
        <w:left w:val="none" w:sz="0" w:space="0" w:color="auto"/>
        <w:bottom w:val="none" w:sz="0" w:space="0" w:color="auto"/>
        <w:right w:val="none" w:sz="0" w:space="0" w:color="auto"/>
      </w:divBdr>
    </w:div>
    <w:div w:id="1004433339">
      <w:marLeft w:val="0"/>
      <w:marRight w:val="0"/>
      <w:marTop w:val="180"/>
      <w:marBottom w:val="180"/>
      <w:divBdr>
        <w:top w:val="none" w:sz="0" w:space="0" w:color="auto"/>
        <w:left w:val="none" w:sz="0" w:space="0" w:color="auto"/>
        <w:bottom w:val="none" w:sz="0" w:space="0" w:color="auto"/>
        <w:right w:val="none" w:sz="0" w:space="0" w:color="auto"/>
      </w:divBdr>
    </w:div>
    <w:div w:id="1004476674">
      <w:marLeft w:val="0"/>
      <w:marRight w:val="0"/>
      <w:marTop w:val="60"/>
      <w:marBottom w:val="60"/>
      <w:divBdr>
        <w:top w:val="none" w:sz="0" w:space="0" w:color="auto"/>
        <w:left w:val="none" w:sz="0" w:space="0" w:color="auto"/>
        <w:bottom w:val="none" w:sz="0" w:space="0" w:color="auto"/>
        <w:right w:val="none" w:sz="0" w:space="0" w:color="auto"/>
      </w:divBdr>
    </w:div>
    <w:div w:id="1006321188">
      <w:marLeft w:val="0"/>
      <w:marRight w:val="0"/>
      <w:marTop w:val="180"/>
      <w:marBottom w:val="180"/>
      <w:divBdr>
        <w:top w:val="none" w:sz="0" w:space="0" w:color="auto"/>
        <w:left w:val="none" w:sz="0" w:space="0" w:color="auto"/>
        <w:bottom w:val="none" w:sz="0" w:space="0" w:color="auto"/>
        <w:right w:val="none" w:sz="0" w:space="0" w:color="auto"/>
      </w:divBdr>
    </w:div>
    <w:div w:id="1009403733">
      <w:marLeft w:val="0"/>
      <w:marRight w:val="0"/>
      <w:marTop w:val="180"/>
      <w:marBottom w:val="180"/>
      <w:divBdr>
        <w:top w:val="none" w:sz="0" w:space="0" w:color="auto"/>
        <w:left w:val="none" w:sz="0" w:space="0" w:color="auto"/>
        <w:bottom w:val="none" w:sz="0" w:space="0" w:color="auto"/>
        <w:right w:val="none" w:sz="0" w:space="0" w:color="auto"/>
      </w:divBdr>
    </w:div>
    <w:div w:id="1011298955">
      <w:marLeft w:val="0"/>
      <w:marRight w:val="0"/>
      <w:marTop w:val="180"/>
      <w:marBottom w:val="180"/>
      <w:divBdr>
        <w:top w:val="none" w:sz="0" w:space="0" w:color="auto"/>
        <w:left w:val="none" w:sz="0" w:space="0" w:color="auto"/>
        <w:bottom w:val="none" w:sz="0" w:space="0" w:color="auto"/>
        <w:right w:val="none" w:sz="0" w:space="0" w:color="auto"/>
      </w:divBdr>
    </w:div>
    <w:div w:id="1011377090">
      <w:marLeft w:val="0"/>
      <w:marRight w:val="0"/>
      <w:marTop w:val="180"/>
      <w:marBottom w:val="180"/>
      <w:divBdr>
        <w:top w:val="none" w:sz="0" w:space="0" w:color="auto"/>
        <w:left w:val="none" w:sz="0" w:space="0" w:color="auto"/>
        <w:bottom w:val="none" w:sz="0" w:space="0" w:color="auto"/>
        <w:right w:val="none" w:sz="0" w:space="0" w:color="auto"/>
      </w:divBdr>
    </w:div>
    <w:div w:id="1011569458">
      <w:marLeft w:val="0"/>
      <w:marRight w:val="0"/>
      <w:marTop w:val="180"/>
      <w:marBottom w:val="180"/>
      <w:divBdr>
        <w:top w:val="none" w:sz="0" w:space="0" w:color="auto"/>
        <w:left w:val="none" w:sz="0" w:space="0" w:color="auto"/>
        <w:bottom w:val="none" w:sz="0" w:space="0" w:color="auto"/>
        <w:right w:val="none" w:sz="0" w:space="0" w:color="auto"/>
      </w:divBdr>
    </w:div>
    <w:div w:id="1015427982">
      <w:marLeft w:val="0"/>
      <w:marRight w:val="0"/>
      <w:marTop w:val="180"/>
      <w:marBottom w:val="180"/>
      <w:divBdr>
        <w:top w:val="none" w:sz="0" w:space="0" w:color="auto"/>
        <w:left w:val="none" w:sz="0" w:space="0" w:color="auto"/>
        <w:bottom w:val="none" w:sz="0" w:space="0" w:color="auto"/>
        <w:right w:val="none" w:sz="0" w:space="0" w:color="auto"/>
      </w:divBdr>
    </w:div>
    <w:div w:id="1016082952">
      <w:marLeft w:val="0"/>
      <w:marRight w:val="0"/>
      <w:marTop w:val="180"/>
      <w:marBottom w:val="180"/>
      <w:divBdr>
        <w:top w:val="none" w:sz="0" w:space="0" w:color="auto"/>
        <w:left w:val="none" w:sz="0" w:space="0" w:color="auto"/>
        <w:bottom w:val="none" w:sz="0" w:space="0" w:color="auto"/>
        <w:right w:val="none" w:sz="0" w:space="0" w:color="auto"/>
      </w:divBdr>
    </w:div>
    <w:div w:id="1017275373">
      <w:marLeft w:val="0"/>
      <w:marRight w:val="0"/>
      <w:marTop w:val="100"/>
      <w:marBottom w:val="100"/>
      <w:divBdr>
        <w:top w:val="none" w:sz="0" w:space="0" w:color="auto"/>
        <w:left w:val="none" w:sz="0" w:space="0" w:color="auto"/>
        <w:bottom w:val="none" w:sz="0" w:space="0" w:color="auto"/>
        <w:right w:val="none" w:sz="0" w:space="0" w:color="auto"/>
      </w:divBdr>
      <w:divsChild>
        <w:div w:id="984972069">
          <w:marLeft w:val="0"/>
          <w:marRight w:val="0"/>
          <w:marTop w:val="0"/>
          <w:marBottom w:val="0"/>
          <w:divBdr>
            <w:top w:val="none" w:sz="0" w:space="0" w:color="auto"/>
            <w:left w:val="none" w:sz="0" w:space="0" w:color="auto"/>
            <w:bottom w:val="none" w:sz="0" w:space="0" w:color="auto"/>
            <w:right w:val="none" w:sz="0" w:space="0" w:color="auto"/>
          </w:divBdr>
        </w:div>
        <w:div w:id="1736389236">
          <w:marLeft w:val="0"/>
          <w:marRight w:val="0"/>
          <w:marTop w:val="0"/>
          <w:marBottom w:val="0"/>
          <w:divBdr>
            <w:top w:val="none" w:sz="0" w:space="0" w:color="auto"/>
            <w:left w:val="none" w:sz="0" w:space="0" w:color="auto"/>
            <w:bottom w:val="none" w:sz="0" w:space="0" w:color="auto"/>
            <w:right w:val="none" w:sz="0" w:space="0" w:color="auto"/>
          </w:divBdr>
        </w:div>
        <w:div w:id="412431806">
          <w:marLeft w:val="0"/>
          <w:marRight w:val="0"/>
          <w:marTop w:val="0"/>
          <w:marBottom w:val="0"/>
          <w:divBdr>
            <w:top w:val="none" w:sz="0" w:space="0" w:color="auto"/>
            <w:left w:val="none" w:sz="0" w:space="0" w:color="auto"/>
            <w:bottom w:val="none" w:sz="0" w:space="0" w:color="auto"/>
            <w:right w:val="none" w:sz="0" w:space="0" w:color="auto"/>
          </w:divBdr>
        </w:div>
        <w:div w:id="1462767136">
          <w:marLeft w:val="0"/>
          <w:marRight w:val="0"/>
          <w:marTop w:val="0"/>
          <w:marBottom w:val="0"/>
          <w:divBdr>
            <w:top w:val="none" w:sz="0" w:space="0" w:color="auto"/>
            <w:left w:val="none" w:sz="0" w:space="0" w:color="auto"/>
            <w:bottom w:val="none" w:sz="0" w:space="0" w:color="auto"/>
            <w:right w:val="none" w:sz="0" w:space="0" w:color="auto"/>
          </w:divBdr>
        </w:div>
        <w:div w:id="1921862805">
          <w:marLeft w:val="0"/>
          <w:marRight w:val="0"/>
          <w:marTop w:val="0"/>
          <w:marBottom w:val="0"/>
          <w:divBdr>
            <w:top w:val="none" w:sz="0" w:space="0" w:color="auto"/>
            <w:left w:val="none" w:sz="0" w:space="0" w:color="auto"/>
            <w:bottom w:val="none" w:sz="0" w:space="0" w:color="auto"/>
            <w:right w:val="none" w:sz="0" w:space="0" w:color="auto"/>
          </w:divBdr>
        </w:div>
      </w:divsChild>
    </w:div>
    <w:div w:id="1021005707">
      <w:marLeft w:val="0"/>
      <w:marRight w:val="0"/>
      <w:marTop w:val="60"/>
      <w:marBottom w:val="60"/>
      <w:divBdr>
        <w:top w:val="none" w:sz="0" w:space="0" w:color="auto"/>
        <w:left w:val="none" w:sz="0" w:space="0" w:color="auto"/>
        <w:bottom w:val="none" w:sz="0" w:space="0" w:color="auto"/>
        <w:right w:val="none" w:sz="0" w:space="0" w:color="auto"/>
      </w:divBdr>
    </w:div>
    <w:div w:id="1021279872">
      <w:marLeft w:val="0"/>
      <w:marRight w:val="0"/>
      <w:marTop w:val="180"/>
      <w:marBottom w:val="180"/>
      <w:divBdr>
        <w:top w:val="none" w:sz="0" w:space="0" w:color="auto"/>
        <w:left w:val="none" w:sz="0" w:space="0" w:color="auto"/>
        <w:bottom w:val="none" w:sz="0" w:space="0" w:color="auto"/>
        <w:right w:val="none" w:sz="0" w:space="0" w:color="auto"/>
      </w:divBdr>
    </w:div>
    <w:div w:id="1022436536">
      <w:marLeft w:val="0"/>
      <w:marRight w:val="0"/>
      <w:marTop w:val="180"/>
      <w:marBottom w:val="0"/>
      <w:divBdr>
        <w:top w:val="none" w:sz="0" w:space="0" w:color="auto"/>
        <w:left w:val="none" w:sz="0" w:space="0" w:color="auto"/>
        <w:bottom w:val="none" w:sz="0" w:space="0" w:color="auto"/>
        <w:right w:val="none" w:sz="0" w:space="0" w:color="auto"/>
      </w:divBdr>
    </w:div>
    <w:div w:id="1023097023">
      <w:marLeft w:val="0"/>
      <w:marRight w:val="0"/>
      <w:marTop w:val="60"/>
      <w:marBottom w:val="60"/>
      <w:divBdr>
        <w:top w:val="none" w:sz="0" w:space="0" w:color="auto"/>
        <w:left w:val="none" w:sz="0" w:space="0" w:color="auto"/>
        <w:bottom w:val="none" w:sz="0" w:space="0" w:color="auto"/>
        <w:right w:val="none" w:sz="0" w:space="0" w:color="auto"/>
      </w:divBdr>
    </w:div>
    <w:div w:id="1026634156">
      <w:marLeft w:val="0"/>
      <w:marRight w:val="0"/>
      <w:marTop w:val="100"/>
      <w:marBottom w:val="100"/>
      <w:divBdr>
        <w:top w:val="none" w:sz="0" w:space="0" w:color="auto"/>
        <w:left w:val="none" w:sz="0" w:space="0" w:color="auto"/>
        <w:bottom w:val="none" w:sz="0" w:space="0" w:color="auto"/>
        <w:right w:val="none" w:sz="0" w:space="0" w:color="auto"/>
      </w:divBdr>
    </w:div>
    <w:div w:id="1031423060">
      <w:marLeft w:val="0"/>
      <w:marRight w:val="0"/>
      <w:marTop w:val="60"/>
      <w:marBottom w:val="60"/>
      <w:divBdr>
        <w:top w:val="none" w:sz="0" w:space="0" w:color="auto"/>
        <w:left w:val="none" w:sz="0" w:space="0" w:color="auto"/>
        <w:bottom w:val="none" w:sz="0" w:space="0" w:color="auto"/>
        <w:right w:val="none" w:sz="0" w:space="0" w:color="auto"/>
      </w:divBdr>
    </w:div>
    <w:div w:id="1032026344">
      <w:marLeft w:val="0"/>
      <w:marRight w:val="0"/>
      <w:marTop w:val="60"/>
      <w:marBottom w:val="60"/>
      <w:divBdr>
        <w:top w:val="none" w:sz="0" w:space="0" w:color="auto"/>
        <w:left w:val="none" w:sz="0" w:space="0" w:color="auto"/>
        <w:bottom w:val="none" w:sz="0" w:space="0" w:color="auto"/>
        <w:right w:val="none" w:sz="0" w:space="0" w:color="auto"/>
      </w:divBdr>
    </w:div>
    <w:div w:id="1032069395">
      <w:marLeft w:val="0"/>
      <w:marRight w:val="0"/>
      <w:marTop w:val="0"/>
      <w:marBottom w:val="0"/>
      <w:divBdr>
        <w:top w:val="none" w:sz="0" w:space="0" w:color="auto"/>
        <w:left w:val="none" w:sz="0" w:space="0" w:color="auto"/>
        <w:bottom w:val="none" w:sz="0" w:space="0" w:color="auto"/>
        <w:right w:val="none" w:sz="0" w:space="0" w:color="auto"/>
      </w:divBdr>
    </w:div>
    <w:div w:id="1033379354">
      <w:marLeft w:val="0"/>
      <w:marRight w:val="0"/>
      <w:marTop w:val="60"/>
      <w:marBottom w:val="60"/>
      <w:divBdr>
        <w:top w:val="none" w:sz="0" w:space="0" w:color="auto"/>
        <w:left w:val="none" w:sz="0" w:space="0" w:color="auto"/>
        <w:bottom w:val="none" w:sz="0" w:space="0" w:color="auto"/>
        <w:right w:val="none" w:sz="0" w:space="0" w:color="auto"/>
      </w:divBdr>
    </w:div>
    <w:div w:id="1033533375">
      <w:marLeft w:val="0"/>
      <w:marRight w:val="0"/>
      <w:marTop w:val="180"/>
      <w:marBottom w:val="180"/>
      <w:divBdr>
        <w:top w:val="none" w:sz="0" w:space="0" w:color="auto"/>
        <w:left w:val="none" w:sz="0" w:space="0" w:color="auto"/>
        <w:bottom w:val="none" w:sz="0" w:space="0" w:color="auto"/>
        <w:right w:val="none" w:sz="0" w:space="0" w:color="auto"/>
      </w:divBdr>
    </w:div>
    <w:div w:id="1033653975">
      <w:marLeft w:val="0"/>
      <w:marRight w:val="0"/>
      <w:marTop w:val="0"/>
      <w:marBottom w:val="0"/>
      <w:divBdr>
        <w:top w:val="none" w:sz="0" w:space="0" w:color="auto"/>
        <w:left w:val="none" w:sz="0" w:space="0" w:color="auto"/>
        <w:bottom w:val="none" w:sz="0" w:space="0" w:color="auto"/>
        <w:right w:val="none" w:sz="0" w:space="0" w:color="auto"/>
      </w:divBdr>
    </w:div>
    <w:div w:id="1034232727">
      <w:marLeft w:val="0"/>
      <w:marRight w:val="0"/>
      <w:marTop w:val="60"/>
      <w:marBottom w:val="60"/>
      <w:divBdr>
        <w:top w:val="none" w:sz="0" w:space="0" w:color="auto"/>
        <w:left w:val="none" w:sz="0" w:space="0" w:color="auto"/>
        <w:bottom w:val="none" w:sz="0" w:space="0" w:color="auto"/>
        <w:right w:val="none" w:sz="0" w:space="0" w:color="auto"/>
      </w:divBdr>
    </w:div>
    <w:div w:id="1036351960">
      <w:marLeft w:val="0"/>
      <w:marRight w:val="0"/>
      <w:marTop w:val="60"/>
      <w:marBottom w:val="60"/>
      <w:divBdr>
        <w:top w:val="none" w:sz="0" w:space="0" w:color="auto"/>
        <w:left w:val="none" w:sz="0" w:space="0" w:color="auto"/>
        <w:bottom w:val="none" w:sz="0" w:space="0" w:color="auto"/>
        <w:right w:val="none" w:sz="0" w:space="0" w:color="auto"/>
      </w:divBdr>
    </w:div>
    <w:div w:id="1036587981">
      <w:marLeft w:val="0"/>
      <w:marRight w:val="0"/>
      <w:marTop w:val="180"/>
      <w:marBottom w:val="180"/>
      <w:divBdr>
        <w:top w:val="none" w:sz="0" w:space="0" w:color="auto"/>
        <w:left w:val="none" w:sz="0" w:space="0" w:color="auto"/>
        <w:bottom w:val="none" w:sz="0" w:space="0" w:color="auto"/>
        <w:right w:val="none" w:sz="0" w:space="0" w:color="auto"/>
      </w:divBdr>
    </w:div>
    <w:div w:id="1037925211">
      <w:marLeft w:val="0"/>
      <w:marRight w:val="0"/>
      <w:marTop w:val="60"/>
      <w:marBottom w:val="60"/>
      <w:divBdr>
        <w:top w:val="none" w:sz="0" w:space="0" w:color="auto"/>
        <w:left w:val="none" w:sz="0" w:space="0" w:color="auto"/>
        <w:bottom w:val="none" w:sz="0" w:space="0" w:color="auto"/>
        <w:right w:val="none" w:sz="0" w:space="0" w:color="auto"/>
      </w:divBdr>
      <w:divsChild>
        <w:div w:id="1299262489">
          <w:marLeft w:val="0"/>
          <w:marRight w:val="0"/>
          <w:marTop w:val="0"/>
          <w:marBottom w:val="0"/>
          <w:divBdr>
            <w:top w:val="none" w:sz="0" w:space="0" w:color="auto"/>
            <w:left w:val="none" w:sz="0" w:space="0" w:color="auto"/>
            <w:bottom w:val="none" w:sz="0" w:space="0" w:color="auto"/>
            <w:right w:val="none" w:sz="0" w:space="0" w:color="auto"/>
          </w:divBdr>
        </w:div>
        <w:div w:id="1455559275">
          <w:marLeft w:val="0"/>
          <w:marRight w:val="0"/>
          <w:marTop w:val="0"/>
          <w:marBottom w:val="0"/>
          <w:divBdr>
            <w:top w:val="none" w:sz="0" w:space="0" w:color="auto"/>
            <w:left w:val="none" w:sz="0" w:space="0" w:color="auto"/>
            <w:bottom w:val="none" w:sz="0" w:space="0" w:color="auto"/>
            <w:right w:val="none" w:sz="0" w:space="0" w:color="auto"/>
          </w:divBdr>
        </w:div>
        <w:div w:id="821195795">
          <w:marLeft w:val="0"/>
          <w:marRight w:val="0"/>
          <w:marTop w:val="0"/>
          <w:marBottom w:val="0"/>
          <w:divBdr>
            <w:top w:val="none" w:sz="0" w:space="0" w:color="auto"/>
            <w:left w:val="none" w:sz="0" w:space="0" w:color="auto"/>
            <w:bottom w:val="none" w:sz="0" w:space="0" w:color="auto"/>
            <w:right w:val="none" w:sz="0" w:space="0" w:color="auto"/>
          </w:divBdr>
        </w:div>
        <w:div w:id="497039153">
          <w:marLeft w:val="0"/>
          <w:marRight w:val="0"/>
          <w:marTop w:val="0"/>
          <w:marBottom w:val="0"/>
          <w:divBdr>
            <w:top w:val="none" w:sz="0" w:space="0" w:color="auto"/>
            <w:left w:val="none" w:sz="0" w:space="0" w:color="auto"/>
            <w:bottom w:val="none" w:sz="0" w:space="0" w:color="auto"/>
            <w:right w:val="none" w:sz="0" w:space="0" w:color="auto"/>
          </w:divBdr>
        </w:div>
        <w:div w:id="1982726847">
          <w:marLeft w:val="0"/>
          <w:marRight w:val="0"/>
          <w:marTop w:val="0"/>
          <w:marBottom w:val="0"/>
          <w:divBdr>
            <w:top w:val="none" w:sz="0" w:space="0" w:color="auto"/>
            <w:left w:val="none" w:sz="0" w:space="0" w:color="auto"/>
            <w:bottom w:val="none" w:sz="0" w:space="0" w:color="auto"/>
            <w:right w:val="none" w:sz="0" w:space="0" w:color="auto"/>
          </w:divBdr>
        </w:div>
        <w:div w:id="1793817953">
          <w:marLeft w:val="0"/>
          <w:marRight w:val="0"/>
          <w:marTop w:val="0"/>
          <w:marBottom w:val="0"/>
          <w:divBdr>
            <w:top w:val="none" w:sz="0" w:space="0" w:color="auto"/>
            <w:left w:val="none" w:sz="0" w:space="0" w:color="auto"/>
            <w:bottom w:val="none" w:sz="0" w:space="0" w:color="auto"/>
            <w:right w:val="none" w:sz="0" w:space="0" w:color="auto"/>
          </w:divBdr>
        </w:div>
      </w:divsChild>
    </w:div>
    <w:div w:id="1038621848">
      <w:marLeft w:val="0"/>
      <w:marRight w:val="0"/>
      <w:marTop w:val="0"/>
      <w:marBottom w:val="0"/>
      <w:divBdr>
        <w:top w:val="none" w:sz="0" w:space="0" w:color="auto"/>
        <w:left w:val="none" w:sz="0" w:space="0" w:color="auto"/>
        <w:bottom w:val="none" w:sz="0" w:space="0" w:color="auto"/>
        <w:right w:val="none" w:sz="0" w:space="0" w:color="auto"/>
      </w:divBdr>
    </w:div>
    <w:div w:id="1038625944">
      <w:marLeft w:val="0"/>
      <w:marRight w:val="0"/>
      <w:marTop w:val="180"/>
      <w:marBottom w:val="180"/>
      <w:divBdr>
        <w:top w:val="none" w:sz="0" w:space="0" w:color="auto"/>
        <w:left w:val="none" w:sz="0" w:space="0" w:color="auto"/>
        <w:bottom w:val="none" w:sz="0" w:space="0" w:color="auto"/>
        <w:right w:val="none" w:sz="0" w:space="0" w:color="auto"/>
      </w:divBdr>
    </w:div>
    <w:div w:id="1039234254">
      <w:marLeft w:val="0"/>
      <w:marRight w:val="0"/>
      <w:marTop w:val="180"/>
      <w:marBottom w:val="180"/>
      <w:divBdr>
        <w:top w:val="none" w:sz="0" w:space="0" w:color="auto"/>
        <w:left w:val="none" w:sz="0" w:space="0" w:color="auto"/>
        <w:bottom w:val="none" w:sz="0" w:space="0" w:color="auto"/>
        <w:right w:val="none" w:sz="0" w:space="0" w:color="auto"/>
      </w:divBdr>
    </w:div>
    <w:div w:id="1043559796">
      <w:marLeft w:val="0"/>
      <w:marRight w:val="0"/>
      <w:marTop w:val="180"/>
      <w:marBottom w:val="180"/>
      <w:divBdr>
        <w:top w:val="none" w:sz="0" w:space="0" w:color="auto"/>
        <w:left w:val="none" w:sz="0" w:space="0" w:color="auto"/>
        <w:bottom w:val="none" w:sz="0" w:space="0" w:color="auto"/>
        <w:right w:val="none" w:sz="0" w:space="0" w:color="auto"/>
      </w:divBdr>
    </w:div>
    <w:div w:id="1045251299">
      <w:marLeft w:val="0"/>
      <w:marRight w:val="0"/>
      <w:marTop w:val="180"/>
      <w:marBottom w:val="180"/>
      <w:divBdr>
        <w:top w:val="none" w:sz="0" w:space="0" w:color="auto"/>
        <w:left w:val="none" w:sz="0" w:space="0" w:color="auto"/>
        <w:bottom w:val="none" w:sz="0" w:space="0" w:color="auto"/>
        <w:right w:val="none" w:sz="0" w:space="0" w:color="auto"/>
      </w:divBdr>
    </w:div>
    <w:div w:id="1051080816">
      <w:marLeft w:val="0"/>
      <w:marRight w:val="0"/>
      <w:marTop w:val="0"/>
      <w:marBottom w:val="0"/>
      <w:divBdr>
        <w:top w:val="none" w:sz="0" w:space="0" w:color="auto"/>
        <w:left w:val="none" w:sz="0" w:space="0" w:color="auto"/>
        <w:bottom w:val="none" w:sz="0" w:space="0" w:color="auto"/>
        <w:right w:val="none" w:sz="0" w:space="0" w:color="auto"/>
      </w:divBdr>
      <w:divsChild>
        <w:div w:id="989136241">
          <w:marLeft w:val="0"/>
          <w:marRight w:val="0"/>
          <w:marTop w:val="0"/>
          <w:marBottom w:val="0"/>
          <w:divBdr>
            <w:top w:val="none" w:sz="0" w:space="0" w:color="auto"/>
            <w:left w:val="none" w:sz="0" w:space="0" w:color="auto"/>
            <w:bottom w:val="none" w:sz="0" w:space="0" w:color="auto"/>
            <w:right w:val="none" w:sz="0" w:space="0" w:color="auto"/>
          </w:divBdr>
          <w:divsChild>
            <w:div w:id="16131730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52073052">
      <w:marLeft w:val="0"/>
      <w:marRight w:val="0"/>
      <w:marTop w:val="180"/>
      <w:marBottom w:val="180"/>
      <w:divBdr>
        <w:top w:val="none" w:sz="0" w:space="0" w:color="auto"/>
        <w:left w:val="none" w:sz="0" w:space="0" w:color="auto"/>
        <w:bottom w:val="none" w:sz="0" w:space="0" w:color="auto"/>
        <w:right w:val="none" w:sz="0" w:space="0" w:color="auto"/>
      </w:divBdr>
    </w:div>
    <w:div w:id="1062215074">
      <w:marLeft w:val="0"/>
      <w:marRight w:val="0"/>
      <w:marTop w:val="0"/>
      <w:marBottom w:val="0"/>
      <w:divBdr>
        <w:top w:val="none" w:sz="0" w:space="0" w:color="auto"/>
        <w:left w:val="none" w:sz="0" w:space="0" w:color="auto"/>
        <w:bottom w:val="none" w:sz="0" w:space="0" w:color="auto"/>
        <w:right w:val="none" w:sz="0" w:space="0" w:color="auto"/>
      </w:divBdr>
      <w:divsChild>
        <w:div w:id="1585383519">
          <w:marLeft w:val="0"/>
          <w:marRight w:val="0"/>
          <w:marTop w:val="0"/>
          <w:marBottom w:val="0"/>
          <w:divBdr>
            <w:top w:val="none" w:sz="0" w:space="0" w:color="auto"/>
            <w:left w:val="none" w:sz="0" w:space="0" w:color="auto"/>
            <w:bottom w:val="none" w:sz="0" w:space="0" w:color="auto"/>
            <w:right w:val="none" w:sz="0" w:space="0" w:color="auto"/>
          </w:divBdr>
          <w:divsChild>
            <w:div w:id="407184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63412881">
      <w:marLeft w:val="0"/>
      <w:marRight w:val="0"/>
      <w:marTop w:val="180"/>
      <w:marBottom w:val="60"/>
      <w:divBdr>
        <w:top w:val="none" w:sz="0" w:space="0" w:color="auto"/>
        <w:left w:val="none" w:sz="0" w:space="0" w:color="auto"/>
        <w:bottom w:val="none" w:sz="0" w:space="0" w:color="auto"/>
        <w:right w:val="none" w:sz="0" w:space="0" w:color="auto"/>
      </w:divBdr>
    </w:div>
    <w:div w:id="1063870990">
      <w:marLeft w:val="0"/>
      <w:marRight w:val="0"/>
      <w:marTop w:val="0"/>
      <w:marBottom w:val="0"/>
      <w:divBdr>
        <w:top w:val="none" w:sz="0" w:space="0" w:color="auto"/>
        <w:left w:val="none" w:sz="0" w:space="0" w:color="auto"/>
        <w:bottom w:val="none" w:sz="0" w:space="0" w:color="auto"/>
        <w:right w:val="none" w:sz="0" w:space="0" w:color="auto"/>
      </w:divBdr>
    </w:div>
    <w:div w:id="1065104983">
      <w:marLeft w:val="0"/>
      <w:marRight w:val="0"/>
      <w:marTop w:val="180"/>
      <w:marBottom w:val="180"/>
      <w:divBdr>
        <w:top w:val="none" w:sz="0" w:space="0" w:color="auto"/>
        <w:left w:val="none" w:sz="0" w:space="0" w:color="auto"/>
        <w:bottom w:val="none" w:sz="0" w:space="0" w:color="auto"/>
        <w:right w:val="none" w:sz="0" w:space="0" w:color="auto"/>
      </w:divBdr>
    </w:div>
    <w:div w:id="1067144851">
      <w:marLeft w:val="0"/>
      <w:marRight w:val="0"/>
      <w:marTop w:val="60"/>
      <w:marBottom w:val="60"/>
      <w:divBdr>
        <w:top w:val="none" w:sz="0" w:space="0" w:color="auto"/>
        <w:left w:val="none" w:sz="0" w:space="0" w:color="auto"/>
        <w:bottom w:val="none" w:sz="0" w:space="0" w:color="auto"/>
        <w:right w:val="none" w:sz="0" w:space="0" w:color="auto"/>
      </w:divBdr>
    </w:div>
    <w:div w:id="1071736438">
      <w:marLeft w:val="0"/>
      <w:marRight w:val="0"/>
      <w:marTop w:val="0"/>
      <w:marBottom w:val="0"/>
      <w:divBdr>
        <w:top w:val="none" w:sz="0" w:space="0" w:color="auto"/>
        <w:left w:val="none" w:sz="0" w:space="0" w:color="auto"/>
        <w:bottom w:val="none" w:sz="0" w:space="0" w:color="auto"/>
        <w:right w:val="none" w:sz="0" w:space="0" w:color="auto"/>
      </w:divBdr>
    </w:div>
    <w:div w:id="1072579239">
      <w:marLeft w:val="0"/>
      <w:marRight w:val="0"/>
      <w:marTop w:val="180"/>
      <w:marBottom w:val="60"/>
      <w:divBdr>
        <w:top w:val="none" w:sz="0" w:space="0" w:color="auto"/>
        <w:left w:val="none" w:sz="0" w:space="0" w:color="auto"/>
        <w:bottom w:val="none" w:sz="0" w:space="0" w:color="auto"/>
        <w:right w:val="none" w:sz="0" w:space="0" w:color="auto"/>
      </w:divBdr>
    </w:div>
    <w:div w:id="1073626047">
      <w:marLeft w:val="0"/>
      <w:marRight w:val="0"/>
      <w:marTop w:val="60"/>
      <w:marBottom w:val="60"/>
      <w:divBdr>
        <w:top w:val="none" w:sz="0" w:space="0" w:color="auto"/>
        <w:left w:val="none" w:sz="0" w:space="0" w:color="auto"/>
        <w:bottom w:val="none" w:sz="0" w:space="0" w:color="auto"/>
        <w:right w:val="none" w:sz="0" w:space="0" w:color="auto"/>
      </w:divBdr>
    </w:div>
    <w:div w:id="1078668511">
      <w:marLeft w:val="0"/>
      <w:marRight w:val="0"/>
      <w:marTop w:val="240"/>
      <w:marBottom w:val="180"/>
      <w:divBdr>
        <w:top w:val="none" w:sz="0" w:space="0" w:color="auto"/>
        <w:left w:val="none" w:sz="0" w:space="0" w:color="auto"/>
        <w:bottom w:val="none" w:sz="0" w:space="0" w:color="auto"/>
        <w:right w:val="none" w:sz="0" w:space="0" w:color="auto"/>
      </w:divBdr>
    </w:div>
    <w:div w:id="1079642628">
      <w:marLeft w:val="0"/>
      <w:marRight w:val="0"/>
      <w:marTop w:val="100"/>
      <w:marBottom w:val="100"/>
      <w:divBdr>
        <w:top w:val="none" w:sz="0" w:space="0" w:color="auto"/>
        <w:left w:val="none" w:sz="0" w:space="0" w:color="auto"/>
        <w:bottom w:val="none" w:sz="0" w:space="0" w:color="auto"/>
        <w:right w:val="none" w:sz="0" w:space="0" w:color="auto"/>
      </w:divBdr>
      <w:divsChild>
        <w:div w:id="1864633203">
          <w:marLeft w:val="0"/>
          <w:marRight w:val="0"/>
          <w:marTop w:val="0"/>
          <w:marBottom w:val="0"/>
          <w:divBdr>
            <w:top w:val="none" w:sz="0" w:space="0" w:color="auto"/>
            <w:left w:val="none" w:sz="0" w:space="0" w:color="auto"/>
            <w:bottom w:val="none" w:sz="0" w:space="0" w:color="auto"/>
            <w:right w:val="none" w:sz="0" w:space="0" w:color="auto"/>
          </w:divBdr>
        </w:div>
      </w:divsChild>
    </w:div>
    <w:div w:id="1079790073">
      <w:marLeft w:val="0"/>
      <w:marRight w:val="0"/>
      <w:marTop w:val="60"/>
      <w:marBottom w:val="60"/>
      <w:divBdr>
        <w:top w:val="none" w:sz="0" w:space="0" w:color="auto"/>
        <w:left w:val="none" w:sz="0" w:space="0" w:color="auto"/>
        <w:bottom w:val="none" w:sz="0" w:space="0" w:color="auto"/>
        <w:right w:val="none" w:sz="0" w:space="0" w:color="auto"/>
      </w:divBdr>
    </w:div>
    <w:div w:id="1082986949">
      <w:marLeft w:val="0"/>
      <w:marRight w:val="0"/>
      <w:marTop w:val="180"/>
      <w:marBottom w:val="180"/>
      <w:divBdr>
        <w:top w:val="none" w:sz="0" w:space="0" w:color="auto"/>
        <w:left w:val="none" w:sz="0" w:space="0" w:color="auto"/>
        <w:bottom w:val="none" w:sz="0" w:space="0" w:color="auto"/>
        <w:right w:val="none" w:sz="0" w:space="0" w:color="auto"/>
      </w:divBdr>
    </w:div>
    <w:div w:id="1083644266">
      <w:marLeft w:val="0"/>
      <w:marRight w:val="0"/>
      <w:marTop w:val="180"/>
      <w:marBottom w:val="180"/>
      <w:divBdr>
        <w:top w:val="none" w:sz="0" w:space="0" w:color="auto"/>
        <w:left w:val="none" w:sz="0" w:space="0" w:color="auto"/>
        <w:bottom w:val="none" w:sz="0" w:space="0" w:color="auto"/>
        <w:right w:val="none" w:sz="0" w:space="0" w:color="auto"/>
      </w:divBdr>
    </w:div>
    <w:div w:id="1085227545">
      <w:marLeft w:val="0"/>
      <w:marRight w:val="0"/>
      <w:marTop w:val="60"/>
      <w:marBottom w:val="60"/>
      <w:divBdr>
        <w:top w:val="none" w:sz="0" w:space="0" w:color="auto"/>
        <w:left w:val="none" w:sz="0" w:space="0" w:color="auto"/>
        <w:bottom w:val="none" w:sz="0" w:space="0" w:color="auto"/>
        <w:right w:val="none" w:sz="0" w:space="0" w:color="auto"/>
      </w:divBdr>
    </w:div>
    <w:div w:id="1085691140">
      <w:marLeft w:val="0"/>
      <w:marRight w:val="0"/>
      <w:marTop w:val="180"/>
      <w:marBottom w:val="180"/>
      <w:divBdr>
        <w:top w:val="none" w:sz="0" w:space="0" w:color="auto"/>
        <w:left w:val="none" w:sz="0" w:space="0" w:color="auto"/>
        <w:bottom w:val="none" w:sz="0" w:space="0" w:color="auto"/>
        <w:right w:val="none" w:sz="0" w:space="0" w:color="auto"/>
      </w:divBdr>
    </w:div>
    <w:div w:id="1087312101">
      <w:marLeft w:val="0"/>
      <w:marRight w:val="0"/>
      <w:marTop w:val="60"/>
      <w:marBottom w:val="60"/>
      <w:divBdr>
        <w:top w:val="none" w:sz="0" w:space="0" w:color="auto"/>
        <w:left w:val="none" w:sz="0" w:space="0" w:color="auto"/>
        <w:bottom w:val="none" w:sz="0" w:space="0" w:color="auto"/>
        <w:right w:val="none" w:sz="0" w:space="0" w:color="auto"/>
      </w:divBdr>
    </w:div>
    <w:div w:id="1088648136">
      <w:marLeft w:val="0"/>
      <w:marRight w:val="0"/>
      <w:marTop w:val="180"/>
      <w:marBottom w:val="180"/>
      <w:divBdr>
        <w:top w:val="none" w:sz="0" w:space="0" w:color="auto"/>
        <w:left w:val="none" w:sz="0" w:space="0" w:color="auto"/>
        <w:bottom w:val="none" w:sz="0" w:space="0" w:color="auto"/>
        <w:right w:val="none" w:sz="0" w:space="0" w:color="auto"/>
      </w:divBdr>
    </w:div>
    <w:div w:id="1089044224">
      <w:marLeft w:val="0"/>
      <w:marRight w:val="0"/>
      <w:marTop w:val="180"/>
      <w:marBottom w:val="180"/>
      <w:divBdr>
        <w:top w:val="none" w:sz="0" w:space="0" w:color="auto"/>
        <w:left w:val="none" w:sz="0" w:space="0" w:color="auto"/>
        <w:bottom w:val="none" w:sz="0" w:space="0" w:color="auto"/>
        <w:right w:val="none" w:sz="0" w:space="0" w:color="auto"/>
      </w:divBdr>
    </w:div>
    <w:div w:id="1090614686">
      <w:marLeft w:val="0"/>
      <w:marRight w:val="0"/>
      <w:marTop w:val="0"/>
      <w:marBottom w:val="0"/>
      <w:divBdr>
        <w:top w:val="none" w:sz="0" w:space="0" w:color="auto"/>
        <w:left w:val="none" w:sz="0" w:space="0" w:color="auto"/>
        <w:bottom w:val="none" w:sz="0" w:space="0" w:color="auto"/>
        <w:right w:val="none" w:sz="0" w:space="0" w:color="auto"/>
      </w:divBdr>
      <w:divsChild>
        <w:div w:id="1087001597">
          <w:marLeft w:val="0"/>
          <w:marRight w:val="0"/>
          <w:marTop w:val="0"/>
          <w:marBottom w:val="0"/>
          <w:divBdr>
            <w:top w:val="none" w:sz="0" w:space="0" w:color="auto"/>
            <w:left w:val="none" w:sz="0" w:space="0" w:color="auto"/>
            <w:bottom w:val="none" w:sz="0" w:space="0" w:color="auto"/>
            <w:right w:val="none" w:sz="0" w:space="0" w:color="auto"/>
          </w:divBdr>
          <w:divsChild>
            <w:div w:id="19689699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91665228">
      <w:marLeft w:val="0"/>
      <w:marRight w:val="0"/>
      <w:marTop w:val="180"/>
      <w:marBottom w:val="180"/>
      <w:divBdr>
        <w:top w:val="none" w:sz="0" w:space="0" w:color="auto"/>
        <w:left w:val="none" w:sz="0" w:space="0" w:color="auto"/>
        <w:bottom w:val="none" w:sz="0" w:space="0" w:color="auto"/>
        <w:right w:val="none" w:sz="0" w:space="0" w:color="auto"/>
      </w:divBdr>
    </w:div>
    <w:div w:id="1091783236">
      <w:marLeft w:val="0"/>
      <w:marRight w:val="0"/>
      <w:marTop w:val="0"/>
      <w:marBottom w:val="0"/>
      <w:divBdr>
        <w:top w:val="none" w:sz="0" w:space="0" w:color="auto"/>
        <w:left w:val="none" w:sz="0" w:space="0" w:color="auto"/>
        <w:bottom w:val="none" w:sz="0" w:space="0" w:color="auto"/>
        <w:right w:val="none" w:sz="0" w:space="0" w:color="auto"/>
      </w:divBdr>
      <w:divsChild>
        <w:div w:id="126120392">
          <w:marLeft w:val="0"/>
          <w:marRight w:val="0"/>
          <w:marTop w:val="0"/>
          <w:marBottom w:val="0"/>
          <w:divBdr>
            <w:top w:val="none" w:sz="0" w:space="0" w:color="auto"/>
            <w:left w:val="none" w:sz="0" w:space="0" w:color="auto"/>
            <w:bottom w:val="none" w:sz="0" w:space="0" w:color="auto"/>
            <w:right w:val="none" w:sz="0" w:space="0" w:color="auto"/>
          </w:divBdr>
          <w:divsChild>
            <w:div w:id="6718365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92044810">
      <w:marLeft w:val="0"/>
      <w:marRight w:val="0"/>
      <w:marTop w:val="60"/>
      <w:marBottom w:val="60"/>
      <w:divBdr>
        <w:top w:val="none" w:sz="0" w:space="0" w:color="auto"/>
        <w:left w:val="none" w:sz="0" w:space="0" w:color="auto"/>
        <w:bottom w:val="none" w:sz="0" w:space="0" w:color="auto"/>
        <w:right w:val="none" w:sz="0" w:space="0" w:color="auto"/>
      </w:divBdr>
    </w:div>
    <w:div w:id="1092386721">
      <w:marLeft w:val="0"/>
      <w:marRight w:val="0"/>
      <w:marTop w:val="180"/>
      <w:marBottom w:val="180"/>
      <w:divBdr>
        <w:top w:val="none" w:sz="0" w:space="0" w:color="auto"/>
        <w:left w:val="none" w:sz="0" w:space="0" w:color="auto"/>
        <w:bottom w:val="none" w:sz="0" w:space="0" w:color="auto"/>
        <w:right w:val="none" w:sz="0" w:space="0" w:color="auto"/>
      </w:divBdr>
    </w:div>
    <w:div w:id="1100638024">
      <w:marLeft w:val="0"/>
      <w:marRight w:val="0"/>
      <w:marTop w:val="180"/>
      <w:marBottom w:val="0"/>
      <w:divBdr>
        <w:top w:val="none" w:sz="0" w:space="0" w:color="auto"/>
        <w:left w:val="none" w:sz="0" w:space="0" w:color="auto"/>
        <w:bottom w:val="none" w:sz="0" w:space="0" w:color="auto"/>
        <w:right w:val="none" w:sz="0" w:space="0" w:color="auto"/>
      </w:divBdr>
    </w:div>
    <w:div w:id="1101221726">
      <w:marLeft w:val="0"/>
      <w:marRight w:val="0"/>
      <w:marTop w:val="180"/>
      <w:marBottom w:val="60"/>
      <w:divBdr>
        <w:top w:val="none" w:sz="0" w:space="0" w:color="auto"/>
        <w:left w:val="none" w:sz="0" w:space="0" w:color="auto"/>
        <w:bottom w:val="none" w:sz="0" w:space="0" w:color="auto"/>
        <w:right w:val="none" w:sz="0" w:space="0" w:color="auto"/>
      </w:divBdr>
      <w:divsChild>
        <w:div w:id="1061101542">
          <w:marLeft w:val="0"/>
          <w:marRight w:val="0"/>
          <w:marTop w:val="0"/>
          <w:marBottom w:val="0"/>
          <w:divBdr>
            <w:top w:val="none" w:sz="0" w:space="0" w:color="auto"/>
            <w:left w:val="none" w:sz="0" w:space="0" w:color="auto"/>
            <w:bottom w:val="none" w:sz="0" w:space="0" w:color="auto"/>
            <w:right w:val="none" w:sz="0" w:space="0" w:color="auto"/>
          </w:divBdr>
        </w:div>
        <w:div w:id="1441990355">
          <w:marLeft w:val="0"/>
          <w:marRight w:val="0"/>
          <w:marTop w:val="0"/>
          <w:marBottom w:val="0"/>
          <w:divBdr>
            <w:top w:val="none" w:sz="0" w:space="0" w:color="auto"/>
            <w:left w:val="none" w:sz="0" w:space="0" w:color="auto"/>
            <w:bottom w:val="none" w:sz="0" w:space="0" w:color="auto"/>
            <w:right w:val="none" w:sz="0" w:space="0" w:color="auto"/>
          </w:divBdr>
        </w:div>
        <w:div w:id="1265724853">
          <w:marLeft w:val="0"/>
          <w:marRight w:val="0"/>
          <w:marTop w:val="0"/>
          <w:marBottom w:val="0"/>
          <w:divBdr>
            <w:top w:val="none" w:sz="0" w:space="0" w:color="auto"/>
            <w:left w:val="none" w:sz="0" w:space="0" w:color="auto"/>
            <w:bottom w:val="none" w:sz="0" w:space="0" w:color="auto"/>
            <w:right w:val="none" w:sz="0" w:space="0" w:color="auto"/>
          </w:divBdr>
        </w:div>
        <w:div w:id="1593930175">
          <w:marLeft w:val="0"/>
          <w:marRight w:val="0"/>
          <w:marTop w:val="0"/>
          <w:marBottom w:val="0"/>
          <w:divBdr>
            <w:top w:val="none" w:sz="0" w:space="0" w:color="auto"/>
            <w:left w:val="none" w:sz="0" w:space="0" w:color="auto"/>
            <w:bottom w:val="none" w:sz="0" w:space="0" w:color="auto"/>
            <w:right w:val="none" w:sz="0" w:space="0" w:color="auto"/>
          </w:divBdr>
        </w:div>
        <w:div w:id="1613589553">
          <w:marLeft w:val="0"/>
          <w:marRight w:val="0"/>
          <w:marTop w:val="0"/>
          <w:marBottom w:val="0"/>
          <w:divBdr>
            <w:top w:val="none" w:sz="0" w:space="0" w:color="auto"/>
            <w:left w:val="none" w:sz="0" w:space="0" w:color="auto"/>
            <w:bottom w:val="none" w:sz="0" w:space="0" w:color="auto"/>
            <w:right w:val="none" w:sz="0" w:space="0" w:color="auto"/>
          </w:divBdr>
        </w:div>
        <w:div w:id="930772398">
          <w:marLeft w:val="0"/>
          <w:marRight w:val="0"/>
          <w:marTop w:val="0"/>
          <w:marBottom w:val="0"/>
          <w:divBdr>
            <w:top w:val="none" w:sz="0" w:space="0" w:color="auto"/>
            <w:left w:val="none" w:sz="0" w:space="0" w:color="auto"/>
            <w:bottom w:val="none" w:sz="0" w:space="0" w:color="auto"/>
            <w:right w:val="none" w:sz="0" w:space="0" w:color="auto"/>
          </w:divBdr>
        </w:div>
        <w:div w:id="1238250692">
          <w:marLeft w:val="0"/>
          <w:marRight w:val="0"/>
          <w:marTop w:val="0"/>
          <w:marBottom w:val="0"/>
          <w:divBdr>
            <w:top w:val="none" w:sz="0" w:space="0" w:color="auto"/>
            <w:left w:val="none" w:sz="0" w:space="0" w:color="auto"/>
            <w:bottom w:val="none" w:sz="0" w:space="0" w:color="auto"/>
            <w:right w:val="none" w:sz="0" w:space="0" w:color="auto"/>
          </w:divBdr>
        </w:div>
        <w:div w:id="1372920446">
          <w:marLeft w:val="0"/>
          <w:marRight w:val="0"/>
          <w:marTop w:val="0"/>
          <w:marBottom w:val="0"/>
          <w:divBdr>
            <w:top w:val="none" w:sz="0" w:space="0" w:color="auto"/>
            <w:left w:val="none" w:sz="0" w:space="0" w:color="auto"/>
            <w:bottom w:val="none" w:sz="0" w:space="0" w:color="auto"/>
            <w:right w:val="none" w:sz="0" w:space="0" w:color="auto"/>
          </w:divBdr>
        </w:div>
        <w:div w:id="1631132960">
          <w:marLeft w:val="0"/>
          <w:marRight w:val="0"/>
          <w:marTop w:val="0"/>
          <w:marBottom w:val="0"/>
          <w:divBdr>
            <w:top w:val="none" w:sz="0" w:space="0" w:color="auto"/>
            <w:left w:val="none" w:sz="0" w:space="0" w:color="auto"/>
            <w:bottom w:val="none" w:sz="0" w:space="0" w:color="auto"/>
            <w:right w:val="none" w:sz="0" w:space="0" w:color="auto"/>
          </w:divBdr>
        </w:div>
      </w:divsChild>
    </w:div>
    <w:div w:id="1103578098">
      <w:marLeft w:val="0"/>
      <w:marRight w:val="0"/>
      <w:marTop w:val="180"/>
      <w:marBottom w:val="180"/>
      <w:divBdr>
        <w:top w:val="none" w:sz="0" w:space="0" w:color="auto"/>
        <w:left w:val="none" w:sz="0" w:space="0" w:color="auto"/>
        <w:bottom w:val="none" w:sz="0" w:space="0" w:color="auto"/>
        <w:right w:val="none" w:sz="0" w:space="0" w:color="auto"/>
      </w:divBdr>
    </w:div>
    <w:div w:id="1105224918">
      <w:marLeft w:val="0"/>
      <w:marRight w:val="0"/>
      <w:marTop w:val="180"/>
      <w:marBottom w:val="180"/>
      <w:divBdr>
        <w:top w:val="none" w:sz="0" w:space="0" w:color="auto"/>
        <w:left w:val="none" w:sz="0" w:space="0" w:color="auto"/>
        <w:bottom w:val="none" w:sz="0" w:space="0" w:color="auto"/>
        <w:right w:val="none" w:sz="0" w:space="0" w:color="auto"/>
      </w:divBdr>
    </w:div>
    <w:div w:id="1105541783">
      <w:marLeft w:val="0"/>
      <w:marRight w:val="0"/>
      <w:marTop w:val="180"/>
      <w:marBottom w:val="60"/>
      <w:divBdr>
        <w:top w:val="none" w:sz="0" w:space="0" w:color="auto"/>
        <w:left w:val="none" w:sz="0" w:space="0" w:color="auto"/>
        <w:bottom w:val="none" w:sz="0" w:space="0" w:color="auto"/>
        <w:right w:val="none" w:sz="0" w:space="0" w:color="auto"/>
      </w:divBdr>
    </w:div>
    <w:div w:id="1106534137">
      <w:marLeft w:val="0"/>
      <w:marRight w:val="0"/>
      <w:marTop w:val="0"/>
      <w:marBottom w:val="0"/>
      <w:divBdr>
        <w:top w:val="none" w:sz="0" w:space="0" w:color="auto"/>
        <w:left w:val="none" w:sz="0" w:space="0" w:color="auto"/>
        <w:bottom w:val="none" w:sz="0" w:space="0" w:color="auto"/>
        <w:right w:val="none" w:sz="0" w:space="0" w:color="auto"/>
      </w:divBdr>
    </w:div>
    <w:div w:id="1107624920">
      <w:marLeft w:val="0"/>
      <w:marRight w:val="0"/>
      <w:marTop w:val="0"/>
      <w:marBottom w:val="0"/>
      <w:divBdr>
        <w:top w:val="none" w:sz="0" w:space="0" w:color="auto"/>
        <w:left w:val="none" w:sz="0" w:space="0" w:color="auto"/>
        <w:bottom w:val="none" w:sz="0" w:space="0" w:color="auto"/>
        <w:right w:val="none" w:sz="0" w:space="0" w:color="auto"/>
      </w:divBdr>
      <w:divsChild>
        <w:div w:id="67270759">
          <w:marLeft w:val="0"/>
          <w:marRight w:val="0"/>
          <w:marTop w:val="0"/>
          <w:marBottom w:val="0"/>
          <w:divBdr>
            <w:top w:val="none" w:sz="0" w:space="0" w:color="auto"/>
            <w:left w:val="none" w:sz="0" w:space="0" w:color="auto"/>
            <w:bottom w:val="none" w:sz="0" w:space="0" w:color="auto"/>
            <w:right w:val="none" w:sz="0" w:space="0" w:color="auto"/>
          </w:divBdr>
          <w:divsChild>
            <w:div w:id="1231552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8545835">
      <w:marLeft w:val="0"/>
      <w:marRight w:val="0"/>
      <w:marTop w:val="180"/>
      <w:marBottom w:val="180"/>
      <w:divBdr>
        <w:top w:val="none" w:sz="0" w:space="0" w:color="auto"/>
        <w:left w:val="none" w:sz="0" w:space="0" w:color="auto"/>
        <w:bottom w:val="none" w:sz="0" w:space="0" w:color="auto"/>
        <w:right w:val="none" w:sz="0" w:space="0" w:color="auto"/>
      </w:divBdr>
    </w:div>
    <w:div w:id="1110274496">
      <w:marLeft w:val="0"/>
      <w:marRight w:val="0"/>
      <w:marTop w:val="60"/>
      <w:marBottom w:val="60"/>
      <w:divBdr>
        <w:top w:val="none" w:sz="0" w:space="0" w:color="auto"/>
        <w:left w:val="none" w:sz="0" w:space="0" w:color="auto"/>
        <w:bottom w:val="none" w:sz="0" w:space="0" w:color="auto"/>
        <w:right w:val="none" w:sz="0" w:space="0" w:color="auto"/>
      </w:divBdr>
    </w:div>
    <w:div w:id="1114406494">
      <w:marLeft w:val="0"/>
      <w:marRight w:val="0"/>
      <w:marTop w:val="180"/>
      <w:marBottom w:val="180"/>
      <w:divBdr>
        <w:top w:val="none" w:sz="0" w:space="0" w:color="auto"/>
        <w:left w:val="none" w:sz="0" w:space="0" w:color="auto"/>
        <w:bottom w:val="none" w:sz="0" w:space="0" w:color="auto"/>
        <w:right w:val="none" w:sz="0" w:space="0" w:color="auto"/>
      </w:divBdr>
    </w:div>
    <w:div w:id="1116023992">
      <w:marLeft w:val="0"/>
      <w:marRight w:val="0"/>
      <w:marTop w:val="60"/>
      <w:marBottom w:val="60"/>
      <w:divBdr>
        <w:top w:val="none" w:sz="0" w:space="0" w:color="auto"/>
        <w:left w:val="none" w:sz="0" w:space="0" w:color="auto"/>
        <w:bottom w:val="none" w:sz="0" w:space="0" w:color="auto"/>
        <w:right w:val="none" w:sz="0" w:space="0" w:color="auto"/>
      </w:divBdr>
    </w:div>
    <w:div w:id="1121338352">
      <w:marLeft w:val="0"/>
      <w:marRight w:val="0"/>
      <w:marTop w:val="180"/>
      <w:marBottom w:val="180"/>
      <w:divBdr>
        <w:top w:val="none" w:sz="0" w:space="0" w:color="auto"/>
        <w:left w:val="none" w:sz="0" w:space="0" w:color="auto"/>
        <w:bottom w:val="none" w:sz="0" w:space="0" w:color="auto"/>
        <w:right w:val="none" w:sz="0" w:space="0" w:color="auto"/>
      </w:divBdr>
    </w:div>
    <w:div w:id="1121613445">
      <w:marLeft w:val="0"/>
      <w:marRight w:val="0"/>
      <w:marTop w:val="0"/>
      <w:marBottom w:val="0"/>
      <w:divBdr>
        <w:top w:val="none" w:sz="0" w:space="0" w:color="auto"/>
        <w:left w:val="none" w:sz="0" w:space="0" w:color="auto"/>
        <w:bottom w:val="none" w:sz="0" w:space="0" w:color="auto"/>
        <w:right w:val="none" w:sz="0" w:space="0" w:color="auto"/>
      </w:divBdr>
      <w:divsChild>
        <w:div w:id="739133337">
          <w:marLeft w:val="0"/>
          <w:marRight w:val="0"/>
          <w:marTop w:val="0"/>
          <w:marBottom w:val="0"/>
          <w:divBdr>
            <w:top w:val="none" w:sz="0" w:space="0" w:color="auto"/>
            <w:left w:val="none" w:sz="0" w:space="0" w:color="auto"/>
            <w:bottom w:val="none" w:sz="0" w:space="0" w:color="auto"/>
            <w:right w:val="none" w:sz="0" w:space="0" w:color="auto"/>
          </w:divBdr>
          <w:divsChild>
            <w:div w:id="15997494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2264247">
      <w:marLeft w:val="0"/>
      <w:marRight w:val="0"/>
      <w:marTop w:val="60"/>
      <w:marBottom w:val="60"/>
      <w:divBdr>
        <w:top w:val="none" w:sz="0" w:space="0" w:color="auto"/>
        <w:left w:val="none" w:sz="0" w:space="0" w:color="auto"/>
        <w:bottom w:val="none" w:sz="0" w:space="0" w:color="auto"/>
        <w:right w:val="none" w:sz="0" w:space="0" w:color="auto"/>
      </w:divBdr>
    </w:div>
    <w:div w:id="1123302448">
      <w:marLeft w:val="0"/>
      <w:marRight w:val="0"/>
      <w:marTop w:val="0"/>
      <w:marBottom w:val="0"/>
      <w:divBdr>
        <w:top w:val="none" w:sz="0" w:space="0" w:color="auto"/>
        <w:left w:val="none" w:sz="0" w:space="0" w:color="auto"/>
        <w:bottom w:val="none" w:sz="0" w:space="0" w:color="auto"/>
        <w:right w:val="none" w:sz="0" w:space="0" w:color="auto"/>
      </w:divBdr>
      <w:divsChild>
        <w:div w:id="758721187">
          <w:marLeft w:val="0"/>
          <w:marRight w:val="0"/>
          <w:marTop w:val="60"/>
          <w:marBottom w:val="60"/>
          <w:divBdr>
            <w:top w:val="none" w:sz="0" w:space="0" w:color="auto"/>
            <w:left w:val="none" w:sz="0" w:space="0" w:color="auto"/>
            <w:bottom w:val="none" w:sz="0" w:space="0" w:color="auto"/>
            <w:right w:val="none" w:sz="0" w:space="0" w:color="auto"/>
          </w:divBdr>
        </w:div>
      </w:divsChild>
    </w:div>
    <w:div w:id="1124034992">
      <w:marLeft w:val="0"/>
      <w:marRight w:val="0"/>
      <w:marTop w:val="0"/>
      <w:marBottom w:val="0"/>
      <w:divBdr>
        <w:top w:val="none" w:sz="0" w:space="0" w:color="auto"/>
        <w:left w:val="none" w:sz="0" w:space="0" w:color="auto"/>
        <w:bottom w:val="none" w:sz="0" w:space="0" w:color="auto"/>
        <w:right w:val="none" w:sz="0" w:space="0" w:color="auto"/>
      </w:divBdr>
    </w:div>
    <w:div w:id="1124271472">
      <w:marLeft w:val="0"/>
      <w:marRight w:val="0"/>
      <w:marTop w:val="180"/>
      <w:marBottom w:val="180"/>
      <w:divBdr>
        <w:top w:val="none" w:sz="0" w:space="0" w:color="auto"/>
        <w:left w:val="none" w:sz="0" w:space="0" w:color="auto"/>
        <w:bottom w:val="none" w:sz="0" w:space="0" w:color="auto"/>
        <w:right w:val="none" w:sz="0" w:space="0" w:color="auto"/>
      </w:divBdr>
    </w:div>
    <w:div w:id="1125655356">
      <w:marLeft w:val="0"/>
      <w:marRight w:val="0"/>
      <w:marTop w:val="180"/>
      <w:marBottom w:val="180"/>
      <w:divBdr>
        <w:top w:val="none" w:sz="0" w:space="0" w:color="auto"/>
        <w:left w:val="none" w:sz="0" w:space="0" w:color="auto"/>
        <w:bottom w:val="none" w:sz="0" w:space="0" w:color="auto"/>
        <w:right w:val="none" w:sz="0" w:space="0" w:color="auto"/>
      </w:divBdr>
    </w:div>
    <w:div w:id="1128355619">
      <w:marLeft w:val="0"/>
      <w:marRight w:val="0"/>
      <w:marTop w:val="180"/>
      <w:marBottom w:val="180"/>
      <w:divBdr>
        <w:top w:val="none" w:sz="0" w:space="0" w:color="auto"/>
        <w:left w:val="none" w:sz="0" w:space="0" w:color="auto"/>
        <w:bottom w:val="none" w:sz="0" w:space="0" w:color="auto"/>
        <w:right w:val="none" w:sz="0" w:space="0" w:color="auto"/>
      </w:divBdr>
    </w:div>
    <w:div w:id="1128620819">
      <w:marLeft w:val="0"/>
      <w:marRight w:val="0"/>
      <w:marTop w:val="180"/>
      <w:marBottom w:val="180"/>
      <w:divBdr>
        <w:top w:val="none" w:sz="0" w:space="0" w:color="auto"/>
        <w:left w:val="none" w:sz="0" w:space="0" w:color="auto"/>
        <w:bottom w:val="none" w:sz="0" w:space="0" w:color="auto"/>
        <w:right w:val="none" w:sz="0" w:space="0" w:color="auto"/>
      </w:divBdr>
    </w:div>
    <w:div w:id="1129008394">
      <w:marLeft w:val="0"/>
      <w:marRight w:val="0"/>
      <w:marTop w:val="180"/>
      <w:marBottom w:val="180"/>
      <w:divBdr>
        <w:top w:val="none" w:sz="0" w:space="0" w:color="auto"/>
        <w:left w:val="none" w:sz="0" w:space="0" w:color="auto"/>
        <w:bottom w:val="none" w:sz="0" w:space="0" w:color="auto"/>
        <w:right w:val="none" w:sz="0" w:space="0" w:color="auto"/>
      </w:divBdr>
    </w:div>
    <w:div w:id="1130198539">
      <w:marLeft w:val="0"/>
      <w:marRight w:val="0"/>
      <w:marTop w:val="180"/>
      <w:marBottom w:val="180"/>
      <w:divBdr>
        <w:top w:val="none" w:sz="0" w:space="0" w:color="auto"/>
        <w:left w:val="none" w:sz="0" w:space="0" w:color="auto"/>
        <w:bottom w:val="none" w:sz="0" w:space="0" w:color="auto"/>
        <w:right w:val="none" w:sz="0" w:space="0" w:color="auto"/>
      </w:divBdr>
    </w:div>
    <w:div w:id="1132094794">
      <w:marLeft w:val="0"/>
      <w:marRight w:val="0"/>
      <w:marTop w:val="60"/>
      <w:marBottom w:val="60"/>
      <w:divBdr>
        <w:top w:val="none" w:sz="0" w:space="0" w:color="auto"/>
        <w:left w:val="none" w:sz="0" w:space="0" w:color="auto"/>
        <w:bottom w:val="none" w:sz="0" w:space="0" w:color="auto"/>
        <w:right w:val="none" w:sz="0" w:space="0" w:color="auto"/>
      </w:divBdr>
    </w:div>
    <w:div w:id="1132484102">
      <w:marLeft w:val="0"/>
      <w:marRight w:val="0"/>
      <w:marTop w:val="180"/>
      <w:marBottom w:val="180"/>
      <w:divBdr>
        <w:top w:val="none" w:sz="0" w:space="0" w:color="auto"/>
        <w:left w:val="none" w:sz="0" w:space="0" w:color="auto"/>
        <w:bottom w:val="none" w:sz="0" w:space="0" w:color="auto"/>
        <w:right w:val="none" w:sz="0" w:space="0" w:color="auto"/>
      </w:divBdr>
    </w:div>
    <w:div w:id="1135022446">
      <w:marLeft w:val="0"/>
      <w:marRight w:val="0"/>
      <w:marTop w:val="60"/>
      <w:marBottom w:val="60"/>
      <w:divBdr>
        <w:top w:val="none" w:sz="0" w:space="0" w:color="auto"/>
        <w:left w:val="none" w:sz="0" w:space="0" w:color="auto"/>
        <w:bottom w:val="none" w:sz="0" w:space="0" w:color="auto"/>
        <w:right w:val="none" w:sz="0" w:space="0" w:color="auto"/>
      </w:divBdr>
    </w:div>
    <w:div w:id="1136533151">
      <w:marLeft w:val="0"/>
      <w:marRight w:val="0"/>
      <w:marTop w:val="0"/>
      <w:marBottom w:val="0"/>
      <w:divBdr>
        <w:top w:val="none" w:sz="0" w:space="0" w:color="auto"/>
        <w:left w:val="none" w:sz="0" w:space="0" w:color="auto"/>
        <w:bottom w:val="none" w:sz="0" w:space="0" w:color="auto"/>
        <w:right w:val="none" w:sz="0" w:space="0" w:color="auto"/>
      </w:divBdr>
      <w:divsChild>
        <w:div w:id="199784071">
          <w:marLeft w:val="0"/>
          <w:marRight w:val="0"/>
          <w:marTop w:val="0"/>
          <w:marBottom w:val="0"/>
          <w:divBdr>
            <w:top w:val="none" w:sz="0" w:space="0" w:color="auto"/>
            <w:left w:val="none" w:sz="0" w:space="0" w:color="auto"/>
            <w:bottom w:val="none" w:sz="0" w:space="0" w:color="auto"/>
            <w:right w:val="none" w:sz="0" w:space="0" w:color="auto"/>
          </w:divBdr>
          <w:divsChild>
            <w:div w:id="4113203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37797900">
      <w:marLeft w:val="0"/>
      <w:marRight w:val="0"/>
      <w:marTop w:val="60"/>
      <w:marBottom w:val="60"/>
      <w:divBdr>
        <w:top w:val="none" w:sz="0" w:space="0" w:color="auto"/>
        <w:left w:val="none" w:sz="0" w:space="0" w:color="auto"/>
        <w:bottom w:val="none" w:sz="0" w:space="0" w:color="auto"/>
        <w:right w:val="none" w:sz="0" w:space="0" w:color="auto"/>
      </w:divBdr>
    </w:div>
    <w:div w:id="1138375784">
      <w:marLeft w:val="0"/>
      <w:marRight w:val="0"/>
      <w:marTop w:val="60"/>
      <w:marBottom w:val="60"/>
      <w:divBdr>
        <w:top w:val="none" w:sz="0" w:space="0" w:color="auto"/>
        <w:left w:val="none" w:sz="0" w:space="0" w:color="auto"/>
        <w:bottom w:val="none" w:sz="0" w:space="0" w:color="auto"/>
        <w:right w:val="none" w:sz="0" w:space="0" w:color="auto"/>
      </w:divBdr>
    </w:div>
    <w:div w:id="1140924758">
      <w:marLeft w:val="0"/>
      <w:marRight w:val="0"/>
      <w:marTop w:val="0"/>
      <w:marBottom w:val="0"/>
      <w:divBdr>
        <w:top w:val="none" w:sz="0" w:space="0" w:color="auto"/>
        <w:left w:val="none" w:sz="0" w:space="0" w:color="auto"/>
        <w:bottom w:val="none" w:sz="0" w:space="0" w:color="auto"/>
        <w:right w:val="none" w:sz="0" w:space="0" w:color="auto"/>
      </w:divBdr>
    </w:div>
    <w:div w:id="1142621997">
      <w:marLeft w:val="0"/>
      <w:marRight w:val="0"/>
      <w:marTop w:val="180"/>
      <w:marBottom w:val="180"/>
      <w:divBdr>
        <w:top w:val="none" w:sz="0" w:space="0" w:color="auto"/>
        <w:left w:val="none" w:sz="0" w:space="0" w:color="auto"/>
        <w:bottom w:val="none" w:sz="0" w:space="0" w:color="auto"/>
        <w:right w:val="none" w:sz="0" w:space="0" w:color="auto"/>
      </w:divBdr>
    </w:div>
    <w:div w:id="1145271693">
      <w:marLeft w:val="0"/>
      <w:marRight w:val="0"/>
      <w:marTop w:val="180"/>
      <w:marBottom w:val="180"/>
      <w:divBdr>
        <w:top w:val="none" w:sz="0" w:space="0" w:color="auto"/>
        <w:left w:val="none" w:sz="0" w:space="0" w:color="auto"/>
        <w:bottom w:val="none" w:sz="0" w:space="0" w:color="auto"/>
        <w:right w:val="none" w:sz="0" w:space="0" w:color="auto"/>
      </w:divBdr>
    </w:div>
    <w:div w:id="1146243433">
      <w:marLeft w:val="0"/>
      <w:marRight w:val="0"/>
      <w:marTop w:val="0"/>
      <w:marBottom w:val="0"/>
      <w:divBdr>
        <w:top w:val="none" w:sz="0" w:space="0" w:color="auto"/>
        <w:left w:val="none" w:sz="0" w:space="0" w:color="auto"/>
        <w:bottom w:val="none" w:sz="0" w:space="0" w:color="auto"/>
        <w:right w:val="none" w:sz="0" w:space="0" w:color="auto"/>
      </w:divBdr>
      <w:divsChild>
        <w:div w:id="178204267">
          <w:marLeft w:val="0"/>
          <w:marRight w:val="0"/>
          <w:marTop w:val="0"/>
          <w:marBottom w:val="0"/>
          <w:divBdr>
            <w:top w:val="none" w:sz="0" w:space="0" w:color="auto"/>
            <w:left w:val="none" w:sz="0" w:space="0" w:color="auto"/>
            <w:bottom w:val="none" w:sz="0" w:space="0" w:color="auto"/>
            <w:right w:val="none" w:sz="0" w:space="0" w:color="auto"/>
          </w:divBdr>
          <w:divsChild>
            <w:div w:id="16531768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6511207">
      <w:marLeft w:val="0"/>
      <w:marRight w:val="0"/>
      <w:marTop w:val="0"/>
      <w:marBottom w:val="0"/>
      <w:divBdr>
        <w:top w:val="none" w:sz="0" w:space="0" w:color="auto"/>
        <w:left w:val="none" w:sz="0" w:space="0" w:color="auto"/>
        <w:bottom w:val="none" w:sz="0" w:space="0" w:color="auto"/>
        <w:right w:val="none" w:sz="0" w:space="0" w:color="auto"/>
      </w:divBdr>
      <w:divsChild>
        <w:div w:id="1763724388">
          <w:marLeft w:val="0"/>
          <w:marRight w:val="0"/>
          <w:marTop w:val="0"/>
          <w:marBottom w:val="0"/>
          <w:divBdr>
            <w:top w:val="none" w:sz="0" w:space="0" w:color="auto"/>
            <w:left w:val="none" w:sz="0" w:space="0" w:color="auto"/>
            <w:bottom w:val="none" w:sz="0" w:space="0" w:color="auto"/>
            <w:right w:val="none" w:sz="0" w:space="0" w:color="auto"/>
          </w:divBdr>
          <w:divsChild>
            <w:div w:id="460745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1680551">
      <w:marLeft w:val="0"/>
      <w:marRight w:val="0"/>
      <w:marTop w:val="60"/>
      <w:marBottom w:val="60"/>
      <w:divBdr>
        <w:top w:val="none" w:sz="0" w:space="0" w:color="auto"/>
        <w:left w:val="none" w:sz="0" w:space="0" w:color="auto"/>
        <w:bottom w:val="none" w:sz="0" w:space="0" w:color="auto"/>
        <w:right w:val="none" w:sz="0" w:space="0" w:color="auto"/>
      </w:divBdr>
    </w:div>
    <w:div w:id="1156343066">
      <w:marLeft w:val="0"/>
      <w:marRight w:val="0"/>
      <w:marTop w:val="180"/>
      <w:marBottom w:val="180"/>
      <w:divBdr>
        <w:top w:val="none" w:sz="0" w:space="0" w:color="auto"/>
        <w:left w:val="none" w:sz="0" w:space="0" w:color="auto"/>
        <w:bottom w:val="none" w:sz="0" w:space="0" w:color="auto"/>
        <w:right w:val="none" w:sz="0" w:space="0" w:color="auto"/>
      </w:divBdr>
    </w:div>
    <w:div w:id="1157041017">
      <w:marLeft w:val="0"/>
      <w:marRight w:val="0"/>
      <w:marTop w:val="180"/>
      <w:marBottom w:val="180"/>
      <w:divBdr>
        <w:top w:val="none" w:sz="0" w:space="0" w:color="auto"/>
        <w:left w:val="none" w:sz="0" w:space="0" w:color="auto"/>
        <w:bottom w:val="none" w:sz="0" w:space="0" w:color="auto"/>
        <w:right w:val="none" w:sz="0" w:space="0" w:color="auto"/>
      </w:divBdr>
    </w:div>
    <w:div w:id="1157769777">
      <w:marLeft w:val="0"/>
      <w:marRight w:val="0"/>
      <w:marTop w:val="180"/>
      <w:marBottom w:val="180"/>
      <w:divBdr>
        <w:top w:val="none" w:sz="0" w:space="0" w:color="auto"/>
        <w:left w:val="none" w:sz="0" w:space="0" w:color="auto"/>
        <w:bottom w:val="none" w:sz="0" w:space="0" w:color="auto"/>
        <w:right w:val="none" w:sz="0" w:space="0" w:color="auto"/>
      </w:divBdr>
    </w:div>
    <w:div w:id="1161968159">
      <w:marLeft w:val="0"/>
      <w:marRight w:val="0"/>
      <w:marTop w:val="100"/>
      <w:marBottom w:val="0"/>
      <w:divBdr>
        <w:top w:val="none" w:sz="0" w:space="0" w:color="auto"/>
        <w:left w:val="none" w:sz="0" w:space="0" w:color="auto"/>
        <w:bottom w:val="none" w:sz="0" w:space="0" w:color="auto"/>
        <w:right w:val="none" w:sz="0" w:space="0" w:color="auto"/>
      </w:divBdr>
    </w:div>
    <w:div w:id="1162967136">
      <w:marLeft w:val="0"/>
      <w:marRight w:val="0"/>
      <w:marTop w:val="60"/>
      <w:marBottom w:val="60"/>
      <w:divBdr>
        <w:top w:val="none" w:sz="0" w:space="0" w:color="auto"/>
        <w:left w:val="none" w:sz="0" w:space="0" w:color="auto"/>
        <w:bottom w:val="none" w:sz="0" w:space="0" w:color="auto"/>
        <w:right w:val="none" w:sz="0" w:space="0" w:color="auto"/>
      </w:divBdr>
    </w:div>
    <w:div w:id="1168059930">
      <w:marLeft w:val="0"/>
      <w:marRight w:val="0"/>
      <w:marTop w:val="160"/>
      <w:marBottom w:val="60"/>
      <w:divBdr>
        <w:top w:val="none" w:sz="0" w:space="0" w:color="auto"/>
        <w:left w:val="none" w:sz="0" w:space="0" w:color="auto"/>
        <w:bottom w:val="none" w:sz="0" w:space="0" w:color="auto"/>
        <w:right w:val="none" w:sz="0" w:space="0" w:color="auto"/>
      </w:divBdr>
    </w:div>
    <w:div w:id="1170828314">
      <w:marLeft w:val="0"/>
      <w:marRight w:val="0"/>
      <w:marTop w:val="60"/>
      <w:marBottom w:val="60"/>
      <w:divBdr>
        <w:top w:val="none" w:sz="0" w:space="0" w:color="auto"/>
        <w:left w:val="none" w:sz="0" w:space="0" w:color="auto"/>
        <w:bottom w:val="none" w:sz="0" w:space="0" w:color="auto"/>
        <w:right w:val="none" w:sz="0" w:space="0" w:color="auto"/>
      </w:divBdr>
    </w:div>
    <w:div w:id="1173715361">
      <w:marLeft w:val="0"/>
      <w:marRight w:val="0"/>
      <w:marTop w:val="0"/>
      <w:marBottom w:val="0"/>
      <w:divBdr>
        <w:top w:val="none" w:sz="0" w:space="0" w:color="auto"/>
        <w:left w:val="none" w:sz="0" w:space="0" w:color="auto"/>
        <w:bottom w:val="none" w:sz="0" w:space="0" w:color="auto"/>
        <w:right w:val="none" w:sz="0" w:space="0" w:color="auto"/>
      </w:divBdr>
      <w:divsChild>
        <w:div w:id="867568943">
          <w:marLeft w:val="0"/>
          <w:marRight w:val="0"/>
          <w:marTop w:val="0"/>
          <w:marBottom w:val="0"/>
          <w:divBdr>
            <w:top w:val="none" w:sz="0" w:space="0" w:color="auto"/>
            <w:left w:val="none" w:sz="0" w:space="0" w:color="auto"/>
            <w:bottom w:val="none" w:sz="0" w:space="0" w:color="auto"/>
            <w:right w:val="none" w:sz="0" w:space="0" w:color="auto"/>
          </w:divBdr>
          <w:divsChild>
            <w:div w:id="437969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4413369">
      <w:marLeft w:val="0"/>
      <w:marRight w:val="0"/>
      <w:marTop w:val="60"/>
      <w:marBottom w:val="60"/>
      <w:divBdr>
        <w:top w:val="none" w:sz="0" w:space="0" w:color="auto"/>
        <w:left w:val="none" w:sz="0" w:space="0" w:color="auto"/>
        <w:bottom w:val="none" w:sz="0" w:space="0" w:color="auto"/>
        <w:right w:val="none" w:sz="0" w:space="0" w:color="auto"/>
      </w:divBdr>
    </w:div>
    <w:div w:id="1176269539">
      <w:marLeft w:val="0"/>
      <w:marRight w:val="0"/>
      <w:marTop w:val="60"/>
      <w:marBottom w:val="60"/>
      <w:divBdr>
        <w:top w:val="none" w:sz="0" w:space="0" w:color="auto"/>
        <w:left w:val="none" w:sz="0" w:space="0" w:color="auto"/>
        <w:bottom w:val="none" w:sz="0" w:space="0" w:color="auto"/>
        <w:right w:val="none" w:sz="0" w:space="0" w:color="auto"/>
      </w:divBdr>
    </w:div>
    <w:div w:id="1177623251">
      <w:marLeft w:val="0"/>
      <w:marRight w:val="0"/>
      <w:marTop w:val="180"/>
      <w:marBottom w:val="180"/>
      <w:divBdr>
        <w:top w:val="none" w:sz="0" w:space="0" w:color="auto"/>
        <w:left w:val="none" w:sz="0" w:space="0" w:color="auto"/>
        <w:bottom w:val="none" w:sz="0" w:space="0" w:color="auto"/>
        <w:right w:val="none" w:sz="0" w:space="0" w:color="auto"/>
      </w:divBdr>
    </w:div>
    <w:div w:id="1181815923">
      <w:marLeft w:val="0"/>
      <w:marRight w:val="0"/>
      <w:marTop w:val="180"/>
      <w:marBottom w:val="180"/>
      <w:divBdr>
        <w:top w:val="none" w:sz="0" w:space="0" w:color="auto"/>
        <w:left w:val="none" w:sz="0" w:space="0" w:color="auto"/>
        <w:bottom w:val="none" w:sz="0" w:space="0" w:color="auto"/>
        <w:right w:val="none" w:sz="0" w:space="0" w:color="auto"/>
      </w:divBdr>
    </w:div>
    <w:div w:id="1182746558">
      <w:marLeft w:val="0"/>
      <w:marRight w:val="0"/>
      <w:marTop w:val="180"/>
      <w:marBottom w:val="180"/>
      <w:divBdr>
        <w:top w:val="none" w:sz="0" w:space="0" w:color="auto"/>
        <w:left w:val="none" w:sz="0" w:space="0" w:color="auto"/>
        <w:bottom w:val="none" w:sz="0" w:space="0" w:color="auto"/>
        <w:right w:val="none" w:sz="0" w:space="0" w:color="auto"/>
      </w:divBdr>
    </w:div>
    <w:div w:id="1184898485">
      <w:marLeft w:val="0"/>
      <w:marRight w:val="0"/>
      <w:marTop w:val="60"/>
      <w:marBottom w:val="60"/>
      <w:divBdr>
        <w:top w:val="none" w:sz="0" w:space="0" w:color="auto"/>
        <w:left w:val="none" w:sz="0" w:space="0" w:color="auto"/>
        <w:bottom w:val="none" w:sz="0" w:space="0" w:color="auto"/>
        <w:right w:val="none" w:sz="0" w:space="0" w:color="auto"/>
      </w:divBdr>
    </w:div>
    <w:div w:id="1186600094">
      <w:marLeft w:val="0"/>
      <w:marRight w:val="0"/>
      <w:marTop w:val="180"/>
      <w:marBottom w:val="180"/>
      <w:divBdr>
        <w:top w:val="none" w:sz="0" w:space="0" w:color="auto"/>
        <w:left w:val="none" w:sz="0" w:space="0" w:color="auto"/>
        <w:bottom w:val="none" w:sz="0" w:space="0" w:color="auto"/>
        <w:right w:val="none" w:sz="0" w:space="0" w:color="auto"/>
      </w:divBdr>
    </w:div>
    <w:div w:id="1190535394">
      <w:marLeft w:val="0"/>
      <w:marRight w:val="0"/>
      <w:marTop w:val="180"/>
      <w:marBottom w:val="60"/>
      <w:divBdr>
        <w:top w:val="none" w:sz="0" w:space="0" w:color="auto"/>
        <w:left w:val="none" w:sz="0" w:space="0" w:color="auto"/>
        <w:bottom w:val="none" w:sz="0" w:space="0" w:color="auto"/>
        <w:right w:val="none" w:sz="0" w:space="0" w:color="auto"/>
      </w:divBdr>
    </w:div>
    <w:div w:id="1191071935">
      <w:marLeft w:val="0"/>
      <w:marRight w:val="0"/>
      <w:marTop w:val="180"/>
      <w:marBottom w:val="180"/>
      <w:divBdr>
        <w:top w:val="none" w:sz="0" w:space="0" w:color="auto"/>
        <w:left w:val="none" w:sz="0" w:space="0" w:color="auto"/>
        <w:bottom w:val="none" w:sz="0" w:space="0" w:color="auto"/>
        <w:right w:val="none" w:sz="0" w:space="0" w:color="auto"/>
      </w:divBdr>
    </w:div>
    <w:div w:id="1195070467">
      <w:marLeft w:val="0"/>
      <w:marRight w:val="0"/>
      <w:marTop w:val="60"/>
      <w:marBottom w:val="60"/>
      <w:divBdr>
        <w:top w:val="none" w:sz="0" w:space="0" w:color="auto"/>
        <w:left w:val="none" w:sz="0" w:space="0" w:color="auto"/>
        <w:bottom w:val="none" w:sz="0" w:space="0" w:color="auto"/>
        <w:right w:val="none" w:sz="0" w:space="0" w:color="auto"/>
      </w:divBdr>
    </w:div>
    <w:div w:id="1197892163">
      <w:marLeft w:val="0"/>
      <w:marRight w:val="0"/>
      <w:marTop w:val="60"/>
      <w:marBottom w:val="60"/>
      <w:divBdr>
        <w:top w:val="none" w:sz="0" w:space="0" w:color="auto"/>
        <w:left w:val="none" w:sz="0" w:space="0" w:color="auto"/>
        <w:bottom w:val="none" w:sz="0" w:space="0" w:color="auto"/>
        <w:right w:val="none" w:sz="0" w:space="0" w:color="auto"/>
      </w:divBdr>
    </w:div>
    <w:div w:id="1199589162">
      <w:marLeft w:val="0"/>
      <w:marRight w:val="0"/>
      <w:marTop w:val="180"/>
      <w:marBottom w:val="180"/>
      <w:divBdr>
        <w:top w:val="none" w:sz="0" w:space="0" w:color="auto"/>
        <w:left w:val="none" w:sz="0" w:space="0" w:color="auto"/>
        <w:bottom w:val="none" w:sz="0" w:space="0" w:color="auto"/>
        <w:right w:val="none" w:sz="0" w:space="0" w:color="auto"/>
      </w:divBdr>
    </w:div>
    <w:div w:id="1200359555">
      <w:marLeft w:val="0"/>
      <w:marRight w:val="0"/>
      <w:marTop w:val="180"/>
      <w:marBottom w:val="180"/>
      <w:divBdr>
        <w:top w:val="none" w:sz="0" w:space="0" w:color="auto"/>
        <w:left w:val="none" w:sz="0" w:space="0" w:color="auto"/>
        <w:bottom w:val="none" w:sz="0" w:space="0" w:color="auto"/>
        <w:right w:val="none" w:sz="0" w:space="0" w:color="auto"/>
      </w:divBdr>
    </w:div>
    <w:div w:id="1201893641">
      <w:marLeft w:val="0"/>
      <w:marRight w:val="0"/>
      <w:marTop w:val="180"/>
      <w:marBottom w:val="180"/>
      <w:divBdr>
        <w:top w:val="none" w:sz="0" w:space="0" w:color="auto"/>
        <w:left w:val="none" w:sz="0" w:space="0" w:color="auto"/>
        <w:bottom w:val="none" w:sz="0" w:space="0" w:color="auto"/>
        <w:right w:val="none" w:sz="0" w:space="0" w:color="auto"/>
      </w:divBdr>
    </w:div>
    <w:div w:id="1203176228">
      <w:marLeft w:val="0"/>
      <w:marRight w:val="0"/>
      <w:marTop w:val="180"/>
      <w:marBottom w:val="180"/>
      <w:divBdr>
        <w:top w:val="none" w:sz="0" w:space="0" w:color="auto"/>
        <w:left w:val="none" w:sz="0" w:space="0" w:color="auto"/>
        <w:bottom w:val="none" w:sz="0" w:space="0" w:color="auto"/>
        <w:right w:val="none" w:sz="0" w:space="0" w:color="auto"/>
      </w:divBdr>
    </w:div>
    <w:div w:id="1204052524">
      <w:marLeft w:val="0"/>
      <w:marRight w:val="0"/>
      <w:marTop w:val="0"/>
      <w:marBottom w:val="0"/>
      <w:divBdr>
        <w:top w:val="none" w:sz="0" w:space="0" w:color="auto"/>
        <w:left w:val="none" w:sz="0" w:space="0" w:color="auto"/>
        <w:bottom w:val="none" w:sz="0" w:space="0" w:color="auto"/>
        <w:right w:val="none" w:sz="0" w:space="0" w:color="auto"/>
      </w:divBdr>
      <w:divsChild>
        <w:div w:id="1620603647">
          <w:marLeft w:val="0"/>
          <w:marRight w:val="0"/>
          <w:marTop w:val="60"/>
          <w:marBottom w:val="60"/>
          <w:divBdr>
            <w:top w:val="none" w:sz="0" w:space="0" w:color="auto"/>
            <w:left w:val="none" w:sz="0" w:space="0" w:color="auto"/>
            <w:bottom w:val="none" w:sz="0" w:space="0" w:color="auto"/>
            <w:right w:val="none" w:sz="0" w:space="0" w:color="auto"/>
          </w:divBdr>
        </w:div>
      </w:divsChild>
    </w:div>
    <w:div w:id="1204250408">
      <w:marLeft w:val="0"/>
      <w:marRight w:val="0"/>
      <w:marTop w:val="60"/>
      <w:marBottom w:val="60"/>
      <w:divBdr>
        <w:top w:val="none" w:sz="0" w:space="0" w:color="auto"/>
        <w:left w:val="none" w:sz="0" w:space="0" w:color="auto"/>
        <w:bottom w:val="none" w:sz="0" w:space="0" w:color="auto"/>
        <w:right w:val="none" w:sz="0" w:space="0" w:color="auto"/>
      </w:divBdr>
    </w:div>
    <w:div w:id="1205173587">
      <w:marLeft w:val="0"/>
      <w:marRight w:val="0"/>
      <w:marTop w:val="180"/>
      <w:marBottom w:val="180"/>
      <w:divBdr>
        <w:top w:val="none" w:sz="0" w:space="0" w:color="auto"/>
        <w:left w:val="none" w:sz="0" w:space="0" w:color="auto"/>
        <w:bottom w:val="none" w:sz="0" w:space="0" w:color="auto"/>
        <w:right w:val="none" w:sz="0" w:space="0" w:color="auto"/>
      </w:divBdr>
    </w:div>
    <w:div w:id="1205409579">
      <w:marLeft w:val="0"/>
      <w:marRight w:val="0"/>
      <w:marTop w:val="60"/>
      <w:marBottom w:val="60"/>
      <w:divBdr>
        <w:top w:val="none" w:sz="0" w:space="0" w:color="auto"/>
        <w:left w:val="none" w:sz="0" w:space="0" w:color="auto"/>
        <w:bottom w:val="none" w:sz="0" w:space="0" w:color="auto"/>
        <w:right w:val="none" w:sz="0" w:space="0" w:color="auto"/>
      </w:divBdr>
    </w:div>
    <w:div w:id="1205943888">
      <w:marLeft w:val="0"/>
      <w:marRight w:val="0"/>
      <w:marTop w:val="0"/>
      <w:marBottom w:val="0"/>
      <w:divBdr>
        <w:top w:val="none" w:sz="0" w:space="0" w:color="auto"/>
        <w:left w:val="none" w:sz="0" w:space="0" w:color="auto"/>
        <w:bottom w:val="none" w:sz="0" w:space="0" w:color="auto"/>
        <w:right w:val="none" w:sz="0" w:space="0" w:color="auto"/>
      </w:divBdr>
      <w:divsChild>
        <w:div w:id="433013279">
          <w:marLeft w:val="0"/>
          <w:marRight w:val="0"/>
          <w:marTop w:val="60"/>
          <w:marBottom w:val="60"/>
          <w:divBdr>
            <w:top w:val="none" w:sz="0" w:space="0" w:color="auto"/>
            <w:left w:val="none" w:sz="0" w:space="0" w:color="auto"/>
            <w:bottom w:val="none" w:sz="0" w:space="0" w:color="auto"/>
            <w:right w:val="none" w:sz="0" w:space="0" w:color="auto"/>
          </w:divBdr>
        </w:div>
      </w:divsChild>
    </w:div>
    <w:div w:id="1208226661">
      <w:marLeft w:val="0"/>
      <w:marRight w:val="0"/>
      <w:marTop w:val="60"/>
      <w:marBottom w:val="60"/>
      <w:divBdr>
        <w:top w:val="none" w:sz="0" w:space="0" w:color="auto"/>
        <w:left w:val="none" w:sz="0" w:space="0" w:color="auto"/>
        <w:bottom w:val="none" w:sz="0" w:space="0" w:color="auto"/>
        <w:right w:val="none" w:sz="0" w:space="0" w:color="auto"/>
      </w:divBdr>
    </w:div>
    <w:div w:id="1209803548">
      <w:marLeft w:val="0"/>
      <w:marRight w:val="0"/>
      <w:marTop w:val="180"/>
      <w:marBottom w:val="180"/>
      <w:divBdr>
        <w:top w:val="none" w:sz="0" w:space="0" w:color="auto"/>
        <w:left w:val="none" w:sz="0" w:space="0" w:color="auto"/>
        <w:bottom w:val="none" w:sz="0" w:space="0" w:color="auto"/>
        <w:right w:val="none" w:sz="0" w:space="0" w:color="auto"/>
      </w:divBdr>
    </w:div>
    <w:div w:id="1210803818">
      <w:marLeft w:val="0"/>
      <w:marRight w:val="0"/>
      <w:marTop w:val="60"/>
      <w:marBottom w:val="60"/>
      <w:divBdr>
        <w:top w:val="none" w:sz="0" w:space="0" w:color="auto"/>
        <w:left w:val="none" w:sz="0" w:space="0" w:color="auto"/>
        <w:bottom w:val="none" w:sz="0" w:space="0" w:color="auto"/>
        <w:right w:val="none" w:sz="0" w:space="0" w:color="auto"/>
      </w:divBdr>
    </w:div>
    <w:div w:id="1211308184">
      <w:marLeft w:val="0"/>
      <w:marRight w:val="0"/>
      <w:marTop w:val="60"/>
      <w:marBottom w:val="60"/>
      <w:divBdr>
        <w:top w:val="none" w:sz="0" w:space="0" w:color="auto"/>
        <w:left w:val="none" w:sz="0" w:space="0" w:color="auto"/>
        <w:bottom w:val="none" w:sz="0" w:space="0" w:color="auto"/>
        <w:right w:val="none" w:sz="0" w:space="0" w:color="auto"/>
      </w:divBdr>
    </w:div>
    <w:div w:id="1211770144">
      <w:marLeft w:val="0"/>
      <w:marRight w:val="0"/>
      <w:marTop w:val="180"/>
      <w:marBottom w:val="180"/>
      <w:divBdr>
        <w:top w:val="none" w:sz="0" w:space="0" w:color="auto"/>
        <w:left w:val="none" w:sz="0" w:space="0" w:color="auto"/>
        <w:bottom w:val="none" w:sz="0" w:space="0" w:color="auto"/>
        <w:right w:val="none" w:sz="0" w:space="0" w:color="auto"/>
      </w:divBdr>
    </w:div>
    <w:div w:id="1212351580">
      <w:marLeft w:val="0"/>
      <w:marRight w:val="0"/>
      <w:marTop w:val="180"/>
      <w:marBottom w:val="180"/>
      <w:divBdr>
        <w:top w:val="none" w:sz="0" w:space="0" w:color="auto"/>
        <w:left w:val="none" w:sz="0" w:space="0" w:color="auto"/>
        <w:bottom w:val="none" w:sz="0" w:space="0" w:color="auto"/>
        <w:right w:val="none" w:sz="0" w:space="0" w:color="auto"/>
      </w:divBdr>
    </w:div>
    <w:div w:id="1212494270">
      <w:marLeft w:val="0"/>
      <w:marRight w:val="0"/>
      <w:marTop w:val="180"/>
      <w:marBottom w:val="180"/>
      <w:divBdr>
        <w:top w:val="none" w:sz="0" w:space="0" w:color="auto"/>
        <w:left w:val="none" w:sz="0" w:space="0" w:color="auto"/>
        <w:bottom w:val="none" w:sz="0" w:space="0" w:color="auto"/>
        <w:right w:val="none" w:sz="0" w:space="0" w:color="auto"/>
      </w:divBdr>
    </w:div>
    <w:div w:id="1213925695">
      <w:marLeft w:val="0"/>
      <w:marRight w:val="0"/>
      <w:marTop w:val="180"/>
      <w:marBottom w:val="180"/>
      <w:divBdr>
        <w:top w:val="none" w:sz="0" w:space="0" w:color="auto"/>
        <w:left w:val="none" w:sz="0" w:space="0" w:color="auto"/>
        <w:bottom w:val="none" w:sz="0" w:space="0" w:color="auto"/>
        <w:right w:val="none" w:sz="0" w:space="0" w:color="auto"/>
      </w:divBdr>
    </w:div>
    <w:div w:id="1216086610">
      <w:marLeft w:val="0"/>
      <w:marRight w:val="0"/>
      <w:marTop w:val="180"/>
      <w:marBottom w:val="180"/>
      <w:divBdr>
        <w:top w:val="none" w:sz="0" w:space="0" w:color="auto"/>
        <w:left w:val="none" w:sz="0" w:space="0" w:color="auto"/>
        <w:bottom w:val="none" w:sz="0" w:space="0" w:color="auto"/>
        <w:right w:val="none" w:sz="0" w:space="0" w:color="auto"/>
      </w:divBdr>
    </w:div>
    <w:div w:id="1217425199">
      <w:marLeft w:val="0"/>
      <w:marRight w:val="0"/>
      <w:marTop w:val="180"/>
      <w:marBottom w:val="180"/>
      <w:divBdr>
        <w:top w:val="none" w:sz="0" w:space="0" w:color="auto"/>
        <w:left w:val="none" w:sz="0" w:space="0" w:color="auto"/>
        <w:bottom w:val="none" w:sz="0" w:space="0" w:color="auto"/>
        <w:right w:val="none" w:sz="0" w:space="0" w:color="auto"/>
      </w:divBdr>
    </w:div>
    <w:div w:id="1217470829">
      <w:marLeft w:val="0"/>
      <w:marRight w:val="0"/>
      <w:marTop w:val="180"/>
      <w:marBottom w:val="60"/>
      <w:divBdr>
        <w:top w:val="none" w:sz="0" w:space="0" w:color="auto"/>
        <w:left w:val="none" w:sz="0" w:space="0" w:color="auto"/>
        <w:bottom w:val="none" w:sz="0" w:space="0" w:color="auto"/>
        <w:right w:val="none" w:sz="0" w:space="0" w:color="auto"/>
      </w:divBdr>
    </w:div>
    <w:div w:id="1221093582">
      <w:marLeft w:val="0"/>
      <w:marRight w:val="0"/>
      <w:marTop w:val="60"/>
      <w:marBottom w:val="60"/>
      <w:divBdr>
        <w:top w:val="none" w:sz="0" w:space="0" w:color="auto"/>
        <w:left w:val="none" w:sz="0" w:space="0" w:color="auto"/>
        <w:bottom w:val="none" w:sz="0" w:space="0" w:color="auto"/>
        <w:right w:val="none" w:sz="0" w:space="0" w:color="auto"/>
      </w:divBdr>
    </w:div>
    <w:div w:id="1221668773">
      <w:marLeft w:val="0"/>
      <w:marRight w:val="0"/>
      <w:marTop w:val="180"/>
      <w:marBottom w:val="180"/>
      <w:divBdr>
        <w:top w:val="none" w:sz="0" w:space="0" w:color="auto"/>
        <w:left w:val="none" w:sz="0" w:space="0" w:color="auto"/>
        <w:bottom w:val="none" w:sz="0" w:space="0" w:color="auto"/>
        <w:right w:val="none" w:sz="0" w:space="0" w:color="auto"/>
      </w:divBdr>
    </w:div>
    <w:div w:id="1221746870">
      <w:marLeft w:val="0"/>
      <w:marRight w:val="0"/>
      <w:marTop w:val="60"/>
      <w:marBottom w:val="60"/>
      <w:divBdr>
        <w:top w:val="none" w:sz="0" w:space="0" w:color="auto"/>
        <w:left w:val="none" w:sz="0" w:space="0" w:color="auto"/>
        <w:bottom w:val="none" w:sz="0" w:space="0" w:color="auto"/>
        <w:right w:val="none" w:sz="0" w:space="0" w:color="auto"/>
      </w:divBdr>
    </w:div>
    <w:div w:id="1221985088">
      <w:marLeft w:val="0"/>
      <w:marRight w:val="0"/>
      <w:marTop w:val="100"/>
      <w:marBottom w:val="60"/>
      <w:divBdr>
        <w:top w:val="none" w:sz="0" w:space="0" w:color="auto"/>
        <w:left w:val="none" w:sz="0" w:space="0" w:color="auto"/>
        <w:bottom w:val="none" w:sz="0" w:space="0" w:color="auto"/>
        <w:right w:val="none" w:sz="0" w:space="0" w:color="auto"/>
      </w:divBdr>
    </w:div>
    <w:div w:id="1223370055">
      <w:marLeft w:val="0"/>
      <w:marRight w:val="0"/>
      <w:marTop w:val="60"/>
      <w:marBottom w:val="60"/>
      <w:divBdr>
        <w:top w:val="none" w:sz="0" w:space="0" w:color="auto"/>
        <w:left w:val="none" w:sz="0" w:space="0" w:color="auto"/>
        <w:bottom w:val="none" w:sz="0" w:space="0" w:color="auto"/>
        <w:right w:val="none" w:sz="0" w:space="0" w:color="auto"/>
      </w:divBdr>
    </w:div>
    <w:div w:id="1224221972">
      <w:marLeft w:val="0"/>
      <w:marRight w:val="0"/>
      <w:marTop w:val="180"/>
      <w:marBottom w:val="180"/>
      <w:divBdr>
        <w:top w:val="none" w:sz="0" w:space="0" w:color="auto"/>
        <w:left w:val="none" w:sz="0" w:space="0" w:color="auto"/>
        <w:bottom w:val="none" w:sz="0" w:space="0" w:color="auto"/>
        <w:right w:val="none" w:sz="0" w:space="0" w:color="auto"/>
      </w:divBdr>
    </w:div>
    <w:div w:id="1225023840">
      <w:marLeft w:val="0"/>
      <w:marRight w:val="0"/>
      <w:marTop w:val="60"/>
      <w:marBottom w:val="60"/>
      <w:divBdr>
        <w:top w:val="none" w:sz="0" w:space="0" w:color="auto"/>
        <w:left w:val="none" w:sz="0" w:space="0" w:color="auto"/>
        <w:bottom w:val="none" w:sz="0" w:space="0" w:color="auto"/>
        <w:right w:val="none" w:sz="0" w:space="0" w:color="auto"/>
      </w:divBdr>
    </w:div>
    <w:div w:id="1225483593">
      <w:marLeft w:val="0"/>
      <w:marRight w:val="0"/>
      <w:marTop w:val="180"/>
      <w:marBottom w:val="180"/>
      <w:divBdr>
        <w:top w:val="none" w:sz="0" w:space="0" w:color="auto"/>
        <w:left w:val="none" w:sz="0" w:space="0" w:color="auto"/>
        <w:bottom w:val="none" w:sz="0" w:space="0" w:color="auto"/>
        <w:right w:val="none" w:sz="0" w:space="0" w:color="auto"/>
      </w:divBdr>
    </w:div>
    <w:div w:id="1228032505">
      <w:marLeft w:val="0"/>
      <w:marRight w:val="0"/>
      <w:marTop w:val="180"/>
      <w:marBottom w:val="180"/>
      <w:divBdr>
        <w:top w:val="none" w:sz="0" w:space="0" w:color="auto"/>
        <w:left w:val="none" w:sz="0" w:space="0" w:color="auto"/>
        <w:bottom w:val="none" w:sz="0" w:space="0" w:color="auto"/>
        <w:right w:val="none" w:sz="0" w:space="0" w:color="auto"/>
      </w:divBdr>
    </w:div>
    <w:div w:id="1230966272">
      <w:marLeft w:val="0"/>
      <w:marRight w:val="0"/>
      <w:marTop w:val="180"/>
      <w:marBottom w:val="180"/>
      <w:divBdr>
        <w:top w:val="none" w:sz="0" w:space="0" w:color="auto"/>
        <w:left w:val="none" w:sz="0" w:space="0" w:color="auto"/>
        <w:bottom w:val="none" w:sz="0" w:space="0" w:color="auto"/>
        <w:right w:val="none" w:sz="0" w:space="0" w:color="auto"/>
      </w:divBdr>
    </w:div>
    <w:div w:id="1231234958">
      <w:marLeft w:val="0"/>
      <w:marRight w:val="0"/>
      <w:marTop w:val="180"/>
      <w:marBottom w:val="180"/>
      <w:divBdr>
        <w:top w:val="none" w:sz="0" w:space="0" w:color="auto"/>
        <w:left w:val="none" w:sz="0" w:space="0" w:color="auto"/>
        <w:bottom w:val="none" w:sz="0" w:space="0" w:color="auto"/>
        <w:right w:val="none" w:sz="0" w:space="0" w:color="auto"/>
      </w:divBdr>
    </w:div>
    <w:div w:id="1233277045">
      <w:marLeft w:val="0"/>
      <w:marRight w:val="0"/>
      <w:marTop w:val="0"/>
      <w:marBottom w:val="0"/>
      <w:divBdr>
        <w:top w:val="none" w:sz="0" w:space="0" w:color="auto"/>
        <w:left w:val="none" w:sz="0" w:space="0" w:color="auto"/>
        <w:bottom w:val="none" w:sz="0" w:space="0" w:color="auto"/>
        <w:right w:val="none" w:sz="0" w:space="0" w:color="auto"/>
      </w:divBdr>
    </w:div>
    <w:div w:id="1234043774">
      <w:marLeft w:val="0"/>
      <w:marRight w:val="0"/>
      <w:marTop w:val="180"/>
      <w:marBottom w:val="180"/>
      <w:divBdr>
        <w:top w:val="none" w:sz="0" w:space="0" w:color="auto"/>
        <w:left w:val="none" w:sz="0" w:space="0" w:color="auto"/>
        <w:bottom w:val="none" w:sz="0" w:space="0" w:color="auto"/>
        <w:right w:val="none" w:sz="0" w:space="0" w:color="auto"/>
      </w:divBdr>
    </w:div>
    <w:div w:id="1242787357">
      <w:marLeft w:val="0"/>
      <w:marRight w:val="0"/>
      <w:marTop w:val="60"/>
      <w:marBottom w:val="60"/>
      <w:divBdr>
        <w:top w:val="none" w:sz="0" w:space="0" w:color="auto"/>
        <w:left w:val="none" w:sz="0" w:space="0" w:color="auto"/>
        <w:bottom w:val="none" w:sz="0" w:space="0" w:color="auto"/>
        <w:right w:val="none" w:sz="0" w:space="0" w:color="auto"/>
      </w:divBdr>
    </w:div>
    <w:div w:id="1243416060">
      <w:marLeft w:val="0"/>
      <w:marRight w:val="0"/>
      <w:marTop w:val="180"/>
      <w:marBottom w:val="180"/>
      <w:divBdr>
        <w:top w:val="none" w:sz="0" w:space="0" w:color="auto"/>
        <w:left w:val="none" w:sz="0" w:space="0" w:color="auto"/>
        <w:bottom w:val="none" w:sz="0" w:space="0" w:color="auto"/>
        <w:right w:val="none" w:sz="0" w:space="0" w:color="auto"/>
      </w:divBdr>
    </w:div>
    <w:div w:id="1243418980">
      <w:marLeft w:val="0"/>
      <w:marRight w:val="0"/>
      <w:marTop w:val="100"/>
      <w:marBottom w:val="100"/>
      <w:divBdr>
        <w:top w:val="none" w:sz="0" w:space="0" w:color="auto"/>
        <w:left w:val="none" w:sz="0" w:space="0" w:color="auto"/>
        <w:bottom w:val="none" w:sz="0" w:space="0" w:color="auto"/>
        <w:right w:val="none" w:sz="0" w:space="0" w:color="auto"/>
      </w:divBdr>
    </w:div>
    <w:div w:id="1245338229">
      <w:marLeft w:val="0"/>
      <w:marRight w:val="0"/>
      <w:marTop w:val="0"/>
      <w:marBottom w:val="0"/>
      <w:divBdr>
        <w:top w:val="none" w:sz="0" w:space="0" w:color="auto"/>
        <w:left w:val="none" w:sz="0" w:space="0" w:color="auto"/>
        <w:bottom w:val="none" w:sz="0" w:space="0" w:color="auto"/>
        <w:right w:val="none" w:sz="0" w:space="0" w:color="auto"/>
      </w:divBdr>
      <w:divsChild>
        <w:div w:id="662200108">
          <w:marLeft w:val="0"/>
          <w:marRight w:val="0"/>
          <w:marTop w:val="60"/>
          <w:marBottom w:val="60"/>
          <w:divBdr>
            <w:top w:val="none" w:sz="0" w:space="0" w:color="auto"/>
            <w:left w:val="none" w:sz="0" w:space="0" w:color="auto"/>
            <w:bottom w:val="none" w:sz="0" w:space="0" w:color="auto"/>
            <w:right w:val="none" w:sz="0" w:space="0" w:color="auto"/>
          </w:divBdr>
        </w:div>
      </w:divsChild>
    </w:div>
    <w:div w:id="1245408974">
      <w:marLeft w:val="0"/>
      <w:marRight w:val="0"/>
      <w:marTop w:val="180"/>
      <w:marBottom w:val="180"/>
      <w:divBdr>
        <w:top w:val="none" w:sz="0" w:space="0" w:color="auto"/>
        <w:left w:val="none" w:sz="0" w:space="0" w:color="auto"/>
        <w:bottom w:val="none" w:sz="0" w:space="0" w:color="auto"/>
        <w:right w:val="none" w:sz="0" w:space="0" w:color="auto"/>
      </w:divBdr>
    </w:div>
    <w:div w:id="1245578048">
      <w:marLeft w:val="0"/>
      <w:marRight w:val="0"/>
      <w:marTop w:val="180"/>
      <w:marBottom w:val="180"/>
      <w:divBdr>
        <w:top w:val="none" w:sz="0" w:space="0" w:color="auto"/>
        <w:left w:val="none" w:sz="0" w:space="0" w:color="auto"/>
        <w:bottom w:val="none" w:sz="0" w:space="0" w:color="auto"/>
        <w:right w:val="none" w:sz="0" w:space="0" w:color="auto"/>
      </w:divBdr>
    </w:div>
    <w:div w:id="1245601734">
      <w:marLeft w:val="0"/>
      <w:marRight w:val="0"/>
      <w:marTop w:val="180"/>
      <w:marBottom w:val="180"/>
      <w:divBdr>
        <w:top w:val="none" w:sz="0" w:space="0" w:color="auto"/>
        <w:left w:val="none" w:sz="0" w:space="0" w:color="auto"/>
        <w:bottom w:val="none" w:sz="0" w:space="0" w:color="auto"/>
        <w:right w:val="none" w:sz="0" w:space="0" w:color="auto"/>
      </w:divBdr>
    </w:div>
    <w:div w:id="1245604771">
      <w:marLeft w:val="0"/>
      <w:marRight w:val="0"/>
      <w:marTop w:val="180"/>
      <w:marBottom w:val="180"/>
      <w:divBdr>
        <w:top w:val="none" w:sz="0" w:space="0" w:color="auto"/>
        <w:left w:val="none" w:sz="0" w:space="0" w:color="auto"/>
        <w:bottom w:val="none" w:sz="0" w:space="0" w:color="auto"/>
        <w:right w:val="none" w:sz="0" w:space="0" w:color="auto"/>
      </w:divBdr>
    </w:div>
    <w:div w:id="1245605705">
      <w:marLeft w:val="0"/>
      <w:marRight w:val="0"/>
      <w:marTop w:val="180"/>
      <w:marBottom w:val="180"/>
      <w:divBdr>
        <w:top w:val="none" w:sz="0" w:space="0" w:color="auto"/>
        <w:left w:val="none" w:sz="0" w:space="0" w:color="auto"/>
        <w:bottom w:val="none" w:sz="0" w:space="0" w:color="auto"/>
        <w:right w:val="none" w:sz="0" w:space="0" w:color="auto"/>
      </w:divBdr>
    </w:div>
    <w:div w:id="1246765994">
      <w:marLeft w:val="0"/>
      <w:marRight w:val="0"/>
      <w:marTop w:val="180"/>
      <w:marBottom w:val="180"/>
      <w:divBdr>
        <w:top w:val="none" w:sz="0" w:space="0" w:color="auto"/>
        <w:left w:val="none" w:sz="0" w:space="0" w:color="auto"/>
        <w:bottom w:val="none" w:sz="0" w:space="0" w:color="auto"/>
        <w:right w:val="none" w:sz="0" w:space="0" w:color="auto"/>
      </w:divBdr>
    </w:div>
    <w:div w:id="1249001785">
      <w:marLeft w:val="0"/>
      <w:marRight w:val="0"/>
      <w:marTop w:val="180"/>
      <w:marBottom w:val="180"/>
      <w:divBdr>
        <w:top w:val="none" w:sz="0" w:space="0" w:color="auto"/>
        <w:left w:val="none" w:sz="0" w:space="0" w:color="auto"/>
        <w:bottom w:val="none" w:sz="0" w:space="0" w:color="auto"/>
        <w:right w:val="none" w:sz="0" w:space="0" w:color="auto"/>
      </w:divBdr>
    </w:div>
    <w:div w:id="1249849878">
      <w:marLeft w:val="0"/>
      <w:marRight w:val="0"/>
      <w:marTop w:val="60"/>
      <w:marBottom w:val="60"/>
      <w:divBdr>
        <w:top w:val="none" w:sz="0" w:space="0" w:color="auto"/>
        <w:left w:val="none" w:sz="0" w:space="0" w:color="auto"/>
        <w:bottom w:val="none" w:sz="0" w:space="0" w:color="auto"/>
        <w:right w:val="none" w:sz="0" w:space="0" w:color="auto"/>
      </w:divBdr>
    </w:div>
    <w:div w:id="1250696065">
      <w:marLeft w:val="0"/>
      <w:marRight w:val="0"/>
      <w:marTop w:val="60"/>
      <w:marBottom w:val="0"/>
      <w:divBdr>
        <w:top w:val="none" w:sz="0" w:space="0" w:color="auto"/>
        <w:left w:val="none" w:sz="0" w:space="0" w:color="auto"/>
        <w:bottom w:val="none" w:sz="0" w:space="0" w:color="auto"/>
        <w:right w:val="none" w:sz="0" w:space="0" w:color="auto"/>
      </w:divBdr>
    </w:div>
    <w:div w:id="1251237494">
      <w:marLeft w:val="0"/>
      <w:marRight w:val="0"/>
      <w:marTop w:val="60"/>
      <w:marBottom w:val="60"/>
      <w:divBdr>
        <w:top w:val="none" w:sz="0" w:space="0" w:color="auto"/>
        <w:left w:val="none" w:sz="0" w:space="0" w:color="auto"/>
        <w:bottom w:val="none" w:sz="0" w:space="0" w:color="auto"/>
        <w:right w:val="none" w:sz="0" w:space="0" w:color="auto"/>
      </w:divBdr>
    </w:div>
    <w:div w:id="1252012164">
      <w:marLeft w:val="0"/>
      <w:marRight w:val="0"/>
      <w:marTop w:val="60"/>
      <w:marBottom w:val="60"/>
      <w:divBdr>
        <w:top w:val="none" w:sz="0" w:space="0" w:color="auto"/>
        <w:left w:val="none" w:sz="0" w:space="0" w:color="auto"/>
        <w:bottom w:val="none" w:sz="0" w:space="0" w:color="auto"/>
        <w:right w:val="none" w:sz="0" w:space="0" w:color="auto"/>
      </w:divBdr>
    </w:div>
    <w:div w:id="1253393993">
      <w:marLeft w:val="0"/>
      <w:marRight w:val="0"/>
      <w:marTop w:val="60"/>
      <w:marBottom w:val="60"/>
      <w:divBdr>
        <w:top w:val="none" w:sz="0" w:space="0" w:color="auto"/>
        <w:left w:val="none" w:sz="0" w:space="0" w:color="auto"/>
        <w:bottom w:val="none" w:sz="0" w:space="0" w:color="auto"/>
        <w:right w:val="none" w:sz="0" w:space="0" w:color="auto"/>
      </w:divBdr>
    </w:div>
    <w:div w:id="1256093288">
      <w:marLeft w:val="0"/>
      <w:marRight w:val="0"/>
      <w:marTop w:val="180"/>
      <w:marBottom w:val="180"/>
      <w:divBdr>
        <w:top w:val="none" w:sz="0" w:space="0" w:color="auto"/>
        <w:left w:val="none" w:sz="0" w:space="0" w:color="auto"/>
        <w:bottom w:val="none" w:sz="0" w:space="0" w:color="auto"/>
        <w:right w:val="none" w:sz="0" w:space="0" w:color="auto"/>
      </w:divBdr>
    </w:div>
    <w:div w:id="1259213420">
      <w:marLeft w:val="0"/>
      <w:marRight w:val="0"/>
      <w:marTop w:val="0"/>
      <w:marBottom w:val="0"/>
      <w:divBdr>
        <w:top w:val="none" w:sz="0" w:space="0" w:color="auto"/>
        <w:left w:val="none" w:sz="0" w:space="0" w:color="auto"/>
        <w:bottom w:val="none" w:sz="0" w:space="0" w:color="auto"/>
        <w:right w:val="none" w:sz="0" w:space="0" w:color="auto"/>
      </w:divBdr>
      <w:divsChild>
        <w:div w:id="324749349">
          <w:marLeft w:val="0"/>
          <w:marRight w:val="0"/>
          <w:marTop w:val="60"/>
          <w:marBottom w:val="60"/>
          <w:divBdr>
            <w:top w:val="none" w:sz="0" w:space="0" w:color="auto"/>
            <w:left w:val="none" w:sz="0" w:space="0" w:color="auto"/>
            <w:bottom w:val="none" w:sz="0" w:space="0" w:color="auto"/>
            <w:right w:val="none" w:sz="0" w:space="0" w:color="auto"/>
          </w:divBdr>
        </w:div>
      </w:divsChild>
    </w:div>
    <w:div w:id="1259681397">
      <w:marLeft w:val="0"/>
      <w:marRight w:val="0"/>
      <w:marTop w:val="60"/>
      <w:marBottom w:val="60"/>
      <w:divBdr>
        <w:top w:val="none" w:sz="0" w:space="0" w:color="auto"/>
        <w:left w:val="none" w:sz="0" w:space="0" w:color="auto"/>
        <w:bottom w:val="none" w:sz="0" w:space="0" w:color="auto"/>
        <w:right w:val="none" w:sz="0" w:space="0" w:color="auto"/>
      </w:divBdr>
    </w:div>
    <w:div w:id="1260060754">
      <w:marLeft w:val="0"/>
      <w:marRight w:val="0"/>
      <w:marTop w:val="180"/>
      <w:marBottom w:val="180"/>
      <w:divBdr>
        <w:top w:val="none" w:sz="0" w:space="0" w:color="auto"/>
        <w:left w:val="none" w:sz="0" w:space="0" w:color="auto"/>
        <w:bottom w:val="none" w:sz="0" w:space="0" w:color="auto"/>
        <w:right w:val="none" w:sz="0" w:space="0" w:color="auto"/>
      </w:divBdr>
    </w:div>
    <w:div w:id="1260137624">
      <w:marLeft w:val="0"/>
      <w:marRight w:val="0"/>
      <w:marTop w:val="0"/>
      <w:marBottom w:val="0"/>
      <w:divBdr>
        <w:top w:val="none" w:sz="0" w:space="0" w:color="auto"/>
        <w:left w:val="none" w:sz="0" w:space="0" w:color="auto"/>
        <w:bottom w:val="none" w:sz="0" w:space="0" w:color="auto"/>
        <w:right w:val="none" w:sz="0" w:space="0" w:color="auto"/>
      </w:divBdr>
      <w:divsChild>
        <w:div w:id="2077438434">
          <w:marLeft w:val="0"/>
          <w:marRight w:val="0"/>
          <w:marTop w:val="0"/>
          <w:marBottom w:val="0"/>
          <w:divBdr>
            <w:top w:val="none" w:sz="0" w:space="0" w:color="auto"/>
            <w:left w:val="none" w:sz="0" w:space="0" w:color="auto"/>
            <w:bottom w:val="none" w:sz="0" w:space="0" w:color="auto"/>
            <w:right w:val="none" w:sz="0" w:space="0" w:color="auto"/>
          </w:divBdr>
          <w:divsChild>
            <w:div w:id="8754357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0672502">
      <w:marLeft w:val="0"/>
      <w:marRight w:val="0"/>
      <w:marTop w:val="0"/>
      <w:marBottom w:val="0"/>
      <w:divBdr>
        <w:top w:val="none" w:sz="0" w:space="0" w:color="auto"/>
        <w:left w:val="none" w:sz="0" w:space="0" w:color="auto"/>
        <w:bottom w:val="none" w:sz="0" w:space="0" w:color="auto"/>
        <w:right w:val="none" w:sz="0" w:space="0" w:color="auto"/>
      </w:divBdr>
      <w:divsChild>
        <w:div w:id="1171457466">
          <w:marLeft w:val="0"/>
          <w:marRight w:val="0"/>
          <w:marTop w:val="0"/>
          <w:marBottom w:val="0"/>
          <w:divBdr>
            <w:top w:val="none" w:sz="0" w:space="0" w:color="auto"/>
            <w:left w:val="none" w:sz="0" w:space="0" w:color="auto"/>
            <w:bottom w:val="none" w:sz="0" w:space="0" w:color="auto"/>
            <w:right w:val="none" w:sz="0" w:space="0" w:color="auto"/>
          </w:divBdr>
          <w:divsChild>
            <w:div w:id="1465521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1791274">
      <w:marLeft w:val="0"/>
      <w:marRight w:val="0"/>
      <w:marTop w:val="0"/>
      <w:marBottom w:val="0"/>
      <w:divBdr>
        <w:top w:val="none" w:sz="0" w:space="0" w:color="auto"/>
        <w:left w:val="none" w:sz="0" w:space="0" w:color="auto"/>
        <w:bottom w:val="none" w:sz="0" w:space="0" w:color="auto"/>
        <w:right w:val="none" w:sz="0" w:space="0" w:color="auto"/>
      </w:divBdr>
      <w:divsChild>
        <w:div w:id="1566528123">
          <w:marLeft w:val="0"/>
          <w:marRight w:val="0"/>
          <w:marTop w:val="0"/>
          <w:marBottom w:val="0"/>
          <w:divBdr>
            <w:top w:val="none" w:sz="0" w:space="0" w:color="auto"/>
            <w:left w:val="none" w:sz="0" w:space="0" w:color="auto"/>
            <w:bottom w:val="none" w:sz="0" w:space="0" w:color="auto"/>
            <w:right w:val="none" w:sz="0" w:space="0" w:color="auto"/>
          </w:divBdr>
          <w:divsChild>
            <w:div w:id="5943599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2105531">
      <w:marLeft w:val="0"/>
      <w:marRight w:val="0"/>
      <w:marTop w:val="0"/>
      <w:marBottom w:val="0"/>
      <w:divBdr>
        <w:top w:val="none" w:sz="0" w:space="0" w:color="auto"/>
        <w:left w:val="none" w:sz="0" w:space="0" w:color="auto"/>
        <w:bottom w:val="none" w:sz="0" w:space="0" w:color="auto"/>
        <w:right w:val="none" w:sz="0" w:space="0" w:color="auto"/>
      </w:divBdr>
      <w:divsChild>
        <w:div w:id="1376929575">
          <w:marLeft w:val="0"/>
          <w:marRight w:val="0"/>
          <w:marTop w:val="180"/>
          <w:marBottom w:val="180"/>
          <w:divBdr>
            <w:top w:val="none" w:sz="0" w:space="0" w:color="auto"/>
            <w:left w:val="none" w:sz="0" w:space="0" w:color="auto"/>
            <w:bottom w:val="none" w:sz="0" w:space="0" w:color="auto"/>
            <w:right w:val="none" w:sz="0" w:space="0" w:color="auto"/>
          </w:divBdr>
        </w:div>
      </w:divsChild>
    </w:div>
    <w:div w:id="1264536532">
      <w:marLeft w:val="0"/>
      <w:marRight w:val="0"/>
      <w:marTop w:val="180"/>
      <w:marBottom w:val="180"/>
      <w:divBdr>
        <w:top w:val="none" w:sz="0" w:space="0" w:color="auto"/>
        <w:left w:val="none" w:sz="0" w:space="0" w:color="auto"/>
        <w:bottom w:val="none" w:sz="0" w:space="0" w:color="auto"/>
        <w:right w:val="none" w:sz="0" w:space="0" w:color="auto"/>
      </w:divBdr>
    </w:div>
    <w:div w:id="1264993184">
      <w:marLeft w:val="0"/>
      <w:marRight w:val="0"/>
      <w:marTop w:val="180"/>
      <w:marBottom w:val="180"/>
      <w:divBdr>
        <w:top w:val="none" w:sz="0" w:space="0" w:color="auto"/>
        <w:left w:val="none" w:sz="0" w:space="0" w:color="auto"/>
        <w:bottom w:val="none" w:sz="0" w:space="0" w:color="auto"/>
        <w:right w:val="none" w:sz="0" w:space="0" w:color="auto"/>
      </w:divBdr>
    </w:div>
    <w:div w:id="1266037240">
      <w:marLeft w:val="0"/>
      <w:marRight w:val="0"/>
      <w:marTop w:val="0"/>
      <w:marBottom w:val="0"/>
      <w:divBdr>
        <w:top w:val="none" w:sz="0" w:space="0" w:color="auto"/>
        <w:left w:val="none" w:sz="0" w:space="0" w:color="auto"/>
        <w:bottom w:val="none" w:sz="0" w:space="0" w:color="auto"/>
        <w:right w:val="none" w:sz="0" w:space="0" w:color="auto"/>
      </w:divBdr>
      <w:divsChild>
        <w:div w:id="1125657041">
          <w:marLeft w:val="0"/>
          <w:marRight w:val="0"/>
          <w:marTop w:val="0"/>
          <w:marBottom w:val="0"/>
          <w:divBdr>
            <w:top w:val="none" w:sz="0" w:space="0" w:color="auto"/>
            <w:left w:val="none" w:sz="0" w:space="0" w:color="auto"/>
            <w:bottom w:val="none" w:sz="0" w:space="0" w:color="auto"/>
            <w:right w:val="none" w:sz="0" w:space="0" w:color="auto"/>
          </w:divBdr>
          <w:divsChild>
            <w:div w:id="14443021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8123526">
      <w:marLeft w:val="0"/>
      <w:marRight w:val="0"/>
      <w:marTop w:val="100"/>
      <w:marBottom w:val="100"/>
      <w:divBdr>
        <w:top w:val="none" w:sz="0" w:space="0" w:color="auto"/>
        <w:left w:val="none" w:sz="0" w:space="0" w:color="auto"/>
        <w:bottom w:val="none" w:sz="0" w:space="0" w:color="auto"/>
        <w:right w:val="none" w:sz="0" w:space="0" w:color="auto"/>
      </w:divBdr>
    </w:div>
    <w:div w:id="1268464819">
      <w:marLeft w:val="0"/>
      <w:marRight w:val="0"/>
      <w:marTop w:val="60"/>
      <w:marBottom w:val="60"/>
      <w:divBdr>
        <w:top w:val="none" w:sz="0" w:space="0" w:color="auto"/>
        <w:left w:val="none" w:sz="0" w:space="0" w:color="auto"/>
        <w:bottom w:val="none" w:sz="0" w:space="0" w:color="auto"/>
        <w:right w:val="none" w:sz="0" w:space="0" w:color="auto"/>
      </w:divBdr>
    </w:div>
    <w:div w:id="1269661249">
      <w:marLeft w:val="0"/>
      <w:marRight w:val="0"/>
      <w:marTop w:val="180"/>
      <w:marBottom w:val="180"/>
      <w:divBdr>
        <w:top w:val="none" w:sz="0" w:space="0" w:color="auto"/>
        <w:left w:val="none" w:sz="0" w:space="0" w:color="auto"/>
        <w:bottom w:val="none" w:sz="0" w:space="0" w:color="auto"/>
        <w:right w:val="none" w:sz="0" w:space="0" w:color="auto"/>
      </w:divBdr>
    </w:div>
    <w:div w:id="1270744972">
      <w:marLeft w:val="0"/>
      <w:marRight w:val="0"/>
      <w:marTop w:val="0"/>
      <w:marBottom w:val="0"/>
      <w:divBdr>
        <w:top w:val="none" w:sz="0" w:space="0" w:color="auto"/>
        <w:left w:val="none" w:sz="0" w:space="0" w:color="auto"/>
        <w:bottom w:val="none" w:sz="0" w:space="0" w:color="auto"/>
        <w:right w:val="none" w:sz="0" w:space="0" w:color="auto"/>
      </w:divBdr>
    </w:div>
    <w:div w:id="1272472417">
      <w:marLeft w:val="0"/>
      <w:marRight w:val="0"/>
      <w:marTop w:val="180"/>
      <w:marBottom w:val="180"/>
      <w:divBdr>
        <w:top w:val="none" w:sz="0" w:space="0" w:color="auto"/>
        <w:left w:val="none" w:sz="0" w:space="0" w:color="auto"/>
        <w:bottom w:val="none" w:sz="0" w:space="0" w:color="auto"/>
        <w:right w:val="none" w:sz="0" w:space="0" w:color="auto"/>
      </w:divBdr>
    </w:div>
    <w:div w:id="1273899269">
      <w:marLeft w:val="0"/>
      <w:marRight w:val="0"/>
      <w:marTop w:val="180"/>
      <w:marBottom w:val="180"/>
      <w:divBdr>
        <w:top w:val="none" w:sz="0" w:space="0" w:color="auto"/>
        <w:left w:val="none" w:sz="0" w:space="0" w:color="auto"/>
        <w:bottom w:val="none" w:sz="0" w:space="0" w:color="auto"/>
        <w:right w:val="none" w:sz="0" w:space="0" w:color="auto"/>
      </w:divBdr>
    </w:div>
    <w:div w:id="1277953029">
      <w:marLeft w:val="0"/>
      <w:marRight w:val="0"/>
      <w:marTop w:val="0"/>
      <w:marBottom w:val="0"/>
      <w:divBdr>
        <w:top w:val="none" w:sz="0" w:space="0" w:color="auto"/>
        <w:left w:val="none" w:sz="0" w:space="0" w:color="auto"/>
        <w:bottom w:val="none" w:sz="0" w:space="0" w:color="auto"/>
        <w:right w:val="none" w:sz="0" w:space="0" w:color="auto"/>
      </w:divBdr>
      <w:divsChild>
        <w:div w:id="1437017539">
          <w:marLeft w:val="0"/>
          <w:marRight w:val="0"/>
          <w:marTop w:val="0"/>
          <w:marBottom w:val="0"/>
          <w:divBdr>
            <w:top w:val="none" w:sz="0" w:space="0" w:color="auto"/>
            <w:left w:val="none" w:sz="0" w:space="0" w:color="auto"/>
            <w:bottom w:val="none" w:sz="0" w:space="0" w:color="auto"/>
            <w:right w:val="none" w:sz="0" w:space="0" w:color="auto"/>
          </w:divBdr>
          <w:divsChild>
            <w:div w:id="8472530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79484966">
      <w:marLeft w:val="0"/>
      <w:marRight w:val="0"/>
      <w:marTop w:val="60"/>
      <w:marBottom w:val="60"/>
      <w:divBdr>
        <w:top w:val="none" w:sz="0" w:space="0" w:color="auto"/>
        <w:left w:val="none" w:sz="0" w:space="0" w:color="auto"/>
        <w:bottom w:val="none" w:sz="0" w:space="0" w:color="auto"/>
        <w:right w:val="none" w:sz="0" w:space="0" w:color="auto"/>
      </w:divBdr>
    </w:div>
    <w:div w:id="1281452533">
      <w:marLeft w:val="0"/>
      <w:marRight w:val="0"/>
      <w:marTop w:val="60"/>
      <w:marBottom w:val="60"/>
      <w:divBdr>
        <w:top w:val="none" w:sz="0" w:space="0" w:color="auto"/>
        <w:left w:val="none" w:sz="0" w:space="0" w:color="auto"/>
        <w:bottom w:val="none" w:sz="0" w:space="0" w:color="auto"/>
        <w:right w:val="none" w:sz="0" w:space="0" w:color="auto"/>
      </w:divBdr>
    </w:div>
    <w:div w:id="1281960623">
      <w:marLeft w:val="0"/>
      <w:marRight w:val="0"/>
      <w:marTop w:val="0"/>
      <w:marBottom w:val="60"/>
      <w:divBdr>
        <w:top w:val="none" w:sz="0" w:space="0" w:color="auto"/>
        <w:left w:val="none" w:sz="0" w:space="0" w:color="auto"/>
        <w:bottom w:val="none" w:sz="0" w:space="0" w:color="auto"/>
        <w:right w:val="none" w:sz="0" w:space="0" w:color="auto"/>
      </w:divBdr>
    </w:div>
    <w:div w:id="1283001747">
      <w:marLeft w:val="0"/>
      <w:marRight w:val="0"/>
      <w:marTop w:val="180"/>
      <w:marBottom w:val="180"/>
      <w:divBdr>
        <w:top w:val="none" w:sz="0" w:space="0" w:color="auto"/>
        <w:left w:val="none" w:sz="0" w:space="0" w:color="auto"/>
        <w:bottom w:val="none" w:sz="0" w:space="0" w:color="auto"/>
        <w:right w:val="none" w:sz="0" w:space="0" w:color="auto"/>
      </w:divBdr>
    </w:div>
    <w:div w:id="1283338628">
      <w:marLeft w:val="0"/>
      <w:marRight w:val="0"/>
      <w:marTop w:val="180"/>
      <w:marBottom w:val="180"/>
      <w:divBdr>
        <w:top w:val="none" w:sz="0" w:space="0" w:color="auto"/>
        <w:left w:val="none" w:sz="0" w:space="0" w:color="auto"/>
        <w:bottom w:val="none" w:sz="0" w:space="0" w:color="auto"/>
        <w:right w:val="none" w:sz="0" w:space="0" w:color="auto"/>
      </w:divBdr>
    </w:div>
    <w:div w:id="1283726407">
      <w:marLeft w:val="0"/>
      <w:marRight w:val="0"/>
      <w:marTop w:val="120"/>
      <w:marBottom w:val="60"/>
      <w:divBdr>
        <w:top w:val="none" w:sz="0" w:space="0" w:color="auto"/>
        <w:left w:val="none" w:sz="0" w:space="0" w:color="auto"/>
        <w:bottom w:val="none" w:sz="0" w:space="0" w:color="auto"/>
        <w:right w:val="none" w:sz="0" w:space="0" w:color="auto"/>
      </w:divBdr>
    </w:div>
    <w:div w:id="1287085982">
      <w:marLeft w:val="0"/>
      <w:marRight w:val="0"/>
      <w:marTop w:val="180"/>
      <w:marBottom w:val="180"/>
      <w:divBdr>
        <w:top w:val="none" w:sz="0" w:space="0" w:color="auto"/>
        <w:left w:val="none" w:sz="0" w:space="0" w:color="auto"/>
        <w:bottom w:val="none" w:sz="0" w:space="0" w:color="auto"/>
        <w:right w:val="none" w:sz="0" w:space="0" w:color="auto"/>
      </w:divBdr>
    </w:div>
    <w:div w:id="1290474600">
      <w:marLeft w:val="0"/>
      <w:marRight w:val="0"/>
      <w:marTop w:val="60"/>
      <w:marBottom w:val="60"/>
      <w:divBdr>
        <w:top w:val="none" w:sz="0" w:space="0" w:color="auto"/>
        <w:left w:val="none" w:sz="0" w:space="0" w:color="auto"/>
        <w:bottom w:val="none" w:sz="0" w:space="0" w:color="auto"/>
        <w:right w:val="none" w:sz="0" w:space="0" w:color="auto"/>
      </w:divBdr>
    </w:div>
    <w:div w:id="1290555785">
      <w:marLeft w:val="0"/>
      <w:marRight w:val="0"/>
      <w:marTop w:val="0"/>
      <w:marBottom w:val="0"/>
      <w:divBdr>
        <w:top w:val="none" w:sz="0" w:space="0" w:color="auto"/>
        <w:left w:val="none" w:sz="0" w:space="0" w:color="auto"/>
        <w:bottom w:val="none" w:sz="0" w:space="0" w:color="auto"/>
        <w:right w:val="none" w:sz="0" w:space="0" w:color="auto"/>
      </w:divBdr>
      <w:divsChild>
        <w:div w:id="78914481">
          <w:marLeft w:val="0"/>
          <w:marRight w:val="0"/>
          <w:marTop w:val="0"/>
          <w:marBottom w:val="0"/>
          <w:divBdr>
            <w:top w:val="none" w:sz="0" w:space="0" w:color="auto"/>
            <w:left w:val="none" w:sz="0" w:space="0" w:color="auto"/>
            <w:bottom w:val="none" w:sz="0" w:space="0" w:color="auto"/>
            <w:right w:val="none" w:sz="0" w:space="0" w:color="auto"/>
          </w:divBdr>
          <w:divsChild>
            <w:div w:id="17703528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90940820">
      <w:marLeft w:val="0"/>
      <w:marRight w:val="0"/>
      <w:marTop w:val="180"/>
      <w:marBottom w:val="180"/>
      <w:divBdr>
        <w:top w:val="none" w:sz="0" w:space="0" w:color="auto"/>
        <w:left w:val="none" w:sz="0" w:space="0" w:color="auto"/>
        <w:bottom w:val="none" w:sz="0" w:space="0" w:color="auto"/>
        <w:right w:val="none" w:sz="0" w:space="0" w:color="auto"/>
      </w:divBdr>
    </w:div>
    <w:div w:id="1297759116">
      <w:marLeft w:val="0"/>
      <w:marRight w:val="0"/>
      <w:marTop w:val="100"/>
      <w:marBottom w:val="100"/>
      <w:divBdr>
        <w:top w:val="none" w:sz="0" w:space="0" w:color="auto"/>
        <w:left w:val="none" w:sz="0" w:space="0" w:color="auto"/>
        <w:bottom w:val="none" w:sz="0" w:space="0" w:color="auto"/>
        <w:right w:val="none" w:sz="0" w:space="0" w:color="auto"/>
      </w:divBdr>
      <w:divsChild>
        <w:div w:id="841355070">
          <w:marLeft w:val="0"/>
          <w:marRight w:val="0"/>
          <w:marTop w:val="0"/>
          <w:marBottom w:val="0"/>
          <w:divBdr>
            <w:top w:val="none" w:sz="0" w:space="0" w:color="auto"/>
            <w:left w:val="none" w:sz="0" w:space="0" w:color="auto"/>
            <w:bottom w:val="none" w:sz="0" w:space="0" w:color="auto"/>
            <w:right w:val="none" w:sz="0" w:space="0" w:color="auto"/>
          </w:divBdr>
        </w:div>
      </w:divsChild>
    </w:div>
    <w:div w:id="1298681354">
      <w:marLeft w:val="0"/>
      <w:marRight w:val="0"/>
      <w:marTop w:val="0"/>
      <w:marBottom w:val="0"/>
      <w:divBdr>
        <w:top w:val="none" w:sz="0" w:space="0" w:color="auto"/>
        <w:left w:val="none" w:sz="0" w:space="0" w:color="auto"/>
        <w:bottom w:val="none" w:sz="0" w:space="0" w:color="auto"/>
        <w:right w:val="none" w:sz="0" w:space="0" w:color="auto"/>
      </w:divBdr>
      <w:divsChild>
        <w:div w:id="1175920204">
          <w:marLeft w:val="0"/>
          <w:marRight w:val="0"/>
          <w:marTop w:val="0"/>
          <w:marBottom w:val="0"/>
          <w:divBdr>
            <w:top w:val="none" w:sz="0" w:space="0" w:color="auto"/>
            <w:left w:val="none" w:sz="0" w:space="0" w:color="auto"/>
            <w:bottom w:val="none" w:sz="0" w:space="0" w:color="auto"/>
            <w:right w:val="none" w:sz="0" w:space="0" w:color="auto"/>
          </w:divBdr>
          <w:divsChild>
            <w:div w:id="6201079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99217356">
      <w:marLeft w:val="0"/>
      <w:marRight w:val="0"/>
      <w:marTop w:val="180"/>
      <w:marBottom w:val="180"/>
      <w:divBdr>
        <w:top w:val="none" w:sz="0" w:space="0" w:color="auto"/>
        <w:left w:val="none" w:sz="0" w:space="0" w:color="auto"/>
        <w:bottom w:val="none" w:sz="0" w:space="0" w:color="auto"/>
        <w:right w:val="none" w:sz="0" w:space="0" w:color="auto"/>
      </w:divBdr>
    </w:div>
    <w:div w:id="1299726898">
      <w:marLeft w:val="0"/>
      <w:marRight w:val="0"/>
      <w:marTop w:val="180"/>
      <w:marBottom w:val="180"/>
      <w:divBdr>
        <w:top w:val="none" w:sz="0" w:space="0" w:color="auto"/>
        <w:left w:val="none" w:sz="0" w:space="0" w:color="auto"/>
        <w:bottom w:val="none" w:sz="0" w:space="0" w:color="auto"/>
        <w:right w:val="none" w:sz="0" w:space="0" w:color="auto"/>
      </w:divBdr>
    </w:div>
    <w:div w:id="1300266835">
      <w:marLeft w:val="0"/>
      <w:marRight w:val="0"/>
      <w:marTop w:val="180"/>
      <w:marBottom w:val="180"/>
      <w:divBdr>
        <w:top w:val="none" w:sz="0" w:space="0" w:color="auto"/>
        <w:left w:val="none" w:sz="0" w:space="0" w:color="auto"/>
        <w:bottom w:val="none" w:sz="0" w:space="0" w:color="auto"/>
        <w:right w:val="none" w:sz="0" w:space="0" w:color="auto"/>
      </w:divBdr>
    </w:div>
    <w:div w:id="1300301229">
      <w:marLeft w:val="0"/>
      <w:marRight w:val="0"/>
      <w:marTop w:val="180"/>
      <w:marBottom w:val="180"/>
      <w:divBdr>
        <w:top w:val="none" w:sz="0" w:space="0" w:color="auto"/>
        <w:left w:val="none" w:sz="0" w:space="0" w:color="auto"/>
        <w:bottom w:val="none" w:sz="0" w:space="0" w:color="auto"/>
        <w:right w:val="none" w:sz="0" w:space="0" w:color="auto"/>
      </w:divBdr>
    </w:div>
    <w:div w:id="1300573032">
      <w:marLeft w:val="0"/>
      <w:marRight w:val="0"/>
      <w:marTop w:val="180"/>
      <w:marBottom w:val="60"/>
      <w:divBdr>
        <w:top w:val="none" w:sz="0" w:space="0" w:color="auto"/>
        <w:left w:val="none" w:sz="0" w:space="0" w:color="auto"/>
        <w:bottom w:val="none" w:sz="0" w:space="0" w:color="auto"/>
        <w:right w:val="none" w:sz="0" w:space="0" w:color="auto"/>
      </w:divBdr>
    </w:div>
    <w:div w:id="1301378336">
      <w:marLeft w:val="0"/>
      <w:marRight w:val="0"/>
      <w:marTop w:val="180"/>
      <w:marBottom w:val="180"/>
      <w:divBdr>
        <w:top w:val="none" w:sz="0" w:space="0" w:color="auto"/>
        <w:left w:val="none" w:sz="0" w:space="0" w:color="auto"/>
        <w:bottom w:val="none" w:sz="0" w:space="0" w:color="auto"/>
        <w:right w:val="none" w:sz="0" w:space="0" w:color="auto"/>
      </w:divBdr>
    </w:div>
    <w:div w:id="1301426389">
      <w:marLeft w:val="0"/>
      <w:marRight w:val="0"/>
      <w:marTop w:val="0"/>
      <w:marBottom w:val="0"/>
      <w:divBdr>
        <w:top w:val="none" w:sz="0" w:space="0" w:color="auto"/>
        <w:left w:val="none" w:sz="0" w:space="0" w:color="auto"/>
        <w:bottom w:val="none" w:sz="0" w:space="0" w:color="auto"/>
        <w:right w:val="none" w:sz="0" w:space="0" w:color="auto"/>
      </w:divBdr>
    </w:div>
    <w:div w:id="1301614996">
      <w:marLeft w:val="0"/>
      <w:marRight w:val="0"/>
      <w:marTop w:val="100"/>
      <w:marBottom w:val="100"/>
      <w:divBdr>
        <w:top w:val="none" w:sz="0" w:space="0" w:color="auto"/>
        <w:left w:val="none" w:sz="0" w:space="0" w:color="auto"/>
        <w:bottom w:val="none" w:sz="0" w:space="0" w:color="auto"/>
        <w:right w:val="none" w:sz="0" w:space="0" w:color="auto"/>
      </w:divBdr>
    </w:div>
    <w:div w:id="1302808840">
      <w:marLeft w:val="0"/>
      <w:marRight w:val="0"/>
      <w:marTop w:val="60"/>
      <w:marBottom w:val="60"/>
      <w:divBdr>
        <w:top w:val="none" w:sz="0" w:space="0" w:color="auto"/>
        <w:left w:val="none" w:sz="0" w:space="0" w:color="auto"/>
        <w:bottom w:val="none" w:sz="0" w:space="0" w:color="auto"/>
        <w:right w:val="none" w:sz="0" w:space="0" w:color="auto"/>
      </w:divBdr>
    </w:div>
    <w:div w:id="1304310721">
      <w:marLeft w:val="0"/>
      <w:marRight w:val="0"/>
      <w:marTop w:val="0"/>
      <w:marBottom w:val="0"/>
      <w:divBdr>
        <w:top w:val="none" w:sz="0" w:space="0" w:color="auto"/>
        <w:left w:val="none" w:sz="0" w:space="0" w:color="auto"/>
        <w:bottom w:val="none" w:sz="0" w:space="0" w:color="auto"/>
        <w:right w:val="none" w:sz="0" w:space="0" w:color="auto"/>
      </w:divBdr>
      <w:divsChild>
        <w:div w:id="1016419813">
          <w:marLeft w:val="0"/>
          <w:marRight w:val="0"/>
          <w:marTop w:val="0"/>
          <w:marBottom w:val="0"/>
          <w:divBdr>
            <w:top w:val="none" w:sz="0" w:space="0" w:color="auto"/>
            <w:left w:val="none" w:sz="0" w:space="0" w:color="auto"/>
            <w:bottom w:val="none" w:sz="0" w:space="0" w:color="auto"/>
            <w:right w:val="none" w:sz="0" w:space="0" w:color="auto"/>
          </w:divBdr>
          <w:divsChild>
            <w:div w:id="6256237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4434236">
      <w:marLeft w:val="0"/>
      <w:marRight w:val="0"/>
      <w:marTop w:val="60"/>
      <w:marBottom w:val="60"/>
      <w:divBdr>
        <w:top w:val="none" w:sz="0" w:space="0" w:color="auto"/>
        <w:left w:val="none" w:sz="0" w:space="0" w:color="auto"/>
        <w:bottom w:val="none" w:sz="0" w:space="0" w:color="auto"/>
        <w:right w:val="none" w:sz="0" w:space="0" w:color="auto"/>
      </w:divBdr>
      <w:divsChild>
        <w:div w:id="1850825377">
          <w:marLeft w:val="0"/>
          <w:marRight w:val="0"/>
          <w:marTop w:val="0"/>
          <w:marBottom w:val="0"/>
          <w:divBdr>
            <w:top w:val="none" w:sz="0" w:space="0" w:color="auto"/>
            <w:left w:val="none" w:sz="0" w:space="0" w:color="auto"/>
            <w:bottom w:val="none" w:sz="0" w:space="0" w:color="auto"/>
            <w:right w:val="none" w:sz="0" w:space="0" w:color="auto"/>
          </w:divBdr>
        </w:div>
      </w:divsChild>
    </w:div>
    <w:div w:id="1306201506">
      <w:marLeft w:val="0"/>
      <w:marRight w:val="0"/>
      <w:marTop w:val="180"/>
      <w:marBottom w:val="180"/>
      <w:divBdr>
        <w:top w:val="none" w:sz="0" w:space="0" w:color="auto"/>
        <w:left w:val="none" w:sz="0" w:space="0" w:color="auto"/>
        <w:bottom w:val="none" w:sz="0" w:space="0" w:color="auto"/>
        <w:right w:val="none" w:sz="0" w:space="0" w:color="auto"/>
      </w:divBdr>
    </w:div>
    <w:div w:id="1308632833">
      <w:marLeft w:val="0"/>
      <w:marRight w:val="0"/>
      <w:marTop w:val="180"/>
      <w:marBottom w:val="180"/>
      <w:divBdr>
        <w:top w:val="none" w:sz="0" w:space="0" w:color="auto"/>
        <w:left w:val="none" w:sz="0" w:space="0" w:color="auto"/>
        <w:bottom w:val="none" w:sz="0" w:space="0" w:color="auto"/>
        <w:right w:val="none" w:sz="0" w:space="0" w:color="auto"/>
      </w:divBdr>
    </w:div>
    <w:div w:id="1309674823">
      <w:marLeft w:val="0"/>
      <w:marRight w:val="0"/>
      <w:marTop w:val="60"/>
      <w:marBottom w:val="60"/>
      <w:divBdr>
        <w:top w:val="none" w:sz="0" w:space="0" w:color="auto"/>
        <w:left w:val="none" w:sz="0" w:space="0" w:color="auto"/>
        <w:bottom w:val="none" w:sz="0" w:space="0" w:color="auto"/>
        <w:right w:val="none" w:sz="0" w:space="0" w:color="auto"/>
      </w:divBdr>
    </w:div>
    <w:div w:id="1310016648">
      <w:marLeft w:val="0"/>
      <w:marRight w:val="0"/>
      <w:marTop w:val="180"/>
      <w:marBottom w:val="180"/>
      <w:divBdr>
        <w:top w:val="none" w:sz="0" w:space="0" w:color="auto"/>
        <w:left w:val="none" w:sz="0" w:space="0" w:color="auto"/>
        <w:bottom w:val="none" w:sz="0" w:space="0" w:color="auto"/>
        <w:right w:val="none" w:sz="0" w:space="0" w:color="auto"/>
      </w:divBdr>
    </w:div>
    <w:div w:id="1310404929">
      <w:marLeft w:val="0"/>
      <w:marRight w:val="0"/>
      <w:marTop w:val="0"/>
      <w:marBottom w:val="0"/>
      <w:divBdr>
        <w:top w:val="none" w:sz="0" w:space="0" w:color="auto"/>
        <w:left w:val="none" w:sz="0" w:space="0" w:color="auto"/>
        <w:bottom w:val="none" w:sz="0" w:space="0" w:color="auto"/>
        <w:right w:val="none" w:sz="0" w:space="0" w:color="auto"/>
      </w:divBdr>
    </w:div>
    <w:div w:id="1311865391">
      <w:marLeft w:val="0"/>
      <w:marRight w:val="0"/>
      <w:marTop w:val="0"/>
      <w:marBottom w:val="15"/>
      <w:divBdr>
        <w:top w:val="none" w:sz="0" w:space="0" w:color="auto"/>
        <w:left w:val="none" w:sz="0" w:space="0" w:color="auto"/>
        <w:bottom w:val="none" w:sz="0" w:space="0" w:color="auto"/>
        <w:right w:val="none" w:sz="0" w:space="0" w:color="auto"/>
      </w:divBdr>
    </w:div>
    <w:div w:id="1318728763">
      <w:marLeft w:val="0"/>
      <w:marRight w:val="0"/>
      <w:marTop w:val="0"/>
      <w:marBottom w:val="0"/>
      <w:divBdr>
        <w:top w:val="none" w:sz="0" w:space="0" w:color="auto"/>
        <w:left w:val="none" w:sz="0" w:space="0" w:color="auto"/>
        <w:bottom w:val="none" w:sz="0" w:space="0" w:color="auto"/>
        <w:right w:val="none" w:sz="0" w:space="0" w:color="auto"/>
      </w:divBdr>
      <w:divsChild>
        <w:div w:id="919826302">
          <w:marLeft w:val="0"/>
          <w:marRight w:val="0"/>
          <w:marTop w:val="0"/>
          <w:marBottom w:val="0"/>
          <w:divBdr>
            <w:top w:val="none" w:sz="0" w:space="0" w:color="auto"/>
            <w:left w:val="none" w:sz="0" w:space="0" w:color="auto"/>
            <w:bottom w:val="none" w:sz="0" w:space="0" w:color="auto"/>
            <w:right w:val="none" w:sz="0" w:space="0" w:color="auto"/>
          </w:divBdr>
          <w:divsChild>
            <w:div w:id="11223119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1154770">
      <w:marLeft w:val="0"/>
      <w:marRight w:val="0"/>
      <w:marTop w:val="60"/>
      <w:marBottom w:val="60"/>
      <w:divBdr>
        <w:top w:val="none" w:sz="0" w:space="0" w:color="auto"/>
        <w:left w:val="none" w:sz="0" w:space="0" w:color="auto"/>
        <w:bottom w:val="none" w:sz="0" w:space="0" w:color="auto"/>
        <w:right w:val="none" w:sz="0" w:space="0" w:color="auto"/>
      </w:divBdr>
    </w:div>
    <w:div w:id="1322352334">
      <w:marLeft w:val="0"/>
      <w:marRight w:val="0"/>
      <w:marTop w:val="0"/>
      <w:marBottom w:val="0"/>
      <w:divBdr>
        <w:top w:val="none" w:sz="0" w:space="0" w:color="auto"/>
        <w:left w:val="none" w:sz="0" w:space="0" w:color="auto"/>
        <w:bottom w:val="none" w:sz="0" w:space="0" w:color="auto"/>
        <w:right w:val="none" w:sz="0" w:space="0" w:color="auto"/>
      </w:divBdr>
      <w:divsChild>
        <w:div w:id="884681750">
          <w:marLeft w:val="0"/>
          <w:marRight w:val="0"/>
          <w:marTop w:val="0"/>
          <w:marBottom w:val="0"/>
          <w:divBdr>
            <w:top w:val="none" w:sz="0" w:space="0" w:color="auto"/>
            <w:left w:val="none" w:sz="0" w:space="0" w:color="auto"/>
            <w:bottom w:val="none" w:sz="0" w:space="0" w:color="auto"/>
            <w:right w:val="none" w:sz="0" w:space="0" w:color="auto"/>
          </w:divBdr>
          <w:divsChild>
            <w:div w:id="13667117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4622573">
      <w:marLeft w:val="0"/>
      <w:marRight w:val="0"/>
      <w:marTop w:val="60"/>
      <w:marBottom w:val="60"/>
      <w:divBdr>
        <w:top w:val="none" w:sz="0" w:space="0" w:color="auto"/>
        <w:left w:val="none" w:sz="0" w:space="0" w:color="auto"/>
        <w:bottom w:val="none" w:sz="0" w:space="0" w:color="auto"/>
        <w:right w:val="none" w:sz="0" w:space="0" w:color="auto"/>
      </w:divBdr>
    </w:div>
    <w:div w:id="1325160537">
      <w:marLeft w:val="0"/>
      <w:marRight w:val="0"/>
      <w:marTop w:val="180"/>
      <w:marBottom w:val="180"/>
      <w:divBdr>
        <w:top w:val="none" w:sz="0" w:space="0" w:color="auto"/>
        <w:left w:val="none" w:sz="0" w:space="0" w:color="auto"/>
        <w:bottom w:val="none" w:sz="0" w:space="0" w:color="auto"/>
        <w:right w:val="none" w:sz="0" w:space="0" w:color="auto"/>
      </w:divBdr>
    </w:div>
    <w:div w:id="1328901411">
      <w:marLeft w:val="0"/>
      <w:marRight w:val="0"/>
      <w:marTop w:val="180"/>
      <w:marBottom w:val="180"/>
      <w:divBdr>
        <w:top w:val="none" w:sz="0" w:space="0" w:color="auto"/>
        <w:left w:val="none" w:sz="0" w:space="0" w:color="auto"/>
        <w:bottom w:val="none" w:sz="0" w:space="0" w:color="auto"/>
        <w:right w:val="none" w:sz="0" w:space="0" w:color="auto"/>
      </w:divBdr>
    </w:div>
    <w:div w:id="1330016449">
      <w:marLeft w:val="0"/>
      <w:marRight w:val="0"/>
      <w:marTop w:val="0"/>
      <w:marBottom w:val="0"/>
      <w:divBdr>
        <w:top w:val="none" w:sz="0" w:space="0" w:color="auto"/>
        <w:left w:val="none" w:sz="0" w:space="0" w:color="auto"/>
        <w:bottom w:val="none" w:sz="0" w:space="0" w:color="auto"/>
        <w:right w:val="none" w:sz="0" w:space="0" w:color="auto"/>
      </w:divBdr>
      <w:divsChild>
        <w:div w:id="1772160112">
          <w:marLeft w:val="0"/>
          <w:marRight w:val="0"/>
          <w:marTop w:val="0"/>
          <w:marBottom w:val="0"/>
          <w:divBdr>
            <w:top w:val="none" w:sz="0" w:space="0" w:color="auto"/>
            <w:left w:val="none" w:sz="0" w:space="0" w:color="auto"/>
            <w:bottom w:val="none" w:sz="0" w:space="0" w:color="auto"/>
            <w:right w:val="none" w:sz="0" w:space="0" w:color="auto"/>
          </w:divBdr>
          <w:divsChild>
            <w:div w:id="7726707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32218411">
      <w:marLeft w:val="0"/>
      <w:marRight w:val="0"/>
      <w:marTop w:val="180"/>
      <w:marBottom w:val="180"/>
      <w:divBdr>
        <w:top w:val="none" w:sz="0" w:space="0" w:color="auto"/>
        <w:left w:val="none" w:sz="0" w:space="0" w:color="auto"/>
        <w:bottom w:val="none" w:sz="0" w:space="0" w:color="auto"/>
        <w:right w:val="none" w:sz="0" w:space="0" w:color="auto"/>
      </w:divBdr>
    </w:div>
    <w:div w:id="1335300493">
      <w:marLeft w:val="0"/>
      <w:marRight w:val="0"/>
      <w:marTop w:val="180"/>
      <w:marBottom w:val="180"/>
      <w:divBdr>
        <w:top w:val="none" w:sz="0" w:space="0" w:color="auto"/>
        <w:left w:val="none" w:sz="0" w:space="0" w:color="auto"/>
        <w:bottom w:val="none" w:sz="0" w:space="0" w:color="auto"/>
        <w:right w:val="none" w:sz="0" w:space="0" w:color="auto"/>
      </w:divBdr>
    </w:div>
    <w:div w:id="1338654347">
      <w:marLeft w:val="0"/>
      <w:marRight w:val="0"/>
      <w:marTop w:val="60"/>
      <w:marBottom w:val="100"/>
      <w:divBdr>
        <w:top w:val="none" w:sz="0" w:space="0" w:color="auto"/>
        <w:left w:val="none" w:sz="0" w:space="0" w:color="auto"/>
        <w:bottom w:val="none" w:sz="0" w:space="0" w:color="auto"/>
        <w:right w:val="none" w:sz="0" w:space="0" w:color="auto"/>
      </w:divBdr>
      <w:divsChild>
        <w:div w:id="1618876657">
          <w:marLeft w:val="0"/>
          <w:marRight w:val="0"/>
          <w:marTop w:val="0"/>
          <w:marBottom w:val="0"/>
          <w:divBdr>
            <w:top w:val="none" w:sz="0" w:space="0" w:color="auto"/>
            <w:left w:val="none" w:sz="0" w:space="0" w:color="auto"/>
            <w:bottom w:val="none" w:sz="0" w:space="0" w:color="auto"/>
            <w:right w:val="none" w:sz="0" w:space="0" w:color="auto"/>
          </w:divBdr>
        </w:div>
      </w:divsChild>
    </w:div>
    <w:div w:id="1340962874">
      <w:marLeft w:val="0"/>
      <w:marRight w:val="0"/>
      <w:marTop w:val="60"/>
      <w:marBottom w:val="60"/>
      <w:divBdr>
        <w:top w:val="none" w:sz="0" w:space="0" w:color="auto"/>
        <w:left w:val="none" w:sz="0" w:space="0" w:color="auto"/>
        <w:bottom w:val="none" w:sz="0" w:space="0" w:color="auto"/>
        <w:right w:val="none" w:sz="0" w:space="0" w:color="auto"/>
      </w:divBdr>
    </w:div>
    <w:div w:id="1345593039">
      <w:marLeft w:val="0"/>
      <w:marRight w:val="0"/>
      <w:marTop w:val="300"/>
      <w:marBottom w:val="100"/>
      <w:divBdr>
        <w:top w:val="none" w:sz="0" w:space="0" w:color="auto"/>
        <w:left w:val="none" w:sz="0" w:space="0" w:color="auto"/>
        <w:bottom w:val="none" w:sz="0" w:space="0" w:color="auto"/>
        <w:right w:val="none" w:sz="0" w:space="0" w:color="auto"/>
      </w:divBdr>
    </w:div>
    <w:div w:id="1349867627">
      <w:marLeft w:val="0"/>
      <w:marRight w:val="0"/>
      <w:marTop w:val="180"/>
      <w:marBottom w:val="60"/>
      <w:divBdr>
        <w:top w:val="none" w:sz="0" w:space="0" w:color="auto"/>
        <w:left w:val="none" w:sz="0" w:space="0" w:color="auto"/>
        <w:bottom w:val="none" w:sz="0" w:space="0" w:color="auto"/>
        <w:right w:val="none" w:sz="0" w:space="0" w:color="auto"/>
      </w:divBdr>
      <w:divsChild>
        <w:div w:id="1419711705">
          <w:marLeft w:val="0"/>
          <w:marRight w:val="0"/>
          <w:marTop w:val="0"/>
          <w:marBottom w:val="0"/>
          <w:divBdr>
            <w:top w:val="none" w:sz="0" w:space="0" w:color="auto"/>
            <w:left w:val="none" w:sz="0" w:space="0" w:color="auto"/>
            <w:bottom w:val="none" w:sz="0" w:space="0" w:color="auto"/>
            <w:right w:val="none" w:sz="0" w:space="0" w:color="auto"/>
          </w:divBdr>
        </w:div>
        <w:div w:id="1177771164">
          <w:marLeft w:val="0"/>
          <w:marRight w:val="0"/>
          <w:marTop w:val="0"/>
          <w:marBottom w:val="0"/>
          <w:divBdr>
            <w:top w:val="none" w:sz="0" w:space="0" w:color="auto"/>
            <w:left w:val="none" w:sz="0" w:space="0" w:color="auto"/>
            <w:bottom w:val="none" w:sz="0" w:space="0" w:color="auto"/>
            <w:right w:val="none" w:sz="0" w:space="0" w:color="auto"/>
          </w:divBdr>
        </w:div>
        <w:div w:id="1955867929">
          <w:marLeft w:val="0"/>
          <w:marRight w:val="0"/>
          <w:marTop w:val="0"/>
          <w:marBottom w:val="0"/>
          <w:divBdr>
            <w:top w:val="none" w:sz="0" w:space="0" w:color="auto"/>
            <w:left w:val="none" w:sz="0" w:space="0" w:color="auto"/>
            <w:bottom w:val="none" w:sz="0" w:space="0" w:color="auto"/>
            <w:right w:val="none" w:sz="0" w:space="0" w:color="auto"/>
          </w:divBdr>
        </w:div>
      </w:divsChild>
    </w:div>
    <w:div w:id="1350334243">
      <w:marLeft w:val="0"/>
      <w:marRight w:val="0"/>
      <w:marTop w:val="0"/>
      <w:marBottom w:val="0"/>
      <w:divBdr>
        <w:top w:val="none" w:sz="0" w:space="0" w:color="auto"/>
        <w:left w:val="none" w:sz="0" w:space="0" w:color="auto"/>
        <w:bottom w:val="none" w:sz="0" w:space="0" w:color="auto"/>
        <w:right w:val="none" w:sz="0" w:space="0" w:color="auto"/>
      </w:divBdr>
      <w:divsChild>
        <w:div w:id="2069568950">
          <w:marLeft w:val="0"/>
          <w:marRight w:val="0"/>
          <w:marTop w:val="0"/>
          <w:marBottom w:val="0"/>
          <w:divBdr>
            <w:top w:val="none" w:sz="0" w:space="0" w:color="auto"/>
            <w:left w:val="none" w:sz="0" w:space="0" w:color="auto"/>
            <w:bottom w:val="none" w:sz="0" w:space="0" w:color="auto"/>
            <w:right w:val="none" w:sz="0" w:space="0" w:color="auto"/>
          </w:divBdr>
          <w:divsChild>
            <w:div w:id="20071990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53343191">
      <w:marLeft w:val="0"/>
      <w:marRight w:val="0"/>
      <w:marTop w:val="180"/>
      <w:marBottom w:val="180"/>
      <w:divBdr>
        <w:top w:val="none" w:sz="0" w:space="0" w:color="auto"/>
        <w:left w:val="none" w:sz="0" w:space="0" w:color="auto"/>
        <w:bottom w:val="none" w:sz="0" w:space="0" w:color="auto"/>
        <w:right w:val="none" w:sz="0" w:space="0" w:color="auto"/>
      </w:divBdr>
    </w:div>
    <w:div w:id="1353991606">
      <w:marLeft w:val="0"/>
      <w:marRight w:val="0"/>
      <w:marTop w:val="0"/>
      <w:marBottom w:val="15"/>
      <w:divBdr>
        <w:top w:val="none" w:sz="0" w:space="0" w:color="auto"/>
        <w:left w:val="none" w:sz="0" w:space="0" w:color="auto"/>
        <w:bottom w:val="none" w:sz="0" w:space="0" w:color="auto"/>
        <w:right w:val="none" w:sz="0" w:space="0" w:color="auto"/>
      </w:divBdr>
    </w:div>
    <w:div w:id="1355300868">
      <w:marLeft w:val="0"/>
      <w:marRight w:val="0"/>
      <w:marTop w:val="180"/>
      <w:marBottom w:val="180"/>
      <w:divBdr>
        <w:top w:val="none" w:sz="0" w:space="0" w:color="auto"/>
        <w:left w:val="none" w:sz="0" w:space="0" w:color="auto"/>
        <w:bottom w:val="none" w:sz="0" w:space="0" w:color="auto"/>
        <w:right w:val="none" w:sz="0" w:space="0" w:color="auto"/>
      </w:divBdr>
    </w:div>
    <w:div w:id="1358189710">
      <w:marLeft w:val="0"/>
      <w:marRight w:val="0"/>
      <w:marTop w:val="100"/>
      <w:marBottom w:val="100"/>
      <w:divBdr>
        <w:top w:val="none" w:sz="0" w:space="0" w:color="auto"/>
        <w:left w:val="none" w:sz="0" w:space="0" w:color="auto"/>
        <w:bottom w:val="none" w:sz="0" w:space="0" w:color="auto"/>
        <w:right w:val="none" w:sz="0" w:space="0" w:color="auto"/>
      </w:divBdr>
      <w:divsChild>
        <w:div w:id="1852258580">
          <w:marLeft w:val="0"/>
          <w:marRight w:val="0"/>
          <w:marTop w:val="0"/>
          <w:marBottom w:val="0"/>
          <w:divBdr>
            <w:top w:val="none" w:sz="0" w:space="0" w:color="auto"/>
            <w:left w:val="none" w:sz="0" w:space="0" w:color="auto"/>
            <w:bottom w:val="none" w:sz="0" w:space="0" w:color="auto"/>
            <w:right w:val="none" w:sz="0" w:space="0" w:color="auto"/>
          </w:divBdr>
        </w:div>
        <w:div w:id="1572040539">
          <w:marLeft w:val="0"/>
          <w:marRight w:val="0"/>
          <w:marTop w:val="0"/>
          <w:marBottom w:val="0"/>
          <w:divBdr>
            <w:top w:val="none" w:sz="0" w:space="0" w:color="auto"/>
            <w:left w:val="none" w:sz="0" w:space="0" w:color="auto"/>
            <w:bottom w:val="none" w:sz="0" w:space="0" w:color="auto"/>
            <w:right w:val="none" w:sz="0" w:space="0" w:color="auto"/>
          </w:divBdr>
        </w:div>
        <w:div w:id="587035358">
          <w:marLeft w:val="0"/>
          <w:marRight w:val="0"/>
          <w:marTop w:val="0"/>
          <w:marBottom w:val="0"/>
          <w:divBdr>
            <w:top w:val="none" w:sz="0" w:space="0" w:color="auto"/>
            <w:left w:val="none" w:sz="0" w:space="0" w:color="auto"/>
            <w:bottom w:val="none" w:sz="0" w:space="0" w:color="auto"/>
            <w:right w:val="none" w:sz="0" w:space="0" w:color="auto"/>
          </w:divBdr>
        </w:div>
        <w:div w:id="1292370448">
          <w:marLeft w:val="0"/>
          <w:marRight w:val="0"/>
          <w:marTop w:val="0"/>
          <w:marBottom w:val="0"/>
          <w:divBdr>
            <w:top w:val="none" w:sz="0" w:space="0" w:color="auto"/>
            <w:left w:val="none" w:sz="0" w:space="0" w:color="auto"/>
            <w:bottom w:val="none" w:sz="0" w:space="0" w:color="auto"/>
            <w:right w:val="none" w:sz="0" w:space="0" w:color="auto"/>
          </w:divBdr>
        </w:div>
        <w:div w:id="379209779">
          <w:marLeft w:val="0"/>
          <w:marRight w:val="0"/>
          <w:marTop w:val="0"/>
          <w:marBottom w:val="0"/>
          <w:divBdr>
            <w:top w:val="none" w:sz="0" w:space="0" w:color="auto"/>
            <w:left w:val="none" w:sz="0" w:space="0" w:color="auto"/>
            <w:bottom w:val="none" w:sz="0" w:space="0" w:color="auto"/>
            <w:right w:val="none" w:sz="0" w:space="0" w:color="auto"/>
          </w:divBdr>
        </w:div>
      </w:divsChild>
    </w:div>
    <w:div w:id="1358657882">
      <w:marLeft w:val="0"/>
      <w:marRight w:val="0"/>
      <w:marTop w:val="180"/>
      <w:marBottom w:val="180"/>
      <w:divBdr>
        <w:top w:val="none" w:sz="0" w:space="0" w:color="auto"/>
        <w:left w:val="none" w:sz="0" w:space="0" w:color="auto"/>
        <w:bottom w:val="none" w:sz="0" w:space="0" w:color="auto"/>
        <w:right w:val="none" w:sz="0" w:space="0" w:color="auto"/>
      </w:divBdr>
    </w:div>
    <w:div w:id="1359161841">
      <w:marLeft w:val="0"/>
      <w:marRight w:val="0"/>
      <w:marTop w:val="60"/>
      <w:marBottom w:val="60"/>
      <w:divBdr>
        <w:top w:val="none" w:sz="0" w:space="0" w:color="auto"/>
        <w:left w:val="none" w:sz="0" w:space="0" w:color="auto"/>
        <w:bottom w:val="none" w:sz="0" w:space="0" w:color="auto"/>
        <w:right w:val="none" w:sz="0" w:space="0" w:color="auto"/>
      </w:divBdr>
    </w:div>
    <w:div w:id="1365206790">
      <w:marLeft w:val="0"/>
      <w:marRight w:val="0"/>
      <w:marTop w:val="180"/>
      <w:marBottom w:val="60"/>
      <w:divBdr>
        <w:top w:val="none" w:sz="0" w:space="0" w:color="auto"/>
        <w:left w:val="none" w:sz="0" w:space="0" w:color="auto"/>
        <w:bottom w:val="none" w:sz="0" w:space="0" w:color="auto"/>
        <w:right w:val="none" w:sz="0" w:space="0" w:color="auto"/>
      </w:divBdr>
    </w:div>
    <w:div w:id="1368873899">
      <w:marLeft w:val="0"/>
      <w:marRight w:val="0"/>
      <w:marTop w:val="180"/>
      <w:marBottom w:val="180"/>
      <w:divBdr>
        <w:top w:val="none" w:sz="0" w:space="0" w:color="auto"/>
        <w:left w:val="none" w:sz="0" w:space="0" w:color="auto"/>
        <w:bottom w:val="none" w:sz="0" w:space="0" w:color="auto"/>
        <w:right w:val="none" w:sz="0" w:space="0" w:color="auto"/>
      </w:divBdr>
    </w:div>
    <w:div w:id="1370230002">
      <w:marLeft w:val="0"/>
      <w:marRight w:val="0"/>
      <w:marTop w:val="180"/>
      <w:marBottom w:val="180"/>
      <w:divBdr>
        <w:top w:val="none" w:sz="0" w:space="0" w:color="auto"/>
        <w:left w:val="none" w:sz="0" w:space="0" w:color="auto"/>
        <w:bottom w:val="none" w:sz="0" w:space="0" w:color="auto"/>
        <w:right w:val="none" w:sz="0" w:space="0" w:color="auto"/>
      </w:divBdr>
    </w:div>
    <w:div w:id="1370959582">
      <w:marLeft w:val="0"/>
      <w:marRight w:val="0"/>
      <w:marTop w:val="0"/>
      <w:marBottom w:val="0"/>
      <w:divBdr>
        <w:top w:val="none" w:sz="0" w:space="0" w:color="auto"/>
        <w:left w:val="none" w:sz="0" w:space="0" w:color="auto"/>
        <w:bottom w:val="none" w:sz="0" w:space="0" w:color="auto"/>
        <w:right w:val="none" w:sz="0" w:space="0" w:color="auto"/>
      </w:divBdr>
      <w:divsChild>
        <w:div w:id="1906717208">
          <w:marLeft w:val="0"/>
          <w:marRight w:val="0"/>
          <w:marTop w:val="60"/>
          <w:marBottom w:val="60"/>
          <w:divBdr>
            <w:top w:val="none" w:sz="0" w:space="0" w:color="auto"/>
            <w:left w:val="none" w:sz="0" w:space="0" w:color="auto"/>
            <w:bottom w:val="none" w:sz="0" w:space="0" w:color="auto"/>
            <w:right w:val="none" w:sz="0" w:space="0" w:color="auto"/>
          </w:divBdr>
        </w:div>
      </w:divsChild>
    </w:div>
    <w:div w:id="1371495279">
      <w:marLeft w:val="0"/>
      <w:marRight w:val="0"/>
      <w:marTop w:val="0"/>
      <w:marBottom w:val="0"/>
      <w:divBdr>
        <w:top w:val="none" w:sz="0" w:space="0" w:color="auto"/>
        <w:left w:val="none" w:sz="0" w:space="0" w:color="auto"/>
        <w:bottom w:val="none" w:sz="0" w:space="0" w:color="auto"/>
        <w:right w:val="none" w:sz="0" w:space="0" w:color="auto"/>
      </w:divBdr>
    </w:div>
    <w:div w:id="1373577483">
      <w:marLeft w:val="0"/>
      <w:marRight w:val="0"/>
      <w:marTop w:val="180"/>
      <w:marBottom w:val="180"/>
      <w:divBdr>
        <w:top w:val="none" w:sz="0" w:space="0" w:color="auto"/>
        <w:left w:val="none" w:sz="0" w:space="0" w:color="auto"/>
        <w:bottom w:val="none" w:sz="0" w:space="0" w:color="auto"/>
        <w:right w:val="none" w:sz="0" w:space="0" w:color="auto"/>
      </w:divBdr>
    </w:div>
    <w:div w:id="1377004820">
      <w:marLeft w:val="0"/>
      <w:marRight w:val="0"/>
      <w:marTop w:val="180"/>
      <w:marBottom w:val="180"/>
      <w:divBdr>
        <w:top w:val="none" w:sz="0" w:space="0" w:color="auto"/>
        <w:left w:val="none" w:sz="0" w:space="0" w:color="auto"/>
        <w:bottom w:val="none" w:sz="0" w:space="0" w:color="auto"/>
        <w:right w:val="none" w:sz="0" w:space="0" w:color="auto"/>
      </w:divBdr>
    </w:div>
    <w:div w:id="1378892680">
      <w:marLeft w:val="0"/>
      <w:marRight w:val="0"/>
      <w:marTop w:val="180"/>
      <w:marBottom w:val="60"/>
      <w:divBdr>
        <w:top w:val="none" w:sz="0" w:space="0" w:color="auto"/>
        <w:left w:val="none" w:sz="0" w:space="0" w:color="auto"/>
        <w:bottom w:val="none" w:sz="0" w:space="0" w:color="auto"/>
        <w:right w:val="none" w:sz="0" w:space="0" w:color="auto"/>
      </w:divBdr>
    </w:div>
    <w:div w:id="1381318832">
      <w:marLeft w:val="0"/>
      <w:marRight w:val="0"/>
      <w:marTop w:val="0"/>
      <w:marBottom w:val="0"/>
      <w:divBdr>
        <w:top w:val="none" w:sz="0" w:space="0" w:color="auto"/>
        <w:left w:val="none" w:sz="0" w:space="0" w:color="auto"/>
        <w:bottom w:val="none" w:sz="0" w:space="0" w:color="auto"/>
        <w:right w:val="none" w:sz="0" w:space="0" w:color="auto"/>
      </w:divBdr>
      <w:divsChild>
        <w:div w:id="1478181378">
          <w:marLeft w:val="0"/>
          <w:marRight w:val="0"/>
          <w:marTop w:val="60"/>
          <w:marBottom w:val="60"/>
          <w:divBdr>
            <w:top w:val="none" w:sz="0" w:space="0" w:color="auto"/>
            <w:left w:val="none" w:sz="0" w:space="0" w:color="auto"/>
            <w:bottom w:val="none" w:sz="0" w:space="0" w:color="auto"/>
            <w:right w:val="none" w:sz="0" w:space="0" w:color="auto"/>
          </w:divBdr>
        </w:div>
      </w:divsChild>
    </w:div>
    <w:div w:id="1384716441">
      <w:marLeft w:val="0"/>
      <w:marRight w:val="0"/>
      <w:marTop w:val="100"/>
      <w:marBottom w:val="100"/>
      <w:divBdr>
        <w:top w:val="none" w:sz="0" w:space="0" w:color="auto"/>
        <w:left w:val="none" w:sz="0" w:space="0" w:color="auto"/>
        <w:bottom w:val="none" w:sz="0" w:space="0" w:color="auto"/>
        <w:right w:val="none" w:sz="0" w:space="0" w:color="auto"/>
      </w:divBdr>
    </w:div>
    <w:div w:id="1385174317">
      <w:marLeft w:val="0"/>
      <w:marRight w:val="0"/>
      <w:marTop w:val="180"/>
      <w:marBottom w:val="180"/>
      <w:divBdr>
        <w:top w:val="none" w:sz="0" w:space="0" w:color="auto"/>
        <w:left w:val="none" w:sz="0" w:space="0" w:color="auto"/>
        <w:bottom w:val="none" w:sz="0" w:space="0" w:color="auto"/>
        <w:right w:val="none" w:sz="0" w:space="0" w:color="auto"/>
      </w:divBdr>
    </w:div>
    <w:div w:id="1386102295">
      <w:marLeft w:val="0"/>
      <w:marRight w:val="0"/>
      <w:marTop w:val="180"/>
      <w:marBottom w:val="180"/>
      <w:divBdr>
        <w:top w:val="none" w:sz="0" w:space="0" w:color="auto"/>
        <w:left w:val="none" w:sz="0" w:space="0" w:color="auto"/>
        <w:bottom w:val="none" w:sz="0" w:space="0" w:color="auto"/>
        <w:right w:val="none" w:sz="0" w:space="0" w:color="auto"/>
      </w:divBdr>
    </w:div>
    <w:div w:id="1386753480">
      <w:marLeft w:val="0"/>
      <w:marRight w:val="0"/>
      <w:marTop w:val="240"/>
      <w:marBottom w:val="180"/>
      <w:divBdr>
        <w:top w:val="none" w:sz="0" w:space="0" w:color="auto"/>
        <w:left w:val="none" w:sz="0" w:space="0" w:color="auto"/>
        <w:bottom w:val="none" w:sz="0" w:space="0" w:color="auto"/>
        <w:right w:val="none" w:sz="0" w:space="0" w:color="auto"/>
      </w:divBdr>
    </w:div>
    <w:div w:id="1389257111">
      <w:marLeft w:val="0"/>
      <w:marRight w:val="0"/>
      <w:marTop w:val="180"/>
      <w:marBottom w:val="180"/>
      <w:divBdr>
        <w:top w:val="none" w:sz="0" w:space="0" w:color="auto"/>
        <w:left w:val="none" w:sz="0" w:space="0" w:color="auto"/>
        <w:bottom w:val="none" w:sz="0" w:space="0" w:color="auto"/>
        <w:right w:val="none" w:sz="0" w:space="0" w:color="auto"/>
      </w:divBdr>
    </w:div>
    <w:div w:id="1391727190">
      <w:marLeft w:val="0"/>
      <w:marRight w:val="0"/>
      <w:marTop w:val="60"/>
      <w:marBottom w:val="60"/>
      <w:divBdr>
        <w:top w:val="none" w:sz="0" w:space="0" w:color="auto"/>
        <w:left w:val="none" w:sz="0" w:space="0" w:color="auto"/>
        <w:bottom w:val="none" w:sz="0" w:space="0" w:color="auto"/>
        <w:right w:val="none" w:sz="0" w:space="0" w:color="auto"/>
      </w:divBdr>
    </w:div>
    <w:div w:id="1392195392">
      <w:marLeft w:val="0"/>
      <w:marRight w:val="0"/>
      <w:marTop w:val="60"/>
      <w:marBottom w:val="60"/>
      <w:divBdr>
        <w:top w:val="none" w:sz="0" w:space="0" w:color="auto"/>
        <w:left w:val="none" w:sz="0" w:space="0" w:color="auto"/>
        <w:bottom w:val="none" w:sz="0" w:space="0" w:color="auto"/>
        <w:right w:val="none" w:sz="0" w:space="0" w:color="auto"/>
      </w:divBdr>
    </w:div>
    <w:div w:id="1393426510">
      <w:marLeft w:val="0"/>
      <w:marRight w:val="0"/>
      <w:marTop w:val="180"/>
      <w:marBottom w:val="180"/>
      <w:divBdr>
        <w:top w:val="none" w:sz="0" w:space="0" w:color="auto"/>
        <w:left w:val="none" w:sz="0" w:space="0" w:color="auto"/>
        <w:bottom w:val="none" w:sz="0" w:space="0" w:color="auto"/>
        <w:right w:val="none" w:sz="0" w:space="0" w:color="auto"/>
      </w:divBdr>
    </w:div>
    <w:div w:id="1393501330">
      <w:marLeft w:val="0"/>
      <w:marRight w:val="0"/>
      <w:marTop w:val="0"/>
      <w:marBottom w:val="0"/>
      <w:divBdr>
        <w:top w:val="none" w:sz="0" w:space="0" w:color="auto"/>
        <w:left w:val="none" w:sz="0" w:space="0" w:color="auto"/>
        <w:bottom w:val="none" w:sz="0" w:space="0" w:color="auto"/>
        <w:right w:val="none" w:sz="0" w:space="0" w:color="auto"/>
      </w:divBdr>
      <w:divsChild>
        <w:div w:id="1183739317">
          <w:marLeft w:val="0"/>
          <w:marRight w:val="0"/>
          <w:marTop w:val="60"/>
          <w:marBottom w:val="60"/>
          <w:divBdr>
            <w:top w:val="none" w:sz="0" w:space="0" w:color="auto"/>
            <w:left w:val="none" w:sz="0" w:space="0" w:color="auto"/>
            <w:bottom w:val="none" w:sz="0" w:space="0" w:color="auto"/>
            <w:right w:val="none" w:sz="0" w:space="0" w:color="auto"/>
          </w:divBdr>
        </w:div>
      </w:divsChild>
    </w:div>
    <w:div w:id="1401290916">
      <w:marLeft w:val="0"/>
      <w:marRight w:val="0"/>
      <w:marTop w:val="60"/>
      <w:marBottom w:val="60"/>
      <w:divBdr>
        <w:top w:val="none" w:sz="0" w:space="0" w:color="auto"/>
        <w:left w:val="none" w:sz="0" w:space="0" w:color="auto"/>
        <w:bottom w:val="none" w:sz="0" w:space="0" w:color="auto"/>
        <w:right w:val="none" w:sz="0" w:space="0" w:color="auto"/>
      </w:divBdr>
    </w:div>
    <w:div w:id="1402867313">
      <w:marLeft w:val="0"/>
      <w:marRight w:val="0"/>
      <w:marTop w:val="60"/>
      <w:marBottom w:val="60"/>
      <w:divBdr>
        <w:top w:val="none" w:sz="0" w:space="0" w:color="auto"/>
        <w:left w:val="none" w:sz="0" w:space="0" w:color="auto"/>
        <w:bottom w:val="none" w:sz="0" w:space="0" w:color="auto"/>
        <w:right w:val="none" w:sz="0" w:space="0" w:color="auto"/>
      </w:divBdr>
    </w:div>
    <w:div w:id="1403984671">
      <w:marLeft w:val="0"/>
      <w:marRight w:val="0"/>
      <w:marTop w:val="180"/>
      <w:marBottom w:val="180"/>
      <w:divBdr>
        <w:top w:val="none" w:sz="0" w:space="0" w:color="auto"/>
        <w:left w:val="none" w:sz="0" w:space="0" w:color="auto"/>
        <w:bottom w:val="none" w:sz="0" w:space="0" w:color="auto"/>
        <w:right w:val="none" w:sz="0" w:space="0" w:color="auto"/>
      </w:divBdr>
    </w:div>
    <w:div w:id="1405376997">
      <w:marLeft w:val="0"/>
      <w:marRight w:val="0"/>
      <w:marTop w:val="0"/>
      <w:marBottom w:val="0"/>
      <w:divBdr>
        <w:top w:val="none" w:sz="0" w:space="0" w:color="auto"/>
        <w:left w:val="none" w:sz="0" w:space="0" w:color="auto"/>
        <w:bottom w:val="none" w:sz="0" w:space="0" w:color="auto"/>
        <w:right w:val="none" w:sz="0" w:space="0" w:color="auto"/>
      </w:divBdr>
      <w:divsChild>
        <w:div w:id="1951473938">
          <w:marLeft w:val="0"/>
          <w:marRight w:val="0"/>
          <w:marTop w:val="60"/>
          <w:marBottom w:val="60"/>
          <w:divBdr>
            <w:top w:val="none" w:sz="0" w:space="0" w:color="auto"/>
            <w:left w:val="none" w:sz="0" w:space="0" w:color="auto"/>
            <w:bottom w:val="none" w:sz="0" w:space="0" w:color="auto"/>
            <w:right w:val="none" w:sz="0" w:space="0" w:color="auto"/>
          </w:divBdr>
        </w:div>
      </w:divsChild>
    </w:div>
    <w:div w:id="1408112438">
      <w:marLeft w:val="0"/>
      <w:marRight w:val="0"/>
      <w:marTop w:val="0"/>
      <w:marBottom w:val="60"/>
      <w:divBdr>
        <w:top w:val="none" w:sz="0" w:space="0" w:color="auto"/>
        <w:left w:val="none" w:sz="0" w:space="0" w:color="auto"/>
        <w:bottom w:val="none" w:sz="0" w:space="0" w:color="auto"/>
        <w:right w:val="none" w:sz="0" w:space="0" w:color="auto"/>
      </w:divBdr>
    </w:div>
    <w:div w:id="1409034148">
      <w:marLeft w:val="0"/>
      <w:marRight w:val="0"/>
      <w:marTop w:val="180"/>
      <w:marBottom w:val="180"/>
      <w:divBdr>
        <w:top w:val="none" w:sz="0" w:space="0" w:color="auto"/>
        <w:left w:val="none" w:sz="0" w:space="0" w:color="auto"/>
        <w:bottom w:val="none" w:sz="0" w:space="0" w:color="auto"/>
        <w:right w:val="none" w:sz="0" w:space="0" w:color="auto"/>
      </w:divBdr>
    </w:div>
    <w:div w:id="1409232343">
      <w:marLeft w:val="0"/>
      <w:marRight w:val="0"/>
      <w:marTop w:val="0"/>
      <w:marBottom w:val="0"/>
      <w:divBdr>
        <w:top w:val="none" w:sz="0" w:space="0" w:color="auto"/>
        <w:left w:val="none" w:sz="0" w:space="0" w:color="auto"/>
        <w:bottom w:val="none" w:sz="0" w:space="0" w:color="auto"/>
        <w:right w:val="none" w:sz="0" w:space="0" w:color="auto"/>
      </w:divBdr>
    </w:div>
    <w:div w:id="1409615398">
      <w:marLeft w:val="0"/>
      <w:marRight w:val="0"/>
      <w:marTop w:val="180"/>
      <w:marBottom w:val="180"/>
      <w:divBdr>
        <w:top w:val="none" w:sz="0" w:space="0" w:color="auto"/>
        <w:left w:val="none" w:sz="0" w:space="0" w:color="auto"/>
        <w:bottom w:val="none" w:sz="0" w:space="0" w:color="auto"/>
        <w:right w:val="none" w:sz="0" w:space="0" w:color="auto"/>
      </w:divBdr>
    </w:div>
    <w:div w:id="1411468995">
      <w:marLeft w:val="0"/>
      <w:marRight w:val="0"/>
      <w:marTop w:val="0"/>
      <w:marBottom w:val="0"/>
      <w:divBdr>
        <w:top w:val="none" w:sz="0" w:space="0" w:color="auto"/>
        <w:left w:val="none" w:sz="0" w:space="0" w:color="auto"/>
        <w:bottom w:val="none" w:sz="0" w:space="0" w:color="auto"/>
        <w:right w:val="none" w:sz="0" w:space="0" w:color="auto"/>
      </w:divBdr>
      <w:divsChild>
        <w:div w:id="695152999">
          <w:marLeft w:val="0"/>
          <w:marRight w:val="0"/>
          <w:marTop w:val="0"/>
          <w:marBottom w:val="0"/>
          <w:divBdr>
            <w:top w:val="none" w:sz="0" w:space="0" w:color="auto"/>
            <w:left w:val="none" w:sz="0" w:space="0" w:color="auto"/>
            <w:bottom w:val="none" w:sz="0" w:space="0" w:color="auto"/>
            <w:right w:val="none" w:sz="0" w:space="0" w:color="auto"/>
          </w:divBdr>
          <w:divsChild>
            <w:div w:id="6327515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14008822">
      <w:marLeft w:val="0"/>
      <w:marRight w:val="0"/>
      <w:marTop w:val="180"/>
      <w:marBottom w:val="180"/>
      <w:divBdr>
        <w:top w:val="none" w:sz="0" w:space="0" w:color="auto"/>
        <w:left w:val="none" w:sz="0" w:space="0" w:color="auto"/>
        <w:bottom w:val="none" w:sz="0" w:space="0" w:color="auto"/>
        <w:right w:val="none" w:sz="0" w:space="0" w:color="auto"/>
      </w:divBdr>
    </w:div>
    <w:div w:id="1414619564">
      <w:marLeft w:val="0"/>
      <w:marRight w:val="0"/>
      <w:marTop w:val="0"/>
      <w:marBottom w:val="0"/>
      <w:divBdr>
        <w:top w:val="none" w:sz="0" w:space="0" w:color="auto"/>
        <w:left w:val="none" w:sz="0" w:space="0" w:color="auto"/>
        <w:bottom w:val="none" w:sz="0" w:space="0" w:color="auto"/>
        <w:right w:val="none" w:sz="0" w:space="0" w:color="auto"/>
      </w:divBdr>
      <w:divsChild>
        <w:div w:id="177818495">
          <w:marLeft w:val="0"/>
          <w:marRight w:val="0"/>
          <w:marTop w:val="60"/>
          <w:marBottom w:val="60"/>
          <w:divBdr>
            <w:top w:val="none" w:sz="0" w:space="0" w:color="auto"/>
            <w:left w:val="none" w:sz="0" w:space="0" w:color="auto"/>
            <w:bottom w:val="none" w:sz="0" w:space="0" w:color="auto"/>
            <w:right w:val="none" w:sz="0" w:space="0" w:color="auto"/>
          </w:divBdr>
        </w:div>
      </w:divsChild>
    </w:div>
    <w:div w:id="1415129274">
      <w:marLeft w:val="0"/>
      <w:marRight w:val="0"/>
      <w:marTop w:val="180"/>
      <w:marBottom w:val="180"/>
      <w:divBdr>
        <w:top w:val="none" w:sz="0" w:space="0" w:color="auto"/>
        <w:left w:val="none" w:sz="0" w:space="0" w:color="auto"/>
        <w:bottom w:val="none" w:sz="0" w:space="0" w:color="auto"/>
        <w:right w:val="none" w:sz="0" w:space="0" w:color="auto"/>
      </w:divBdr>
    </w:div>
    <w:div w:id="1417706032">
      <w:marLeft w:val="0"/>
      <w:marRight w:val="0"/>
      <w:marTop w:val="0"/>
      <w:marBottom w:val="0"/>
      <w:divBdr>
        <w:top w:val="none" w:sz="0" w:space="0" w:color="auto"/>
        <w:left w:val="none" w:sz="0" w:space="0" w:color="auto"/>
        <w:bottom w:val="none" w:sz="0" w:space="0" w:color="auto"/>
        <w:right w:val="none" w:sz="0" w:space="0" w:color="auto"/>
      </w:divBdr>
      <w:divsChild>
        <w:div w:id="39012249">
          <w:marLeft w:val="0"/>
          <w:marRight w:val="0"/>
          <w:marTop w:val="0"/>
          <w:marBottom w:val="0"/>
          <w:divBdr>
            <w:top w:val="none" w:sz="0" w:space="0" w:color="auto"/>
            <w:left w:val="none" w:sz="0" w:space="0" w:color="auto"/>
            <w:bottom w:val="none" w:sz="0" w:space="0" w:color="auto"/>
            <w:right w:val="none" w:sz="0" w:space="0" w:color="auto"/>
          </w:divBdr>
          <w:divsChild>
            <w:div w:id="3179241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18557355">
      <w:marLeft w:val="0"/>
      <w:marRight w:val="0"/>
      <w:marTop w:val="180"/>
      <w:marBottom w:val="180"/>
      <w:divBdr>
        <w:top w:val="none" w:sz="0" w:space="0" w:color="auto"/>
        <w:left w:val="none" w:sz="0" w:space="0" w:color="auto"/>
        <w:bottom w:val="none" w:sz="0" w:space="0" w:color="auto"/>
        <w:right w:val="none" w:sz="0" w:space="0" w:color="auto"/>
      </w:divBdr>
    </w:div>
    <w:div w:id="1420836340">
      <w:marLeft w:val="0"/>
      <w:marRight w:val="0"/>
      <w:marTop w:val="180"/>
      <w:marBottom w:val="180"/>
      <w:divBdr>
        <w:top w:val="none" w:sz="0" w:space="0" w:color="auto"/>
        <w:left w:val="none" w:sz="0" w:space="0" w:color="auto"/>
        <w:bottom w:val="none" w:sz="0" w:space="0" w:color="auto"/>
        <w:right w:val="none" w:sz="0" w:space="0" w:color="auto"/>
      </w:divBdr>
    </w:div>
    <w:div w:id="1423601874">
      <w:marLeft w:val="0"/>
      <w:marRight w:val="0"/>
      <w:marTop w:val="180"/>
      <w:marBottom w:val="180"/>
      <w:divBdr>
        <w:top w:val="none" w:sz="0" w:space="0" w:color="auto"/>
        <w:left w:val="none" w:sz="0" w:space="0" w:color="auto"/>
        <w:bottom w:val="none" w:sz="0" w:space="0" w:color="auto"/>
        <w:right w:val="none" w:sz="0" w:space="0" w:color="auto"/>
      </w:divBdr>
    </w:div>
    <w:div w:id="1423647769">
      <w:marLeft w:val="0"/>
      <w:marRight w:val="0"/>
      <w:marTop w:val="0"/>
      <w:marBottom w:val="0"/>
      <w:divBdr>
        <w:top w:val="none" w:sz="0" w:space="0" w:color="auto"/>
        <w:left w:val="none" w:sz="0" w:space="0" w:color="auto"/>
        <w:bottom w:val="none" w:sz="0" w:space="0" w:color="auto"/>
        <w:right w:val="none" w:sz="0" w:space="0" w:color="auto"/>
      </w:divBdr>
    </w:div>
    <w:div w:id="1424302257">
      <w:marLeft w:val="0"/>
      <w:marRight w:val="0"/>
      <w:marTop w:val="180"/>
      <w:marBottom w:val="180"/>
      <w:divBdr>
        <w:top w:val="none" w:sz="0" w:space="0" w:color="auto"/>
        <w:left w:val="none" w:sz="0" w:space="0" w:color="auto"/>
        <w:bottom w:val="none" w:sz="0" w:space="0" w:color="auto"/>
        <w:right w:val="none" w:sz="0" w:space="0" w:color="auto"/>
      </w:divBdr>
    </w:div>
    <w:div w:id="1424490777">
      <w:marLeft w:val="0"/>
      <w:marRight w:val="0"/>
      <w:marTop w:val="180"/>
      <w:marBottom w:val="180"/>
      <w:divBdr>
        <w:top w:val="none" w:sz="0" w:space="0" w:color="auto"/>
        <w:left w:val="none" w:sz="0" w:space="0" w:color="auto"/>
        <w:bottom w:val="none" w:sz="0" w:space="0" w:color="auto"/>
        <w:right w:val="none" w:sz="0" w:space="0" w:color="auto"/>
      </w:divBdr>
    </w:div>
    <w:div w:id="1424840960">
      <w:marLeft w:val="0"/>
      <w:marRight w:val="0"/>
      <w:marTop w:val="0"/>
      <w:marBottom w:val="0"/>
      <w:divBdr>
        <w:top w:val="none" w:sz="0" w:space="0" w:color="auto"/>
        <w:left w:val="none" w:sz="0" w:space="0" w:color="auto"/>
        <w:bottom w:val="none" w:sz="0" w:space="0" w:color="auto"/>
        <w:right w:val="none" w:sz="0" w:space="0" w:color="auto"/>
      </w:divBdr>
      <w:divsChild>
        <w:div w:id="1808358639">
          <w:marLeft w:val="0"/>
          <w:marRight w:val="0"/>
          <w:marTop w:val="0"/>
          <w:marBottom w:val="0"/>
          <w:divBdr>
            <w:top w:val="none" w:sz="0" w:space="0" w:color="auto"/>
            <w:left w:val="none" w:sz="0" w:space="0" w:color="auto"/>
            <w:bottom w:val="none" w:sz="0" w:space="0" w:color="auto"/>
            <w:right w:val="none" w:sz="0" w:space="0" w:color="auto"/>
          </w:divBdr>
          <w:divsChild>
            <w:div w:id="17620214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27002244">
      <w:marLeft w:val="0"/>
      <w:marRight w:val="0"/>
      <w:marTop w:val="0"/>
      <w:marBottom w:val="0"/>
      <w:divBdr>
        <w:top w:val="none" w:sz="0" w:space="0" w:color="auto"/>
        <w:left w:val="none" w:sz="0" w:space="0" w:color="auto"/>
        <w:bottom w:val="none" w:sz="0" w:space="0" w:color="auto"/>
        <w:right w:val="none" w:sz="0" w:space="0" w:color="auto"/>
      </w:divBdr>
      <w:divsChild>
        <w:div w:id="1314480400">
          <w:marLeft w:val="0"/>
          <w:marRight w:val="0"/>
          <w:marTop w:val="60"/>
          <w:marBottom w:val="60"/>
          <w:divBdr>
            <w:top w:val="none" w:sz="0" w:space="0" w:color="auto"/>
            <w:left w:val="none" w:sz="0" w:space="0" w:color="auto"/>
            <w:bottom w:val="none" w:sz="0" w:space="0" w:color="auto"/>
            <w:right w:val="none" w:sz="0" w:space="0" w:color="auto"/>
          </w:divBdr>
        </w:div>
      </w:divsChild>
    </w:div>
    <w:div w:id="1427462221">
      <w:marLeft w:val="0"/>
      <w:marRight w:val="0"/>
      <w:marTop w:val="0"/>
      <w:marBottom w:val="0"/>
      <w:divBdr>
        <w:top w:val="none" w:sz="0" w:space="0" w:color="auto"/>
        <w:left w:val="none" w:sz="0" w:space="0" w:color="auto"/>
        <w:bottom w:val="none" w:sz="0" w:space="0" w:color="auto"/>
        <w:right w:val="none" w:sz="0" w:space="0" w:color="auto"/>
      </w:divBdr>
    </w:div>
    <w:div w:id="1427463643">
      <w:marLeft w:val="0"/>
      <w:marRight w:val="0"/>
      <w:marTop w:val="0"/>
      <w:marBottom w:val="0"/>
      <w:divBdr>
        <w:top w:val="none" w:sz="0" w:space="0" w:color="auto"/>
        <w:left w:val="none" w:sz="0" w:space="0" w:color="auto"/>
        <w:bottom w:val="none" w:sz="0" w:space="0" w:color="auto"/>
        <w:right w:val="none" w:sz="0" w:space="0" w:color="auto"/>
      </w:divBdr>
    </w:div>
    <w:div w:id="1430158074">
      <w:marLeft w:val="0"/>
      <w:marRight w:val="0"/>
      <w:marTop w:val="180"/>
      <w:marBottom w:val="180"/>
      <w:divBdr>
        <w:top w:val="none" w:sz="0" w:space="0" w:color="auto"/>
        <w:left w:val="none" w:sz="0" w:space="0" w:color="auto"/>
        <w:bottom w:val="none" w:sz="0" w:space="0" w:color="auto"/>
        <w:right w:val="none" w:sz="0" w:space="0" w:color="auto"/>
      </w:divBdr>
    </w:div>
    <w:div w:id="1431856715">
      <w:marLeft w:val="0"/>
      <w:marRight w:val="0"/>
      <w:marTop w:val="60"/>
      <w:marBottom w:val="60"/>
      <w:divBdr>
        <w:top w:val="none" w:sz="0" w:space="0" w:color="auto"/>
        <w:left w:val="none" w:sz="0" w:space="0" w:color="auto"/>
        <w:bottom w:val="none" w:sz="0" w:space="0" w:color="auto"/>
        <w:right w:val="none" w:sz="0" w:space="0" w:color="auto"/>
      </w:divBdr>
    </w:div>
    <w:div w:id="1432387030">
      <w:marLeft w:val="0"/>
      <w:marRight w:val="0"/>
      <w:marTop w:val="60"/>
      <w:marBottom w:val="60"/>
      <w:divBdr>
        <w:top w:val="none" w:sz="0" w:space="0" w:color="auto"/>
        <w:left w:val="none" w:sz="0" w:space="0" w:color="auto"/>
        <w:bottom w:val="none" w:sz="0" w:space="0" w:color="auto"/>
        <w:right w:val="none" w:sz="0" w:space="0" w:color="auto"/>
      </w:divBdr>
    </w:div>
    <w:div w:id="1433089315">
      <w:marLeft w:val="0"/>
      <w:marRight w:val="0"/>
      <w:marTop w:val="180"/>
      <w:marBottom w:val="180"/>
      <w:divBdr>
        <w:top w:val="none" w:sz="0" w:space="0" w:color="auto"/>
        <w:left w:val="none" w:sz="0" w:space="0" w:color="auto"/>
        <w:bottom w:val="none" w:sz="0" w:space="0" w:color="auto"/>
        <w:right w:val="none" w:sz="0" w:space="0" w:color="auto"/>
      </w:divBdr>
    </w:div>
    <w:div w:id="1438062159">
      <w:marLeft w:val="0"/>
      <w:marRight w:val="0"/>
      <w:marTop w:val="180"/>
      <w:marBottom w:val="180"/>
      <w:divBdr>
        <w:top w:val="none" w:sz="0" w:space="0" w:color="auto"/>
        <w:left w:val="none" w:sz="0" w:space="0" w:color="auto"/>
        <w:bottom w:val="none" w:sz="0" w:space="0" w:color="auto"/>
        <w:right w:val="none" w:sz="0" w:space="0" w:color="auto"/>
      </w:divBdr>
    </w:div>
    <w:div w:id="1440025106">
      <w:marLeft w:val="0"/>
      <w:marRight w:val="0"/>
      <w:marTop w:val="180"/>
      <w:marBottom w:val="180"/>
      <w:divBdr>
        <w:top w:val="none" w:sz="0" w:space="0" w:color="auto"/>
        <w:left w:val="none" w:sz="0" w:space="0" w:color="auto"/>
        <w:bottom w:val="none" w:sz="0" w:space="0" w:color="auto"/>
        <w:right w:val="none" w:sz="0" w:space="0" w:color="auto"/>
      </w:divBdr>
    </w:div>
    <w:div w:id="1441799398">
      <w:marLeft w:val="0"/>
      <w:marRight w:val="0"/>
      <w:marTop w:val="180"/>
      <w:marBottom w:val="60"/>
      <w:divBdr>
        <w:top w:val="none" w:sz="0" w:space="0" w:color="auto"/>
        <w:left w:val="none" w:sz="0" w:space="0" w:color="auto"/>
        <w:bottom w:val="none" w:sz="0" w:space="0" w:color="auto"/>
        <w:right w:val="none" w:sz="0" w:space="0" w:color="auto"/>
      </w:divBdr>
    </w:div>
    <w:div w:id="1442456765">
      <w:marLeft w:val="0"/>
      <w:marRight w:val="0"/>
      <w:marTop w:val="60"/>
      <w:marBottom w:val="60"/>
      <w:divBdr>
        <w:top w:val="none" w:sz="0" w:space="0" w:color="auto"/>
        <w:left w:val="none" w:sz="0" w:space="0" w:color="auto"/>
        <w:bottom w:val="none" w:sz="0" w:space="0" w:color="auto"/>
        <w:right w:val="none" w:sz="0" w:space="0" w:color="auto"/>
      </w:divBdr>
    </w:div>
    <w:div w:id="1442841186">
      <w:marLeft w:val="0"/>
      <w:marRight w:val="0"/>
      <w:marTop w:val="180"/>
      <w:marBottom w:val="60"/>
      <w:divBdr>
        <w:top w:val="none" w:sz="0" w:space="0" w:color="auto"/>
        <w:left w:val="none" w:sz="0" w:space="0" w:color="auto"/>
        <w:bottom w:val="none" w:sz="0" w:space="0" w:color="auto"/>
        <w:right w:val="none" w:sz="0" w:space="0" w:color="auto"/>
      </w:divBdr>
    </w:div>
    <w:div w:id="1444029891">
      <w:marLeft w:val="0"/>
      <w:marRight w:val="0"/>
      <w:marTop w:val="60"/>
      <w:marBottom w:val="60"/>
      <w:divBdr>
        <w:top w:val="none" w:sz="0" w:space="0" w:color="auto"/>
        <w:left w:val="none" w:sz="0" w:space="0" w:color="auto"/>
        <w:bottom w:val="none" w:sz="0" w:space="0" w:color="auto"/>
        <w:right w:val="none" w:sz="0" w:space="0" w:color="auto"/>
      </w:divBdr>
    </w:div>
    <w:div w:id="1444957434">
      <w:marLeft w:val="0"/>
      <w:marRight w:val="0"/>
      <w:marTop w:val="180"/>
      <w:marBottom w:val="180"/>
      <w:divBdr>
        <w:top w:val="none" w:sz="0" w:space="0" w:color="auto"/>
        <w:left w:val="none" w:sz="0" w:space="0" w:color="auto"/>
        <w:bottom w:val="none" w:sz="0" w:space="0" w:color="auto"/>
        <w:right w:val="none" w:sz="0" w:space="0" w:color="auto"/>
      </w:divBdr>
    </w:div>
    <w:div w:id="1446388998">
      <w:marLeft w:val="0"/>
      <w:marRight w:val="0"/>
      <w:marTop w:val="60"/>
      <w:marBottom w:val="60"/>
      <w:divBdr>
        <w:top w:val="none" w:sz="0" w:space="0" w:color="auto"/>
        <w:left w:val="none" w:sz="0" w:space="0" w:color="auto"/>
        <w:bottom w:val="none" w:sz="0" w:space="0" w:color="auto"/>
        <w:right w:val="none" w:sz="0" w:space="0" w:color="auto"/>
      </w:divBdr>
    </w:div>
    <w:div w:id="1449424179">
      <w:marLeft w:val="0"/>
      <w:marRight w:val="0"/>
      <w:marTop w:val="0"/>
      <w:marBottom w:val="0"/>
      <w:divBdr>
        <w:top w:val="none" w:sz="0" w:space="0" w:color="auto"/>
        <w:left w:val="none" w:sz="0" w:space="0" w:color="auto"/>
        <w:bottom w:val="none" w:sz="0" w:space="0" w:color="auto"/>
        <w:right w:val="none" w:sz="0" w:space="0" w:color="auto"/>
      </w:divBdr>
    </w:div>
    <w:div w:id="1449930620">
      <w:marLeft w:val="0"/>
      <w:marRight w:val="0"/>
      <w:marTop w:val="60"/>
      <w:marBottom w:val="60"/>
      <w:divBdr>
        <w:top w:val="none" w:sz="0" w:space="0" w:color="auto"/>
        <w:left w:val="none" w:sz="0" w:space="0" w:color="auto"/>
        <w:bottom w:val="none" w:sz="0" w:space="0" w:color="auto"/>
        <w:right w:val="none" w:sz="0" w:space="0" w:color="auto"/>
      </w:divBdr>
    </w:div>
    <w:div w:id="1458377792">
      <w:marLeft w:val="0"/>
      <w:marRight w:val="0"/>
      <w:marTop w:val="180"/>
      <w:marBottom w:val="180"/>
      <w:divBdr>
        <w:top w:val="none" w:sz="0" w:space="0" w:color="auto"/>
        <w:left w:val="none" w:sz="0" w:space="0" w:color="auto"/>
        <w:bottom w:val="none" w:sz="0" w:space="0" w:color="auto"/>
        <w:right w:val="none" w:sz="0" w:space="0" w:color="auto"/>
      </w:divBdr>
    </w:div>
    <w:div w:id="1460142976">
      <w:marLeft w:val="0"/>
      <w:marRight w:val="0"/>
      <w:marTop w:val="0"/>
      <w:marBottom w:val="0"/>
      <w:divBdr>
        <w:top w:val="none" w:sz="0" w:space="0" w:color="auto"/>
        <w:left w:val="none" w:sz="0" w:space="0" w:color="auto"/>
        <w:bottom w:val="none" w:sz="0" w:space="0" w:color="auto"/>
        <w:right w:val="none" w:sz="0" w:space="0" w:color="auto"/>
      </w:divBdr>
      <w:divsChild>
        <w:div w:id="373238876">
          <w:marLeft w:val="0"/>
          <w:marRight w:val="0"/>
          <w:marTop w:val="0"/>
          <w:marBottom w:val="0"/>
          <w:divBdr>
            <w:top w:val="none" w:sz="0" w:space="0" w:color="auto"/>
            <w:left w:val="none" w:sz="0" w:space="0" w:color="auto"/>
            <w:bottom w:val="none" w:sz="0" w:space="0" w:color="auto"/>
            <w:right w:val="none" w:sz="0" w:space="0" w:color="auto"/>
          </w:divBdr>
          <w:divsChild>
            <w:div w:id="1612390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2574355">
      <w:marLeft w:val="0"/>
      <w:marRight w:val="0"/>
      <w:marTop w:val="180"/>
      <w:marBottom w:val="60"/>
      <w:divBdr>
        <w:top w:val="none" w:sz="0" w:space="0" w:color="auto"/>
        <w:left w:val="none" w:sz="0" w:space="0" w:color="auto"/>
        <w:bottom w:val="none" w:sz="0" w:space="0" w:color="auto"/>
        <w:right w:val="none" w:sz="0" w:space="0" w:color="auto"/>
      </w:divBdr>
    </w:div>
    <w:div w:id="1464424985">
      <w:marLeft w:val="0"/>
      <w:marRight w:val="0"/>
      <w:marTop w:val="180"/>
      <w:marBottom w:val="180"/>
      <w:divBdr>
        <w:top w:val="none" w:sz="0" w:space="0" w:color="auto"/>
        <w:left w:val="none" w:sz="0" w:space="0" w:color="auto"/>
        <w:bottom w:val="none" w:sz="0" w:space="0" w:color="auto"/>
        <w:right w:val="none" w:sz="0" w:space="0" w:color="auto"/>
      </w:divBdr>
    </w:div>
    <w:div w:id="1464537688">
      <w:marLeft w:val="0"/>
      <w:marRight w:val="0"/>
      <w:marTop w:val="180"/>
      <w:marBottom w:val="180"/>
      <w:divBdr>
        <w:top w:val="none" w:sz="0" w:space="0" w:color="auto"/>
        <w:left w:val="none" w:sz="0" w:space="0" w:color="auto"/>
        <w:bottom w:val="none" w:sz="0" w:space="0" w:color="auto"/>
        <w:right w:val="none" w:sz="0" w:space="0" w:color="auto"/>
      </w:divBdr>
    </w:div>
    <w:div w:id="1464539156">
      <w:marLeft w:val="0"/>
      <w:marRight w:val="0"/>
      <w:marTop w:val="180"/>
      <w:marBottom w:val="180"/>
      <w:divBdr>
        <w:top w:val="none" w:sz="0" w:space="0" w:color="auto"/>
        <w:left w:val="none" w:sz="0" w:space="0" w:color="auto"/>
        <w:bottom w:val="none" w:sz="0" w:space="0" w:color="auto"/>
        <w:right w:val="none" w:sz="0" w:space="0" w:color="auto"/>
      </w:divBdr>
    </w:div>
    <w:div w:id="1466582416">
      <w:marLeft w:val="0"/>
      <w:marRight w:val="0"/>
      <w:marTop w:val="180"/>
      <w:marBottom w:val="180"/>
      <w:divBdr>
        <w:top w:val="none" w:sz="0" w:space="0" w:color="auto"/>
        <w:left w:val="none" w:sz="0" w:space="0" w:color="auto"/>
        <w:bottom w:val="none" w:sz="0" w:space="0" w:color="auto"/>
        <w:right w:val="none" w:sz="0" w:space="0" w:color="auto"/>
      </w:divBdr>
    </w:div>
    <w:div w:id="1468737188">
      <w:marLeft w:val="0"/>
      <w:marRight w:val="0"/>
      <w:marTop w:val="60"/>
      <w:marBottom w:val="60"/>
      <w:divBdr>
        <w:top w:val="none" w:sz="0" w:space="0" w:color="auto"/>
        <w:left w:val="none" w:sz="0" w:space="0" w:color="auto"/>
        <w:bottom w:val="none" w:sz="0" w:space="0" w:color="auto"/>
        <w:right w:val="none" w:sz="0" w:space="0" w:color="auto"/>
      </w:divBdr>
    </w:div>
    <w:div w:id="1470128556">
      <w:marLeft w:val="0"/>
      <w:marRight w:val="0"/>
      <w:marTop w:val="0"/>
      <w:marBottom w:val="0"/>
      <w:divBdr>
        <w:top w:val="none" w:sz="0" w:space="0" w:color="auto"/>
        <w:left w:val="none" w:sz="0" w:space="0" w:color="auto"/>
        <w:bottom w:val="none" w:sz="0" w:space="0" w:color="auto"/>
        <w:right w:val="none" w:sz="0" w:space="0" w:color="auto"/>
      </w:divBdr>
      <w:divsChild>
        <w:div w:id="782503452">
          <w:marLeft w:val="0"/>
          <w:marRight w:val="0"/>
          <w:marTop w:val="60"/>
          <w:marBottom w:val="60"/>
          <w:divBdr>
            <w:top w:val="none" w:sz="0" w:space="0" w:color="auto"/>
            <w:left w:val="none" w:sz="0" w:space="0" w:color="auto"/>
            <w:bottom w:val="none" w:sz="0" w:space="0" w:color="auto"/>
            <w:right w:val="none" w:sz="0" w:space="0" w:color="auto"/>
          </w:divBdr>
        </w:div>
      </w:divsChild>
    </w:div>
    <w:div w:id="1470971459">
      <w:marLeft w:val="0"/>
      <w:marRight w:val="0"/>
      <w:marTop w:val="180"/>
      <w:marBottom w:val="180"/>
      <w:divBdr>
        <w:top w:val="none" w:sz="0" w:space="0" w:color="auto"/>
        <w:left w:val="none" w:sz="0" w:space="0" w:color="auto"/>
        <w:bottom w:val="none" w:sz="0" w:space="0" w:color="auto"/>
        <w:right w:val="none" w:sz="0" w:space="0" w:color="auto"/>
      </w:divBdr>
    </w:div>
    <w:div w:id="1472095860">
      <w:marLeft w:val="0"/>
      <w:marRight w:val="0"/>
      <w:marTop w:val="0"/>
      <w:marBottom w:val="0"/>
      <w:divBdr>
        <w:top w:val="none" w:sz="0" w:space="0" w:color="auto"/>
        <w:left w:val="none" w:sz="0" w:space="0" w:color="auto"/>
        <w:bottom w:val="none" w:sz="0" w:space="0" w:color="auto"/>
        <w:right w:val="none" w:sz="0" w:space="0" w:color="auto"/>
      </w:divBdr>
    </w:div>
    <w:div w:id="1472095880">
      <w:marLeft w:val="0"/>
      <w:marRight w:val="0"/>
      <w:marTop w:val="180"/>
      <w:marBottom w:val="180"/>
      <w:divBdr>
        <w:top w:val="none" w:sz="0" w:space="0" w:color="auto"/>
        <w:left w:val="none" w:sz="0" w:space="0" w:color="auto"/>
        <w:bottom w:val="none" w:sz="0" w:space="0" w:color="auto"/>
        <w:right w:val="none" w:sz="0" w:space="0" w:color="auto"/>
      </w:divBdr>
    </w:div>
    <w:div w:id="1472557050">
      <w:marLeft w:val="0"/>
      <w:marRight w:val="0"/>
      <w:marTop w:val="180"/>
      <w:marBottom w:val="180"/>
      <w:divBdr>
        <w:top w:val="none" w:sz="0" w:space="0" w:color="auto"/>
        <w:left w:val="none" w:sz="0" w:space="0" w:color="auto"/>
        <w:bottom w:val="none" w:sz="0" w:space="0" w:color="auto"/>
        <w:right w:val="none" w:sz="0" w:space="0" w:color="auto"/>
      </w:divBdr>
    </w:div>
    <w:div w:id="1472671838">
      <w:marLeft w:val="0"/>
      <w:marRight w:val="0"/>
      <w:marTop w:val="0"/>
      <w:marBottom w:val="0"/>
      <w:divBdr>
        <w:top w:val="none" w:sz="0" w:space="0" w:color="auto"/>
        <w:left w:val="none" w:sz="0" w:space="0" w:color="auto"/>
        <w:bottom w:val="none" w:sz="0" w:space="0" w:color="auto"/>
        <w:right w:val="none" w:sz="0" w:space="0" w:color="auto"/>
      </w:divBdr>
      <w:divsChild>
        <w:div w:id="798381982">
          <w:marLeft w:val="0"/>
          <w:marRight w:val="0"/>
          <w:marTop w:val="60"/>
          <w:marBottom w:val="60"/>
          <w:divBdr>
            <w:top w:val="none" w:sz="0" w:space="0" w:color="auto"/>
            <w:left w:val="none" w:sz="0" w:space="0" w:color="auto"/>
            <w:bottom w:val="none" w:sz="0" w:space="0" w:color="auto"/>
            <w:right w:val="none" w:sz="0" w:space="0" w:color="auto"/>
          </w:divBdr>
        </w:div>
      </w:divsChild>
    </w:div>
    <w:div w:id="1474718742">
      <w:marLeft w:val="0"/>
      <w:marRight w:val="0"/>
      <w:marTop w:val="180"/>
      <w:marBottom w:val="180"/>
      <w:divBdr>
        <w:top w:val="none" w:sz="0" w:space="0" w:color="auto"/>
        <w:left w:val="none" w:sz="0" w:space="0" w:color="auto"/>
        <w:bottom w:val="none" w:sz="0" w:space="0" w:color="auto"/>
        <w:right w:val="none" w:sz="0" w:space="0" w:color="auto"/>
      </w:divBdr>
    </w:div>
    <w:div w:id="1474979698">
      <w:marLeft w:val="0"/>
      <w:marRight w:val="0"/>
      <w:marTop w:val="60"/>
      <w:marBottom w:val="60"/>
      <w:divBdr>
        <w:top w:val="none" w:sz="0" w:space="0" w:color="auto"/>
        <w:left w:val="none" w:sz="0" w:space="0" w:color="auto"/>
        <w:bottom w:val="none" w:sz="0" w:space="0" w:color="auto"/>
        <w:right w:val="none" w:sz="0" w:space="0" w:color="auto"/>
      </w:divBdr>
    </w:div>
    <w:div w:id="1475412023">
      <w:marLeft w:val="0"/>
      <w:marRight w:val="0"/>
      <w:marTop w:val="180"/>
      <w:marBottom w:val="180"/>
      <w:divBdr>
        <w:top w:val="none" w:sz="0" w:space="0" w:color="auto"/>
        <w:left w:val="none" w:sz="0" w:space="0" w:color="auto"/>
        <w:bottom w:val="none" w:sz="0" w:space="0" w:color="auto"/>
        <w:right w:val="none" w:sz="0" w:space="0" w:color="auto"/>
      </w:divBdr>
    </w:div>
    <w:div w:id="1476029780">
      <w:marLeft w:val="0"/>
      <w:marRight w:val="0"/>
      <w:marTop w:val="180"/>
      <w:marBottom w:val="120"/>
      <w:divBdr>
        <w:top w:val="none" w:sz="0" w:space="0" w:color="auto"/>
        <w:left w:val="none" w:sz="0" w:space="0" w:color="auto"/>
        <w:bottom w:val="none" w:sz="0" w:space="0" w:color="auto"/>
        <w:right w:val="none" w:sz="0" w:space="0" w:color="auto"/>
      </w:divBdr>
      <w:divsChild>
        <w:div w:id="795022706">
          <w:marLeft w:val="0"/>
          <w:marRight w:val="0"/>
          <w:marTop w:val="0"/>
          <w:marBottom w:val="0"/>
          <w:divBdr>
            <w:top w:val="none" w:sz="0" w:space="0" w:color="auto"/>
            <w:left w:val="none" w:sz="0" w:space="0" w:color="auto"/>
            <w:bottom w:val="none" w:sz="0" w:space="0" w:color="auto"/>
            <w:right w:val="none" w:sz="0" w:space="0" w:color="auto"/>
          </w:divBdr>
        </w:div>
      </w:divsChild>
    </w:div>
    <w:div w:id="1476600315">
      <w:marLeft w:val="0"/>
      <w:marRight w:val="0"/>
      <w:marTop w:val="0"/>
      <w:marBottom w:val="0"/>
      <w:divBdr>
        <w:top w:val="none" w:sz="0" w:space="0" w:color="auto"/>
        <w:left w:val="none" w:sz="0" w:space="0" w:color="auto"/>
        <w:bottom w:val="none" w:sz="0" w:space="0" w:color="auto"/>
        <w:right w:val="none" w:sz="0" w:space="0" w:color="auto"/>
      </w:divBdr>
    </w:div>
    <w:div w:id="1477261940">
      <w:marLeft w:val="0"/>
      <w:marRight w:val="0"/>
      <w:marTop w:val="180"/>
      <w:marBottom w:val="60"/>
      <w:divBdr>
        <w:top w:val="none" w:sz="0" w:space="0" w:color="auto"/>
        <w:left w:val="none" w:sz="0" w:space="0" w:color="auto"/>
        <w:bottom w:val="none" w:sz="0" w:space="0" w:color="auto"/>
        <w:right w:val="none" w:sz="0" w:space="0" w:color="auto"/>
      </w:divBdr>
    </w:div>
    <w:div w:id="1477457546">
      <w:marLeft w:val="0"/>
      <w:marRight w:val="0"/>
      <w:marTop w:val="180"/>
      <w:marBottom w:val="180"/>
      <w:divBdr>
        <w:top w:val="none" w:sz="0" w:space="0" w:color="auto"/>
        <w:left w:val="none" w:sz="0" w:space="0" w:color="auto"/>
        <w:bottom w:val="none" w:sz="0" w:space="0" w:color="auto"/>
        <w:right w:val="none" w:sz="0" w:space="0" w:color="auto"/>
      </w:divBdr>
    </w:div>
    <w:div w:id="1478958003">
      <w:marLeft w:val="0"/>
      <w:marRight w:val="0"/>
      <w:marTop w:val="60"/>
      <w:marBottom w:val="60"/>
      <w:divBdr>
        <w:top w:val="none" w:sz="0" w:space="0" w:color="auto"/>
        <w:left w:val="none" w:sz="0" w:space="0" w:color="auto"/>
        <w:bottom w:val="none" w:sz="0" w:space="0" w:color="auto"/>
        <w:right w:val="none" w:sz="0" w:space="0" w:color="auto"/>
      </w:divBdr>
    </w:div>
    <w:div w:id="1481382523">
      <w:marLeft w:val="0"/>
      <w:marRight w:val="0"/>
      <w:marTop w:val="180"/>
      <w:marBottom w:val="180"/>
      <w:divBdr>
        <w:top w:val="none" w:sz="0" w:space="0" w:color="auto"/>
        <w:left w:val="none" w:sz="0" w:space="0" w:color="auto"/>
        <w:bottom w:val="none" w:sz="0" w:space="0" w:color="auto"/>
        <w:right w:val="none" w:sz="0" w:space="0" w:color="auto"/>
      </w:divBdr>
    </w:div>
    <w:div w:id="1482842192">
      <w:marLeft w:val="0"/>
      <w:marRight w:val="0"/>
      <w:marTop w:val="240"/>
      <w:marBottom w:val="0"/>
      <w:divBdr>
        <w:top w:val="none" w:sz="0" w:space="0" w:color="auto"/>
        <w:left w:val="none" w:sz="0" w:space="0" w:color="auto"/>
        <w:bottom w:val="none" w:sz="0" w:space="0" w:color="auto"/>
        <w:right w:val="none" w:sz="0" w:space="0" w:color="auto"/>
      </w:divBdr>
    </w:div>
    <w:div w:id="1483544140">
      <w:marLeft w:val="0"/>
      <w:marRight w:val="0"/>
      <w:marTop w:val="0"/>
      <w:marBottom w:val="0"/>
      <w:divBdr>
        <w:top w:val="none" w:sz="0" w:space="0" w:color="auto"/>
        <w:left w:val="none" w:sz="0" w:space="0" w:color="auto"/>
        <w:bottom w:val="none" w:sz="0" w:space="0" w:color="auto"/>
        <w:right w:val="none" w:sz="0" w:space="0" w:color="auto"/>
      </w:divBdr>
    </w:div>
    <w:div w:id="1483809443">
      <w:marLeft w:val="0"/>
      <w:marRight w:val="0"/>
      <w:marTop w:val="180"/>
      <w:marBottom w:val="180"/>
      <w:divBdr>
        <w:top w:val="none" w:sz="0" w:space="0" w:color="auto"/>
        <w:left w:val="none" w:sz="0" w:space="0" w:color="auto"/>
        <w:bottom w:val="none" w:sz="0" w:space="0" w:color="auto"/>
        <w:right w:val="none" w:sz="0" w:space="0" w:color="auto"/>
      </w:divBdr>
    </w:div>
    <w:div w:id="1486161628">
      <w:marLeft w:val="0"/>
      <w:marRight w:val="0"/>
      <w:marTop w:val="180"/>
      <w:marBottom w:val="180"/>
      <w:divBdr>
        <w:top w:val="none" w:sz="0" w:space="0" w:color="auto"/>
        <w:left w:val="none" w:sz="0" w:space="0" w:color="auto"/>
        <w:bottom w:val="none" w:sz="0" w:space="0" w:color="auto"/>
        <w:right w:val="none" w:sz="0" w:space="0" w:color="auto"/>
      </w:divBdr>
    </w:div>
    <w:div w:id="1487093158">
      <w:marLeft w:val="0"/>
      <w:marRight w:val="0"/>
      <w:marTop w:val="0"/>
      <w:marBottom w:val="0"/>
      <w:divBdr>
        <w:top w:val="none" w:sz="0" w:space="0" w:color="auto"/>
        <w:left w:val="none" w:sz="0" w:space="0" w:color="auto"/>
        <w:bottom w:val="none" w:sz="0" w:space="0" w:color="auto"/>
        <w:right w:val="none" w:sz="0" w:space="0" w:color="auto"/>
      </w:divBdr>
      <w:divsChild>
        <w:div w:id="2028749421">
          <w:marLeft w:val="0"/>
          <w:marRight w:val="0"/>
          <w:marTop w:val="0"/>
          <w:marBottom w:val="0"/>
          <w:divBdr>
            <w:top w:val="none" w:sz="0" w:space="0" w:color="auto"/>
            <w:left w:val="none" w:sz="0" w:space="0" w:color="auto"/>
            <w:bottom w:val="none" w:sz="0" w:space="0" w:color="auto"/>
            <w:right w:val="none" w:sz="0" w:space="0" w:color="auto"/>
          </w:divBdr>
          <w:divsChild>
            <w:div w:id="20030443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88329101">
      <w:marLeft w:val="0"/>
      <w:marRight w:val="0"/>
      <w:marTop w:val="180"/>
      <w:marBottom w:val="180"/>
      <w:divBdr>
        <w:top w:val="none" w:sz="0" w:space="0" w:color="auto"/>
        <w:left w:val="none" w:sz="0" w:space="0" w:color="auto"/>
        <w:bottom w:val="none" w:sz="0" w:space="0" w:color="auto"/>
        <w:right w:val="none" w:sz="0" w:space="0" w:color="auto"/>
      </w:divBdr>
    </w:div>
    <w:div w:id="1490055664">
      <w:marLeft w:val="0"/>
      <w:marRight w:val="0"/>
      <w:marTop w:val="0"/>
      <w:marBottom w:val="0"/>
      <w:divBdr>
        <w:top w:val="none" w:sz="0" w:space="0" w:color="auto"/>
        <w:left w:val="none" w:sz="0" w:space="0" w:color="auto"/>
        <w:bottom w:val="none" w:sz="0" w:space="0" w:color="auto"/>
        <w:right w:val="none" w:sz="0" w:space="0" w:color="auto"/>
      </w:divBdr>
      <w:divsChild>
        <w:div w:id="681856411">
          <w:marLeft w:val="0"/>
          <w:marRight w:val="0"/>
          <w:marTop w:val="0"/>
          <w:marBottom w:val="180"/>
          <w:divBdr>
            <w:top w:val="none" w:sz="0" w:space="0" w:color="auto"/>
            <w:left w:val="none" w:sz="0" w:space="0" w:color="auto"/>
            <w:bottom w:val="none" w:sz="0" w:space="0" w:color="auto"/>
            <w:right w:val="none" w:sz="0" w:space="0" w:color="auto"/>
          </w:divBdr>
        </w:div>
      </w:divsChild>
    </w:div>
    <w:div w:id="1491141418">
      <w:marLeft w:val="0"/>
      <w:marRight w:val="0"/>
      <w:marTop w:val="180"/>
      <w:marBottom w:val="180"/>
      <w:divBdr>
        <w:top w:val="none" w:sz="0" w:space="0" w:color="auto"/>
        <w:left w:val="none" w:sz="0" w:space="0" w:color="auto"/>
        <w:bottom w:val="none" w:sz="0" w:space="0" w:color="auto"/>
        <w:right w:val="none" w:sz="0" w:space="0" w:color="auto"/>
      </w:divBdr>
    </w:div>
    <w:div w:id="1493061157">
      <w:marLeft w:val="0"/>
      <w:marRight w:val="0"/>
      <w:marTop w:val="0"/>
      <w:marBottom w:val="0"/>
      <w:divBdr>
        <w:top w:val="none" w:sz="0" w:space="0" w:color="auto"/>
        <w:left w:val="none" w:sz="0" w:space="0" w:color="auto"/>
        <w:bottom w:val="none" w:sz="0" w:space="0" w:color="auto"/>
        <w:right w:val="none" w:sz="0" w:space="0" w:color="auto"/>
      </w:divBdr>
    </w:div>
    <w:div w:id="1498884203">
      <w:marLeft w:val="0"/>
      <w:marRight w:val="0"/>
      <w:marTop w:val="180"/>
      <w:marBottom w:val="180"/>
      <w:divBdr>
        <w:top w:val="none" w:sz="0" w:space="0" w:color="auto"/>
        <w:left w:val="none" w:sz="0" w:space="0" w:color="auto"/>
        <w:bottom w:val="none" w:sz="0" w:space="0" w:color="auto"/>
        <w:right w:val="none" w:sz="0" w:space="0" w:color="auto"/>
      </w:divBdr>
    </w:div>
    <w:div w:id="1502240202">
      <w:marLeft w:val="0"/>
      <w:marRight w:val="0"/>
      <w:marTop w:val="0"/>
      <w:marBottom w:val="0"/>
      <w:divBdr>
        <w:top w:val="none" w:sz="0" w:space="0" w:color="auto"/>
        <w:left w:val="none" w:sz="0" w:space="0" w:color="auto"/>
        <w:bottom w:val="none" w:sz="0" w:space="0" w:color="auto"/>
        <w:right w:val="none" w:sz="0" w:space="0" w:color="auto"/>
      </w:divBdr>
    </w:div>
    <w:div w:id="1502546598">
      <w:marLeft w:val="0"/>
      <w:marRight w:val="0"/>
      <w:marTop w:val="180"/>
      <w:marBottom w:val="180"/>
      <w:divBdr>
        <w:top w:val="none" w:sz="0" w:space="0" w:color="auto"/>
        <w:left w:val="none" w:sz="0" w:space="0" w:color="auto"/>
        <w:bottom w:val="none" w:sz="0" w:space="0" w:color="auto"/>
        <w:right w:val="none" w:sz="0" w:space="0" w:color="auto"/>
      </w:divBdr>
    </w:div>
    <w:div w:id="1503542540">
      <w:marLeft w:val="0"/>
      <w:marRight w:val="0"/>
      <w:marTop w:val="180"/>
      <w:marBottom w:val="180"/>
      <w:divBdr>
        <w:top w:val="none" w:sz="0" w:space="0" w:color="auto"/>
        <w:left w:val="none" w:sz="0" w:space="0" w:color="auto"/>
        <w:bottom w:val="none" w:sz="0" w:space="0" w:color="auto"/>
        <w:right w:val="none" w:sz="0" w:space="0" w:color="auto"/>
      </w:divBdr>
    </w:div>
    <w:div w:id="1503668402">
      <w:marLeft w:val="0"/>
      <w:marRight w:val="0"/>
      <w:marTop w:val="100"/>
      <w:marBottom w:val="100"/>
      <w:divBdr>
        <w:top w:val="none" w:sz="0" w:space="0" w:color="auto"/>
        <w:left w:val="none" w:sz="0" w:space="0" w:color="auto"/>
        <w:bottom w:val="none" w:sz="0" w:space="0" w:color="auto"/>
        <w:right w:val="none" w:sz="0" w:space="0" w:color="auto"/>
      </w:divBdr>
      <w:divsChild>
        <w:div w:id="679088710">
          <w:marLeft w:val="0"/>
          <w:marRight w:val="0"/>
          <w:marTop w:val="0"/>
          <w:marBottom w:val="0"/>
          <w:divBdr>
            <w:top w:val="none" w:sz="0" w:space="0" w:color="auto"/>
            <w:left w:val="none" w:sz="0" w:space="0" w:color="auto"/>
            <w:bottom w:val="none" w:sz="0" w:space="0" w:color="auto"/>
            <w:right w:val="none" w:sz="0" w:space="0" w:color="auto"/>
          </w:divBdr>
        </w:div>
        <w:div w:id="289089336">
          <w:marLeft w:val="0"/>
          <w:marRight w:val="0"/>
          <w:marTop w:val="0"/>
          <w:marBottom w:val="0"/>
          <w:divBdr>
            <w:top w:val="none" w:sz="0" w:space="0" w:color="auto"/>
            <w:left w:val="none" w:sz="0" w:space="0" w:color="auto"/>
            <w:bottom w:val="none" w:sz="0" w:space="0" w:color="auto"/>
            <w:right w:val="none" w:sz="0" w:space="0" w:color="auto"/>
          </w:divBdr>
        </w:div>
        <w:div w:id="637345737">
          <w:marLeft w:val="0"/>
          <w:marRight w:val="0"/>
          <w:marTop w:val="0"/>
          <w:marBottom w:val="0"/>
          <w:divBdr>
            <w:top w:val="none" w:sz="0" w:space="0" w:color="auto"/>
            <w:left w:val="none" w:sz="0" w:space="0" w:color="auto"/>
            <w:bottom w:val="none" w:sz="0" w:space="0" w:color="auto"/>
            <w:right w:val="none" w:sz="0" w:space="0" w:color="auto"/>
          </w:divBdr>
        </w:div>
      </w:divsChild>
    </w:div>
    <w:div w:id="1507133181">
      <w:marLeft w:val="0"/>
      <w:marRight w:val="0"/>
      <w:marTop w:val="60"/>
      <w:marBottom w:val="60"/>
      <w:divBdr>
        <w:top w:val="none" w:sz="0" w:space="0" w:color="auto"/>
        <w:left w:val="none" w:sz="0" w:space="0" w:color="auto"/>
        <w:bottom w:val="none" w:sz="0" w:space="0" w:color="auto"/>
        <w:right w:val="none" w:sz="0" w:space="0" w:color="auto"/>
      </w:divBdr>
    </w:div>
    <w:div w:id="1507746683">
      <w:marLeft w:val="0"/>
      <w:marRight w:val="0"/>
      <w:marTop w:val="180"/>
      <w:marBottom w:val="180"/>
      <w:divBdr>
        <w:top w:val="none" w:sz="0" w:space="0" w:color="auto"/>
        <w:left w:val="none" w:sz="0" w:space="0" w:color="auto"/>
        <w:bottom w:val="none" w:sz="0" w:space="0" w:color="auto"/>
        <w:right w:val="none" w:sz="0" w:space="0" w:color="auto"/>
      </w:divBdr>
    </w:div>
    <w:div w:id="1508054261">
      <w:marLeft w:val="0"/>
      <w:marRight w:val="0"/>
      <w:marTop w:val="0"/>
      <w:marBottom w:val="0"/>
      <w:divBdr>
        <w:top w:val="none" w:sz="0" w:space="0" w:color="auto"/>
        <w:left w:val="none" w:sz="0" w:space="0" w:color="auto"/>
        <w:bottom w:val="none" w:sz="0" w:space="0" w:color="auto"/>
        <w:right w:val="none" w:sz="0" w:space="0" w:color="auto"/>
      </w:divBdr>
    </w:div>
    <w:div w:id="1509296949">
      <w:marLeft w:val="0"/>
      <w:marRight w:val="0"/>
      <w:marTop w:val="180"/>
      <w:marBottom w:val="180"/>
      <w:divBdr>
        <w:top w:val="none" w:sz="0" w:space="0" w:color="auto"/>
        <w:left w:val="none" w:sz="0" w:space="0" w:color="auto"/>
        <w:bottom w:val="none" w:sz="0" w:space="0" w:color="auto"/>
        <w:right w:val="none" w:sz="0" w:space="0" w:color="auto"/>
      </w:divBdr>
    </w:div>
    <w:div w:id="1509371945">
      <w:marLeft w:val="0"/>
      <w:marRight w:val="0"/>
      <w:marTop w:val="180"/>
      <w:marBottom w:val="180"/>
      <w:divBdr>
        <w:top w:val="none" w:sz="0" w:space="0" w:color="auto"/>
        <w:left w:val="none" w:sz="0" w:space="0" w:color="auto"/>
        <w:bottom w:val="none" w:sz="0" w:space="0" w:color="auto"/>
        <w:right w:val="none" w:sz="0" w:space="0" w:color="auto"/>
      </w:divBdr>
    </w:div>
    <w:div w:id="1514108940">
      <w:marLeft w:val="0"/>
      <w:marRight w:val="0"/>
      <w:marTop w:val="180"/>
      <w:marBottom w:val="180"/>
      <w:divBdr>
        <w:top w:val="none" w:sz="0" w:space="0" w:color="auto"/>
        <w:left w:val="none" w:sz="0" w:space="0" w:color="auto"/>
        <w:bottom w:val="none" w:sz="0" w:space="0" w:color="auto"/>
        <w:right w:val="none" w:sz="0" w:space="0" w:color="auto"/>
      </w:divBdr>
    </w:div>
    <w:div w:id="1518691279">
      <w:marLeft w:val="0"/>
      <w:marRight w:val="0"/>
      <w:marTop w:val="0"/>
      <w:marBottom w:val="0"/>
      <w:divBdr>
        <w:top w:val="none" w:sz="0" w:space="0" w:color="auto"/>
        <w:left w:val="none" w:sz="0" w:space="0" w:color="auto"/>
        <w:bottom w:val="none" w:sz="0" w:space="0" w:color="auto"/>
        <w:right w:val="none" w:sz="0" w:space="0" w:color="auto"/>
      </w:divBdr>
    </w:div>
    <w:div w:id="1522739897">
      <w:marLeft w:val="0"/>
      <w:marRight w:val="0"/>
      <w:marTop w:val="0"/>
      <w:marBottom w:val="0"/>
      <w:divBdr>
        <w:top w:val="none" w:sz="0" w:space="0" w:color="auto"/>
        <w:left w:val="none" w:sz="0" w:space="0" w:color="auto"/>
        <w:bottom w:val="none" w:sz="0" w:space="0" w:color="auto"/>
        <w:right w:val="none" w:sz="0" w:space="0" w:color="auto"/>
      </w:divBdr>
      <w:divsChild>
        <w:div w:id="9114618">
          <w:marLeft w:val="0"/>
          <w:marRight w:val="0"/>
          <w:marTop w:val="60"/>
          <w:marBottom w:val="60"/>
          <w:divBdr>
            <w:top w:val="none" w:sz="0" w:space="0" w:color="auto"/>
            <w:left w:val="none" w:sz="0" w:space="0" w:color="auto"/>
            <w:bottom w:val="none" w:sz="0" w:space="0" w:color="auto"/>
            <w:right w:val="none" w:sz="0" w:space="0" w:color="auto"/>
          </w:divBdr>
        </w:div>
      </w:divsChild>
    </w:div>
    <w:div w:id="1523856549">
      <w:marLeft w:val="0"/>
      <w:marRight w:val="0"/>
      <w:marTop w:val="180"/>
      <w:marBottom w:val="180"/>
      <w:divBdr>
        <w:top w:val="none" w:sz="0" w:space="0" w:color="auto"/>
        <w:left w:val="none" w:sz="0" w:space="0" w:color="auto"/>
        <w:bottom w:val="none" w:sz="0" w:space="0" w:color="auto"/>
        <w:right w:val="none" w:sz="0" w:space="0" w:color="auto"/>
      </w:divBdr>
    </w:div>
    <w:div w:id="1524434989">
      <w:marLeft w:val="0"/>
      <w:marRight w:val="0"/>
      <w:marTop w:val="60"/>
      <w:marBottom w:val="60"/>
      <w:divBdr>
        <w:top w:val="none" w:sz="0" w:space="0" w:color="auto"/>
        <w:left w:val="none" w:sz="0" w:space="0" w:color="auto"/>
        <w:bottom w:val="none" w:sz="0" w:space="0" w:color="auto"/>
        <w:right w:val="none" w:sz="0" w:space="0" w:color="auto"/>
      </w:divBdr>
    </w:div>
    <w:div w:id="1529559994">
      <w:marLeft w:val="0"/>
      <w:marRight w:val="0"/>
      <w:marTop w:val="180"/>
      <w:marBottom w:val="180"/>
      <w:divBdr>
        <w:top w:val="none" w:sz="0" w:space="0" w:color="auto"/>
        <w:left w:val="none" w:sz="0" w:space="0" w:color="auto"/>
        <w:bottom w:val="none" w:sz="0" w:space="0" w:color="auto"/>
        <w:right w:val="none" w:sz="0" w:space="0" w:color="auto"/>
      </w:divBdr>
    </w:div>
    <w:div w:id="1532066905">
      <w:marLeft w:val="0"/>
      <w:marRight w:val="0"/>
      <w:marTop w:val="60"/>
      <w:marBottom w:val="60"/>
      <w:divBdr>
        <w:top w:val="none" w:sz="0" w:space="0" w:color="auto"/>
        <w:left w:val="none" w:sz="0" w:space="0" w:color="auto"/>
        <w:bottom w:val="none" w:sz="0" w:space="0" w:color="auto"/>
        <w:right w:val="none" w:sz="0" w:space="0" w:color="auto"/>
      </w:divBdr>
    </w:div>
    <w:div w:id="1534268289">
      <w:marLeft w:val="0"/>
      <w:marRight w:val="0"/>
      <w:marTop w:val="100"/>
      <w:marBottom w:val="100"/>
      <w:divBdr>
        <w:top w:val="none" w:sz="0" w:space="0" w:color="auto"/>
        <w:left w:val="none" w:sz="0" w:space="0" w:color="auto"/>
        <w:bottom w:val="none" w:sz="0" w:space="0" w:color="auto"/>
        <w:right w:val="none" w:sz="0" w:space="0" w:color="auto"/>
      </w:divBdr>
      <w:divsChild>
        <w:div w:id="931085129">
          <w:marLeft w:val="0"/>
          <w:marRight w:val="0"/>
          <w:marTop w:val="0"/>
          <w:marBottom w:val="0"/>
          <w:divBdr>
            <w:top w:val="none" w:sz="0" w:space="0" w:color="auto"/>
            <w:left w:val="none" w:sz="0" w:space="0" w:color="auto"/>
            <w:bottom w:val="none" w:sz="0" w:space="0" w:color="auto"/>
            <w:right w:val="none" w:sz="0" w:space="0" w:color="auto"/>
          </w:divBdr>
        </w:div>
      </w:divsChild>
    </w:div>
    <w:div w:id="1534801299">
      <w:marLeft w:val="0"/>
      <w:marRight w:val="0"/>
      <w:marTop w:val="100"/>
      <w:marBottom w:val="100"/>
      <w:divBdr>
        <w:top w:val="none" w:sz="0" w:space="0" w:color="auto"/>
        <w:left w:val="none" w:sz="0" w:space="0" w:color="auto"/>
        <w:bottom w:val="none" w:sz="0" w:space="0" w:color="auto"/>
        <w:right w:val="none" w:sz="0" w:space="0" w:color="auto"/>
      </w:divBdr>
    </w:div>
    <w:div w:id="1535387528">
      <w:marLeft w:val="0"/>
      <w:marRight w:val="0"/>
      <w:marTop w:val="180"/>
      <w:marBottom w:val="180"/>
      <w:divBdr>
        <w:top w:val="none" w:sz="0" w:space="0" w:color="auto"/>
        <w:left w:val="none" w:sz="0" w:space="0" w:color="auto"/>
        <w:bottom w:val="none" w:sz="0" w:space="0" w:color="auto"/>
        <w:right w:val="none" w:sz="0" w:space="0" w:color="auto"/>
      </w:divBdr>
    </w:div>
    <w:div w:id="1538808461">
      <w:marLeft w:val="0"/>
      <w:marRight w:val="0"/>
      <w:marTop w:val="60"/>
      <w:marBottom w:val="100"/>
      <w:divBdr>
        <w:top w:val="none" w:sz="0" w:space="0" w:color="auto"/>
        <w:left w:val="none" w:sz="0" w:space="0" w:color="auto"/>
        <w:bottom w:val="none" w:sz="0" w:space="0" w:color="auto"/>
        <w:right w:val="none" w:sz="0" w:space="0" w:color="auto"/>
      </w:divBdr>
    </w:div>
    <w:div w:id="1539583062">
      <w:marLeft w:val="0"/>
      <w:marRight w:val="0"/>
      <w:marTop w:val="100"/>
      <w:marBottom w:val="100"/>
      <w:divBdr>
        <w:top w:val="none" w:sz="0" w:space="0" w:color="auto"/>
        <w:left w:val="none" w:sz="0" w:space="0" w:color="auto"/>
        <w:bottom w:val="none" w:sz="0" w:space="0" w:color="auto"/>
        <w:right w:val="none" w:sz="0" w:space="0" w:color="auto"/>
      </w:divBdr>
      <w:divsChild>
        <w:div w:id="1458910481">
          <w:marLeft w:val="0"/>
          <w:marRight w:val="0"/>
          <w:marTop w:val="0"/>
          <w:marBottom w:val="0"/>
          <w:divBdr>
            <w:top w:val="none" w:sz="0" w:space="0" w:color="auto"/>
            <w:left w:val="none" w:sz="0" w:space="0" w:color="auto"/>
            <w:bottom w:val="none" w:sz="0" w:space="0" w:color="auto"/>
            <w:right w:val="none" w:sz="0" w:space="0" w:color="auto"/>
          </w:divBdr>
        </w:div>
        <w:div w:id="1903514309">
          <w:marLeft w:val="0"/>
          <w:marRight w:val="0"/>
          <w:marTop w:val="0"/>
          <w:marBottom w:val="0"/>
          <w:divBdr>
            <w:top w:val="none" w:sz="0" w:space="0" w:color="auto"/>
            <w:left w:val="none" w:sz="0" w:space="0" w:color="auto"/>
            <w:bottom w:val="none" w:sz="0" w:space="0" w:color="auto"/>
            <w:right w:val="none" w:sz="0" w:space="0" w:color="auto"/>
          </w:divBdr>
        </w:div>
      </w:divsChild>
    </w:div>
    <w:div w:id="1542397872">
      <w:marLeft w:val="0"/>
      <w:marRight w:val="0"/>
      <w:marTop w:val="240"/>
      <w:marBottom w:val="180"/>
      <w:divBdr>
        <w:top w:val="none" w:sz="0" w:space="0" w:color="auto"/>
        <w:left w:val="none" w:sz="0" w:space="0" w:color="auto"/>
        <w:bottom w:val="none" w:sz="0" w:space="0" w:color="auto"/>
        <w:right w:val="none" w:sz="0" w:space="0" w:color="auto"/>
      </w:divBdr>
    </w:div>
    <w:div w:id="1544756710">
      <w:marLeft w:val="0"/>
      <w:marRight w:val="0"/>
      <w:marTop w:val="180"/>
      <w:marBottom w:val="180"/>
      <w:divBdr>
        <w:top w:val="none" w:sz="0" w:space="0" w:color="auto"/>
        <w:left w:val="none" w:sz="0" w:space="0" w:color="auto"/>
        <w:bottom w:val="none" w:sz="0" w:space="0" w:color="auto"/>
        <w:right w:val="none" w:sz="0" w:space="0" w:color="auto"/>
      </w:divBdr>
    </w:div>
    <w:div w:id="1546139497">
      <w:marLeft w:val="0"/>
      <w:marRight w:val="0"/>
      <w:marTop w:val="0"/>
      <w:marBottom w:val="0"/>
      <w:divBdr>
        <w:top w:val="none" w:sz="0" w:space="0" w:color="auto"/>
        <w:left w:val="none" w:sz="0" w:space="0" w:color="auto"/>
        <w:bottom w:val="none" w:sz="0" w:space="0" w:color="auto"/>
        <w:right w:val="none" w:sz="0" w:space="0" w:color="auto"/>
      </w:divBdr>
    </w:div>
    <w:div w:id="1548562630">
      <w:marLeft w:val="0"/>
      <w:marRight w:val="0"/>
      <w:marTop w:val="180"/>
      <w:marBottom w:val="180"/>
      <w:divBdr>
        <w:top w:val="none" w:sz="0" w:space="0" w:color="auto"/>
        <w:left w:val="none" w:sz="0" w:space="0" w:color="auto"/>
        <w:bottom w:val="none" w:sz="0" w:space="0" w:color="auto"/>
        <w:right w:val="none" w:sz="0" w:space="0" w:color="auto"/>
      </w:divBdr>
    </w:div>
    <w:div w:id="1549876054">
      <w:marLeft w:val="0"/>
      <w:marRight w:val="0"/>
      <w:marTop w:val="0"/>
      <w:marBottom w:val="0"/>
      <w:divBdr>
        <w:top w:val="none" w:sz="0" w:space="0" w:color="auto"/>
        <w:left w:val="none" w:sz="0" w:space="0" w:color="auto"/>
        <w:bottom w:val="none" w:sz="0" w:space="0" w:color="auto"/>
        <w:right w:val="none" w:sz="0" w:space="0" w:color="auto"/>
      </w:divBdr>
      <w:divsChild>
        <w:div w:id="282812548">
          <w:marLeft w:val="0"/>
          <w:marRight w:val="0"/>
          <w:marTop w:val="60"/>
          <w:marBottom w:val="60"/>
          <w:divBdr>
            <w:top w:val="none" w:sz="0" w:space="0" w:color="auto"/>
            <w:left w:val="none" w:sz="0" w:space="0" w:color="auto"/>
            <w:bottom w:val="none" w:sz="0" w:space="0" w:color="auto"/>
            <w:right w:val="none" w:sz="0" w:space="0" w:color="auto"/>
          </w:divBdr>
        </w:div>
      </w:divsChild>
    </w:div>
    <w:div w:id="1554732342">
      <w:marLeft w:val="0"/>
      <w:marRight w:val="0"/>
      <w:marTop w:val="60"/>
      <w:marBottom w:val="60"/>
      <w:divBdr>
        <w:top w:val="none" w:sz="0" w:space="0" w:color="auto"/>
        <w:left w:val="none" w:sz="0" w:space="0" w:color="auto"/>
        <w:bottom w:val="none" w:sz="0" w:space="0" w:color="auto"/>
        <w:right w:val="none" w:sz="0" w:space="0" w:color="auto"/>
      </w:divBdr>
    </w:div>
    <w:div w:id="1555893536">
      <w:marLeft w:val="0"/>
      <w:marRight w:val="0"/>
      <w:marTop w:val="0"/>
      <w:marBottom w:val="0"/>
      <w:divBdr>
        <w:top w:val="none" w:sz="0" w:space="0" w:color="auto"/>
        <w:left w:val="none" w:sz="0" w:space="0" w:color="auto"/>
        <w:bottom w:val="none" w:sz="0" w:space="0" w:color="auto"/>
        <w:right w:val="none" w:sz="0" w:space="0" w:color="auto"/>
      </w:divBdr>
      <w:divsChild>
        <w:div w:id="7876577">
          <w:marLeft w:val="0"/>
          <w:marRight w:val="0"/>
          <w:marTop w:val="0"/>
          <w:marBottom w:val="0"/>
          <w:divBdr>
            <w:top w:val="none" w:sz="0" w:space="0" w:color="auto"/>
            <w:left w:val="none" w:sz="0" w:space="0" w:color="auto"/>
            <w:bottom w:val="none" w:sz="0" w:space="0" w:color="auto"/>
            <w:right w:val="none" w:sz="0" w:space="0" w:color="auto"/>
          </w:divBdr>
          <w:divsChild>
            <w:div w:id="16600420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58737892">
      <w:marLeft w:val="0"/>
      <w:marRight w:val="0"/>
      <w:marTop w:val="180"/>
      <w:marBottom w:val="0"/>
      <w:divBdr>
        <w:top w:val="none" w:sz="0" w:space="0" w:color="auto"/>
        <w:left w:val="none" w:sz="0" w:space="0" w:color="auto"/>
        <w:bottom w:val="none" w:sz="0" w:space="0" w:color="auto"/>
        <w:right w:val="none" w:sz="0" w:space="0" w:color="auto"/>
      </w:divBdr>
    </w:div>
    <w:div w:id="1563516393">
      <w:marLeft w:val="0"/>
      <w:marRight w:val="0"/>
      <w:marTop w:val="180"/>
      <w:marBottom w:val="180"/>
      <w:divBdr>
        <w:top w:val="none" w:sz="0" w:space="0" w:color="auto"/>
        <w:left w:val="none" w:sz="0" w:space="0" w:color="auto"/>
        <w:bottom w:val="none" w:sz="0" w:space="0" w:color="auto"/>
        <w:right w:val="none" w:sz="0" w:space="0" w:color="auto"/>
      </w:divBdr>
    </w:div>
    <w:div w:id="1564214348">
      <w:marLeft w:val="0"/>
      <w:marRight w:val="0"/>
      <w:marTop w:val="100"/>
      <w:marBottom w:val="100"/>
      <w:divBdr>
        <w:top w:val="none" w:sz="0" w:space="0" w:color="auto"/>
        <w:left w:val="none" w:sz="0" w:space="0" w:color="auto"/>
        <w:bottom w:val="none" w:sz="0" w:space="0" w:color="auto"/>
        <w:right w:val="none" w:sz="0" w:space="0" w:color="auto"/>
      </w:divBdr>
      <w:divsChild>
        <w:div w:id="65615100">
          <w:marLeft w:val="0"/>
          <w:marRight w:val="0"/>
          <w:marTop w:val="0"/>
          <w:marBottom w:val="0"/>
          <w:divBdr>
            <w:top w:val="none" w:sz="0" w:space="0" w:color="auto"/>
            <w:left w:val="none" w:sz="0" w:space="0" w:color="auto"/>
            <w:bottom w:val="none" w:sz="0" w:space="0" w:color="auto"/>
            <w:right w:val="none" w:sz="0" w:space="0" w:color="auto"/>
          </w:divBdr>
        </w:div>
        <w:div w:id="986860210">
          <w:marLeft w:val="0"/>
          <w:marRight w:val="0"/>
          <w:marTop w:val="0"/>
          <w:marBottom w:val="0"/>
          <w:divBdr>
            <w:top w:val="none" w:sz="0" w:space="0" w:color="auto"/>
            <w:left w:val="none" w:sz="0" w:space="0" w:color="auto"/>
            <w:bottom w:val="none" w:sz="0" w:space="0" w:color="auto"/>
            <w:right w:val="none" w:sz="0" w:space="0" w:color="auto"/>
          </w:divBdr>
        </w:div>
        <w:div w:id="869680538">
          <w:marLeft w:val="0"/>
          <w:marRight w:val="0"/>
          <w:marTop w:val="0"/>
          <w:marBottom w:val="0"/>
          <w:divBdr>
            <w:top w:val="none" w:sz="0" w:space="0" w:color="auto"/>
            <w:left w:val="none" w:sz="0" w:space="0" w:color="auto"/>
            <w:bottom w:val="none" w:sz="0" w:space="0" w:color="auto"/>
            <w:right w:val="none" w:sz="0" w:space="0" w:color="auto"/>
          </w:divBdr>
        </w:div>
        <w:div w:id="1319960584">
          <w:marLeft w:val="0"/>
          <w:marRight w:val="0"/>
          <w:marTop w:val="0"/>
          <w:marBottom w:val="0"/>
          <w:divBdr>
            <w:top w:val="none" w:sz="0" w:space="0" w:color="auto"/>
            <w:left w:val="none" w:sz="0" w:space="0" w:color="auto"/>
            <w:bottom w:val="none" w:sz="0" w:space="0" w:color="auto"/>
            <w:right w:val="none" w:sz="0" w:space="0" w:color="auto"/>
          </w:divBdr>
        </w:div>
        <w:div w:id="768504332">
          <w:marLeft w:val="0"/>
          <w:marRight w:val="0"/>
          <w:marTop w:val="0"/>
          <w:marBottom w:val="0"/>
          <w:divBdr>
            <w:top w:val="none" w:sz="0" w:space="0" w:color="auto"/>
            <w:left w:val="none" w:sz="0" w:space="0" w:color="auto"/>
            <w:bottom w:val="none" w:sz="0" w:space="0" w:color="auto"/>
            <w:right w:val="none" w:sz="0" w:space="0" w:color="auto"/>
          </w:divBdr>
        </w:div>
        <w:div w:id="1368018676">
          <w:marLeft w:val="0"/>
          <w:marRight w:val="0"/>
          <w:marTop w:val="0"/>
          <w:marBottom w:val="0"/>
          <w:divBdr>
            <w:top w:val="none" w:sz="0" w:space="0" w:color="auto"/>
            <w:left w:val="none" w:sz="0" w:space="0" w:color="auto"/>
            <w:bottom w:val="none" w:sz="0" w:space="0" w:color="auto"/>
            <w:right w:val="none" w:sz="0" w:space="0" w:color="auto"/>
          </w:divBdr>
        </w:div>
        <w:div w:id="1960991885">
          <w:marLeft w:val="0"/>
          <w:marRight w:val="0"/>
          <w:marTop w:val="0"/>
          <w:marBottom w:val="0"/>
          <w:divBdr>
            <w:top w:val="none" w:sz="0" w:space="0" w:color="auto"/>
            <w:left w:val="none" w:sz="0" w:space="0" w:color="auto"/>
            <w:bottom w:val="none" w:sz="0" w:space="0" w:color="auto"/>
            <w:right w:val="none" w:sz="0" w:space="0" w:color="auto"/>
          </w:divBdr>
        </w:div>
        <w:div w:id="626856569">
          <w:marLeft w:val="0"/>
          <w:marRight w:val="0"/>
          <w:marTop w:val="0"/>
          <w:marBottom w:val="0"/>
          <w:divBdr>
            <w:top w:val="none" w:sz="0" w:space="0" w:color="auto"/>
            <w:left w:val="none" w:sz="0" w:space="0" w:color="auto"/>
            <w:bottom w:val="none" w:sz="0" w:space="0" w:color="auto"/>
            <w:right w:val="none" w:sz="0" w:space="0" w:color="auto"/>
          </w:divBdr>
        </w:div>
        <w:div w:id="1005281739">
          <w:marLeft w:val="0"/>
          <w:marRight w:val="0"/>
          <w:marTop w:val="0"/>
          <w:marBottom w:val="0"/>
          <w:divBdr>
            <w:top w:val="none" w:sz="0" w:space="0" w:color="auto"/>
            <w:left w:val="none" w:sz="0" w:space="0" w:color="auto"/>
            <w:bottom w:val="none" w:sz="0" w:space="0" w:color="auto"/>
            <w:right w:val="none" w:sz="0" w:space="0" w:color="auto"/>
          </w:divBdr>
        </w:div>
        <w:div w:id="1302886786">
          <w:marLeft w:val="0"/>
          <w:marRight w:val="0"/>
          <w:marTop w:val="0"/>
          <w:marBottom w:val="0"/>
          <w:divBdr>
            <w:top w:val="none" w:sz="0" w:space="0" w:color="auto"/>
            <w:left w:val="none" w:sz="0" w:space="0" w:color="auto"/>
            <w:bottom w:val="none" w:sz="0" w:space="0" w:color="auto"/>
            <w:right w:val="none" w:sz="0" w:space="0" w:color="auto"/>
          </w:divBdr>
        </w:div>
        <w:div w:id="454367798">
          <w:marLeft w:val="0"/>
          <w:marRight w:val="0"/>
          <w:marTop w:val="0"/>
          <w:marBottom w:val="0"/>
          <w:divBdr>
            <w:top w:val="none" w:sz="0" w:space="0" w:color="auto"/>
            <w:left w:val="none" w:sz="0" w:space="0" w:color="auto"/>
            <w:bottom w:val="none" w:sz="0" w:space="0" w:color="auto"/>
            <w:right w:val="none" w:sz="0" w:space="0" w:color="auto"/>
          </w:divBdr>
        </w:div>
        <w:div w:id="140465837">
          <w:marLeft w:val="0"/>
          <w:marRight w:val="0"/>
          <w:marTop w:val="0"/>
          <w:marBottom w:val="0"/>
          <w:divBdr>
            <w:top w:val="none" w:sz="0" w:space="0" w:color="auto"/>
            <w:left w:val="none" w:sz="0" w:space="0" w:color="auto"/>
            <w:bottom w:val="none" w:sz="0" w:space="0" w:color="auto"/>
            <w:right w:val="none" w:sz="0" w:space="0" w:color="auto"/>
          </w:divBdr>
        </w:div>
        <w:div w:id="1370913028">
          <w:marLeft w:val="0"/>
          <w:marRight w:val="0"/>
          <w:marTop w:val="0"/>
          <w:marBottom w:val="0"/>
          <w:divBdr>
            <w:top w:val="none" w:sz="0" w:space="0" w:color="auto"/>
            <w:left w:val="none" w:sz="0" w:space="0" w:color="auto"/>
            <w:bottom w:val="none" w:sz="0" w:space="0" w:color="auto"/>
            <w:right w:val="none" w:sz="0" w:space="0" w:color="auto"/>
          </w:divBdr>
        </w:div>
        <w:div w:id="1114783613">
          <w:marLeft w:val="0"/>
          <w:marRight w:val="0"/>
          <w:marTop w:val="0"/>
          <w:marBottom w:val="0"/>
          <w:divBdr>
            <w:top w:val="none" w:sz="0" w:space="0" w:color="auto"/>
            <w:left w:val="none" w:sz="0" w:space="0" w:color="auto"/>
            <w:bottom w:val="none" w:sz="0" w:space="0" w:color="auto"/>
            <w:right w:val="none" w:sz="0" w:space="0" w:color="auto"/>
          </w:divBdr>
        </w:div>
        <w:div w:id="1165123297">
          <w:marLeft w:val="0"/>
          <w:marRight w:val="0"/>
          <w:marTop w:val="0"/>
          <w:marBottom w:val="0"/>
          <w:divBdr>
            <w:top w:val="none" w:sz="0" w:space="0" w:color="auto"/>
            <w:left w:val="none" w:sz="0" w:space="0" w:color="auto"/>
            <w:bottom w:val="none" w:sz="0" w:space="0" w:color="auto"/>
            <w:right w:val="none" w:sz="0" w:space="0" w:color="auto"/>
          </w:divBdr>
        </w:div>
        <w:div w:id="239948792">
          <w:marLeft w:val="0"/>
          <w:marRight w:val="0"/>
          <w:marTop w:val="0"/>
          <w:marBottom w:val="0"/>
          <w:divBdr>
            <w:top w:val="none" w:sz="0" w:space="0" w:color="auto"/>
            <w:left w:val="none" w:sz="0" w:space="0" w:color="auto"/>
            <w:bottom w:val="none" w:sz="0" w:space="0" w:color="auto"/>
            <w:right w:val="none" w:sz="0" w:space="0" w:color="auto"/>
          </w:divBdr>
        </w:div>
        <w:div w:id="1691640697">
          <w:marLeft w:val="0"/>
          <w:marRight w:val="0"/>
          <w:marTop w:val="0"/>
          <w:marBottom w:val="0"/>
          <w:divBdr>
            <w:top w:val="none" w:sz="0" w:space="0" w:color="auto"/>
            <w:left w:val="none" w:sz="0" w:space="0" w:color="auto"/>
            <w:bottom w:val="none" w:sz="0" w:space="0" w:color="auto"/>
            <w:right w:val="none" w:sz="0" w:space="0" w:color="auto"/>
          </w:divBdr>
        </w:div>
        <w:div w:id="1126201177">
          <w:marLeft w:val="0"/>
          <w:marRight w:val="0"/>
          <w:marTop w:val="0"/>
          <w:marBottom w:val="0"/>
          <w:divBdr>
            <w:top w:val="none" w:sz="0" w:space="0" w:color="auto"/>
            <w:left w:val="none" w:sz="0" w:space="0" w:color="auto"/>
            <w:bottom w:val="none" w:sz="0" w:space="0" w:color="auto"/>
            <w:right w:val="none" w:sz="0" w:space="0" w:color="auto"/>
          </w:divBdr>
        </w:div>
        <w:div w:id="932082024">
          <w:marLeft w:val="0"/>
          <w:marRight w:val="0"/>
          <w:marTop w:val="0"/>
          <w:marBottom w:val="0"/>
          <w:divBdr>
            <w:top w:val="none" w:sz="0" w:space="0" w:color="auto"/>
            <w:left w:val="none" w:sz="0" w:space="0" w:color="auto"/>
            <w:bottom w:val="none" w:sz="0" w:space="0" w:color="auto"/>
            <w:right w:val="none" w:sz="0" w:space="0" w:color="auto"/>
          </w:divBdr>
        </w:div>
        <w:div w:id="1038893634">
          <w:marLeft w:val="0"/>
          <w:marRight w:val="0"/>
          <w:marTop w:val="0"/>
          <w:marBottom w:val="0"/>
          <w:divBdr>
            <w:top w:val="none" w:sz="0" w:space="0" w:color="auto"/>
            <w:left w:val="none" w:sz="0" w:space="0" w:color="auto"/>
            <w:bottom w:val="none" w:sz="0" w:space="0" w:color="auto"/>
            <w:right w:val="none" w:sz="0" w:space="0" w:color="auto"/>
          </w:divBdr>
        </w:div>
        <w:div w:id="1759905360">
          <w:marLeft w:val="0"/>
          <w:marRight w:val="0"/>
          <w:marTop w:val="0"/>
          <w:marBottom w:val="0"/>
          <w:divBdr>
            <w:top w:val="none" w:sz="0" w:space="0" w:color="auto"/>
            <w:left w:val="none" w:sz="0" w:space="0" w:color="auto"/>
            <w:bottom w:val="none" w:sz="0" w:space="0" w:color="auto"/>
            <w:right w:val="none" w:sz="0" w:space="0" w:color="auto"/>
          </w:divBdr>
        </w:div>
        <w:div w:id="1115833492">
          <w:marLeft w:val="0"/>
          <w:marRight w:val="0"/>
          <w:marTop w:val="0"/>
          <w:marBottom w:val="0"/>
          <w:divBdr>
            <w:top w:val="none" w:sz="0" w:space="0" w:color="auto"/>
            <w:left w:val="none" w:sz="0" w:space="0" w:color="auto"/>
            <w:bottom w:val="none" w:sz="0" w:space="0" w:color="auto"/>
            <w:right w:val="none" w:sz="0" w:space="0" w:color="auto"/>
          </w:divBdr>
        </w:div>
        <w:div w:id="1919319371">
          <w:marLeft w:val="0"/>
          <w:marRight w:val="0"/>
          <w:marTop w:val="0"/>
          <w:marBottom w:val="0"/>
          <w:divBdr>
            <w:top w:val="none" w:sz="0" w:space="0" w:color="auto"/>
            <w:left w:val="none" w:sz="0" w:space="0" w:color="auto"/>
            <w:bottom w:val="none" w:sz="0" w:space="0" w:color="auto"/>
            <w:right w:val="none" w:sz="0" w:space="0" w:color="auto"/>
          </w:divBdr>
        </w:div>
        <w:div w:id="1638801486">
          <w:marLeft w:val="0"/>
          <w:marRight w:val="0"/>
          <w:marTop w:val="0"/>
          <w:marBottom w:val="0"/>
          <w:divBdr>
            <w:top w:val="none" w:sz="0" w:space="0" w:color="auto"/>
            <w:left w:val="none" w:sz="0" w:space="0" w:color="auto"/>
            <w:bottom w:val="none" w:sz="0" w:space="0" w:color="auto"/>
            <w:right w:val="none" w:sz="0" w:space="0" w:color="auto"/>
          </w:divBdr>
        </w:div>
        <w:div w:id="1464082288">
          <w:marLeft w:val="0"/>
          <w:marRight w:val="0"/>
          <w:marTop w:val="0"/>
          <w:marBottom w:val="0"/>
          <w:divBdr>
            <w:top w:val="none" w:sz="0" w:space="0" w:color="auto"/>
            <w:left w:val="none" w:sz="0" w:space="0" w:color="auto"/>
            <w:bottom w:val="none" w:sz="0" w:space="0" w:color="auto"/>
            <w:right w:val="none" w:sz="0" w:space="0" w:color="auto"/>
          </w:divBdr>
        </w:div>
        <w:div w:id="353576892">
          <w:marLeft w:val="0"/>
          <w:marRight w:val="0"/>
          <w:marTop w:val="0"/>
          <w:marBottom w:val="0"/>
          <w:divBdr>
            <w:top w:val="none" w:sz="0" w:space="0" w:color="auto"/>
            <w:left w:val="none" w:sz="0" w:space="0" w:color="auto"/>
            <w:bottom w:val="none" w:sz="0" w:space="0" w:color="auto"/>
            <w:right w:val="none" w:sz="0" w:space="0" w:color="auto"/>
          </w:divBdr>
        </w:div>
        <w:div w:id="1496066802">
          <w:marLeft w:val="0"/>
          <w:marRight w:val="0"/>
          <w:marTop w:val="0"/>
          <w:marBottom w:val="0"/>
          <w:divBdr>
            <w:top w:val="none" w:sz="0" w:space="0" w:color="auto"/>
            <w:left w:val="none" w:sz="0" w:space="0" w:color="auto"/>
            <w:bottom w:val="none" w:sz="0" w:space="0" w:color="auto"/>
            <w:right w:val="none" w:sz="0" w:space="0" w:color="auto"/>
          </w:divBdr>
        </w:div>
        <w:div w:id="203642264">
          <w:marLeft w:val="0"/>
          <w:marRight w:val="0"/>
          <w:marTop w:val="0"/>
          <w:marBottom w:val="0"/>
          <w:divBdr>
            <w:top w:val="none" w:sz="0" w:space="0" w:color="auto"/>
            <w:left w:val="none" w:sz="0" w:space="0" w:color="auto"/>
            <w:bottom w:val="none" w:sz="0" w:space="0" w:color="auto"/>
            <w:right w:val="none" w:sz="0" w:space="0" w:color="auto"/>
          </w:divBdr>
        </w:div>
        <w:div w:id="1329940517">
          <w:marLeft w:val="0"/>
          <w:marRight w:val="0"/>
          <w:marTop w:val="0"/>
          <w:marBottom w:val="0"/>
          <w:divBdr>
            <w:top w:val="none" w:sz="0" w:space="0" w:color="auto"/>
            <w:left w:val="none" w:sz="0" w:space="0" w:color="auto"/>
            <w:bottom w:val="none" w:sz="0" w:space="0" w:color="auto"/>
            <w:right w:val="none" w:sz="0" w:space="0" w:color="auto"/>
          </w:divBdr>
        </w:div>
        <w:div w:id="1094401505">
          <w:marLeft w:val="0"/>
          <w:marRight w:val="0"/>
          <w:marTop w:val="0"/>
          <w:marBottom w:val="0"/>
          <w:divBdr>
            <w:top w:val="none" w:sz="0" w:space="0" w:color="auto"/>
            <w:left w:val="none" w:sz="0" w:space="0" w:color="auto"/>
            <w:bottom w:val="none" w:sz="0" w:space="0" w:color="auto"/>
            <w:right w:val="none" w:sz="0" w:space="0" w:color="auto"/>
          </w:divBdr>
        </w:div>
        <w:div w:id="2015381207">
          <w:marLeft w:val="0"/>
          <w:marRight w:val="0"/>
          <w:marTop w:val="0"/>
          <w:marBottom w:val="0"/>
          <w:divBdr>
            <w:top w:val="none" w:sz="0" w:space="0" w:color="auto"/>
            <w:left w:val="none" w:sz="0" w:space="0" w:color="auto"/>
            <w:bottom w:val="none" w:sz="0" w:space="0" w:color="auto"/>
            <w:right w:val="none" w:sz="0" w:space="0" w:color="auto"/>
          </w:divBdr>
        </w:div>
        <w:div w:id="916011970">
          <w:marLeft w:val="0"/>
          <w:marRight w:val="0"/>
          <w:marTop w:val="0"/>
          <w:marBottom w:val="0"/>
          <w:divBdr>
            <w:top w:val="none" w:sz="0" w:space="0" w:color="auto"/>
            <w:left w:val="none" w:sz="0" w:space="0" w:color="auto"/>
            <w:bottom w:val="none" w:sz="0" w:space="0" w:color="auto"/>
            <w:right w:val="none" w:sz="0" w:space="0" w:color="auto"/>
          </w:divBdr>
        </w:div>
        <w:div w:id="496462732">
          <w:marLeft w:val="0"/>
          <w:marRight w:val="0"/>
          <w:marTop w:val="0"/>
          <w:marBottom w:val="0"/>
          <w:divBdr>
            <w:top w:val="none" w:sz="0" w:space="0" w:color="auto"/>
            <w:left w:val="none" w:sz="0" w:space="0" w:color="auto"/>
            <w:bottom w:val="none" w:sz="0" w:space="0" w:color="auto"/>
            <w:right w:val="none" w:sz="0" w:space="0" w:color="auto"/>
          </w:divBdr>
        </w:div>
        <w:div w:id="2060276397">
          <w:marLeft w:val="0"/>
          <w:marRight w:val="0"/>
          <w:marTop w:val="0"/>
          <w:marBottom w:val="0"/>
          <w:divBdr>
            <w:top w:val="none" w:sz="0" w:space="0" w:color="auto"/>
            <w:left w:val="none" w:sz="0" w:space="0" w:color="auto"/>
            <w:bottom w:val="none" w:sz="0" w:space="0" w:color="auto"/>
            <w:right w:val="none" w:sz="0" w:space="0" w:color="auto"/>
          </w:divBdr>
        </w:div>
        <w:div w:id="1554658445">
          <w:marLeft w:val="0"/>
          <w:marRight w:val="0"/>
          <w:marTop w:val="0"/>
          <w:marBottom w:val="0"/>
          <w:divBdr>
            <w:top w:val="none" w:sz="0" w:space="0" w:color="auto"/>
            <w:left w:val="none" w:sz="0" w:space="0" w:color="auto"/>
            <w:bottom w:val="none" w:sz="0" w:space="0" w:color="auto"/>
            <w:right w:val="none" w:sz="0" w:space="0" w:color="auto"/>
          </w:divBdr>
        </w:div>
        <w:div w:id="504050360">
          <w:marLeft w:val="0"/>
          <w:marRight w:val="0"/>
          <w:marTop w:val="0"/>
          <w:marBottom w:val="0"/>
          <w:divBdr>
            <w:top w:val="none" w:sz="0" w:space="0" w:color="auto"/>
            <w:left w:val="none" w:sz="0" w:space="0" w:color="auto"/>
            <w:bottom w:val="none" w:sz="0" w:space="0" w:color="auto"/>
            <w:right w:val="none" w:sz="0" w:space="0" w:color="auto"/>
          </w:divBdr>
        </w:div>
        <w:div w:id="1398017794">
          <w:marLeft w:val="0"/>
          <w:marRight w:val="0"/>
          <w:marTop w:val="0"/>
          <w:marBottom w:val="0"/>
          <w:divBdr>
            <w:top w:val="none" w:sz="0" w:space="0" w:color="auto"/>
            <w:left w:val="none" w:sz="0" w:space="0" w:color="auto"/>
            <w:bottom w:val="none" w:sz="0" w:space="0" w:color="auto"/>
            <w:right w:val="none" w:sz="0" w:space="0" w:color="auto"/>
          </w:divBdr>
        </w:div>
        <w:div w:id="1427729630">
          <w:marLeft w:val="0"/>
          <w:marRight w:val="0"/>
          <w:marTop w:val="0"/>
          <w:marBottom w:val="0"/>
          <w:divBdr>
            <w:top w:val="none" w:sz="0" w:space="0" w:color="auto"/>
            <w:left w:val="none" w:sz="0" w:space="0" w:color="auto"/>
            <w:bottom w:val="none" w:sz="0" w:space="0" w:color="auto"/>
            <w:right w:val="none" w:sz="0" w:space="0" w:color="auto"/>
          </w:divBdr>
        </w:div>
        <w:div w:id="929587287">
          <w:marLeft w:val="0"/>
          <w:marRight w:val="0"/>
          <w:marTop w:val="0"/>
          <w:marBottom w:val="0"/>
          <w:divBdr>
            <w:top w:val="none" w:sz="0" w:space="0" w:color="auto"/>
            <w:left w:val="none" w:sz="0" w:space="0" w:color="auto"/>
            <w:bottom w:val="none" w:sz="0" w:space="0" w:color="auto"/>
            <w:right w:val="none" w:sz="0" w:space="0" w:color="auto"/>
          </w:divBdr>
        </w:div>
        <w:div w:id="249312622">
          <w:marLeft w:val="0"/>
          <w:marRight w:val="0"/>
          <w:marTop w:val="0"/>
          <w:marBottom w:val="0"/>
          <w:divBdr>
            <w:top w:val="none" w:sz="0" w:space="0" w:color="auto"/>
            <w:left w:val="none" w:sz="0" w:space="0" w:color="auto"/>
            <w:bottom w:val="none" w:sz="0" w:space="0" w:color="auto"/>
            <w:right w:val="none" w:sz="0" w:space="0" w:color="auto"/>
          </w:divBdr>
        </w:div>
      </w:divsChild>
    </w:div>
    <w:div w:id="1564485484">
      <w:marLeft w:val="0"/>
      <w:marRight w:val="0"/>
      <w:marTop w:val="180"/>
      <w:marBottom w:val="180"/>
      <w:divBdr>
        <w:top w:val="none" w:sz="0" w:space="0" w:color="auto"/>
        <w:left w:val="none" w:sz="0" w:space="0" w:color="auto"/>
        <w:bottom w:val="none" w:sz="0" w:space="0" w:color="auto"/>
        <w:right w:val="none" w:sz="0" w:space="0" w:color="auto"/>
      </w:divBdr>
    </w:div>
    <w:div w:id="1565485701">
      <w:marLeft w:val="0"/>
      <w:marRight w:val="0"/>
      <w:marTop w:val="60"/>
      <w:marBottom w:val="60"/>
      <w:divBdr>
        <w:top w:val="none" w:sz="0" w:space="0" w:color="auto"/>
        <w:left w:val="none" w:sz="0" w:space="0" w:color="auto"/>
        <w:bottom w:val="none" w:sz="0" w:space="0" w:color="auto"/>
        <w:right w:val="none" w:sz="0" w:space="0" w:color="auto"/>
      </w:divBdr>
      <w:divsChild>
        <w:div w:id="196742524">
          <w:marLeft w:val="0"/>
          <w:marRight w:val="0"/>
          <w:marTop w:val="0"/>
          <w:marBottom w:val="0"/>
          <w:divBdr>
            <w:top w:val="none" w:sz="0" w:space="0" w:color="auto"/>
            <w:left w:val="none" w:sz="0" w:space="0" w:color="auto"/>
            <w:bottom w:val="none" w:sz="0" w:space="0" w:color="auto"/>
            <w:right w:val="none" w:sz="0" w:space="0" w:color="auto"/>
          </w:divBdr>
        </w:div>
        <w:div w:id="1625043742">
          <w:marLeft w:val="0"/>
          <w:marRight w:val="0"/>
          <w:marTop w:val="0"/>
          <w:marBottom w:val="0"/>
          <w:divBdr>
            <w:top w:val="none" w:sz="0" w:space="0" w:color="auto"/>
            <w:left w:val="none" w:sz="0" w:space="0" w:color="auto"/>
            <w:bottom w:val="none" w:sz="0" w:space="0" w:color="auto"/>
            <w:right w:val="none" w:sz="0" w:space="0" w:color="auto"/>
          </w:divBdr>
        </w:div>
        <w:div w:id="778717479">
          <w:marLeft w:val="0"/>
          <w:marRight w:val="0"/>
          <w:marTop w:val="0"/>
          <w:marBottom w:val="0"/>
          <w:divBdr>
            <w:top w:val="none" w:sz="0" w:space="0" w:color="auto"/>
            <w:left w:val="none" w:sz="0" w:space="0" w:color="auto"/>
            <w:bottom w:val="none" w:sz="0" w:space="0" w:color="auto"/>
            <w:right w:val="none" w:sz="0" w:space="0" w:color="auto"/>
          </w:divBdr>
        </w:div>
      </w:divsChild>
    </w:div>
    <w:div w:id="1566720512">
      <w:marLeft w:val="0"/>
      <w:marRight w:val="0"/>
      <w:marTop w:val="60"/>
      <w:marBottom w:val="60"/>
      <w:divBdr>
        <w:top w:val="none" w:sz="0" w:space="0" w:color="auto"/>
        <w:left w:val="none" w:sz="0" w:space="0" w:color="auto"/>
        <w:bottom w:val="none" w:sz="0" w:space="0" w:color="auto"/>
        <w:right w:val="none" w:sz="0" w:space="0" w:color="auto"/>
      </w:divBdr>
    </w:div>
    <w:div w:id="1568220988">
      <w:marLeft w:val="0"/>
      <w:marRight w:val="0"/>
      <w:marTop w:val="180"/>
      <w:marBottom w:val="180"/>
      <w:divBdr>
        <w:top w:val="none" w:sz="0" w:space="0" w:color="auto"/>
        <w:left w:val="none" w:sz="0" w:space="0" w:color="auto"/>
        <w:bottom w:val="none" w:sz="0" w:space="0" w:color="auto"/>
        <w:right w:val="none" w:sz="0" w:space="0" w:color="auto"/>
      </w:divBdr>
    </w:div>
    <w:div w:id="1572885506">
      <w:marLeft w:val="0"/>
      <w:marRight w:val="0"/>
      <w:marTop w:val="0"/>
      <w:marBottom w:val="0"/>
      <w:divBdr>
        <w:top w:val="none" w:sz="0" w:space="0" w:color="auto"/>
        <w:left w:val="none" w:sz="0" w:space="0" w:color="auto"/>
        <w:bottom w:val="none" w:sz="0" w:space="0" w:color="auto"/>
        <w:right w:val="none" w:sz="0" w:space="0" w:color="auto"/>
      </w:divBdr>
    </w:div>
    <w:div w:id="1573930428">
      <w:marLeft w:val="0"/>
      <w:marRight w:val="0"/>
      <w:marTop w:val="0"/>
      <w:marBottom w:val="0"/>
      <w:divBdr>
        <w:top w:val="none" w:sz="0" w:space="0" w:color="auto"/>
        <w:left w:val="none" w:sz="0" w:space="0" w:color="auto"/>
        <w:bottom w:val="none" w:sz="0" w:space="0" w:color="auto"/>
        <w:right w:val="none" w:sz="0" w:space="0" w:color="auto"/>
      </w:divBdr>
      <w:divsChild>
        <w:div w:id="1171720719">
          <w:marLeft w:val="0"/>
          <w:marRight w:val="0"/>
          <w:marTop w:val="0"/>
          <w:marBottom w:val="0"/>
          <w:divBdr>
            <w:top w:val="none" w:sz="0" w:space="0" w:color="auto"/>
            <w:left w:val="none" w:sz="0" w:space="0" w:color="auto"/>
            <w:bottom w:val="none" w:sz="0" w:space="0" w:color="auto"/>
            <w:right w:val="none" w:sz="0" w:space="0" w:color="auto"/>
          </w:divBdr>
          <w:divsChild>
            <w:div w:id="4267298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84681573">
      <w:marLeft w:val="0"/>
      <w:marRight w:val="0"/>
      <w:marTop w:val="180"/>
      <w:marBottom w:val="180"/>
      <w:divBdr>
        <w:top w:val="none" w:sz="0" w:space="0" w:color="auto"/>
        <w:left w:val="none" w:sz="0" w:space="0" w:color="auto"/>
        <w:bottom w:val="none" w:sz="0" w:space="0" w:color="auto"/>
        <w:right w:val="none" w:sz="0" w:space="0" w:color="auto"/>
      </w:divBdr>
    </w:div>
    <w:div w:id="1584877140">
      <w:marLeft w:val="0"/>
      <w:marRight w:val="0"/>
      <w:marTop w:val="60"/>
      <w:marBottom w:val="60"/>
      <w:divBdr>
        <w:top w:val="none" w:sz="0" w:space="0" w:color="auto"/>
        <w:left w:val="none" w:sz="0" w:space="0" w:color="auto"/>
        <w:bottom w:val="none" w:sz="0" w:space="0" w:color="auto"/>
        <w:right w:val="none" w:sz="0" w:space="0" w:color="auto"/>
      </w:divBdr>
    </w:div>
    <w:div w:id="1585645000">
      <w:marLeft w:val="0"/>
      <w:marRight w:val="0"/>
      <w:marTop w:val="180"/>
      <w:marBottom w:val="180"/>
      <w:divBdr>
        <w:top w:val="none" w:sz="0" w:space="0" w:color="auto"/>
        <w:left w:val="none" w:sz="0" w:space="0" w:color="auto"/>
        <w:bottom w:val="none" w:sz="0" w:space="0" w:color="auto"/>
        <w:right w:val="none" w:sz="0" w:space="0" w:color="auto"/>
      </w:divBdr>
    </w:div>
    <w:div w:id="1586303651">
      <w:marLeft w:val="0"/>
      <w:marRight w:val="0"/>
      <w:marTop w:val="0"/>
      <w:marBottom w:val="0"/>
      <w:divBdr>
        <w:top w:val="none" w:sz="0" w:space="0" w:color="auto"/>
        <w:left w:val="none" w:sz="0" w:space="0" w:color="auto"/>
        <w:bottom w:val="none" w:sz="0" w:space="0" w:color="auto"/>
        <w:right w:val="none" w:sz="0" w:space="0" w:color="auto"/>
      </w:divBdr>
      <w:divsChild>
        <w:div w:id="350300092">
          <w:marLeft w:val="0"/>
          <w:marRight w:val="0"/>
          <w:marTop w:val="0"/>
          <w:marBottom w:val="0"/>
          <w:divBdr>
            <w:top w:val="none" w:sz="0" w:space="0" w:color="auto"/>
            <w:left w:val="none" w:sz="0" w:space="0" w:color="auto"/>
            <w:bottom w:val="none" w:sz="0" w:space="0" w:color="auto"/>
            <w:right w:val="none" w:sz="0" w:space="0" w:color="auto"/>
          </w:divBdr>
          <w:divsChild>
            <w:div w:id="17920922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87691003">
      <w:marLeft w:val="0"/>
      <w:marRight w:val="0"/>
      <w:marTop w:val="180"/>
      <w:marBottom w:val="180"/>
      <w:divBdr>
        <w:top w:val="none" w:sz="0" w:space="0" w:color="auto"/>
        <w:left w:val="none" w:sz="0" w:space="0" w:color="auto"/>
        <w:bottom w:val="none" w:sz="0" w:space="0" w:color="auto"/>
        <w:right w:val="none" w:sz="0" w:space="0" w:color="auto"/>
      </w:divBdr>
    </w:div>
    <w:div w:id="1588416884">
      <w:marLeft w:val="0"/>
      <w:marRight w:val="0"/>
      <w:marTop w:val="180"/>
      <w:marBottom w:val="180"/>
      <w:divBdr>
        <w:top w:val="none" w:sz="0" w:space="0" w:color="auto"/>
        <w:left w:val="none" w:sz="0" w:space="0" w:color="auto"/>
        <w:bottom w:val="none" w:sz="0" w:space="0" w:color="auto"/>
        <w:right w:val="none" w:sz="0" w:space="0" w:color="auto"/>
      </w:divBdr>
    </w:div>
    <w:div w:id="1588922177">
      <w:marLeft w:val="0"/>
      <w:marRight w:val="0"/>
      <w:marTop w:val="60"/>
      <w:marBottom w:val="60"/>
      <w:divBdr>
        <w:top w:val="none" w:sz="0" w:space="0" w:color="auto"/>
        <w:left w:val="none" w:sz="0" w:space="0" w:color="auto"/>
        <w:bottom w:val="none" w:sz="0" w:space="0" w:color="auto"/>
        <w:right w:val="none" w:sz="0" w:space="0" w:color="auto"/>
      </w:divBdr>
    </w:div>
    <w:div w:id="1591617359">
      <w:marLeft w:val="0"/>
      <w:marRight w:val="0"/>
      <w:marTop w:val="100"/>
      <w:marBottom w:val="100"/>
      <w:divBdr>
        <w:top w:val="none" w:sz="0" w:space="0" w:color="auto"/>
        <w:left w:val="none" w:sz="0" w:space="0" w:color="auto"/>
        <w:bottom w:val="none" w:sz="0" w:space="0" w:color="auto"/>
        <w:right w:val="none" w:sz="0" w:space="0" w:color="auto"/>
      </w:divBdr>
      <w:divsChild>
        <w:div w:id="807435766">
          <w:marLeft w:val="0"/>
          <w:marRight w:val="0"/>
          <w:marTop w:val="0"/>
          <w:marBottom w:val="0"/>
          <w:divBdr>
            <w:top w:val="none" w:sz="0" w:space="0" w:color="auto"/>
            <w:left w:val="none" w:sz="0" w:space="0" w:color="auto"/>
            <w:bottom w:val="none" w:sz="0" w:space="0" w:color="auto"/>
            <w:right w:val="none" w:sz="0" w:space="0" w:color="auto"/>
          </w:divBdr>
        </w:div>
      </w:divsChild>
    </w:div>
    <w:div w:id="1595816512">
      <w:marLeft w:val="0"/>
      <w:marRight w:val="0"/>
      <w:marTop w:val="0"/>
      <w:marBottom w:val="0"/>
      <w:divBdr>
        <w:top w:val="none" w:sz="0" w:space="0" w:color="auto"/>
        <w:left w:val="none" w:sz="0" w:space="0" w:color="auto"/>
        <w:bottom w:val="none" w:sz="0" w:space="0" w:color="auto"/>
        <w:right w:val="none" w:sz="0" w:space="0" w:color="auto"/>
      </w:divBdr>
      <w:divsChild>
        <w:div w:id="1233657307">
          <w:marLeft w:val="0"/>
          <w:marRight w:val="0"/>
          <w:marTop w:val="0"/>
          <w:marBottom w:val="0"/>
          <w:divBdr>
            <w:top w:val="none" w:sz="0" w:space="0" w:color="auto"/>
            <w:left w:val="none" w:sz="0" w:space="0" w:color="auto"/>
            <w:bottom w:val="none" w:sz="0" w:space="0" w:color="auto"/>
            <w:right w:val="none" w:sz="0" w:space="0" w:color="auto"/>
          </w:divBdr>
          <w:divsChild>
            <w:div w:id="18055424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95940127">
      <w:marLeft w:val="0"/>
      <w:marRight w:val="0"/>
      <w:marTop w:val="0"/>
      <w:marBottom w:val="0"/>
      <w:divBdr>
        <w:top w:val="none" w:sz="0" w:space="0" w:color="auto"/>
        <w:left w:val="none" w:sz="0" w:space="0" w:color="auto"/>
        <w:bottom w:val="none" w:sz="0" w:space="0" w:color="auto"/>
        <w:right w:val="none" w:sz="0" w:space="0" w:color="auto"/>
      </w:divBdr>
    </w:div>
    <w:div w:id="1596865745">
      <w:marLeft w:val="0"/>
      <w:marRight w:val="0"/>
      <w:marTop w:val="180"/>
      <w:marBottom w:val="180"/>
      <w:divBdr>
        <w:top w:val="none" w:sz="0" w:space="0" w:color="auto"/>
        <w:left w:val="none" w:sz="0" w:space="0" w:color="auto"/>
        <w:bottom w:val="none" w:sz="0" w:space="0" w:color="auto"/>
        <w:right w:val="none" w:sz="0" w:space="0" w:color="auto"/>
      </w:divBdr>
    </w:div>
    <w:div w:id="1602954312">
      <w:marLeft w:val="0"/>
      <w:marRight w:val="0"/>
      <w:marTop w:val="0"/>
      <w:marBottom w:val="180"/>
      <w:divBdr>
        <w:top w:val="none" w:sz="0" w:space="0" w:color="auto"/>
        <w:left w:val="none" w:sz="0" w:space="0" w:color="auto"/>
        <w:bottom w:val="none" w:sz="0" w:space="0" w:color="auto"/>
        <w:right w:val="none" w:sz="0" w:space="0" w:color="auto"/>
      </w:divBdr>
    </w:div>
    <w:div w:id="1603489921">
      <w:marLeft w:val="0"/>
      <w:marRight w:val="0"/>
      <w:marTop w:val="180"/>
      <w:marBottom w:val="0"/>
      <w:divBdr>
        <w:top w:val="none" w:sz="0" w:space="0" w:color="auto"/>
        <w:left w:val="none" w:sz="0" w:space="0" w:color="auto"/>
        <w:bottom w:val="none" w:sz="0" w:space="0" w:color="auto"/>
        <w:right w:val="none" w:sz="0" w:space="0" w:color="auto"/>
      </w:divBdr>
    </w:div>
    <w:div w:id="1603609831">
      <w:marLeft w:val="0"/>
      <w:marRight w:val="0"/>
      <w:marTop w:val="180"/>
      <w:marBottom w:val="180"/>
      <w:divBdr>
        <w:top w:val="none" w:sz="0" w:space="0" w:color="auto"/>
        <w:left w:val="none" w:sz="0" w:space="0" w:color="auto"/>
        <w:bottom w:val="none" w:sz="0" w:space="0" w:color="auto"/>
        <w:right w:val="none" w:sz="0" w:space="0" w:color="auto"/>
      </w:divBdr>
    </w:div>
    <w:div w:id="1605116251">
      <w:marLeft w:val="0"/>
      <w:marRight w:val="0"/>
      <w:marTop w:val="180"/>
      <w:marBottom w:val="180"/>
      <w:divBdr>
        <w:top w:val="none" w:sz="0" w:space="0" w:color="auto"/>
        <w:left w:val="none" w:sz="0" w:space="0" w:color="auto"/>
        <w:bottom w:val="none" w:sz="0" w:space="0" w:color="auto"/>
        <w:right w:val="none" w:sz="0" w:space="0" w:color="auto"/>
      </w:divBdr>
    </w:div>
    <w:div w:id="1606306792">
      <w:marLeft w:val="0"/>
      <w:marRight w:val="0"/>
      <w:marTop w:val="100"/>
      <w:marBottom w:val="100"/>
      <w:divBdr>
        <w:top w:val="none" w:sz="0" w:space="0" w:color="auto"/>
        <w:left w:val="none" w:sz="0" w:space="0" w:color="auto"/>
        <w:bottom w:val="none" w:sz="0" w:space="0" w:color="auto"/>
        <w:right w:val="none" w:sz="0" w:space="0" w:color="auto"/>
      </w:divBdr>
      <w:divsChild>
        <w:div w:id="679043426">
          <w:marLeft w:val="0"/>
          <w:marRight w:val="0"/>
          <w:marTop w:val="0"/>
          <w:marBottom w:val="0"/>
          <w:divBdr>
            <w:top w:val="none" w:sz="0" w:space="0" w:color="auto"/>
            <w:left w:val="none" w:sz="0" w:space="0" w:color="auto"/>
            <w:bottom w:val="none" w:sz="0" w:space="0" w:color="auto"/>
            <w:right w:val="none" w:sz="0" w:space="0" w:color="auto"/>
          </w:divBdr>
        </w:div>
      </w:divsChild>
    </w:div>
    <w:div w:id="1606422485">
      <w:marLeft w:val="0"/>
      <w:marRight w:val="0"/>
      <w:marTop w:val="60"/>
      <w:marBottom w:val="60"/>
      <w:divBdr>
        <w:top w:val="none" w:sz="0" w:space="0" w:color="auto"/>
        <w:left w:val="none" w:sz="0" w:space="0" w:color="auto"/>
        <w:bottom w:val="none" w:sz="0" w:space="0" w:color="auto"/>
        <w:right w:val="none" w:sz="0" w:space="0" w:color="auto"/>
      </w:divBdr>
    </w:div>
    <w:div w:id="1606882192">
      <w:marLeft w:val="0"/>
      <w:marRight w:val="0"/>
      <w:marTop w:val="0"/>
      <w:marBottom w:val="0"/>
      <w:divBdr>
        <w:top w:val="none" w:sz="0" w:space="0" w:color="auto"/>
        <w:left w:val="none" w:sz="0" w:space="0" w:color="auto"/>
        <w:bottom w:val="none" w:sz="0" w:space="0" w:color="auto"/>
        <w:right w:val="none" w:sz="0" w:space="0" w:color="auto"/>
      </w:divBdr>
    </w:div>
    <w:div w:id="1610039459">
      <w:marLeft w:val="0"/>
      <w:marRight w:val="0"/>
      <w:marTop w:val="0"/>
      <w:marBottom w:val="0"/>
      <w:divBdr>
        <w:top w:val="none" w:sz="0" w:space="0" w:color="auto"/>
        <w:left w:val="none" w:sz="0" w:space="0" w:color="auto"/>
        <w:bottom w:val="none" w:sz="0" w:space="0" w:color="auto"/>
        <w:right w:val="none" w:sz="0" w:space="0" w:color="auto"/>
      </w:divBdr>
    </w:div>
    <w:div w:id="1611087198">
      <w:marLeft w:val="0"/>
      <w:marRight w:val="0"/>
      <w:marTop w:val="60"/>
      <w:marBottom w:val="60"/>
      <w:divBdr>
        <w:top w:val="none" w:sz="0" w:space="0" w:color="auto"/>
        <w:left w:val="none" w:sz="0" w:space="0" w:color="auto"/>
        <w:bottom w:val="none" w:sz="0" w:space="0" w:color="auto"/>
        <w:right w:val="none" w:sz="0" w:space="0" w:color="auto"/>
      </w:divBdr>
    </w:div>
    <w:div w:id="1615213767">
      <w:marLeft w:val="0"/>
      <w:marRight w:val="0"/>
      <w:marTop w:val="180"/>
      <w:marBottom w:val="60"/>
      <w:divBdr>
        <w:top w:val="none" w:sz="0" w:space="0" w:color="auto"/>
        <w:left w:val="none" w:sz="0" w:space="0" w:color="auto"/>
        <w:bottom w:val="none" w:sz="0" w:space="0" w:color="auto"/>
        <w:right w:val="none" w:sz="0" w:space="0" w:color="auto"/>
      </w:divBdr>
    </w:div>
    <w:div w:id="1616864965">
      <w:marLeft w:val="0"/>
      <w:marRight w:val="0"/>
      <w:marTop w:val="0"/>
      <w:marBottom w:val="0"/>
      <w:divBdr>
        <w:top w:val="none" w:sz="0" w:space="0" w:color="auto"/>
        <w:left w:val="none" w:sz="0" w:space="0" w:color="auto"/>
        <w:bottom w:val="none" w:sz="0" w:space="0" w:color="auto"/>
        <w:right w:val="none" w:sz="0" w:space="0" w:color="auto"/>
      </w:divBdr>
      <w:divsChild>
        <w:div w:id="1206331444">
          <w:marLeft w:val="0"/>
          <w:marRight w:val="0"/>
          <w:marTop w:val="0"/>
          <w:marBottom w:val="0"/>
          <w:divBdr>
            <w:top w:val="none" w:sz="0" w:space="0" w:color="auto"/>
            <w:left w:val="none" w:sz="0" w:space="0" w:color="auto"/>
            <w:bottom w:val="none" w:sz="0" w:space="0" w:color="auto"/>
            <w:right w:val="none" w:sz="0" w:space="0" w:color="auto"/>
          </w:divBdr>
          <w:divsChild>
            <w:div w:id="5912010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9296254">
      <w:marLeft w:val="0"/>
      <w:marRight w:val="0"/>
      <w:marTop w:val="180"/>
      <w:marBottom w:val="180"/>
      <w:divBdr>
        <w:top w:val="none" w:sz="0" w:space="0" w:color="auto"/>
        <w:left w:val="none" w:sz="0" w:space="0" w:color="auto"/>
        <w:bottom w:val="none" w:sz="0" w:space="0" w:color="auto"/>
        <w:right w:val="none" w:sz="0" w:space="0" w:color="auto"/>
      </w:divBdr>
    </w:div>
    <w:div w:id="1619989653">
      <w:marLeft w:val="0"/>
      <w:marRight w:val="0"/>
      <w:marTop w:val="180"/>
      <w:marBottom w:val="180"/>
      <w:divBdr>
        <w:top w:val="none" w:sz="0" w:space="0" w:color="auto"/>
        <w:left w:val="none" w:sz="0" w:space="0" w:color="auto"/>
        <w:bottom w:val="none" w:sz="0" w:space="0" w:color="auto"/>
        <w:right w:val="none" w:sz="0" w:space="0" w:color="auto"/>
      </w:divBdr>
    </w:div>
    <w:div w:id="1619995118">
      <w:marLeft w:val="0"/>
      <w:marRight w:val="0"/>
      <w:marTop w:val="100"/>
      <w:marBottom w:val="100"/>
      <w:divBdr>
        <w:top w:val="none" w:sz="0" w:space="0" w:color="auto"/>
        <w:left w:val="none" w:sz="0" w:space="0" w:color="auto"/>
        <w:bottom w:val="none" w:sz="0" w:space="0" w:color="auto"/>
        <w:right w:val="none" w:sz="0" w:space="0" w:color="auto"/>
      </w:divBdr>
    </w:div>
    <w:div w:id="1620187767">
      <w:marLeft w:val="0"/>
      <w:marRight w:val="0"/>
      <w:marTop w:val="0"/>
      <w:marBottom w:val="0"/>
      <w:divBdr>
        <w:top w:val="none" w:sz="0" w:space="0" w:color="auto"/>
        <w:left w:val="none" w:sz="0" w:space="0" w:color="auto"/>
        <w:bottom w:val="none" w:sz="0" w:space="0" w:color="auto"/>
        <w:right w:val="none" w:sz="0" w:space="0" w:color="auto"/>
      </w:divBdr>
    </w:div>
    <w:div w:id="1621107003">
      <w:marLeft w:val="0"/>
      <w:marRight w:val="0"/>
      <w:marTop w:val="240"/>
      <w:marBottom w:val="180"/>
      <w:divBdr>
        <w:top w:val="none" w:sz="0" w:space="0" w:color="auto"/>
        <w:left w:val="none" w:sz="0" w:space="0" w:color="auto"/>
        <w:bottom w:val="none" w:sz="0" w:space="0" w:color="auto"/>
        <w:right w:val="none" w:sz="0" w:space="0" w:color="auto"/>
      </w:divBdr>
    </w:div>
    <w:div w:id="1622498680">
      <w:marLeft w:val="0"/>
      <w:marRight w:val="0"/>
      <w:marTop w:val="180"/>
      <w:marBottom w:val="180"/>
      <w:divBdr>
        <w:top w:val="none" w:sz="0" w:space="0" w:color="auto"/>
        <w:left w:val="none" w:sz="0" w:space="0" w:color="auto"/>
        <w:bottom w:val="none" w:sz="0" w:space="0" w:color="auto"/>
        <w:right w:val="none" w:sz="0" w:space="0" w:color="auto"/>
      </w:divBdr>
    </w:div>
    <w:div w:id="1623146094">
      <w:marLeft w:val="0"/>
      <w:marRight w:val="0"/>
      <w:marTop w:val="0"/>
      <w:marBottom w:val="0"/>
      <w:divBdr>
        <w:top w:val="none" w:sz="0" w:space="0" w:color="auto"/>
        <w:left w:val="none" w:sz="0" w:space="0" w:color="auto"/>
        <w:bottom w:val="none" w:sz="0" w:space="0" w:color="auto"/>
        <w:right w:val="none" w:sz="0" w:space="0" w:color="auto"/>
      </w:divBdr>
      <w:divsChild>
        <w:div w:id="1577592584">
          <w:marLeft w:val="0"/>
          <w:marRight w:val="0"/>
          <w:marTop w:val="60"/>
          <w:marBottom w:val="60"/>
          <w:divBdr>
            <w:top w:val="none" w:sz="0" w:space="0" w:color="auto"/>
            <w:left w:val="none" w:sz="0" w:space="0" w:color="auto"/>
            <w:bottom w:val="none" w:sz="0" w:space="0" w:color="auto"/>
            <w:right w:val="none" w:sz="0" w:space="0" w:color="auto"/>
          </w:divBdr>
        </w:div>
      </w:divsChild>
    </w:div>
    <w:div w:id="1624648643">
      <w:marLeft w:val="0"/>
      <w:marRight w:val="0"/>
      <w:marTop w:val="180"/>
      <w:marBottom w:val="180"/>
      <w:divBdr>
        <w:top w:val="none" w:sz="0" w:space="0" w:color="auto"/>
        <w:left w:val="none" w:sz="0" w:space="0" w:color="auto"/>
        <w:bottom w:val="none" w:sz="0" w:space="0" w:color="auto"/>
        <w:right w:val="none" w:sz="0" w:space="0" w:color="auto"/>
      </w:divBdr>
    </w:div>
    <w:div w:id="1626348103">
      <w:marLeft w:val="0"/>
      <w:marRight w:val="0"/>
      <w:marTop w:val="180"/>
      <w:marBottom w:val="180"/>
      <w:divBdr>
        <w:top w:val="none" w:sz="0" w:space="0" w:color="auto"/>
        <w:left w:val="none" w:sz="0" w:space="0" w:color="auto"/>
        <w:bottom w:val="none" w:sz="0" w:space="0" w:color="auto"/>
        <w:right w:val="none" w:sz="0" w:space="0" w:color="auto"/>
      </w:divBdr>
    </w:div>
    <w:div w:id="1629237698">
      <w:marLeft w:val="0"/>
      <w:marRight w:val="0"/>
      <w:marTop w:val="100"/>
      <w:marBottom w:val="100"/>
      <w:divBdr>
        <w:top w:val="none" w:sz="0" w:space="0" w:color="auto"/>
        <w:left w:val="none" w:sz="0" w:space="0" w:color="auto"/>
        <w:bottom w:val="none" w:sz="0" w:space="0" w:color="auto"/>
        <w:right w:val="none" w:sz="0" w:space="0" w:color="auto"/>
      </w:divBdr>
      <w:divsChild>
        <w:div w:id="454910464">
          <w:marLeft w:val="0"/>
          <w:marRight w:val="0"/>
          <w:marTop w:val="0"/>
          <w:marBottom w:val="0"/>
          <w:divBdr>
            <w:top w:val="none" w:sz="0" w:space="0" w:color="auto"/>
            <w:left w:val="none" w:sz="0" w:space="0" w:color="auto"/>
            <w:bottom w:val="none" w:sz="0" w:space="0" w:color="auto"/>
            <w:right w:val="none" w:sz="0" w:space="0" w:color="auto"/>
          </w:divBdr>
        </w:div>
        <w:div w:id="952830355">
          <w:marLeft w:val="0"/>
          <w:marRight w:val="0"/>
          <w:marTop w:val="0"/>
          <w:marBottom w:val="0"/>
          <w:divBdr>
            <w:top w:val="none" w:sz="0" w:space="0" w:color="auto"/>
            <w:left w:val="none" w:sz="0" w:space="0" w:color="auto"/>
            <w:bottom w:val="none" w:sz="0" w:space="0" w:color="auto"/>
            <w:right w:val="none" w:sz="0" w:space="0" w:color="auto"/>
          </w:divBdr>
        </w:div>
      </w:divsChild>
    </w:div>
    <w:div w:id="1629780005">
      <w:marLeft w:val="0"/>
      <w:marRight w:val="0"/>
      <w:marTop w:val="60"/>
      <w:marBottom w:val="60"/>
      <w:divBdr>
        <w:top w:val="none" w:sz="0" w:space="0" w:color="auto"/>
        <w:left w:val="none" w:sz="0" w:space="0" w:color="auto"/>
        <w:bottom w:val="none" w:sz="0" w:space="0" w:color="auto"/>
        <w:right w:val="none" w:sz="0" w:space="0" w:color="auto"/>
      </w:divBdr>
    </w:div>
    <w:div w:id="1630545829">
      <w:marLeft w:val="0"/>
      <w:marRight w:val="0"/>
      <w:marTop w:val="60"/>
      <w:marBottom w:val="60"/>
      <w:divBdr>
        <w:top w:val="none" w:sz="0" w:space="0" w:color="auto"/>
        <w:left w:val="none" w:sz="0" w:space="0" w:color="auto"/>
        <w:bottom w:val="none" w:sz="0" w:space="0" w:color="auto"/>
        <w:right w:val="none" w:sz="0" w:space="0" w:color="auto"/>
      </w:divBdr>
    </w:div>
    <w:div w:id="1631856700">
      <w:marLeft w:val="0"/>
      <w:marRight w:val="0"/>
      <w:marTop w:val="180"/>
      <w:marBottom w:val="180"/>
      <w:divBdr>
        <w:top w:val="none" w:sz="0" w:space="0" w:color="auto"/>
        <w:left w:val="none" w:sz="0" w:space="0" w:color="auto"/>
        <w:bottom w:val="none" w:sz="0" w:space="0" w:color="auto"/>
        <w:right w:val="none" w:sz="0" w:space="0" w:color="auto"/>
      </w:divBdr>
    </w:div>
    <w:div w:id="1640459453">
      <w:marLeft w:val="0"/>
      <w:marRight w:val="0"/>
      <w:marTop w:val="180"/>
      <w:marBottom w:val="180"/>
      <w:divBdr>
        <w:top w:val="none" w:sz="0" w:space="0" w:color="auto"/>
        <w:left w:val="none" w:sz="0" w:space="0" w:color="auto"/>
        <w:bottom w:val="none" w:sz="0" w:space="0" w:color="auto"/>
        <w:right w:val="none" w:sz="0" w:space="0" w:color="auto"/>
      </w:divBdr>
    </w:div>
    <w:div w:id="1640723110">
      <w:marLeft w:val="0"/>
      <w:marRight w:val="0"/>
      <w:marTop w:val="60"/>
      <w:marBottom w:val="60"/>
      <w:divBdr>
        <w:top w:val="none" w:sz="0" w:space="0" w:color="auto"/>
        <w:left w:val="none" w:sz="0" w:space="0" w:color="auto"/>
        <w:bottom w:val="none" w:sz="0" w:space="0" w:color="auto"/>
        <w:right w:val="none" w:sz="0" w:space="0" w:color="auto"/>
      </w:divBdr>
    </w:div>
    <w:div w:id="1641227776">
      <w:marLeft w:val="0"/>
      <w:marRight w:val="0"/>
      <w:marTop w:val="180"/>
      <w:marBottom w:val="180"/>
      <w:divBdr>
        <w:top w:val="none" w:sz="0" w:space="0" w:color="auto"/>
        <w:left w:val="none" w:sz="0" w:space="0" w:color="auto"/>
        <w:bottom w:val="none" w:sz="0" w:space="0" w:color="auto"/>
        <w:right w:val="none" w:sz="0" w:space="0" w:color="auto"/>
      </w:divBdr>
    </w:div>
    <w:div w:id="1641306621">
      <w:marLeft w:val="0"/>
      <w:marRight w:val="0"/>
      <w:marTop w:val="180"/>
      <w:marBottom w:val="180"/>
      <w:divBdr>
        <w:top w:val="none" w:sz="0" w:space="0" w:color="auto"/>
        <w:left w:val="none" w:sz="0" w:space="0" w:color="auto"/>
        <w:bottom w:val="none" w:sz="0" w:space="0" w:color="auto"/>
        <w:right w:val="none" w:sz="0" w:space="0" w:color="auto"/>
      </w:divBdr>
    </w:div>
    <w:div w:id="1644967510">
      <w:marLeft w:val="0"/>
      <w:marRight w:val="0"/>
      <w:marTop w:val="180"/>
      <w:marBottom w:val="180"/>
      <w:divBdr>
        <w:top w:val="none" w:sz="0" w:space="0" w:color="auto"/>
        <w:left w:val="none" w:sz="0" w:space="0" w:color="auto"/>
        <w:bottom w:val="none" w:sz="0" w:space="0" w:color="auto"/>
        <w:right w:val="none" w:sz="0" w:space="0" w:color="auto"/>
      </w:divBdr>
    </w:div>
    <w:div w:id="1650746976">
      <w:marLeft w:val="0"/>
      <w:marRight w:val="0"/>
      <w:marTop w:val="180"/>
      <w:marBottom w:val="180"/>
      <w:divBdr>
        <w:top w:val="none" w:sz="0" w:space="0" w:color="auto"/>
        <w:left w:val="none" w:sz="0" w:space="0" w:color="auto"/>
        <w:bottom w:val="none" w:sz="0" w:space="0" w:color="auto"/>
        <w:right w:val="none" w:sz="0" w:space="0" w:color="auto"/>
      </w:divBdr>
    </w:div>
    <w:div w:id="1651594590">
      <w:marLeft w:val="0"/>
      <w:marRight w:val="0"/>
      <w:marTop w:val="60"/>
      <w:marBottom w:val="60"/>
      <w:divBdr>
        <w:top w:val="none" w:sz="0" w:space="0" w:color="auto"/>
        <w:left w:val="none" w:sz="0" w:space="0" w:color="auto"/>
        <w:bottom w:val="none" w:sz="0" w:space="0" w:color="auto"/>
        <w:right w:val="none" w:sz="0" w:space="0" w:color="auto"/>
      </w:divBdr>
    </w:div>
    <w:div w:id="1651902207">
      <w:marLeft w:val="0"/>
      <w:marRight w:val="0"/>
      <w:marTop w:val="180"/>
      <w:marBottom w:val="180"/>
      <w:divBdr>
        <w:top w:val="none" w:sz="0" w:space="0" w:color="auto"/>
        <w:left w:val="none" w:sz="0" w:space="0" w:color="auto"/>
        <w:bottom w:val="none" w:sz="0" w:space="0" w:color="auto"/>
        <w:right w:val="none" w:sz="0" w:space="0" w:color="auto"/>
      </w:divBdr>
    </w:div>
    <w:div w:id="1654210853">
      <w:marLeft w:val="0"/>
      <w:marRight w:val="0"/>
      <w:marTop w:val="180"/>
      <w:marBottom w:val="180"/>
      <w:divBdr>
        <w:top w:val="none" w:sz="0" w:space="0" w:color="auto"/>
        <w:left w:val="none" w:sz="0" w:space="0" w:color="auto"/>
        <w:bottom w:val="none" w:sz="0" w:space="0" w:color="auto"/>
        <w:right w:val="none" w:sz="0" w:space="0" w:color="auto"/>
      </w:divBdr>
    </w:div>
    <w:div w:id="1654482280">
      <w:marLeft w:val="0"/>
      <w:marRight w:val="0"/>
      <w:marTop w:val="180"/>
      <w:marBottom w:val="180"/>
      <w:divBdr>
        <w:top w:val="none" w:sz="0" w:space="0" w:color="auto"/>
        <w:left w:val="none" w:sz="0" w:space="0" w:color="auto"/>
        <w:bottom w:val="none" w:sz="0" w:space="0" w:color="auto"/>
        <w:right w:val="none" w:sz="0" w:space="0" w:color="auto"/>
      </w:divBdr>
    </w:div>
    <w:div w:id="1655450044">
      <w:marLeft w:val="0"/>
      <w:marRight w:val="0"/>
      <w:marTop w:val="0"/>
      <w:marBottom w:val="0"/>
      <w:divBdr>
        <w:top w:val="none" w:sz="0" w:space="0" w:color="auto"/>
        <w:left w:val="none" w:sz="0" w:space="0" w:color="auto"/>
        <w:bottom w:val="none" w:sz="0" w:space="0" w:color="auto"/>
        <w:right w:val="none" w:sz="0" w:space="0" w:color="auto"/>
      </w:divBdr>
      <w:divsChild>
        <w:div w:id="877357950">
          <w:marLeft w:val="0"/>
          <w:marRight w:val="0"/>
          <w:marTop w:val="60"/>
          <w:marBottom w:val="60"/>
          <w:divBdr>
            <w:top w:val="none" w:sz="0" w:space="0" w:color="auto"/>
            <w:left w:val="none" w:sz="0" w:space="0" w:color="auto"/>
            <w:bottom w:val="none" w:sz="0" w:space="0" w:color="auto"/>
            <w:right w:val="none" w:sz="0" w:space="0" w:color="auto"/>
          </w:divBdr>
        </w:div>
      </w:divsChild>
    </w:div>
    <w:div w:id="1655524334">
      <w:marLeft w:val="0"/>
      <w:marRight w:val="0"/>
      <w:marTop w:val="180"/>
      <w:marBottom w:val="180"/>
      <w:divBdr>
        <w:top w:val="none" w:sz="0" w:space="0" w:color="auto"/>
        <w:left w:val="none" w:sz="0" w:space="0" w:color="auto"/>
        <w:bottom w:val="none" w:sz="0" w:space="0" w:color="auto"/>
        <w:right w:val="none" w:sz="0" w:space="0" w:color="auto"/>
      </w:divBdr>
    </w:div>
    <w:div w:id="1656031219">
      <w:marLeft w:val="0"/>
      <w:marRight w:val="0"/>
      <w:marTop w:val="180"/>
      <w:marBottom w:val="180"/>
      <w:divBdr>
        <w:top w:val="none" w:sz="0" w:space="0" w:color="auto"/>
        <w:left w:val="none" w:sz="0" w:space="0" w:color="auto"/>
        <w:bottom w:val="none" w:sz="0" w:space="0" w:color="auto"/>
        <w:right w:val="none" w:sz="0" w:space="0" w:color="auto"/>
      </w:divBdr>
    </w:div>
    <w:div w:id="1656645152">
      <w:marLeft w:val="0"/>
      <w:marRight w:val="0"/>
      <w:marTop w:val="60"/>
      <w:marBottom w:val="0"/>
      <w:divBdr>
        <w:top w:val="none" w:sz="0" w:space="0" w:color="auto"/>
        <w:left w:val="none" w:sz="0" w:space="0" w:color="auto"/>
        <w:bottom w:val="none" w:sz="0" w:space="0" w:color="auto"/>
        <w:right w:val="none" w:sz="0" w:space="0" w:color="auto"/>
      </w:divBdr>
    </w:div>
    <w:div w:id="1656715019">
      <w:marLeft w:val="0"/>
      <w:marRight w:val="0"/>
      <w:marTop w:val="0"/>
      <w:marBottom w:val="0"/>
      <w:divBdr>
        <w:top w:val="none" w:sz="0" w:space="0" w:color="auto"/>
        <w:left w:val="none" w:sz="0" w:space="0" w:color="auto"/>
        <w:bottom w:val="none" w:sz="0" w:space="0" w:color="auto"/>
        <w:right w:val="none" w:sz="0" w:space="0" w:color="auto"/>
      </w:divBdr>
      <w:divsChild>
        <w:div w:id="640232544">
          <w:marLeft w:val="0"/>
          <w:marRight w:val="0"/>
          <w:marTop w:val="0"/>
          <w:marBottom w:val="0"/>
          <w:divBdr>
            <w:top w:val="none" w:sz="0" w:space="0" w:color="auto"/>
            <w:left w:val="none" w:sz="0" w:space="0" w:color="auto"/>
            <w:bottom w:val="none" w:sz="0" w:space="0" w:color="auto"/>
            <w:right w:val="none" w:sz="0" w:space="0" w:color="auto"/>
          </w:divBdr>
          <w:divsChild>
            <w:div w:id="1195409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8805849">
      <w:marLeft w:val="0"/>
      <w:marRight w:val="0"/>
      <w:marTop w:val="180"/>
      <w:marBottom w:val="180"/>
      <w:divBdr>
        <w:top w:val="none" w:sz="0" w:space="0" w:color="auto"/>
        <w:left w:val="none" w:sz="0" w:space="0" w:color="auto"/>
        <w:bottom w:val="none" w:sz="0" w:space="0" w:color="auto"/>
        <w:right w:val="none" w:sz="0" w:space="0" w:color="auto"/>
      </w:divBdr>
    </w:div>
    <w:div w:id="1659918504">
      <w:marLeft w:val="0"/>
      <w:marRight w:val="0"/>
      <w:marTop w:val="180"/>
      <w:marBottom w:val="180"/>
      <w:divBdr>
        <w:top w:val="none" w:sz="0" w:space="0" w:color="auto"/>
        <w:left w:val="none" w:sz="0" w:space="0" w:color="auto"/>
        <w:bottom w:val="none" w:sz="0" w:space="0" w:color="auto"/>
        <w:right w:val="none" w:sz="0" w:space="0" w:color="auto"/>
      </w:divBdr>
    </w:div>
    <w:div w:id="1660957069">
      <w:marLeft w:val="0"/>
      <w:marRight w:val="0"/>
      <w:marTop w:val="180"/>
      <w:marBottom w:val="180"/>
      <w:divBdr>
        <w:top w:val="none" w:sz="0" w:space="0" w:color="auto"/>
        <w:left w:val="none" w:sz="0" w:space="0" w:color="auto"/>
        <w:bottom w:val="none" w:sz="0" w:space="0" w:color="auto"/>
        <w:right w:val="none" w:sz="0" w:space="0" w:color="auto"/>
      </w:divBdr>
    </w:div>
    <w:div w:id="1661303916">
      <w:marLeft w:val="0"/>
      <w:marRight w:val="0"/>
      <w:marTop w:val="0"/>
      <w:marBottom w:val="0"/>
      <w:divBdr>
        <w:top w:val="none" w:sz="0" w:space="0" w:color="auto"/>
        <w:left w:val="none" w:sz="0" w:space="0" w:color="auto"/>
        <w:bottom w:val="none" w:sz="0" w:space="0" w:color="auto"/>
        <w:right w:val="none" w:sz="0" w:space="0" w:color="auto"/>
      </w:divBdr>
    </w:div>
    <w:div w:id="1661470792">
      <w:marLeft w:val="0"/>
      <w:marRight w:val="0"/>
      <w:marTop w:val="0"/>
      <w:marBottom w:val="0"/>
      <w:divBdr>
        <w:top w:val="none" w:sz="0" w:space="0" w:color="auto"/>
        <w:left w:val="none" w:sz="0" w:space="0" w:color="auto"/>
        <w:bottom w:val="none" w:sz="0" w:space="0" w:color="auto"/>
        <w:right w:val="none" w:sz="0" w:space="0" w:color="auto"/>
      </w:divBdr>
      <w:divsChild>
        <w:div w:id="1786726674">
          <w:marLeft w:val="0"/>
          <w:marRight w:val="0"/>
          <w:marTop w:val="0"/>
          <w:marBottom w:val="0"/>
          <w:divBdr>
            <w:top w:val="none" w:sz="0" w:space="0" w:color="auto"/>
            <w:left w:val="none" w:sz="0" w:space="0" w:color="auto"/>
            <w:bottom w:val="none" w:sz="0" w:space="0" w:color="auto"/>
            <w:right w:val="none" w:sz="0" w:space="0" w:color="auto"/>
          </w:divBdr>
          <w:divsChild>
            <w:div w:id="20124149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4049108">
      <w:marLeft w:val="0"/>
      <w:marRight w:val="0"/>
      <w:marTop w:val="60"/>
      <w:marBottom w:val="60"/>
      <w:divBdr>
        <w:top w:val="none" w:sz="0" w:space="0" w:color="auto"/>
        <w:left w:val="none" w:sz="0" w:space="0" w:color="auto"/>
        <w:bottom w:val="none" w:sz="0" w:space="0" w:color="auto"/>
        <w:right w:val="none" w:sz="0" w:space="0" w:color="auto"/>
      </w:divBdr>
    </w:div>
    <w:div w:id="1664120385">
      <w:marLeft w:val="0"/>
      <w:marRight w:val="0"/>
      <w:marTop w:val="0"/>
      <w:marBottom w:val="0"/>
      <w:divBdr>
        <w:top w:val="none" w:sz="0" w:space="0" w:color="auto"/>
        <w:left w:val="none" w:sz="0" w:space="0" w:color="auto"/>
        <w:bottom w:val="none" w:sz="0" w:space="0" w:color="auto"/>
        <w:right w:val="none" w:sz="0" w:space="0" w:color="auto"/>
      </w:divBdr>
    </w:div>
    <w:div w:id="1665204560">
      <w:marLeft w:val="0"/>
      <w:marRight w:val="0"/>
      <w:marTop w:val="0"/>
      <w:marBottom w:val="0"/>
      <w:divBdr>
        <w:top w:val="none" w:sz="0" w:space="0" w:color="auto"/>
        <w:left w:val="none" w:sz="0" w:space="0" w:color="auto"/>
        <w:bottom w:val="none" w:sz="0" w:space="0" w:color="auto"/>
        <w:right w:val="none" w:sz="0" w:space="0" w:color="auto"/>
      </w:divBdr>
    </w:div>
    <w:div w:id="1669090362">
      <w:marLeft w:val="0"/>
      <w:marRight w:val="0"/>
      <w:marTop w:val="180"/>
      <w:marBottom w:val="60"/>
      <w:divBdr>
        <w:top w:val="none" w:sz="0" w:space="0" w:color="auto"/>
        <w:left w:val="none" w:sz="0" w:space="0" w:color="auto"/>
        <w:bottom w:val="none" w:sz="0" w:space="0" w:color="auto"/>
        <w:right w:val="none" w:sz="0" w:space="0" w:color="auto"/>
      </w:divBdr>
    </w:div>
    <w:div w:id="1669822808">
      <w:marLeft w:val="0"/>
      <w:marRight w:val="0"/>
      <w:marTop w:val="180"/>
      <w:marBottom w:val="180"/>
      <w:divBdr>
        <w:top w:val="none" w:sz="0" w:space="0" w:color="auto"/>
        <w:left w:val="none" w:sz="0" w:space="0" w:color="auto"/>
        <w:bottom w:val="none" w:sz="0" w:space="0" w:color="auto"/>
        <w:right w:val="none" w:sz="0" w:space="0" w:color="auto"/>
      </w:divBdr>
    </w:div>
    <w:div w:id="1671561859">
      <w:marLeft w:val="0"/>
      <w:marRight w:val="0"/>
      <w:marTop w:val="60"/>
      <w:marBottom w:val="60"/>
      <w:divBdr>
        <w:top w:val="none" w:sz="0" w:space="0" w:color="auto"/>
        <w:left w:val="none" w:sz="0" w:space="0" w:color="auto"/>
        <w:bottom w:val="none" w:sz="0" w:space="0" w:color="auto"/>
        <w:right w:val="none" w:sz="0" w:space="0" w:color="auto"/>
      </w:divBdr>
    </w:div>
    <w:div w:id="1672102975">
      <w:marLeft w:val="0"/>
      <w:marRight w:val="0"/>
      <w:marTop w:val="180"/>
      <w:marBottom w:val="180"/>
      <w:divBdr>
        <w:top w:val="none" w:sz="0" w:space="0" w:color="auto"/>
        <w:left w:val="none" w:sz="0" w:space="0" w:color="auto"/>
        <w:bottom w:val="none" w:sz="0" w:space="0" w:color="auto"/>
        <w:right w:val="none" w:sz="0" w:space="0" w:color="auto"/>
      </w:divBdr>
    </w:div>
    <w:div w:id="1672683018">
      <w:marLeft w:val="0"/>
      <w:marRight w:val="0"/>
      <w:marTop w:val="0"/>
      <w:marBottom w:val="0"/>
      <w:divBdr>
        <w:top w:val="none" w:sz="0" w:space="0" w:color="auto"/>
        <w:left w:val="none" w:sz="0" w:space="0" w:color="auto"/>
        <w:bottom w:val="none" w:sz="0" w:space="0" w:color="auto"/>
        <w:right w:val="none" w:sz="0" w:space="0" w:color="auto"/>
      </w:divBdr>
      <w:divsChild>
        <w:div w:id="386536295">
          <w:marLeft w:val="0"/>
          <w:marRight w:val="0"/>
          <w:marTop w:val="0"/>
          <w:marBottom w:val="0"/>
          <w:divBdr>
            <w:top w:val="none" w:sz="0" w:space="0" w:color="auto"/>
            <w:left w:val="none" w:sz="0" w:space="0" w:color="auto"/>
            <w:bottom w:val="none" w:sz="0" w:space="0" w:color="auto"/>
            <w:right w:val="none" w:sz="0" w:space="0" w:color="auto"/>
          </w:divBdr>
          <w:divsChild>
            <w:div w:id="14644272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3337947">
      <w:marLeft w:val="0"/>
      <w:marRight w:val="0"/>
      <w:marTop w:val="180"/>
      <w:marBottom w:val="180"/>
      <w:divBdr>
        <w:top w:val="none" w:sz="0" w:space="0" w:color="auto"/>
        <w:left w:val="none" w:sz="0" w:space="0" w:color="auto"/>
        <w:bottom w:val="none" w:sz="0" w:space="0" w:color="auto"/>
        <w:right w:val="none" w:sz="0" w:space="0" w:color="auto"/>
      </w:divBdr>
    </w:div>
    <w:div w:id="1673678230">
      <w:marLeft w:val="0"/>
      <w:marRight w:val="0"/>
      <w:marTop w:val="60"/>
      <w:marBottom w:val="60"/>
      <w:divBdr>
        <w:top w:val="none" w:sz="0" w:space="0" w:color="auto"/>
        <w:left w:val="none" w:sz="0" w:space="0" w:color="auto"/>
        <w:bottom w:val="none" w:sz="0" w:space="0" w:color="auto"/>
        <w:right w:val="none" w:sz="0" w:space="0" w:color="auto"/>
      </w:divBdr>
    </w:div>
    <w:div w:id="1674455586">
      <w:marLeft w:val="0"/>
      <w:marRight w:val="0"/>
      <w:marTop w:val="180"/>
      <w:marBottom w:val="60"/>
      <w:divBdr>
        <w:top w:val="none" w:sz="0" w:space="0" w:color="auto"/>
        <w:left w:val="none" w:sz="0" w:space="0" w:color="auto"/>
        <w:bottom w:val="none" w:sz="0" w:space="0" w:color="auto"/>
        <w:right w:val="none" w:sz="0" w:space="0" w:color="auto"/>
      </w:divBdr>
    </w:div>
    <w:div w:id="1674796630">
      <w:marLeft w:val="0"/>
      <w:marRight w:val="0"/>
      <w:marTop w:val="180"/>
      <w:marBottom w:val="180"/>
      <w:divBdr>
        <w:top w:val="none" w:sz="0" w:space="0" w:color="auto"/>
        <w:left w:val="none" w:sz="0" w:space="0" w:color="auto"/>
        <w:bottom w:val="none" w:sz="0" w:space="0" w:color="auto"/>
        <w:right w:val="none" w:sz="0" w:space="0" w:color="auto"/>
      </w:divBdr>
    </w:div>
    <w:div w:id="1676034677">
      <w:marLeft w:val="0"/>
      <w:marRight w:val="0"/>
      <w:marTop w:val="0"/>
      <w:marBottom w:val="0"/>
      <w:divBdr>
        <w:top w:val="none" w:sz="0" w:space="0" w:color="auto"/>
        <w:left w:val="none" w:sz="0" w:space="0" w:color="auto"/>
        <w:bottom w:val="none" w:sz="0" w:space="0" w:color="auto"/>
        <w:right w:val="none" w:sz="0" w:space="0" w:color="auto"/>
      </w:divBdr>
    </w:div>
    <w:div w:id="1676566832">
      <w:marLeft w:val="0"/>
      <w:marRight w:val="0"/>
      <w:marTop w:val="100"/>
      <w:marBottom w:val="100"/>
      <w:divBdr>
        <w:top w:val="none" w:sz="0" w:space="0" w:color="auto"/>
        <w:left w:val="none" w:sz="0" w:space="0" w:color="auto"/>
        <w:bottom w:val="none" w:sz="0" w:space="0" w:color="auto"/>
        <w:right w:val="none" w:sz="0" w:space="0" w:color="auto"/>
      </w:divBdr>
    </w:div>
    <w:div w:id="1678075298">
      <w:marLeft w:val="0"/>
      <w:marRight w:val="0"/>
      <w:marTop w:val="180"/>
      <w:marBottom w:val="180"/>
      <w:divBdr>
        <w:top w:val="none" w:sz="0" w:space="0" w:color="auto"/>
        <w:left w:val="none" w:sz="0" w:space="0" w:color="auto"/>
        <w:bottom w:val="none" w:sz="0" w:space="0" w:color="auto"/>
        <w:right w:val="none" w:sz="0" w:space="0" w:color="auto"/>
      </w:divBdr>
    </w:div>
    <w:div w:id="1678380305">
      <w:marLeft w:val="0"/>
      <w:marRight w:val="0"/>
      <w:marTop w:val="0"/>
      <w:marBottom w:val="0"/>
      <w:divBdr>
        <w:top w:val="none" w:sz="0" w:space="0" w:color="auto"/>
        <w:left w:val="none" w:sz="0" w:space="0" w:color="auto"/>
        <w:bottom w:val="none" w:sz="0" w:space="0" w:color="auto"/>
        <w:right w:val="none" w:sz="0" w:space="0" w:color="auto"/>
      </w:divBdr>
    </w:div>
    <w:div w:id="1680621529">
      <w:marLeft w:val="0"/>
      <w:marRight w:val="0"/>
      <w:marTop w:val="0"/>
      <w:marBottom w:val="0"/>
      <w:divBdr>
        <w:top w:val="none" w:sz="0" w:space="0" w:color="auto"/>
        <w:left w:val="none" w:sz="0" w:space="0" w:color="auto"/>
        <w:bottom w:val="none" w:sz="0" w:space="0" w:color="auto"/>
        <w:right w:val="none" w:sz="0" w:space="0" w:color="auto"/>
      </w:divBdr>
      <w:divsChild>
        <w:div w:id="1064984445">
          <w:marLeft w:val="0"/>
          <w:marRight w:val="0"/>
          <w:marTop w:val="60"/>
          <w:marBottom w:val="60"/>
          <w:divBdr>
            <w:top w:val="none" w:sz="0" w:space="0" w:color="auto"/>
            <w:left w:val="none" w:sz="0" w:space="0" w:color="auto"/>
            <w:bottom w:val="none" w:sz="0" w:space="0" w:color="auto"/>
            <w:right w:val="none" w:sz="0" w:space="0" w:color="auto"/>
          </w:divBdr>
        </w:div>
      </w:divsChild>
    </w:div>
    <w:div w:id="1680965058">
      <w:marLeft w:val="0"/>
      <w:marRight w:val="0"/>
      <w:marTop w:val="180"/>
      <w:marBottom w:val="60"/>
      <w:divBdr>
        <w:top w:val="none" w:sz="0" w:space="0" w:color="auto"/>
        <w:left w:val="none" w:sz="0" w:space="0" w:color="auto"/>
        <w:bottom w:val="none" w:sz="0" w:space="0" w:color="auto"/>
        <w:right w:val="none" w:sz="0" w:space="0" w:color="auto"/>
      </w:divBdr>
    </w:div>
    <w:div w:id="1683900494">
      <w:marLeft w:val="0"/>
      <w:marRight w:val="0"/>
      <w:marTop w:val="180"/>
      <w:marBottom w:val="180"/>
      <w:divBdr>
        <w:top w:val="none" w:sz="0" w:space="0" w:color="auto"/>
        <w:left w:val="none" w:sz="0" w:space="0" w:color="auto"/>
        <w:bottom w:val="none" w:sz="0" w:space="0" w:color="auto"/>
        <w:right w:val="none" w:sz="0" w:space="0" w:color="auto"/>
      </w:divBdr>
    </w:div>
    <w:div w:id="1683970886">
      <w:marLeft w:val="0"/>
      <w:marRight w:val="0"/>
      <w:marTop w:val="180"/>
      <w:marBottom w:val="180"/>
      <w:divBdr>
        <w:top w:val="none" w:sz="0" w:space="0" w:color="auto"/>
        <w:left w:val="none" w:sz="0" w:space="0" w:color="auto"/>
        <w:bottom w:val="none" w:sz="0" w:space="0" w:color="auto"/>
        <w:right w:val="none" w:sz="0" w:space="0" w:color="auto"/>
      </w:divBdr>
    </w:div>
    <w:div w:id="1685281793">
      <w:marLeft w:val="0"/>
      <w:marRight w:val="0"/>
      <w:marTop w:val="60"/>
      <w:marBottom w:val="60"/>
      <w:divBdr>
        <w:top w:val="none" w:sz="0" w:space="0" w:color="auto"/>
        <w:left w:val="none" w:sz="0" w:space="0" w:color="auto"/>
        <w:bottom w:val="none" w:sz="0" w:space="0" w:color="auto"/>
        <w:right w:val="none" w:sz="0" w:space="0" w:color="auto"/>
      </w:divBdr>
    </w:div>
    <w:div w:id="1685401988">
      <w:marLeft w:val="0"/>
      <w:marRight w:val="0"/>
      <w:marTop w:val="0"/>
      <w:marBottom w:val="0"/>
      <w:divBdr>
        <w:top w:val="none" w:sz="0" w:space="0" w:color="auto"/>
        <w:left w:val="none" w:sz="0" w:space="0" w:color="auto"/>
        <w:bottom w:val="none" w:sz="0" w:space="0" w:color="auto"/>
        <w:right w:val="none" w:sz="0" w:space="0" w:color="auto"/>
      </w:divBdr>
      <w:divsChild>
        <w:div w:id="937567511">
          <w:marLeft w:val="0"/>
          <w:marRight w:val="0"/>
          <w:marTop w:val="0"/>
          <w:marBottom w:val="0"/>
          <w:divBdr>
            <w:top w:val="none" w:sz="0" w:space="0" w:color="auto"/>
            <w:left w:val="none" w:sz="0" w:space="0" w:color="auto"/>
            <w:bottom w:val="none" w:sz="0" w:space="0" w:color="auto"/>
            <w:right w:val="none" w:sz="0" w:space="0" w:color="auto"/>
          </w:divBdr>
          <w:divsChild>
            <w:div w:id="9978798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86059115">
      <w:marLeft w:val="0"/>
      <w:marRight w:val="0"/>
      <w:marTop w:val="0"/>
      <w:marBottom w:val="60"/>
      <w:divBdr>
        <w:top w:val="none" w:sz="0" w:space="0" w:color="auto"/>
        <w:left w:val="none" w:sz="0" w:space="0" w:color="auto"/>
        <w:bottom w:val="none" w:sz="0" w:space="0" w:color="auto"/>
        <w:right w:val="none" w:sz="0" w:space="0" w:color="auto"/>
      </w:divBdr>
    </w:div>
    <w:div w:id="1688948308">
      <w:marLeft w:val="0"/>
      <w:marRight w:val="0"/>
      <w:marTop w:val="0"/>
      <w:marBottom w:val="0"/>
      <w:divBdr>
        <w:top w:val="none" w:sz="0" w:space="0" w:color="auto"/>
        <w:left w:val="none" w:sz="0" w:space="0" w:color="auto"/>
        <w:bottom w:val="none" w:sz="0" w:space="0" w:color="auto"/>
        <w:right w:val="none" w:sz="0" w:space="0" w:color="auto"/>
      </w:divBdr>
    </w:div>
    <w:div w:id="1689791034">
      <w:marLeft w:val="0"/>
      <w:marRight w:val="0"/>
      <w:marTop w:val="180"/>
      <w:marBottom w:val="180"/>
      <w:divBdr>
        <w:top w:val="none" w:sz="0" w:space="0" w:color="auto"/>
        <w:left w:val="none" w:sz="0" w:space="0" w:color="auto"/>
        <w:bottom w:val="none" w:sz="0" w:space="0" w:color="auto"/>
        <w:right w:val="none" w:sz="0" w:space="0" w:color="auto"/>
      </w:divBdr>
    </w:div>
    <w:div w:id="1690721959">
      <w:marLeft w:val="0"/>
      <w:marRight w:val="0"/>
      <w:marTop w:val="180"/>
      <w:marBottom w:val="180"/>
      <w:divBdr>
        <w:top w:val="none" w:sz="0" w:space="0" w:color="auto"/>
        <w:left w:val="none" w:sz="0" w:space="0" w:color="auto"/>
        <w:bottom w:val="none" w:sz="0" w:space="0" w:color="auto"/>
        <w:right w:val="none" w:sz="0" w:space="0" w:color="auto"/>
      </w:divBdr>
    </w:div>
    <w:div w:id="1693146178">
      <w:marLeft w:val="0"/>
      <w:marRight w:val="0"/>
      <w:marTop w:val="60"/>
      <w:marBottom w:val="60"/>
      <w:divBdr>
        <w:top w:val="none" w:sz="0" w:space="0" w:color="auto"/>
        <w:left w:val="none" w:sz="0" w:space="0" w:color="auto"/>
        <w:bottom w:val="none" w:sz="0" w:space="0" w:color="auto"/>
        <w:right w:val="none" w:sz="0" w:space="0" w:color="auto"/>
      </w:divBdr>
    </w:div>
    <w:div w:id="1697123925">
      <w:marLeft w:val="0"/>
      <w:marRight w:val="0"/>
      <w:marTop w:val="180"/>
      <w:marBottom w:val="180"/>
      <w:divBdr>
        <w:top w:val="none" w:sz="0" w:space="0" w:color="auto"/>
        <w:left w:val="none" w:sz="0" w:space="0" w:color="auto"/>
        <w:bottom w:val="none" w:sz="0" w:space="0" w:color="auto"/>
        <w:right w:val="none" w:sz="0" w:space="0" w:color="auto"/>
      </w:divBdr>
    </w:div>
    <w:div w:id="1698503171">
      <w:marLeft w:val="0"/>
      <w:marRight w:val="0"/>
      <w:marTop w:val="60"/>
      <w:marBottom w:val="60"/>
      <w:divBdr>
        <w:top w:val="none" w:sz="0" w:space="0" w:color="auto"/>
        <w:left w:val="none" w:sz="0" w:space="0" w:color="auto"/>
        <w:bottom w:val="none" w:sz="0" w:space="0" w:color="auto"/>
        <w:right w:val="none" w:sz="0" w:space="0" w:color="auto"/>
      </w:divBdr>
    </w:div>
    <w:div w:id="1700206610">
      <w:marLeft w:val="0"/>
      <w:marRight w:val="0"/>
      <w:marTop w:val="180"/>
      <w:marBottom w:val="180"/>
      <w:divBdr>
        <w:top w:val="none" w:sz="0" w:space="0" w:color="auto"/>
        <w:left w:val="none" w:sz="0" w:space="0" w:color="auto"/>
        <w:bottom w:val="none" w:sz="0" w:space="0" w:color="auto"/>
        <w:right w:val="none" w:sz="0" w:space="0" w:color="auto"/>
      </w:divBdr>
    </w:div>
    <w:div w:id="1704288806">
      <w:marLeft w:val="0"/>
      <w:marRight w:val="0"/>
      <w:marTop w:val="180"/>
      <w:marBottom w:val="180"/>
      <w:divBdr>
        <w:top w:val="none" w:sz="0" w:space="0" w:color="auto"/>
        <w:left w:val="none" w:sz="0" w:space="0" w:color="auto"/>
        <w:bottom w:val="none" w:sz="0" w:space="0" w:color="auto"/>
        <w:right w:val="none" w:sz="0" w:space="0" w:color="auto"/>
      </w:divBdr>
    </w:div>
    <w:div w:id="1707026581">
      <w:marLeft w:val="0"/>
      <w:marRight w:val="0"/>
      <w:marTop w:val="100"/>
      <w:marBottom w:val="100"/>
      <w:divBdr>
        <w:top w:val="none" w:sz="0" w:space="0" w:color="auto"/>
        <w:left w:val="none" w:sz="0" w:space="0" w:color="auto"/>
        <w:bottom w:val="none" w:sz="0" w:space="0" w:color="auto"/>
        <w:right w:val="none" w:sz="0" w:space="0" w:color="auto"/>
      </w:divBdr>
      <w:divsChild>
        <w:div w:id="1573269914">
          <w:marLeft w:val="0"/>
          <w:marRight w:val="0"/>
          <w:marTop w:val="0"/>
          <w:marBottom w:val="0"/>
          <w:divBdr>
            <w:top w:val="none" w:sz="0" w:space="0" w:color="auto"/>
            <w:left w:val="none" w:sz="0" w:space="0" w:color="auto"/>
            <w:bottom w:val="none" w:sz="0" w:space="0" w:color="auto"/>
            <w:right w:val="none" w:sz="0" w:space="0" w:color="auto"/>
          </w:divBdr>
        </w:div>
        <w:div w:id="2088961274">
          <w:marLeft w:val="0"/>
          <w:marRight w:val="0"/>
          <w:marTop w:val="0"/>
          <w:marBottom w:val="0"/>
          <w:divBdr>
            <w:top w:val="none" w:sz="0" w:space="0" w:color="auto"/>
            <w:left w:val="none" w:sz="0" w:space="0" w:color="auto"/>
            <w:bottom w:val="none" w:sz="0" w:space="0" w:color="auto"/>
            <w:right w:val="none" w:sz="0" w:space="0" w:color="auto"/>
          </w:divBdr>
        </w:div>
        <w:div w:id="2128116771">
          <w:marLeft w:val="0"/>
          <w:marRight w:val="0"/>
          <w:marTop w:val="0"/>
          <w:marBottom w:val="0"/>
          <w:divBdr>
            <w:top w:val="none" w:sz="0" w:space="0" w:color="auto"/>
            <w:left w:val="none" w:sz="0" w:space="0" w:color="auto"/>
            <w:bottom w:val="none" w:sz="0" w:space="0" w:color="auto"/>
            <w:right w:val="none" w:sz="0" w:space="0" w:color="auto"/>
          </w:divBdr>
        </w:div>
      </w:divsChild>
    </w:div>
    <w:div w:id="1707483889">
      <w:marLeft w:val="0"/>
      <w:marRight w:val="0"/>
      <w:marTop w:val="240"/>
      <w:marBottom w:val="180"/>
      <w:divBdr>
        <w:top w:val="none" w:sz="0" w:space="0" w:color="auto"/>
        <w:left w:val="none" w:sz="0" w:space="0" w:color="auto"/>
        <w:bottom w:val="none" w:sz="0" w:space="0" w:color="auto"/>
        <w:right w:val="none" w:sz="0" w:space="0" w:color="auto"/>
      </w:divBdr>
    </w:div>
    <w:div w:id="1707951480">
      <w:marLeft w:val="0"/>
      <w:marRight w:val="0"/>
      <w:marTop w:val="0"/>
      <w:marBottom w:val="0"/>
      <w:divBdr>
        <w:top w:val="none" w:sz="0" w:space="0" w:color="auto"/>
        <w:left w:val="none" w:sz="0" w:space="0" w:color="auto"/>
        <w:bottom w:val="none" w:sz="0" w:space="0" w:color="auto"/>
        <w:right w:val="none" w:sz="0" w:space="0" w:color="auto"/>
      </w:divBdr>
      <w:divsChild>
        <w:div w:id="1096437798">
          <w:marLeft w:val="0"/>
          <w:marRight w:val="0"/>
          <w:marTop w:val="0"/>
          <w:marBottom w:val="0"/>
          <w:divBdr>
            <w:top w:val="none" w:sz="0" w:space="0" w:color="auto"/>
            <w:left w:val="none" w:sz="0" w:space="0" w:color="auto"/>
            <w:bottom w:val="none" w:sz="0" w:space="0" w:color="auto"/>
            <w:right w:val="none" w:sz="0" w:space="0" w:color="auto"/>
          </w:divBdr>
          <w:divsChild>
            <w:div w:id="1226182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8946703">
      <w:marLeft w:val="0"/>
      <w:marRight w:val="0"/>
      <w:marTop w:val="180"/>
      <w:marBottom w:val="180"/>
      <w:divBdr>
        <w:top w:val="none" w:sz="0" w:space="0" w:color="auto"/>
        <w:left w:val="none" w:sz="0" w:space="0" w:color="auto"/>
        <w:bottom w:val="none" w:sz="0" w:space="0" w:color="auto"/>
        <w:right w:val="none" w:sz="0" w:space="0" w:color="auto"/>
      </w:divBdr>
    </w:div>
    <w:div w:id="1710377410">
      <w:marLeft w:val="0"/>
      <w:marRight w:val="0"/>
      <w:marTop w:val="180"/>
      <w:marBottom w:val="180"/>
      <w:divBdr>
        <w:top w:val="none" w:sz="0" w:space="0" w:color="auto"/>
        <w:left w:val="none" w:sz="0" w:space="0" w:color="auto"/>
        <w:bottom w:val="none" w:sz="0" w:space="0" w:color="auto"/>
        <w:right w:val="none" w:sz="0" w:space="0" w:color="auto"/>
      </w:divBdr>
    </w:div>
    <w:div w:id="1711110235">
      <w:marLeft w:val="0"/>
      <w:marRight w:val="0"/>
      <w:marTop w:val="180"/>
      <w:marBottom w:val="180"/>
      <w:divBdr>
        <w:top w:val="none" w:sz="0" w:space="0" w:color="auto"/>
        <w:left w:val="none" w:sz="0" w:space="0" w:color="auto"/>
        <w:bottom w:val="none" w:sz="0" w:space="0" w:color="auto"/>
        <w:right w:val="none" w:sz="0" w:space="0" w:color="auto"/>
      </w:divBdr>
    </w:div>
    <w:div w:id="1711539195">
      <w:marLeft w:val="0"/>
      <w:marRight w:val="0"/>
      <w:marTop w:val="0"/>
      <w:marBottom w:val="0"/>
      <w:divBdr>
        <w:top w:val="none" w:sz="0" w:space="0" w:color="auto"/>
        <w:left w:val="none" w:sz="0" w:space="0" w:color="auto"/>
        <w:bottom w:val="none" w:sz="0" w:space="0" w:color="auto"/>
        <w:right w:val="none" w:sz="0" w:space="0" w:color="auto"/>
      </w:divBdr>
    </w:div>
    <w:div w:id="1713381004">
      <w:marLeft w:val="0"/>
      <w:marRight w:val="0"/>
      <w:marTop w:val="0"/>
      <w:marBottom w:val="0"/>
      <w:divBdr>
        <w:top w:val="none" w:sz="0" w:space="0" w:color="auto"/>
        <w:left w:val="none" w:sz="0" w:space="0" w:color="auto"/>
        <w:bottom w:val="none" w:sz="0" w:space="0" w:color="auto"/>
        <w:right w:val="none" w:sz="0" w:space="0" w:color="auto"/>
      </w:divBdr>
      <w:divsChild>
        <w:div w:id="462619727">
          <w:marLeft w:val="0"/>
          <w:marRight w:val="0"/>
          <w:marTop w:val="0"/>
          <w:marBottom w:val="0"/>
          <w:divBdr>
            <w:top w:val="none" w:sz="0" w:space="0" w:color="auto"/>
            <w:left w:val="none" w:sz="0" w:space="0" w:color="auto"/>
            <w:bottom w:val="none" w:sz="0" w:space="0" w:color="auto"/>
            <w:right w:val="none" w:sz="0" w:space="0" w:color="auto"/>
          </w:divBdr>
          <w:divsChild>
            <w:div w:id="5841953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13655400">
      <w:marLeft w:val="0"/>
      <w:marRight w:val="0"/>
      <w:marTop w:val="180"/>
      <w:marBottom w:val="180"/>
      <w:divBdr>
        <w:top w:val="none" w:sz="0" w:space="0" w:color="auto"/>
        <w:left w:val="none" w:sz="0" w:space="0" w:color="auto"/>
        <w:bottom w:val="none" w:sz="0" w:space="0" w:color="auto"/>
        <w:right w:val="none" w:sz="0" w:space="0" w:color="auto"/>
      </w:divBdr>
    </w:div>
    <w:div w:id="1716273360">
      <w:marLeft w:val="0"/>
      <w:marRight w:val="0"/>
      <w:marTop w:val="180"/>
      <w:marBottom w:val="180"/>
      <w:divBdr>
        <w:top w:val="none" w:sz="0" w:space="0" w:color="auto"/>
        <w:left w:val="none" w:sz="0" w:space="0" w:color="auto"/>
        <w:bottom w:val="none" w:sz="0" w:space="0" w:color="auto"/>
        <w:right w:val="none" w:sz="0" w:space="0" w:color="auto"/>
      </w:divBdr>
    </w:div>
    <w:div w:id="1716848266">
      <w:marLeft w:val="0"/>
      <w:marRight w:val="0"/>
      <w:marTop w:val="100"/>
      <w:marBottom w:val="180"/>
      <w:divBdr>
        <w:top w:val="none" w:sz="0" w:space="0" w:color="auto"/>
        <w:left w:val="none" w:sz="0" w:space="0" w:color="auto"/>
        <w:bottom w:val="none" w:sz="0" w:space="0" w:color="auto"/>
        <w:right w:val="none" w:sz="0" w:space="0" w:color="auto"/>
      </w:divBdr>
    </w:div>
    <w:div w:id="1717898843">
      <w:marLeft w:val="0"/>
      <w:marRight w:val="0"/>
      <w:marTop w:val="180"/>
      <w:marBottom w:val="180"/>
      <w:divBdr>
        <w:top w:val="none" w:sz="0" w:space="0" w:color="auto"/>
        <w:left w:val="none" w:sz="0" w:space="0" w:color="auto"/>
        <w:bottom w:val="none" w:sz="0" w:space="0" w:color="auto"/>
        <w:right w:val="none" w:sz="0" w:space="0" w:color="auto"/>
      </w:divBdr>
    </w:div>
    <w:div w:id="1720284389">
      <w:marLeft w:val="0"/>
      <w:marRight w:val="0"/>
      <w:marTop w:val="180"/>
      <w:marBottom w:val="60"/>
      <w:divBdr>
        <w:top w:val="none" w:sz="0" w:space="0" w:color="auto"/>
        <w:left w:val="none" w:sz="0" w:space="0" w:color="auto"/>
        <w:bottom w:val="none" w:sz="0" w:space="0" w:color="auto"/>
        <w:right w:val="none" w:sz="0" w:space="0" w:color="auto"/>
      </w:divBdr>
    </w:div>
    <w:div w:id="1721052337">
      <w:marLeft w:val="0"/>
      <w:marRight w:val="0"/>
      <w:marTop w:val="180"/>
      <w:marBottom w:val="180"/>
      <w:divBdr>
        <w:top w:val="none" w:sz="0" w:space="0" w:color="auto"/>
        <w:left w:val="none" w:sz="0" w:space="0" w:color="auto"/>
        <w:bottom w:val="none" w:sz="0" w:space="0" w:color="auto"/>
        <w:right w:val="none" w:sz="0" w:space="0" w:color="auto"/>
      </w:divBdr>
    </w:div>
    <w:div w:id="1721634098">
      <w:marLeft w:val="0"/>
      <w:marRight w:val="0"/>
      <w:marTop w:val="180"/>
      <w:marBottom w:val="180"/>
      <w:divBdr>
        <w:top w:val="none" w:sz="0" w:space="0" w:color="auto"/>
        <w:left w:val="none" w:sz="0" w:space="0" w:color="auto"/>
        <w:bottom w:val="none" w:sz="0" w:space="0" w:color="auto"/>
        <w:right w:val="none" w:sz="0" w:space="0" w:color="auto"/>
      </w:divBdr>
    </w:div>
    <w:div w:id="1723098014">
      <w:marLeft w:val="0"/>
      <w:marRight w:val="0"/>
      <w:marTop w:val="180"/>
      <w:marBottom w:val="180"/>
      <w:divBdr>
        <w:top w:val="none" w:sz="0" w:space="0" w:color="auto"/>
        <w:left w:val="none" w:sz="0" w:space="0" w:color="auto"/>
        <w:bottom w:val="none" w:sz="0" w:space="0" w:color="auto"/>
        <w:right w:val="none" w:sz="0" w:space="0" w:color="auto"/>
      </w:divBdr>
    </w:div>
    <w:div w:id="1723409188">
      <w:marLeft w:val="0"/>
      <w:marRight w:val="0"/>
      <w:marTop w:val="180"/>
      <w:marBottom w:val="180"/>
      <w:divBdr>
        <w:top w:val="none" w:sz="0" w:space="0" w:color="auto"/>
        <w:left w:val="none" w:sz="0" w:space="0" w:color="auto"/>
        <w:bottom w:val="none" w:sz="0" w:space="0" w:color="auto"/>
        <w:right w:val="none" w:sz="0" w:space="0" w:color="auto"/>
      </w:divBdr>
    </w:div>
    <w:div w:id="1724253461">
      <w:marLeft w:val="0"/>
      <w:marRight w:val="0"/>
      <w:marTop w:val="180"/>
      <w:marBottom w:val="180"/>
      <w:divBdr>
        <w:top w:val="none" w:sz="0" w:space="0" w:color="auto"/>
        <w:left w:val="none" w:sz="0" w:space="0" w:color="auto"/>
        <w:bottom w:val="none" w:sz="0" w:space="0" w:color="auto"/>
        <w:right w:val="none" w:sz="0" w:space="0" w:color="auto"/>
      </w:divBdr>
    </w:div>
    <w:div w:id="1729496518">
      <w:marLeft w:val="0"/>
      <w:marRight w:val="0"/>
      <w:marTop w:val="60"/>
      <w:marBottom w:val="60"/>
      <w:divBdr>
        <w:top w:val="none" w:sz="0" w:space="0" w:color="auto"/>
        <w:left w:val="none" w:sz="0" w:space="0" w:color="auto"/>
        <w:bottom w:val="none" w:sz="0" w:space="0" w:color="auto"/>
        <w:right w:val="none" w:sz="0" w:space="0" w:color="auto"/>
      </w:divBdr>
    </w:div>
    <w:div w:id="1730768531">
      <w:marLeft w:val="0"/>
      <w:marRight w:val="0"/>
      <w:marTop w:val="240"/>
      <w:marBottom w:val="180"/>
      <w:divBdr>
        <w:top w:val="none" w:sz="0" w:space="0" w:color="auto"/>
        <w:left w:val="none" w:sz="0" w:space="0" w:color="auto"/>
        <w:bottom w:val="none" w:sz="0" w:space="0" w:color="auto"/>
        <w:right w:val="none" w:sz="0" w:space="0" w:color="auto"/>
      </w:divBdr>
    </w:div>
    <w:div w:id="1731028012">
      <w:marLeft w:val="0"/>
      <w:marRight w:val="0"/>
      <w:marTop w:val="180"/>
      <w:marBottom w:val="180"/>
      <w:divBdr>
        <w:top w:val="none" w:sz="0" w:space="0" w:color="auto"/>
        <w:left w:val="none" w:sz="0" w:space="0" w:color="auto"/>
        <w:bottom w:val="none" w:sz="0" w:space="0" w:color="auto"/>
        <w:right w:val="none" w:sz="0" w:space="0" w:color="auto"/>
      </w:divBdr>
    </w:div>
    <w:div w:id="1731731303">
      <w:marLeft w:val="0"/>
      <w:marRight w:val="0"/>
      <w:marTop w:val="180"/>
      <w:marBottom w:val="180"/>
      <w:divBdr>
        <w:top w:val="none" w:sz="0" w:space="0" w:color="auto"/>
        <w:left w:val="none" w:sz="0" w:space="0" w:color="auto"/>
        <w:bottom w:val="none" w:sz="0" w:space="0" w:color="auto"/>
        <w:right w:val="none" w:sz="0" w:space="0" w:color="auto"/>
      </w:divBdr>
    </w:div>
    <w:div w:id="1734309485">
      <w:marLeft w:val="0"/>
      <w:marRight w:val="0"/>
      <w:marTop w:val="60"/>
      <w:marBottom w:val="60"/>
      <w:divBdr>
        <w:top w:val="none" w:sz="0" w:space="0" w:color="auto"/>
        <w:left w:val="none" w:sz="0" w:space="0" w:color="auto"/>
        <w:bottom w:val="none" w:sz="0" w:space="0" w:color="auto"/>
        <w:right w:val="none" w:sz="0" w:space="0" w:color="auto"/>
      </w:divBdr>
    </w:div>
    <w:div w:id="1736464874">
      <w:marLeft w:val="0"/>
      <w:marRight w:val="0"/>
      <w:marTop w:val="180"/>
      <w:marBottom w:val="180"/>
      <w:divBdr>
        <w:top w:val="none" w:sz="0" w:space="0" w:color="auto"/>
        <w:left w:val="none" w:sz="0" w:space="0" w:color="auto"/>
        <w:bottom w:val="none" w:sz="0" w:space="0" w:color="auto"/>
        <w:right w:val="none" w:sz="0" w:space="0" w:color="auto"/>
      </w:divBdr>
    </w:div>
    <w:div w:id="1737360815">
      <w:marLeft w:val="0"/>
      <w:marRight w:val="0"/>
      <w:marTop w:val="180"/>
      <w:marBottom w:val="180"/>
      <w:divBdr>
        <w:top w:val="none" w:sz="0" w:space="0" w:color="auto"/>
        <w:left w:val="none" w:sz="0" w:space="0" w:color="auto"/>
        <w:bottom w:val="none" w:sz="0" w:space="0" w:color="auto"/>
        <w:right w:val="none" w:sz="0" w:space="0" w:color="auto"/>
      </w:divBdr>
    </w:div>
    <w:div w:id="1738478359">
      <w:marLeft w:val="0"/>
      <w:marRight w:val="0"/>
      <w:marTop w:val="60"/>
      <w:marBottom w:val="60"/>
      <w:divBdr>
        <w:top w:val="none" w:sz="0" w:space="0" w:color="auto"/>
        <w:left w:val="none" w:sz="0" w:space="0" w:color="auto"/>
        <w:bottom w:val="none" w:sz="0" w:space="0" w:color="auto"/>
        <w:right w:val="none" w:sz="0" w:space="0" w:color="auto"/>
      </w:divBdr>
    </w:div>
    <w:div w:id="1739018673">
      <w:marLeft w:val="0"/>
      <w:marRight w:val="0"/>
      <w:marTop w:val="60"/>
      <w:marBottom w:val="60"/>
      <w:divBdr>
        <w:top w:val="none" w:sz="0" w:space="0" w:color="auto"/>
        <w:left w:val="none" w:sz="0" w:space="0" w:color="auto"/>
        <w:bottom w:val="none" w:sz="0" w:space="0" w:color="auto"/>
        <w:right w:val="none" w:sz="0" w:space="0" w:color="auto"/>
      </w:divBdr>
    </w:div>
    <w:div w:id="1739282276">
      <w:marLeft w:val="0"/>
      <w:marRight w:val="0"/>
      <w:marTop w:val="180"/>
      <w:marBottom w:val="180"/>
      <w:divBdr>
        <w:top w:val="none" w:sz="0" w:space="0" w:color="auto"/>
        <w:left w:val="none" w:sz="0" w:space="0" w:color="auto"/>
        <w:bottom w:val="none" w:sz="0" w:space="0" w:color="auto"/>
        <w:right w:val="none" w:sz="0" w:space="0" w:color="auto"/>
      </w:divBdr>
    </w:div>
    <w:div w:id="1739671443">
      <w:marLeft w:val="0"/>
      <w:marRight w:val="0"/>
      <w:marTop w:val="60"/>
      <w:marBottom w:val="60"/>
      <w:divBdr>
        <w:top w:val="none" w:sz="0" w:space="0" w:color="auto"/>
        <w:left w:val="none" w:sz="0" w:space="0" w:color="auto"/>
        <w:bottom w:val="none" w:sz="0" w:space="0" w:color="auto"/>
        <w:right w:val="none" w:sz="0" w:space="0" w:color="auto"/>
      </w:divBdr>
    </w:div>
    <w:div w:id="1742869856">
      <w:marLeft w:val="0"/>
      <w:marRight w:val="0"/>
      <w:marTop w:val="180"/>
      <w:marBottom w:val="180"/>
      <w:divBdr>
        <w:top w:val="none" w:sz="0" w:space="0" w:color="auto"/>
        <w:left w:val="none" w:sz="0" w:space="0" w:color="auto"/>
        <w:bottom w:val="none" w:sz="0" w:space="0" w:color="auto"/>
        <w:right w:val="none" w:sz="0" w:space="0" w:color="auto"/>
      </w:divBdr>
    </w:div>
    <w:div w:id="1743333323">
      <w:marLeft w:val="0"/>
      <w:marRight w:val="0"/>
      <w:marTop w:val="180"/>
      <w:marBottom w:val="180"/>
      <w:divBdr>
        <w:top w:val="none" w:sz="0" w:space="0" w:color="auto"/>
        <w:left w:val="none" w:sz="0" w:space="0" w:color="auto"/>
        <w:bottom w:val="none" w:sz="0" w:space="0" w:color="auto"/>
        <w:right w:val="none" w:sz="0" w:space="0" w:color="auto"/>
      </w:divBdr>
    </w:div>
    <w:div w:id="1743404334">
      <w:marLeft w:val="0"/>
      <w:marRight w:val="0"/>
      <w:marTop w:val="180"/>
      <w:marBottom w:val="180"/>
      <w:divBdr>
        <w:top w:val="none" w:sz="0" w:space="0" w:color="auto"/>
        <w:left w:val="none" w:sz="0" w:space="0" w:color="auto"/>
        <w:bottom w:val="none" w:sz="0" w:space="0" w:color="auto"/>
        <w:right w:val="none" w:sz="0" w:space="0" w:color="auto"/>
      </w:divBdr>
    </w:div>
    <w:div w:id="1744377700">
      <w:marLeft w:val="0"/>
      <w:marRight w:val="0"/>
      <w:marTop w:val="0"/>
      <w:marBottom w:val="0"/>
      <w:divBdr>
        <w:top w:val="none" w:sz="0" w:space="0" w:color="auto"/>
        <w:left w:val="none" w:sz="0" w:space="0" w:color="auto"/>
        <w:bottom w:val="none" w:sz="0" w:space="0" w:color="auto"/>
        <w:right w:val="none" w:sz="0" w:space="0" w:color="auto"/>
      </w:divBdr>
    </w:div>
    <w:div w:id="1746143560">
      <w:marLeft w:val="0"/>
      <w:marRight w:val="0"/>
      <w:marTop w:val="0"/>
      <w:marBottom w:val="0"/>
      <w:divBdr>
        <w:top w:val="none" w:sz="0" w:space="0" w:color="auto"/>
        <w:left w:val="none" w:sz="0" w:space="0" w:color="auto"/>
        <w:bottom w:val="none" w:sz="0" w:space="0" w:color="auto"/>
        <w:right w:val="none" w:sz="0" w:space="0" w:color="auto"/>
      </w:divBdr>
      <w:divsChild>
        <w:div w:id="702484610">
          <w:marLeft w:val="0"/>
          <w:marRight w:val="0"/>
          <w:marTop w:val="0"/>
          <w:marBottom w:val="0"/>
          <w:divBdr>
            <w:top w:val="none" w:sz="0" w:space="0" w:color="auto"/>
            <w:left w:val="none" w:sz="0" w:space="0" w:color="auto"/>
            <w:bottom w:val="none" w:sz="0" w:space="0" w:color="auto"/>
            <w:right w:val="none" w:sz="0" w:space="0" w:color="auto"/>
          </w:divBdr>
          <w:divsChild>
            <w:div w:id="14034107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6416276">
      <w:marLeft w:val="0"/>
      <w:marRight w:val="0"/>
      <w:marTop w:val="0"/>
      <w:marBottom w:val="0"/>
      <w:divBdr>
        <w:top w:val="none" w:sz="0" w:space="0" w:color="auto"/>
        <w:left w:val="none" w:sz="0" w:space="0" w:color="auto"/>
        <w:bottom w:val="none" w:sz="0" w:space="0" w:color="auto"/>
        <w:right w:val="none" w:sz="0" w:space="0" w:color="auto"/>
      </w:divBdr>
      <w:divsChild>
        <w:div w:id="1783844929">
          <w:marLeft w:val="0"/>
          <w:marRight w:val="0"/>
          <w:marTop w:val="60"/>
          <w:marBottom w:val="60"/>
          <w:divBdr>
            <w:top w:val="none" w:sz="0" w:space="0" w:color="auto"/>
            <w:left w:val="none" w:sz="0" w:space="0" w:color="auto"/>
            <w:bottom w:val="none" w:sz="0" w:space="0" w:color="auto"/>
            <w:right w:val="none" w:sz="0" w:space="0" w:color="auto"/>
          </w:divBdr>
        </w:div>
      </w:divsChild>
    </w:div>
    <w:div w:id="1746804220">
      <w:marLeft w:val="0"/>
      <w:marRight w:val="0"/>
      <w:marTop w:val="180"/>
      <w:marBottom w:val="180"/>
      <w:divBdr>
        <w:top w:val="none" w:sz="0" w:space="0" w:color="auto"/>
        <w:left w:val="none" w:sz="0" w:space="0" w:color="auto"/>
        <w:bottom w:val="none" w:sz="0" w:space="0" w:color="auto"/>
        <w:right w:val="none" w:sz="0" w:space="0" w:color="auto"/>
      </w:divBdr>
    </w:div>
    <w:div w:id="1749769904">
      <w:marLeft w:val="0"/>
      <w:marRight w:val="0"/>
      <w:marTop w:val="180"/>
      <w:marBottom w:val="180"/>
      <w:divBdr>
        <w:top w:val="none" w:sz="0" w:space="0" w:color="auto"/>
        <w:left w:val="none" w:sz="0" w:space="0" w:color="auto"/>
        <w:bottom w:val="none" w:sz="0" w:space="0" w:color="auto"/>
        <w:right w:val="none" w:sz="0" w:space="0" w:color="auto"/>
      </w:divBdr>
    </w:div>
    <w:div w:id="1750803939">
      <w:marLeft w:val="0"/>
      <w:marRight w:val="0"/>
      <w:marTop w:val="180"/>
      <w:marBottom w:val="180"/>
      <w:divBdr>
        <w:top w:val="none" w:sz="0" w:space="0" w:color="auto"/>
        <w:left w:val="none" w:sz="0" w:space="0" w:color="auto"/>
        <w:bottom w:val="none" w:sz="0" w:space="0" w:color="auto"/>
        <w:right w:val="none" w:sz="0" w:space="0" w:color="auto"/>
      </w:divBdr>
    </w:div>
    <w:div w:id="1751611696">
      <w:marLeft w:val="0"/>
      <w:marRight w:val="0"/>
      <w:marTop w:val="60"/>
      <w:marBottom w:val="60"/>
      <w:divBdr>
        <w:top w:val="none" w:sz="0" w:space="0" w:color="auto"/>
        <w:left w:val="none" w:sz="0" w:space="0" w:color="auto"/>
        <w:bottom w:val="none" w:sz="0" w:space="0" w:color="auto"/>
        <w:right w:val="none" w:sz="0" w:space="0" w:color="auto"/>
      </w:divBdr>
    </w:div>
    <w:div w:id="1753117767">
      <w:marLeft w:val="0"/>
      <w:marRight w:val="0"/>
      <w:marTop w:val="180"/>
      <w:marBottom w:val="180"/>
      <w:divBdr>
        <w:top w:val="none" w:sz="0" w:space="0" w:color="auto"/>
        <w:left w:val="none" w:sz="0" w:space="0" w:color="auto"/>
        <w:bottom w:val="none" w:sz="0" w:space="0" w:color="auto"/>
        <w:right w:val="none" w:sz="0" w:space="0" w:color="auto"/>
      </w:divBdr>
    </w:div>
    <w:div w:id="1754887046">
      <w:marLeft w:val="0"/>
      <w:marRight w:val="0"/>
      <w:marTop w:val="0"/>
      <w:marBottom w:val="0"/>
      <w:divBdr>
        <w:top w:val="none" w:sz="0" w:space="0" w:color="auto"/>
        <w:left w:val="none" w:sz="0" w:space="0" w:color="auto"/>
        <w:bottom w:val="none" w:sz="0" w:space="0" w:color="auto"/>
        <w:right w:val="none" w:sz="0" w:space="0" w:color="auto"/>
      </w:divBdr>
      <w:divsChild>
        <w:div w:id="687490973">
          <w:marLeft w:val="0"/>
          <w:marRight w:val="0"/>
          <w:marTop w:val="60"/>
          <w:marBottom w:val="60"/>
          <w:divBdr>
            <w:top w:val="none" w:sz="0" w:space="0" w:color="auto"/>
            <w:left w:val="none" w:sz="0" w:space="0" w:color="auto"/>
            <w:bottom w:val="none" w:sz="0" w:space="0" w:color="auto"/>
            <w:right w:val="none" w:sz="0" w:space="0" w:color="auto"/>
          </w:divBdr>
        </w:div>
      </w:divsChild>
    </w:div>
    <w:div w:id="1755517005">
      <w:marLeft w:val="0"/>
      <w:marRight w:val="0"/>
      <w:marTop w:val="60"/>
      <w:marBottom w:val="60"/>
      <w:divBdr>
        <w:top w:val="none" w:sz="0" w:space="0" w:color="auto"/>
        <w:left w:val="none" w:sz="0" w:space="0" w:color="auto"/>
        <w:bottom w:val="none" w:sz="0" w:space="0" w:color="auto"/>
        <w:right w:val="none" w:sz="0" w:space="0" w:color="auto"/>
      </w:divBdr>
    </w:div>
    <w:div w:id="1755585282">
      <w:marLeft w:val="0"/>
      <w:marRight w:val="0"/>
      <w:marTop w:val="0"/>
      <w:marBottom w:val="0"/>
      <w:divBdr>
        <w:top w:val="none" w:sz="0" w:space="0" w:color="auto"/>
        <w:left w:val="none" w:sz="0" w:space="0" w:color="auto"/>
        <w:bottom w:val="none" w:sz="0" w:space="0" w:color="auto"/>
        <w:right w:val="none" w:sz="0" w:space="0" w:color="auto"/>
      </w:divBdr>
      <w:divsChild>
        <w:div w:id="361590467">
          <w:marLeft w:val="0"/>
          <w:marRight w:val="0"/>
          <w:marTop w:val="0"/>
          <w:marBottom w:val="0"/>
          <w:divBdr>
            <w:top w:val="none" w:sz="0" w:space="0" w:color="auto"/>
            <w:left w:val="none" w:sz="0" w:space="0" w:color="auto"/>
            <w:bottom w:val="none" w:sz="0" w:space="0" w:color="auto"/>
            <w:right w:val="none" w:sz="0" w:space="0" w:color="auto"/>
          </w:divBdr>
          <w:divsChild>
            <w:div w:id="11836648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6130076">
      <w:marLeft w:val="0"/>
      <w:marRight w:val="0"/>
      <w:marTop w:val="180"/>
      <w:marBottom w:val="180"/>
      <w:divBdr>
        <w:top w:val="none" w:sz="0" w:space="0" w:color="auto"/>
        <w:left w:val="none" w:sz="0" w:space="0" w:color="auto"/>
        <w:bottom w:val="none" w:sz="0" w:space="0" w:color="auto"/>
        <w:right w:val="none" w:sz="0" w:space="0" w:color="auto"/>
      </w:divBdr>
    </w:div>
    <w:div w:id="1756590446">
      <w:marLeft w:val="0"/>
      <w:marRight w:val="0"/>
      <w:marTop w:val="180"/>
      <w:marBottom w:val="60"/>
      <w:divBdr>
        <w:top w:val="none" w:sz="0" w:space="0" w:color="auto"/>
        <w:left w:val="none" w:sz="0" w:space="0" w:color="auto"/>
        <w:bottom w:val="none" w:sz="0" w:space="0" w:color="auto"/>
        <w:right w:val="none" w:sz="0" w:space="0" w:color="auto"/>
      </w:divBdr>
    </w:div>
    <w:div w:id="1756976100">
      <w:marLeft w:val="0"/>
      <w:marRight w:val="0"/>
      <w:marTop w:val="100"/>
      <w:marBottom w:val="100"/>
      <w:divBdr>
        <w:top w:val="none" w:sz="0" w:space="0" w:color="auto"/>
        <w:left w:val="none" w:sz="0" w:space="0" w:color="auto"/>
        <w:bottom w:val="none" w:sz="0" w:space="0" w:color="auto"/>
        <w:right w:val="none" w:sz="0" w:space="0" w:color="auto"/>
      </w:divBdr>
      <w:divsChild>
        <w:div w:id="1349022576">
          <w:marLeft w:val="0"/>
          <w:marRight w:val="0"/>
          <w:marTop w:val="0"/>
          <w:marBottom w:val="0"/>
          <w:divBdr>
            <w:top w:val="none" w:sz="0" w:space="0" w:color="auto"/>
            <w:left w:val="none" w:sz="0" w:space="0" w:color="auto"/>
            <w:bottom w:val="none" w:sz="0" w:space="0" w:color="auto"/>
            <w:right w:val="none" w:sz="0" w:space="0" w:color="auto"/>
          </w:divBdr>
        </w:div>
        <w:div w:id="1152527772">
          <w:marLeft w:val="0"/>
          <w:marRight w:val="0"/>
          <w:marTop w:val="0"/>
          <w:marBottom w:val="0"/>
          <w:divBdr>
            <w:top w:val="none" w:sz="0" w:space="0" w:color="auto"/>
            <w:left w:val="none" w:sz="0" w:space="0" w:color="auto"/>
            <w:bottom w:val="none" w:sz="0" w:space="0" w:color="auto"/>
            <w:right w:val="none" w:sz="0" w:space="0" w:color="auto"/>
          </w:divBdr>
        </w:div>
      </w:divsChild>
    </w:div>
    <w:div w:id="1757289365">
      <w:marLeft w:val="0"/>
      <w:marRight w:val="0"/>
      <w:marTop w:val="0"/>
      <w:marBottom w:val="0"/>
      <w:divBdr>
        <w:top w:val="none" w:sz="0" w:space="0" w:color="auto"/>
        <w:left w:val="none" w:sz="0" w:space="0" w:color="auto"/>
        <w:bottom w:val="none" w:sz="0" w:space="0" w:color="auto"/>
        <w:right w:val="none" w:sz="0" w:space="0" w:color="auto"/>
      </w:divBdr>
      <w:divsChild>
        <w:div w:id="536621719">
          <w:marLeft w:val="0"/>
          <w:marRight w:val="0"/>
          <w:marTop w:val="0"/>
          <w:marBottom w:val="0"/>
          <w:divBdr>
            <w:top w:val="none" w:sz="0" w:space="0" w:color="auto"/>
            <w:left w:val="none" w:sz="0" w:space="0" w:color="auto"/>
            <w:bottom w:val="none" w:sz="0" w:space="0" w:color="auto"/>
            <w:right w:val="none" w:sz="0" w:space="0" w:color="auto"/>
          </w:divBdr>
          <w:divsChild>
            <w:div w:id="418017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7824261">
      <w:marLeft w:val="0"/>
      <w:marRight w:val="0"/>
      <w:marTop w:val="0"/>
      <w:marBottom w:val="0"/>
      <w:divBdr>
        <w:top w:val="none" w:sz="0" w:space="0" w:color="auto"/>
        <w:left w:val="none" w:sz="0" w:space="0" w:color="auto"/>
        <w:bottom w:val="none" w:sz="0" w:space="0" w:color="auto"/>
        <w:right w:val="none" w:sz="0" w:space="0" w:color="auto"/>
      </w:divBdr>
      <w:divsChild>
        <w:div w:id="1229531912">
          <w:marLeft w:val="0"/>
          <w:marRight w:val="0"/>
          <w:marTop w:val="0"/>
          <w:marBottom w:val="0"/>
          <w:divBdr>
            <w:top w:val="none" w:sz="0" w:space="0" w:color="auto"/>
            <w:left w:val="none" w:sz="0" w:space="0" w:color="auto"/>
            <w:bottom w:val="none" w:sz="0" w:space="0" w:color="auto"/>
            <w:right w:val="none" w:sz="0" w:space="0" w:color="auto"/>
          </w:divBdr>
          <w:divsChild>
            <w:div w:id="4484001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9670529">
      <w:marLeft w:val="0"/>
      <w:marRight w:val="0"/>
      <w:marTop w:val="180"/>
      <w:marBottom w:val="180"/>
      <w:divBdr>
        <w:top w:val="none" w:sz="0" w:space="0" w:color="auto"/>
        <w:left w:val="none" w:sz="0" w:space="0" w:color="auto"/>
        <w:bottom w:val="none" w:sz="0" w:space="0" w:color="auto"/>
        <w:right w:val="none" w:sz="0" w:space="0" w:color="auto"/>
      </w:divBdr>
    </w:div>
    <w:div w:id="1761756588">
      <w:marLeft w:val="0"/>
      <w:marRight w:val="0"/>
      <w:marTop w:val="0"/>
      <w:marBottom w:val="0"/>
      <w:divBdr>
        <w:top w:val="none" w:sz="0" w:space="0" w:color="auto"/>
        <w:left w:val="none" w:sz="0" w:space="0" w:color="auto"/>
        <w:bottom w:val="none" w:sz="0" w:space="0" w:color="auto"/>
        <w:right w:val="none" w:sz="0" w:space="0" w:color="auto"/>
      </w:divBdr>
    </w:div>
    <w:div w:id="1762919206">
      <w:marLeft w:val="0"/>
      <w:marRight w:val="0"/>
      <w:marTop w:val="100"/>
      <w:marBottom w:val="180"/>
      <w:divBdr>
        <w:top w:val="none" w:sz="0" w:space="0" w:color="auto"/>
        <w:left w:val="none" w:sz="0" w:space="0" w:color="auto"/>
        <w:bottom w:val="none" w:sz="0" w:space="0" w:color="auto"/>
        <w:right w:val="none" w:sz="0" w:space="0" w:color="auto"/>
      </w:divBdr>
    </w:div>
    <w:div w:id="1764230183">
      <w:marLeft w:val="0"/>
      <w:marRight w:val="0"/>
      <w:marTop w:val="180"/>
      <w:marBottom w:val="60"/>
      <w:divBdr>
        <w:top w:val="none" w:sz="0" w:space="0" w:color="auto"/>
        <w:left w:val="none" w:sz="0" w:space="0" w:color="auto"/>
        <w:bottom w:val="none" w:sz="0" w:space="0" w:color="auto"/>
        <w:right w:val="none" w:sz="0" w:space="0" w:color="auto"/>
      </w:divBdr>
    </w:div>
    <w:div w:id="1767337398">
      <w:marLeft w:val="0"/>
      <w:marRight w:val="0"/>
      <w:marTop w:val="180"/>
      <w:marBottom w:val="180"/>
      <w:divBdr>
        <w:top w:val="none" w:sz="0" w:space="0" w:color="auto"/>
        <w:left w:val="none" w:sz="0" w:space="0" w:color="auto"/>
        <w:bottom w:val="none" w:sz="0" w:space="0" w:color="auto"/>
        <w:right w:val="none" w:sz="0" w:space="0" w:color="auto"/>
      </w:divBdr>
    </w:div>
    <w:div w:id="1770001145">
      <w:marLeft w:val="0"/>
      <w:marRight w:val="0"/>
      <w:marTop w:val="100"/>
      <w:marBottom w:val="180"/>
      <w:divBdr>
        <w:top w:val="none" w:sz="0" w:space="0" w:color="auto"/>
        <w:left w:val="none" w:sz="0" w:space="0" w:color="auto"/>
        <w:bottom w:val="none" w:sz="0" w:space="0" w:color="auto"/>
        <w:right w:val="none" w:sz="0" w:space="0" w:color="auto"/>
      </w:divBdr>
    </w:div>
    <w:div w:id="1770538722">
      <w:marLeft w:val="0"/>
      <w:marRight w:val="0"/>
      <w:marTop w:val="180"/>
      <w:marBottom w:val="180"/>
      <w:divBdr>
        <w:top w:val="none" w:sz="0" w:space="0" w:color="auto"/>
        <w:left w:val="none" w:sz="0" w:space="0" w:color="auto"/>
        <w:bottom w:val="none" w:sz="0" w:space="0" w:color="auto"/>
        <w:right w:val="none" w:sz="0" w:space="0" w:color="auto"/>
      </w:divBdr>
    </w:div>
    <w:div w:id="1772162577">
      <w:marLeft w:val="0"/>
      <w:marRight w:val="0"/>
      <w:marTop w:val="60"/>
      <w:marBottom w:val="60"/>
      <w:divBdr>
        <w:top w:val="none" w:sz="0" w:space="0" w:color="auto"/>
        <w:left w:val="none" w:sz="0" w:space="0" w:color="auto"/>
        <w:bottom w:val="none" w:sz="0" w:space="0" w:color="auto"/>
        <w:right w:val="none" w:sz="0" w:space="0" w:color="auto"/>
      </w:divBdr>
    </w:div>
    <w:div w:id="1773430257">
      <w:marLeft w:val="0"/>
      <w:marRight w:val="0"/>
      <w:marTop w:val="180"/>
      <w:marBottom w:val="180"/>
      <w:divBdr>
        <w:top w:val="none" w:sz="0" w:space="0" w:color="auto"/>
        <w:left w:val="none" w:sz="0" w:space="0" w:color="auto"/>
        <w:bottom w:val="none" w:sz="0" w:space="0" w:color="auto"/>
        <w:right w:val="none" w:sz="0" w:space="0" w:color="auto"/>
      </w:divBdr>
    </w:div>
    <w:div w:id="1773891051">
      <w:marLeft w:val="0"/>
      <w:marRight w:val="0"/>
      <w:marTop w:val="60"/>
      <w:marBottom w:val="60"/>
      <w:divBdr>
        <w:top w:val="none" w:sz="0" w:space="0" w:color="auto"/>
        <w:left w:val="none" w:sz="0" w:space="0" w:color="auto"/>
        <w:bottom w:val="none" w:sz="0" w:space="0" w:color="auto"/>
        <w:right w:val="none" w:sz="0" w:space="0" w:color="auto"/>
      </w:divBdr>
    </w:div>
    <w:div w:id="1774279165">
      <w:marLeft w:val="0"/>
      <w:marRight w:val="0"/>
      <w:marTop w:val="60"/>
      <w:marBottom w:val="60"/>
      <w:divBdr>
        <w:top w:val="none" w:sz="0" w:space="0" w:color="auto"/>
        <w:left w:val="none" w:sz="0" w:space="0" w:color="auto"/>
        <w:bottom w:val="none" w:sz="0" w:space="0" w:color="auto"/>
        <w:right w:val="none" w:sz="0" w:space="0" w:color="auto"/>
      </w:divBdr>
    </w:div>
    <w:div w:id="1775327135">
      <w:marLeft w:val="0"/>
      <w:marRight w:val="0"/>
      <w:marTop w:val="180"/>
      <w:marBottom w:val="180"/>
      <w:divBdr>
        <w:top w:val="none" w:sz="0" w:space="0" w:color="auto"/>
        <w:left w:val="none" w:sz="0" w:space="0" w:color="auto"/>
        <w:bottom w:val="none" w:sz="0" w:space="0" w:color="auto"/>
        <w:right w:val="none" w:sz="0" w:space="0" w:color="auto"/>
      </w:divBdr>
    </w:div>
    <w:div w:id="1775511176">
      <w:marLeft w:val="0"/>
      <w:marRight w:val="0"/>
      <w:marTop w:val="0"/>
      <w:marBottom w:val="0"/>
      <w:divBdr>
        <w:top w:val="none" w:sz="0" w:space="0" w:color="auto"/>
        <w:left w:val="none" w:sz="0" w:space="0" w:color="auto"/>
        <w:bottom w:val="none" w:sz="0" w:space="0" w:color="auto"/>
        <w:right w:val="none" w:sz="0" w:space="0" w:color="auto"/>
      </w:divBdr>
      <w:divsChild>
        <w:div w:id="1252199808">
          <w:marLeft w:val="0"/>
          <w:marRight w:val="0"/>
          <w:marTop w:val="60"/>
          <w:marBottom w:val="60"/>
          <w:divBdr>
            <w:top w:val="none" w:sz="0" w:space="0" w:color="auto"/>
            <w:left w:val="none" w:sz="0" w:space="0" w:color="auto"/>
            <w:bottom w:val="none" w:sz="0" w:space="0" w:color="auto"/>
            <w:right w:val="none" w:sz="0" w:space="0" w:color="auto"/>
          </w:divBdr>
        </w:div>
      </w:divsChild>
    </w:div>
    <w:div w:id="1777095790">
      <w:marLeft w:val="0"/>
      <w:marRight w:val="0"/>
      <w:marTop w:val="180"/>
      <w:marBottom w:val="0"/>
      <w:divBdr>
        <w:top w:val="none" w:sz="0" w:space="0" w:color="auto"/>
        <w:left w:val="none" w:sz="0" w:space="0" w:color="auto"/>
        <w:bottom w:val="none" w:sz="0" w:space="0" w:color="auto"/>
        <w:right w:val="none" w:sz="0" w:space="0" w:color="auto"/>
      </w:divBdr>
    </w:div>
    <w:div w:id="1780835138">
      <w:marLeft w:val="0"/>
      <w:marRight w:val="0"/>
      <w:marTop w:val="100"/>
      <w:marBottom w:val="60"/>
      <w:divBdr>
        <w:top w:val="none" w:sz="0" w:space="0" w:color="auto"/>
        <w:left w:val="none" w:sz="0" w:space="0" w:color="auto"/>
        <w:bottom w:val="none" w:sz="0" w:space="0" w:color="auto"/>
        <w:right w:val="none" w:sz="0" w:space="0" w:color="auto"/>
      </w:divBdr>
    </w:div>
    <w:div w:id="1780837202">
      <w:marLeft w:val="0"/>
      <w:marRight w:val="0"/>
      <w:marTop w:val="100"/>
      <w:marBottom w:val="100"/>
      <w:divBdr>
        <w:top w:val="none" w:sz="0" w:space="0" w:color="auto"/>
        <w:left w:val="none" w:sz="0" w:space="0" w:color="auto"/>
        <w:bottom w:val="none" w:sz="0" w:space="0" w:color="auto"/>
        <w:right w:val="none" w:sz="0" w:space="0" w:color="auto"/>
      </w:divBdr>
      <w:divsChild>
        <w:div w:id="711539755">
          <w:marLeft w:val="0"/>
          <w:marRight w:val="0"/>
          <w:marTop w:val="0"/>
          <w:marBottom w:val="0"/>
          <w:divBdr>
            <w:top w:val="none" w:sz="0" w:space="0" w:color="auto"/>
            <w:left w:val="none" w:sz="0" w:space="0" w:color="auto"/>
            <w:bottom w:val="none" w:sz="0" w:space="0" w:color="auto"/>
            <w:right w:val="none" w:sz="0" w:space="0" w:color="auto"/>
          </w:divBdr>
        </w:div>
      </w:divsChild>
    </w:div>
    <w:div w:id="1782994901">
      <w:marLeft w:val="0"/>
      <w:marRight w:val="0"/>
      <w:marTop w:val="180"/>
      <w:marBottom w:val="180"/>
      <w:divBdr>
        <w:top w:val="none" w:sz="0" w:space="0" w:color="auto"/>
        <w:left w:val="none" w:sz="0" w:space="0" w:color="auto"/>
        <w:bottom w:val="none" w:sz="0" w:space="0" w:color="auto"/>
        <w:right w:val="none" w:sz="0" w:space="0" w:color="auto"/>
      </w:divBdr>
    </w:div>
    <w:div w:id="1786190230">
      <w:marLeft w:val="0"/>
      <w:marRight w:val="0"/>
      <w:marTop w:val="180"/>
      <w:marBottom w:val="180"/>
      <w:divBdr>
        <w:top w:val="none" w:sz="0" w:space="0" w:color="auto"/>
        <w:left w:val="none" w:sz="0" w:space="0" w:color="auto"/>
        <w:bottom w:val="none" w:sz="0" w:space="0" w:color="auto"/>
        <w:right w:val="none" w:sz="0" w:space="0" w:color="auto"/>
      </w:divBdr>
    </w:div>
    <w:div w:id="1788890399">
      <w:marLeft w:val="0"/>
      <w:marRight w:val="0"/>
      <w:marTop w:val="180"/>
      <w:marBottom w:val="180"/>
      <w:divBdr>
        <w:top w:val="none" w:sz="0" w:space="0" w:color="auto"/>
        <w:left w:val="none" w:sz="0" w:space="0" w:color="auto"/>
        <w:bottom w:val="none" w:sz="0" w:space="0" w:color="auto"/>
        <w:right w:val="none" w:sz="0" w:space="0" w:color="auto"/>
      </w:divBdr>
    </w:div>
    <w:div w:id="1791778520">
      <w:marLeft w:val="0"/>
      <w:marRight w:val="0"/>
      <w:marTop w:val="0"/>
      <w:marBottom w:val="0"/>
      <w:divBdr>
        <w:top w:val="none" w:sz="0" w:space="0" w:color="auto"/>
        <w:left w:val="none" w:sz="0" w:space="0" w:color="auto"/>
        <w:bottom w:val="none" w:sz="0" w:space="0" w:color="auto"/>
        <w:right w:val="none" w:sz="0" w:space="0" w:color="auto"/>
      </w:divBdr>
      <w:divsChild>
        <w:div w:id="553389777">
          <w:marLeft w:val="0"/>
          <w:marRight w:val="0"/>
          <w:marTop w:val="0"/>
          <w:marBottom w:val="0"/>
          <w:divBdr>
            <w:top w:val="none" w:sz="0" w:space="0" w:color="auto"/>
            <w:left w:val="none" w:sz="0" w:space="0" w:color="auto"/>
            <w:bottom w:val="none" w:sz="0" w:space="0" w:color="auto"/>
            <w:right w:val="none" w:sz="0" w:space="0" w:color="auto"/>
          </w:divBdr>
          <w:divsChild>
            <w:div w:id="7421403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92088914">
      <w:marLeft w:val="0"/>
      <w:marRight w:val="0"/>
      <w:marTop w:val="100"/>
      <w:marBottom w:val="100"/>
      <w:divBdr>
        <w:top w:val="none" w:sz="0" w:space="0" w:color="auto"/>
        <w:left w:val="none" w:sz="0" w:space="0" w:color="auto"/>
        <w:bottom w:val="none" w:sz="0" w:space="0" w:color="auto"/>
        <w:right w:val="none" w:sz="0" w:space="0" w:color="auto"/>
      </w:divBdr>
      <w:divsChild>
        <w:div w:id="794718847">
          <w:marLeft w:val="0"/>
          <w:marRight w:val="0"/>
          <w:marTop w:val="0"/>
          <w:marBottom w:val="0"/>
          <w:divBdr>
            <w:top w:val="none" w:sz="0" w:space="0" w:color="auto"/>
            <w:left w:val="none" w:sz="0" w:space="0" w:color="auto"/>
            <w:bottom w:val="none" w:sz="0" w:space="0" w:color="auto"/>
            <w:right w:val="none" w:sz="0" w:space="0" w:color="auto"/>
          </w:divBdr>
        </w:div>
      </w:divsChild>
    </w:div>
    <w:div w:id="1793328563">
      <w:marLeft w:val="0"/>
      <w:marRight w:val="0"/>
      <w:marTop w:val="0"/>
      <w:marBottom w:val="0"/>
      <w:divBdr>
        <w:top w:val="none" w:sz="0" w:space="0" w:color="auto"/>
        <w:left w:val="none" w:sz="0" w:space="0" w:color="auto"/>
        <w:bottom w:val="none" w:sz="0" w:space="0" w:color="auto"/>
        <w:right w:val="none" w:sz="0" w:space="0" w:color="auto"/>
      </w:divBdr>
      <w:divsChild>
        <w:div w:id="430205932">
          <w:marLeft w:val="0"/>
          <w:marRight w:val="0"/>
          <w:marTop w:val="60"/>
          <w:marBottom w:val="60"/>
          <w:divBdr>
            <w:top w:val="none" w:sz="0" w:space="0" w:color="auto"/>
            <w:left w:val="none" w:sz="0" w:space="0" w:color="auto"/>
            <w:bottom w:val="none" w:sz="0" w:space="0" w:color="auto"/>
            <w:right w:val="none" w:sz="0" w:space="0" w:color="auto"/>
          </w:divBdr>
        </w:div>
      </w:divsChild>
    </w:div>
    <w:div w:id="1793942151">
      <w:marLeft w:val="0"/>
      <w:marRight w:val="0"/>
      <w:marTop w:val="60"/>
      <w:marBottom w:val="60"/>
      <w:divBdr>
        <w:top w:val="none" w:sz="0" w:space="0" w:color="auto"/>
        <w:left w:val="none" w:sz="0" w:space="0" w:color="auto"/>
        <w:bottom w:val="none" w:sz="0" w:space="0" w:color="auto"/>
        <w:right w:val="none" w:sz="0" w:space="0" w:color="auto"/>
      </w:divBdr>
    </w:div>
    <w:div w:id="1795294078">
      <w:marLeft w:val="0"/>
      <w:marRight w:val="0"/>
      <w:marTop w:val="180"/>
      <w:marBottom w:val="0"/>
      <w:divBdr>
        <w:top w:val="none" w:sz="0" w:space="0" w:color="auto"/>
        <w:left w:val="none" w:sz="0" w:space="0" w:color="auto"/>
        <w:bottom w:val="none" w:sz="0" w:space="0" w:color="auto"/>
        <w:right w:val="none" w:sz="0" w:space="0" w:color="auto"/>
      </w:divBdr>
    </w:div>
    <w:div w:id="1795517927">
      <w:marLeft w:val="0"/>
      <w:marRight w:val="0"/>
      <w:marTop w:val="180"/>
      <w:marBottom w:val="180"/>
      <w:divBdr>
        <w:top w:val="none" w:sz="0" w:space="0" w:color="auto"/>
        <w:left w:val="none" w:sz="0" w:space="0" w:color="auto"/>
        <w:bottom w:val="none" w:sz="0" w:space="0" w:color="auto"/>
        <w:right w:val="none" w:sz="0" w:space="0" w:color="auto"/>
      </w:divBdr>
    </w:div>
    <w:div w:id="1796875125">
      <w:marLeft w:val="0"/>
      <w:marRight w:val="0"/>
      <w:marTop w:val="60"/>
      <w:marBottom w:val="60"/>
      <w:divBdr>
        <w:top w:val="none" w:sz="0" w:space="0" w:color="auto"/>
        <w:left w:val="none" w:sz="0" w:space="0" w:color="auto"/>
        <w:bottom w:val="none" w:sz="0" w:space="0" w:color="auto"/>
        <w:right w:val="none" w:sz="0" w:space="0" w:color="auto"/>
      </w:divBdr>
    </w:div>
    <w:div w:id="1797139618">
      <w:marLeft w:val="0"/>
      <w:marRight w:val="0"/>
      <w:marTop w:val="180"/>
      <w:marBottom w:val="180"/>
      <w:divBdr>
        <w:top w:val="none" w:sz="0" w:space="0" w:color="auto"/>
        <w:left w:val="none" w:sz="0" w:space="0" w:color="auto"/>
        <w:bottom w:val="none" w:sz="0" w:space="0" w:color="auto"/>
        <w:right w:val="none" w:sz="0" w:space="0" w:color="auto"/>
      </w:divBdr>
    </w:div>
    <w:div w:id="1802385556">
      <w:marLeft w:val="0"/>
      <w:marRight w:val="0"/>
      <w:marTop w:val="240"/>
      <w:marBottom w:val="180"/>
      <w:divBdr>
        <w:top w:val="none" w:sz="0" w:space="0" w:color="auto"/>
        <w:left w:val="none" w:sz="0" w:space="0" w:color="auto"/>
        <w:bottom w:val="none" w:sz="0" w:space="0" w:color="auto"/>
        <w:right w:val="none" w:sz="0" w:space="0" w:color="auto"/>
      </w:divBdr>
    </w:div>
    <w:div w:id="1806855145">
      <w:marLeft w:val="0"/>
      <w:marRight w:val="0"/>
      <w:marTop w:val="180"/>
      <w:marBottom w:val="180"/>
      <w:divBdr>
        <w:top w:val="none" w:sz="0" w:space="0" w:color="auto"/>
        <w:left w:val="none" w:sz="0" w:space="0" w:color="auto"/>
        <w:bottom w:val="none" w:sz="0" w:space="0" w:color="auto"/>
        <w:right w:val="none" w:sz="0" w:space="0" w:color="auto"/>
      </w:divBdr>
    </w:div>
    <w:div w:id="1808159141">
      <w:marLeft w:val="0"/>
      <w:marRight w:val="0"/>
      <w:marTop w:val="180"/>
      <w:marBottom w:val="180"/>
      <w:divBdr>
        <w:top w:val="none" w:sz="0" w:space="0" w:color="auto"/>
        <w:left w:val="none" w:sz="0" w:space="0" w:color="auto"/>
        <w:bottom w:val="none" w:sz="0" w:space="0" w:color="auto"/>
        <w:right w:val="none" w:sz="0" w:space="0" w:color="auto"/>
      </w:divBdr>
    </w:div>
    <w:div w:id="1808429933">
      <w:marLeft w:val="0"/>
      <w:marRight w:val="0"/>
      <w:marTop w:val="60"/>
      <w:marBottom w:val="60"/>
      <w:divBdr>
        <w:top w:val="none" w:sz="0" w:space="0" w:color="auto"/>
        <w:left w:val="none" w:sz="0" w:space="0" w:color="auto"/>
        <w:bottom w:val="none" w:sz="0" w:space="0" w:color="auto"/>
        <w:right w:val="none" w:sz="0" w:space="0" w:color="auto"/>
      </w:divBdr>
    </w:div>
    <w:div w:id="1808667424">
      <w:marLeft w:val="0"/>
      <w:marRight w:val="0"/>
      <w:marTop w:val="180"/>
      <w:marBottom w:val="180"/>
      <w:divBdr>
        <w:top w:val="none" w:sz="0" w:space="0" w:color="auto"/>
        <w:left w:val="none" w:sz="0" w:space="0" w:color="auto"/>
        <w:bottom w:val="none" w:sz="0" w:space="0" w:color="auto"/>
        <w:right w:val="none" w:sz="0" w:space="0" w:color="auto"/>
      </w:divBdr>
    </w:div>
    <w:div w:id="1809667665">
      <w:marLeft w:val="0"/>
      <w:marRight w:val="0"/>
      <w:marTop w:val="0"/>
      <w:marBottom w:val="0"/>
      <w:divBdr>
        <w:top w:val="none" w:sz="0" w:space="0" w:color="auto"/>
        <w:left w:val="none" w:sz="0" w:space="0" w:color="auto"/>
        <w:bottom w:val="none" w:sz="0" w:space="0" w:color="auto"/>
        <w:right w:val="none" w:sz="0" w:space="0" w:color="auto"/>
      </w:divBdr>
      <w:divsChild>
        <w:div w:id="391731256">
          <w:marLeft w:val="0"/>
          <w:marRight w:val="0"/>
          <w:marTop w:val="60"/>
          <w:marBottom w:val="60"/>
          <w:divBdr>
            <w:top w:val="none" w:sz="0" w:space="0" w:color="auto"/>
            <w:left w:val="none" w:sz="0" w:space="0" w:color="auto"/>
            <w:bottom w:val="none" w:sz="0" w:space="0" w:color="auto"/>
            <w:right w:val="none" w:sz="0" w:space="0" w:color="auto"/>
          </w:divBdr>
        </w:div>
      </w:divsChild>
    </w:div>
    <w:div w:id="1810198702">
      <w:marLeft w:val="0"/>
      <w:marRight w:val="0"/>
      <w:marTop w:val="180"/>
      <w:marBottom w:val="180"/>
      <w:divBdr>
        <w:top w:val="none" w:sz="0" w:space="0" w:color="auto"/>
        <w:left w:val="none" w:sz="0" w:space="0" w:color="auto"/>
        <w:bottom w:val="none" w:sz="0" w:space="0" w:color="auto"/>
        <w:right w:val="none" w:sz="0" w:space="0" w:color="auto"/>
      </w:divBdr>
    </w:div>
    <w:div w:id="1811164648">
      <w:marLeft w:val="0"/>
      <w:marRight w:val="0"/>
      <w:marTop w:val="180"/>
      <w:marBottom w:val="0"/>
      <w:divBdr>
        <w:top w:val="none" w:sz="0" w:space="0" w:color="auto"/>
        <w:left w:val="none" w:sz="0" w:space="0" w:color="auto"/>
        <w:bottom w:val="none" w:sz="0" w:space="0" w:color="auto"/>
        <w:right w:val="none" w:sz="0" w:space="0" w:color="auto"/>
      </w:divBdr>
    </w:div>
    <w:div w:id="1813475433">
      <w:marLeft w:val="0"/>
      <w:marRight w:val="0"/>
      <w:marTop w:val="60"/>
      <w:marBottom w:val="60"/>
      <w:divBdr>
        <w:top w:val="none" w:sz="0" w:space="0" w:color="auto"/>
        <w:left w:val="none" w:sz="0" w:space="0" w:color="auto"/>
        <w:bottom w:val="none" w:sz="0" w:space="0" w:color="auto"/>
        <w:right w:val="none" w:sz="0" w:space="0" w:color="auto"/>
      </w:divBdr>
    </w:div>
    <w:div w:id="1813714467">
      <w:marLeft w:val="0"/>
      <w:marRight w:val="0"/>
      <w:marTop w:val="220"/>
      <w:marBottom w:val="180"/>
      <w:divBdr>
        <w:top w:val="none" w:sz="0" w:space="0" w:color="auto"/>
        <w:left w:val="none" w:sz="0" w:space="0" w:color="auto"/>
        <w:bottom w:val="none" w:sz="0" w:space="0" w:color="auto"/>
        <w:right w:val="none" w:sz="0" w:space="0" w:color="auto"/>
      </w:divBdr>
    </w:div>
    <w:div w:id="1817800399">
      <w:marLeft w:val="0"/>
      <w:marRight w:val="0"/>
      <w:marTop w:val="0"/>
      <w:marBottom w:val="0"/>
      <w:divBdr>
        <w:top w:val="none" w:sz="0" w:space="0" w:color="auto"/>
        <w:left w:val="none" w:sz="0" w:space="0" w:color="auto"/>
        <w:bottom w:val="none" w:sz="0" w:space="0" w:color="auto"/>
        <w:right w:val="none" w:sz="0" w:space="0" w:color="auto"/>
      </w:divBdr>
      <w:divsChild>
        <w:div w:id="1145313051">
          <w:marLeft w:val="0"/>
          <w:marRight w:val="0"/>
          <w:marTop w:val="0"/>
          <w:marBottom w:val="0"/>
          <w:divBdr>
            <w:top w:val="none" w:sz="0" w:space="0" w:color="auto"/>
            <w:left w:val="none" w:sz="0" w:space="0" w:color="auto"/>
            <w:bottom w:val="none" w:sz="0" w:space="0" w:color="auto"/>
            <w:right w:val="none" w:sz="0" w:space="0" w:color="auto"/>
          </w:divBdr>
          <w:divsChild>
            <w:div w:id="18798527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20997182">
      <w:marLeft w:val="0"/>
      <w:marRight w:val="0"/>
      <w:marTop w:val="60"/>
      <w:marBottom w:val="60"/>
      <w:divBdr>
        <w:top w:val="none" w:sz="0" w:space="0" w:color="auto"/>
        <w:left w:val="none" w:sz="0" w:space="0" w:color="auto"/>
        <w:bottom w:val="none" w:sz="0" w:space="0" w:color="auto"/>
        <w:right w:val="none" w:sz="0" w:space="0" w:color="auto"/>
      </w:divBdr>
    </w:div>
    <w:div w:id="1822379394">
      <w:marLeft w:val="0"/>
      <w:marRight w:val="0"/>
      <w:marTop w:val="180"/>
      <w:marBottom w:val="180"/>
      <w:divBdr>
        <w:top w:val="none" w:sz="0" w:space="0" w:color="auto"/>
        <w:left w:val="none" w:sz="0" w:space="0" w:color="auto"/>
        <w:bottom w:val="none" w:sz="0" w:space="0" w:color="auto"/>
        <w:right w:val="none" w:sz="0" w:space="0" w:color="auto"/>
      </w:divBdr>
    </w:div>
    <w:div w:id="1823236542">
      <w:marLeft w:val="0"/>
      <w:marRight w:val="0"/>
      <w:marTop w:val="60"/>
      <w:marBottom w:val="0"/>
      <w:divBdr>
        <w:top w:val="none" w:sz="0" w:space="0" w:color="auto"/>
        <w:left w:val="none" w:sz="0" w:space="0" w:color="auto"/>
        <w:bottom w:val="none" w:sz="0" w:space="0" w:color="auto"/>
        <w:right w:val="none" w:sz="0" w:space="0" w:color="auto"/>
      </w:divBdr>
    </w:div>
    <w:div w:id="1824351263">
      <w:marLeft w:val="0"/>
      <w:marRight w:val="0"/>
      <w:marTop w:val="180"/>
      <w:marBottom w:val="60"/>
      <w:divBdr>
        <w:top w:val="none" w:sz="0" w:space="0" w:color="auto"/>
        <w:left w:val="none" w:sz="0" w:space="0" w:color="auto"/>
        <w:bottom w:val="none" w:sz="0" w:space="0" w:color="auto"/>
        <w:right w:val="none" w:sz="0" w:space="0" w:color="auto"/>
      </w:divBdr>
    </w:div>
    <w:div w:id="1824618130">
      <w:marLeft w:val="0"/>
      <w:marRight w:val="0"/>
      <w:marTop w:val="180"/>
      <w:marBottom w:val="60"/>
      <w:divBdr>
        <w:top w:val="none" w:sz="0" w:space="0" w:color="auto"/>
        <w:left w:val="none" w:sz="0" w:space="0" w:color="auto"/>
        <w:bottom w:val="none" w:sz="0" w:space="0" w:color="auto"/>
        <w:right w:val="none" w:sz="0" w:space="0" w:color="auto"/>
      </w:divBdr>
    </w:div>
    <w:div w:id="1825244996">
      <w:marLeft w:val="0"/>
      <w:marRight w:val="0"/>
      <w:marTop w:val="180"/>
      <w:marBottom w:val="180"/>
      <w:divBdr>
        <w:top w:val="none" w:sz="0" w:space="0" w:color="auto"/>
        <w:left w:val="none" w:sz="0" w:space="0" w:color="auto"/>
        <w:bottom w:val="none" w:sz="0" w:space="0" w:color="auto"/>
        <w:right w:val="none" w:sz="0" w:space="0" w:color="auto"/>
      </w:divBdr>
    </w:div>
    <w:div w:id="1826772989">
      <w:marLeft w:val="0"/>
      <w:marRight w:val="0"/>
      <w:marTop w:val="60"/>
      <w:marBottom w:val="60"/>
      <w:divBdr>
        <w:top w:val="none" w:sz="0" w:space="0" w:color="auto"/>
        <w:left w:val="none" w:sz="0" w:space="0" w:color="auto"/>
        <w:bottom w:val="none" w:sz="0" w:space="0" w:color="auto"/>
        <w:right w:val="none" w:sz="0" w:space="0" w:color="auto"/>
      </w:divBdr>
    </w:div>
    <w:div w:id="1828857552">
      <w:marLeft w:val="0"/>
      <w:marRight w:val="0"/>
      <w:marTop w:val="180"/>
      <w:marBottom w:val="180"/>
      <w:divBdr>
        <w:top w:val="none" w:sz="0" w:space="0" w:color="auto"/>
        <w:left w:val="none" w:sz="0" w:space="0" w:color="auto"/>
        <w:bottom w:val="none" w:sz="0" w:space="0" w:color="auto"/>
        <w:right w:val="none" w:sz="0" w:space="0" w:color="auto"/>
      </w:divBdr>
    </w:div>
    <w:div w:id="1829783767">
      <w:marLeft w:val="0"/>
      <w:marRight w:val="0"/>
      <w:marTop w:val="0"/>
      <w:marBottom w:val="0"/>
      <w:divBdr>
        <w:top w:val="none" w:sz="0" w:space="0" w:color="auto"/>
        <w:left w:val="none" w:sz="0" w:space="0" w:color="auto"/>
        <w:bottom w:val="none" w:sz="0" w:space="0" w:color="auto"/>
        <w:right w:val="none" w:sz="0" w:space="0" w:color="auto"/>
      </w:divBdr>
    </w:div>
    <w:div w:id="1833056535">
      <w:marLeft w:val="0"/>
      <w:marRight w:val="0"/>
      <w:marTop w:val="0"/>
      <w:marBottom w:val="0"/>
      <w:divBdr>
        <w:top w:val="none" w:sz="0" w:space="0" w:color="auto"/>
        <w:left w:val="none" w:sz="0" w:space="0" w:color="auto"/>
        <w:bottom w:val="none" w:sz="0" w:space="0" w:color="auto"/>
        <w:right w:val="none" w:sz="0" w:space="0" w:color="auto"/>
      </w:divBdr>
      <w:divsChild>
        <w:div w:id="737674440">
          <w:marLeft w:val="0"/>
          <w:marRight w:val="0"/>
          <w:marTop w:val="0"/>
          <w:marBottom w:val="0"/>
          <w:divBdr>
            <w:top w:val="none" w:sz="0" w:space="0" w:color="auto"/>
            <w:left w:val="none" w:sz="0" w:space="0" w:color="auto"/>
            <w:bottom w:val="none" w:sz="0" w:space="0" w:color="auto"/>
            <w:right w:val="none" w:sz="0" w:space="0" w:color="auto"/>
          </w:divBdr>
          <w:divsChild>
            <w:div w:id="3296840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33329713">
      <w:marLeft w:val="0"/>
      <w:marRight w:val="0"/>
      <w:marTop w:val="0"/>
      <w:marBottom w:val="0"/>
      <w:divBdr>
        <w:top w:val="none" w:sz="0" w:space="0" w:color="auto"/>
        <w:left w:val="none" w:sz="0" w:space="0" w:color="auto"/>
        <w:bottom w:val="none" w:sz="0" w:space="0" w:color="auto"/>
        <w:right w:val="none" w:sz="0" w:space="0" w:color="auto"/>
      </w:divBdr>
      <w:divsChild>
        <w:div w:id="804391406">
          <w:marLeft w:val="0"/>
          <w:marRight w:val="0"/>
          <w:marTop w:val="60"/>
          <w:marBottom w:val="60"/>
          <w:divBdr>
            <w:top w:val="none" w:sz="0" w:space="0" w:color="auto"/>
            <w:left w:val="none" w:sz="0" w:space="0" w:color="auto"/>
            <w:bottom w:val="none" w:sz="0" w:space="0" w:color="auto"/>
            <w:right w:val="none" w:sz="0" w:space="0" w:color="auto"/>
          </w:divBdr>
        </w:div>
      </w:divsChild>
    </w:div>
    <w:div w:id="1834488754">
      <w:marLeft w:val="0"/>
      <w:marRight w:val="0"/>
      <w:marTop w:val="180"/>
      <w:marBottom w:val="180"/>
      <w:divBdr>
        <w:top w:val="none" w:sz="0" w:space="0" w:color="auto"/>
        <w:left w:val="none" w:sz="0" w:space="0" w:color="auto"/>
        <w:bottom w:val="none" w:sz="0" w:space="0" w:color="auto"/>
        <w:right w:val="none" w:sz="0" w:space="0" w:color="auto"/>
      </w:divBdr>
    </w:div>
    <w:div w:id="1834560815">
      <w:marLeft w:val="0"/>
      <w:marRight w:val="0"/>
      <w:marTop w:val="60"/>
      <w:marBottom w:val="60"/>
      <w:divBdr>
        <w:top w:val="none" w:sz="0" w:space="0" w:color="auto"/>
        <w:left w:val="none" w:sz="0" w:space="0" w:color="auto"/>
        <w:bottom w:val="none" w:sz="0" w:space="0" w:color="auto"/>
        <w:right w:val="none" w:sz="0" w:space="0" w:color="auto"/>
      </w:divBdr>
    </w:div>
    <w:div w:id="1834565567">
      <w:marLeft w:val="0"/>
      <w:marRight w:val="0"/>
      <w:marTop w:val="60"/>
      <w:marBottom w:val="60"/>
      <w:divBdr>
        <w:top w:val="none" w:sz="0" w:space="0" w:color="auto"/>
        <w:left w:val="none" w:sz="0" w:space="0" w:color="auto"/>
        <w:bottom w:val="none" w:sz="0" w:space="0" w:color="auto"/>
        <w:right w:val="none" w:sz="0" w:space="0" w:color="auto"/>
      </w:divBdr>
    </w:div>
    <w:div w:id="1836334865">
      <w:marLeft w:val="0"/>
      <w:marRight w:val="0"/>
      <w:marTop w:val="60"/>
      <w:marBottom w:val="60"/>
      <w:divBdr>
        <w:top w:val="none" w:sz="0" w:space="0" w:color="auto"/>
        <w:left w:val="none" w:sz="0" w:space="0" w:color="auto"/>
        <w:bottom w:val="none" w:sz="0" w:space="0" w:color="auto"/>
        <w:right w:val="none" w:sz="0" w:space="0" w:color="auto"/>
      </w:divBdr>
    </w:div>
    <w:div w:id="1840925862">
      <w:marLeft w:val="0"/>
      <w:marRight w:val="0"/>
      <w:marTop w:val="60"/>
      <w:marBottom w:val="60"/>
      <w:divBdr>
        <w:top w:val="none" w:sz="0" w:space="0" w:color="auto"/>
        <w:left w:val="none" w:sz="0" w:space="0" w:color="auto"/>
        <w:bottom w:val="none" w:sz="0" w:space="0" w:color="auto"/>
        <w:right w:val="none" w:sz="0" w:space="0" w:color="auto"/>
      </w:divBdr>
    </w:div>
    <w:div w:id="1840999827">
      <w:marLeft w:val="0"/>
      <w:marRight w:val="0"/>
      <w:marTop w:val="60"/>
      <w:marBottom w:val="60"/>
      <w:divBdr>
        <w:top w:val="none" w:sz="0" w:space="0" w:color="auto"/>
        <w:left w:val="none" w:sz="0" w:space="0" w:color="auto"/>
        <w:bottom w:val="none" w:sz="0" w:space="0" w:color="auto"/>
        <w:right w:val="none" w:sz="0" w:space="0" w:color="auto"/>
      </w:divBdr>
    </w:div>
    <w:div w:id="1843427923">
      <w:marLeft w:val="0"/>
      <w:marRight w:val="0"/>
      <w:marTop w:val="180"/>
      <w:marBottom w:val="180"/>
      <w:divBdr>
        <w:top w:val="none" w:sz="0" w:space="0" w:color="auto"/>
        <w:left w:val="none" w:sz="0" w:space="0" w:color="auto"/>
        <w:bottom w:val="none" w:sz="0" w:space="0" w:color="auto"/>
        <w:right w:val="none" w:sz="0" w:space="0" w:color="auto"/>
      </w:divBdr>
    </w:div>
    <w:div w:id="1844586370">
      <w:marLeft w:val="0"/>
      <w:marRight w:val="0"/>
      <w:marTop w:val="180"/>
      <w:marBottom w:val="180"/>
      <w:divBdr>
        <w:top w:val="none" w:sz="0" w:space="0" w:color="auto"/>
        <w:left w:val="none" w:sz="0" w:space="0" w:color="auto"/>
        <w:bottom w:val="none" w:sz="0" w:space="0" w:color="auto"/>
        <w:right w:val="none" w:sz="0" w:space="0" w:color="auto"/>
      </w:divBdr>
    </w:div>
    <w:div w:id="1844590189">
      <w:marLeft w:val="0"/>
      <w:marRight w:val="0"/>
      <w:marTop w:val="180"/>
      <w:marBottom w:val="180"/>
      <w:divBdr>
        <w:top w:val="none" w:sz="0" w:space="0" w:color="auto"/>
        <w:left w:val="none" w:sz="0" w:space="0" w:color="auto"/>
        <w:bottom w:val="none" w:sz="0" w:space="0" w:color="auto"/>
        <w:right w:val="none" w:sz="0" w:space="0" w:color="auto"/>
      </w:divBdr>
    </w:div>
    <w:div w:id="1847403146">
      <w:marLeft w:val="0"/>
      <w:marRight w:val="0"/>
      <w:marTop w:val="0"/>
      <w:marBottom w:val="0"/>
      <w:divBdr>
        <w:top w:val="none" w:sz="0" w:space="0" w:color="auto"/>
        <w:left w:val="none" w:sz="0" w:space="0" w:color="auto"/>
        <w:bottom w:val="none" w:sz="0" w:space="0" w:color="auto"/>
        <w:right w:val="none" w:sz="0" w:space="0" w:color="auto"/>
      </w:divBdr>
      <w:divsChild>
        <w:div w:id="930431137">
          <w:marLeft w:val="0"/>
          <w:marRight w:val="0"/>
          <w:marTop w:val="60"/>
          <w:marBottom w:val="60"/>
          <w:divBdr>
            <w:top w:val="none" w:sz="0" w:space="0" w:color="auto"/>
            <w:left w:val="none" w:sz="0" w:space="0" w:color="auto"/>
            <w:bottom w:val="none" w:sz="0" w:space="0" w:color="auto"/>
            <w:right w:val="none" w:sz="0" w:space="0" w:color="auto"/>
          </w:divBdr>
        </w:div>
      </w:divsChild>
    </w:div>
    <w:div w:id="1848786279">
      <w:marLeft w:val="0"/>
      <w:marRight w:val="0"/>
      <w:marTop w:val="180"/>
      <w:marBottom w:val="60"/>
      <w:divBdr>
        <w:top w:val="none" w:sz="0" w:space="0" w:color="auto"/>
        <w:left w:val="none" w:sz="0" w:space="0" w:color="auto"/>
        <w:bottom w:val="none" w:sz="0" w:space="0" w:color="auto"/>
        <w:right w:val="none" w:sz="0" w:space="0" w:color="auto"/>
      </w:divBdr>
    </w:div>
    <w:div w:id="1848982604">
      <w:marLeft w:val="0"/>
      <w:marRight w:val="0"/>
      <w:marTop w:val="60"/>
      <w:marBottom w:val="60"/>
      <w:divBdr>
        <w:top w:val="none" w:sz="0" w:space="0" w:color="auto"/>
        <w:left w:val="none" w:sz="0" w:space="0" w:color="auto"/>
        <w:bottom w:val="none" w:sz="0" w:space="0" w:color="auto"/>
        <w:right w:val="none" w:sz="0" w:space="0" w:color="auto"/>
      </w:divBdr>
    </w:div>
    <w:div w:id="1850102534">
      <w:marLeft w:val="0"/>
      <w:marRight w:val="0"/>
      <w:marTop w:val="0"/>
      <w:marBottom w:val="0"/>
      <w:divBdr>
        <w:top w:val="none" w:sz="0" w:space="0" w:color="auto"/>
        <w:left w:val="none" w:sz="0" w:space="0" w:color="auto"/>
        <w:bottom w:val="none" w:sz="0" w:space="0" w:color="auto"/>
        <w:right w:val="none" w:sz="0" w:space="0" w:color="auto"/>
      </w:divBdr>
      <w:divsChild>
        <w:div w:id="1586764224">
          <w:marLeft w:val="0"/>
          <w:marRight w:val="0"/>
          <w:marTop w:val="0"/>
          <w:marBottom w:val="0"/>
          <w:divBdr>
            <w:top w:val="none" w:sz="0" w:space="0" w:color="auto"/>
            <w:left w:val="none" w:sz="0" w:space="0" w:color="auto"/>
            <w:bottom w:val="none" w:sz="0" w:space="0" w:color="auto"/>
            <w:right w:val="none" w:sz="0" w:space="0" w:color="auto"/>
          </w:divBdr>
          <w:divsChild>
            <w:div w:id="10572441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50557424">
      <w:marLeft w:val="0"/>
      <w:marRight w:val="0"/>
      <w:marTop w:val="180"/>
      <w:marBottom w:val="180"/>
      <w:divBdr>
        <w:top w:val="none" w:sz="0" w:space="0" w:color="auto"/>
        <w:left w:val="none" w:sz="0" w:space="0" w:color="auto"/>
        <w:bottom w:val="none" w:sz="0" w:space="0" w:color="auto"/>
        <w:right w:val="none" w:sz="0" w:space="0" w:color="auto"/>
      </w:divBdr>
    </w:div>
    <w:div w:id="1851676252">
      <w:marLeft w:val="0"/>
      <w:marRight w:val="0"/>
      <w:marTop w:val="0"/>
      <w:marBottom w:val="0"/>
      <w:divBdr>
        <w:top w:val="none" w:sz="0" w:space="0" w:color="auto"/>
        <w:left w:val="none" w:sz="0" w:space="0" w:color="auto"/>
        <w:bottom w:val="none" w:sz="0" w:space="0" w:color="auto"/>
        <w:right w:val="none" w:sz="0" w:space="0" w:color="auto"/>
      </w:divBdr>
    </w:div>
    <w:div w:id="1855679879">
      <w:marLeft w:val="0"/>
      <w:marRight w:val="0"/>
      <w:marTop w:val="0"/>
      <w:marBottom w:val="0"/>
      <w:divBdr>
        <w:top w:val="none" w:sz="0" w:space="0" w:color="auto"/>
        <w:left w:val="none" w:sz="0" w:space="0" w:color="auto"/>
        <w:bottom w:val="none" w:sz="0" w:space="0" w:color="auto"/>
        <w:right w:val="none" w:sz="0" w:space="0" w:color="auto"/>
      </w:divBdr>
      <w:divsChild>
        <w:div w:id="1406414487">
          <w:marLeft w:val="0"/>
          <w:marRight w:val="0"/>
          <w:marTop w:val="0"/>
          <w:marBottom w:val="180"/>
          <w:divBdr>
            <w:top w:val="none" w:sz="0" w:space="0" w:color="auto"/>
            <w:left w:val="none" w:sz="0" w:space="0" w:color="auto"/>
            <w:bottom w:val="none" w:sz="0" w:space="0" w:color="auto"/>
            <w:right w:val="none" w:sz="0" w:space="0" w:color="auto"/>
          </w:divBdr>
        </w:div>
      </w:divsChild>
    </w:div>
    <w:div w:id="1858502589">
      <w:marLeft w:val="0"/>
      <w:marRight w:val="0"/>
      <w:marTop w:val="60"/>
      <w:marBottom w:val="60"/>
      <w:divBdr>
        <w:top w:val="none" w:sz="0" w:space="0" w:color="auto"/>
        <w:left w:val="none" w:sz="0" w:space="0" w:color="auto"/>
        <w:bottom w:val="none" w:sz="0" w:space="0" w:color="auto"/>
        <w:right w:val="none" w:sz="0" w:space="0" w:color="auto"/>
      </w:divBdr>
    </w:div>
    <w:div w:id="1861239053">
      <w:marLeft w:val="0"/>
      <w:marRight w:val="0"/>
      <w:marTop w:val="60"/>
      <w:marBottom w:val="60"/>
      <w:divBdr>
        <w:top w:val="none" w:sz="0" w:space="0" w:color="auto"/>
        <w:left w:val="none" w:sz="0" w:space="0" w:color="auto"/>
        <w:bottom w:val="none" w:sz="0" w:space="0" w:color="auto"/>
        <w:right w:val="none" w:sz="0" w:space="0" w:color="auto"/>
      </w:divBdr>
    </w:div>
    <w:div w:id="1862820127">
      <w:marLeft w:val="0"/>
      <w:marRight w:val="0"/>
      <w:marTop w:val="180"/>
      <w:marBottom w:val="0"/>
      <w:divBdr>
        <w:top w:val="none" w:sz="0" w:space="0" w:color="auto"/>
        <w:left w:val="none" w:sz="0" w:space="0" w:color="auto"/>
        <w:bottom w:val="none" w:sz="0" w:space="0" w:color="auto"/>
        <w:right w:val="none" w:sz="0" w:space="0" w:color="auto"/>
      </w:divBdr>
    </w:div>
    <w:div w:id="1866940798">
      <w:marLeft w:val="0"/>
      <w:marRight w:val="0"/>
      <w:marTop w:val="0"/>
      <w:marBottom w:val="0"/>
      <w:divBdr>
        <w:top w:val="none" w:sz="0" w:space="0" w:color="auto"/>
        <w:left w:val="none" w:sz="0" w:space="0" w:color="auto"/>
        <w:bottom w:val="none" w:sz="0" w:space="0" w:color="auto"/>
        <w:right w:val="none" w:sz="0" w:space="0" w:color="auto"/>
      </w:divBdr>
      <w:divsChild>
        <w:div w:id="115485298">
          <w:marLeft w:val="0"/>
          <w:marRight w:val="0"/>
          <w:marTop w:val="60"/>
          <w:marBottom w:val="60"/>
          <w:divBdr>
            <w:top w:val="none" w:sz="0" w:space="0" w:color="auto"/>
            <w:left w:val="none" w:sz="0" w:space="0" w:color="auto"/>
            <w:bottom w:val="none" w:sz="0" w:space="0" w:color="auto"/>
            <w:right w:val="none" w:sz="0" w:space="0" w:color="auto"/>
          </w:divBdr>
        </w:div>
      </w:divsChild>
    </w:div>
    <w:div w:id="1868372619">
      <w:marLeft w:val="0"/>
      <w:marRight w:val="0"/>
      <w:marTop w:val="180"/>
      <w:marBottom w:val="180"/>
      <w:divBdr>
        <w:top w:val="none" w:sz="0" w:space="0" w:color="auto"/>
        <w:left w:val="none" w:sz="0" w:space="0" w:color="auto"/>
        <w:bottom w:val="none" w:sz="0" w:space="0" w:color="auto"/>
        <w:right w:val="none" w:sz="0" w:space="0" w:color="auto"/>
      </w:divBdr>
    </w:div>
    <w:div w:id="1868448379">
      <w:marLeft w:val="0"/>
      <w:marRight w:val="0"/>
      <w:marTop w:val="60"/>
      <w:marBottom w:val="60"/>
      <w:divBdr>
        <w:top w:val="none" w:sz="0" w:space="0" w:color="auto"/>
        <w:left w:val="none" w:sz="0" w:space="0" w:color="auto"/>
        <w:bottom w:val="none" w:sz="0" w:space="0" w:color="auto"/>
        <w:right w:val="none" w:sz="0" w:space="0" w:color="auto"/>
      </w:divBdr>
    </w:div>
    <w:div w:id="1869029834">
      <w:marLeft w:val="0"/>
      <w:marRight w:val="0"/>
      <w:marTop w:val="0"/>
      <w:marBottom w:val="0"/>
      <w:divBdr>
        <w:top w:val="none" w:sz="0" w:space="0" w:color="auto"/>
        <w:left w:val="none" w:sz="0" w:space="0" w:color="auto"/>
        <w:bottom w:val="none" w:sz="0" w:space="0" w:color="auto"/>
        <w:right w:val="none" w:sz="0" w:space="0" w:color="auto"/>
      </w:divBdr>
      <w:divsChild>
        <w:div w:id="851336161">
          <w:marLeft w:val="0"/>
          <w:marRight w:val="0"/>
          <w:marTop w:val="0"/>
          <w:marBottom w:val="0"/>
          <w:divBdr>
            <w:top w:val="none" w:sz="0" w:space="0" w:color="auto"/>
            <w:left w:val="none" w:sz="0" w:space="0" w:color="auto"/>
            <w:bottom w:val="none" w:sz="0" w:space="0" w:color="auto"/>
            <w:right w:val="none" w:sz="0" w:space="0" w:color="auto"/>
          </w:divBdr>
          <w:divsChild>
            <w:div w:id="21245706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9291271">
      <w:marLeft w:val="0"/>
      <w:marRight w:val="0"/>
      <w:marTop w:val="180"/>
      <w:marBottom w:val="180"/>
      <w:divBdr>
        <w:top w:val="none" w:sz="0" w:space="0" w:color="auto"/>
        <w:left w:val="none" w:sz="0" w:space="0" w:color="auto"/>
        <w:bottom w:val="none" w:sz="0" w:space="0" w:color="auto"/>
        <w:right w:val="none" w:sz="0" w:space="0" w:color="auto"/>
      </w:divBdr>
    </w:div>
    <w:div w:id="1871410002">
      <w:marLeft w:val="0"/>
      <w:marRight w:val="0"/>
      <w:marTop w:val="60"/>
      <w:marBottom w:val="60"/>
      <w:divBdr>
        <w:top w:val="none" w:sz="0" w:space="0" w:color="auto"/>
        <w:left w:val="none" w:sz="0" w:space="0" w:color="auto"/>
        <w:bottom w:val="none" w:sz="0" w:space="0" w:color="auto"/>
        <w:right w:val="none" w:sz="0" w:space="0" w:color="auto"/>
      </w:divBdr>
    </w:div>
    <w:div w:id="1874423408">
      <w:marLeft w:val="0"/>
      <w:marRight w:val="0"/>
      <w:marTop w:val="180"/>
      <w:marBottom w:val="180"/>
      <w:divBdr>
        <w:top w:val="none" w:sz="0" w:space="0" w:color="auto"/>
        <w:left w:val="none" w:sz="0" w:space="0" w:color="auto"/>
        <w:bottom w:val="none" w:sz="0" w:space="0" w:color="auto"/>
        <w:right w:val="none" w:sz="0" w:space="0" w:color="auto"/>
      </w:divBdr>
    </w:div>
    <w:div w:id="1874685099">
      <w:marLeft w:val="0"/>
      <w:marRight w:val="0"/>
      <w:marTop w:val="180"/>
      <w:marBottom w:val="180"/>
      <w:divBdr>
        <w:top w:val="none" w:sz="0" w:space="0" w:color="auto"/>
        <w:left w:val="none" w:sz="0" w:space="0" w:color="auto"/>
        <w:bottom w:val="none" w:sz="0" w:space="0" w:color="auto"/>
        <w:right w:val="none" w:sz="0" w:space="0" w:color="auto"/>
      </w:divBdr>
    </w:div>
    <w:div w:id="1875733839">
      <w:marLeft w:val="0"/>
      <w:marRight w:val="0"/>
      <w:marTop w:val="180"/>
      <w:marBottom w:val="180"/>
      <w:divBdr>
        <w:top w:val="none" w:sz="0" w:space="0" w:color="auto"/>
        <w:left w:val="none" w:sz="0" w:space="0" w:color="auto"/>
        <w:bottom w:val="none" w:sz="0" w:space="0" w:color="auto"/>
        <w:right w:val="none" w:sz="0" w:space="0" w:color="auto"/>
      </w:divBdr>
    </w:div>
    <w:div w:id="1876305644">
      <w:marLeft w:val="0"/>
      <w:marRight w:val="0"/>
      <w:marTop w:val="180"/>
      <w:marBottom w:val="180"/>
      <w:divBdr>
        <w:top w:val="none" w:sz="0" w:space="0" w:color="auto"/>
        <w:left w:val="none" w:sz="0" w:space="0" w:color="auto"/>
        <w:bottom w:val="none" w:sz="0" w:space="0" w:color="auto"/>
        <w:right w:val="none" w:sz="0" w:space="0" w:color="auto"/>
      </w:divBdr>
    </w:div>
    <w:div w:id="1878081335">
      <w:marLeft w:val="0"/>
      <w:marRight w:val="0"/>
      <w:marTop w:val="180"/>
      <w:marBottom w:val="180"/>
      <w:divBdr>
        <w:top w:val="none" w:sz="0" w:space="0" w:color="auto"/>
        <w:left w:val="none" w:sz="0" w:space="0" w:color="auto"/>
        <w:bottom w:val="none" w:sz="0" w:space="0" w:color="auto"/>
        <w:right w:val="none" w:sz="0" w:space="0" w:color="auto"/>
      </w:divBdr>
    </w:div>
    <w:div w:id="1878540263">
      <w:marLeft w:val="0"/>
      <w:marRight w:val="0"/>
      <w:marTop w:val="180"/>
      <w:marBottom w:val="0"/>
      <w:divBdr>
        <w:top w:val="none" w:sz="0" w:space="0" w:color="auto"/>
        <w:left w:val="none" w:sz="0" w:space="0" w:color="auto"/>
        <w:bottom w:val="none" w:sz="0" w:space="0" w:color="auto"/>
        <w:right w:val="none" w:sz="0" w:space="0" w:color="auto"/>
      </w:divBdr>
    </w:div>
    <w:div w:id="1880430372">
      <w:marLeft w:val="0"/>
      <w:marRight w:val="0"/>
      <w:marTop w:val="60"/>
      <w:marBottom w:val="60"/>
      <w:divBdr>
        <w:top w:val="none" w:sz="0" w:space="0" w:color="auto"/>
        <w:left w:val="none" w:sz="0" w:space="0" w:color="auto"/>
        <w:bottom w:val="none" w:sz="0" w:space="0" w:color="auto"/>
        <w:right w:val="none" w:sz="0" w:space="0" w:color="auto"/>
      </w:divBdr>
    </w:div>
    <w:div w:id="1883205004">
      <w:marLeft w:val="0"/>
      <w:marRight w:val="0"/>
      <w:marTop w:val="100"/>
      <w:marBottom w:val="120"/>
      <w:divBdr>
        <w:top w:val="none" w:sz="0" w:space="0" w:color="auto"/>
        <w:left w:val="none" w:sz="0" w:space="0" w:color="auto"/>
        <w:bottom w:val="none" w:sz="0" w:space="0" w:color="auto"/>
        <w:right w:val="none" w:sz="0" w:space="0" w:color="auto"/>
      </w:divBdr>
    </w:div>
    <w:div w:id="1883705663">
      <w:marLeft w:val="0"/>
      <w:marRight w:val="0"/>
      <w:marTop w:val="100"/>
      <w:marBottom w:val="100"/>
      <w:divBdr>
        <w:top w:val="none" w:sz="0" w:space="0" w:color="auto"/>
        <w:left w:val="none" w:sz="0" w:space="0" w:color="auto"/>
        <w:bottom w:val="none" w:sz="0" w:space="0" w:color="auto"/>
        <w:right w:val="none" w:sz="0" w:space="0" w:color="auto"/>
      </w:divBdr>
      <w:divsChild>
        <w:div w:id="1904557041">
          <w:marLeft w:val="0"/>
          <w:marRight w:val="0"/>
          <w:marTop w:val="0"/>
          <w:marBottom w:val="0"/>
          <w:divBdr>
            <w:top w:val="none" w:sz="0" w:space="0" w:color="auto"/>
            <w:left w:val="none" w:sz="0" w:space="0" w:color="auto"/>
            <w:bottom w:val="none" w:sz="0" w:space="0" w:color="auto"/>
            <w:right w:val="none" w:sz="0" w:space="0" w:color="auto"/>
          </w:divBdr>
        </w:div>
        <w:div w:id="456920098">
          <w:marLeft w:val="0"/>
          <w:marRight w:val="0"/>
          <w:marTop w:val="0"/>
          <w:marBottom w:val="0"/>
          <w:divBdr>
            <w:top w:val="none" w:sz="0" w:space="0" w:color="auto"/>
            <w:left w:val="none" w:sz="0" w:space="0" w:color="auto"/>
            <w:bottom w:val="none" w:sz="0" w:space="0" w:color="auto"/>
            <w:right w:val="none" w:sz="0" w:space="0" w:color="auto"/>
          </w:divBdr>
        </w:div>
      </w:divsChild>
    </w:div>
    <w:div w:id="1888101205">
      <w:marLeft w:val="0"/>
      <w:marRight w:val="0"/>
      <w:marTop w:val="0"/>
      <w:marBottom w:val="0"/>
      <w:divBdr>
        <w:top w:val="none" w:sz="0" w:space="0" w:color="auto"/>
        <w:left w:val="none" w:sz="0" w:space="0" w:color="auto"/>
        <w:bottom w:val="none" w:sz="0" w:space="0" w:color="auto"/>
        <w:right w:val="none" w:sz="0" w:space="0" w:color="auto"/>
      </w:divBdr>
    </w:div>
    <w:div w:id="1888489837">
      <w:marLeft w:val="0"/>
      <w:marRight w:val="0"/>
      <w:marTop w:val="180"/>
      <w:marBottom w:val="180"/>
      <w:divBdr>
        <w:top w:val="none" w:sz="0" w:space="0" w:color="auto"/>
        <w:left w:val="none" w:sz="0" w:space="0" w:color="auto"/>
        <w:bottom w:val="none" w:sz="0" w:space="0" w:color="auto"/>
        <w:right w:val="none" w:sz="0" w:space="0" w:color="auto"/>
      </w:divBdr>
    </w:div>
    <w:div w:id="1889486169">
      <w:marLeft w:val="0"/>
      <w:marRight w:val="0"/>
      <w:marTop w:val="0"/>
      <w:marBottom w:val="0"/>
      <w:divBdr>
        <w:top w:val="none" w:sz="0" w:space="0" w:color="auto"/>
        <w:left w:val="none" w:sz="0" w:space="0" w:color="auto"/>
        <w:bottom w:val="none" w:sz="0" w:space="0" w:color="auto"/>
        <w:right w:val="none" w:sz="0" w:space="0" w:color="auto"/>
      </w:divBdr>
    </w:div>
    <w:div w:id="1891115026">
      <w:marLeft w:val="0"/>
      <w:marRight w:val="0"/>
      <w:marTop w:val="180"/>
      <w:marBottom w:val="180"/>
      <w:divBdr>
        <w:top w:val="none" w:sz="0" w:space="0" w:color="auto"/>
        <w:left w:val="none" w:sz="0" w:space="0" w:color="auto"/>
        <w:bottom w:val="none" w:sz="0" w:space="0" w:color="auto"/>
        <w:right w:val="none" w:sz="0" w:space="0" w:color="auto"/>
      </w:divBdr>
    </w:div>
    <w:div w:id="1891259213">
      <w:marLeft w:val="0"/>
      <w:marRight w:val="0"/>
      <w:marTop w:val="180"/>
      <w:marBottom w:val="180"/>
      <w:divBdr>
        <w:top w:val="none" w:sz="0" w:space="0" w:color="auto"/>
        <w:left w:val="none" w:sz="0" w:space="0" w:color="auto"/>
        <w:bottom w:val="none" w:sz="0" w:space="0" w:color="auto"/>
        <w:right w:val="none" w:sz="0" w:space="0" w:color="auto"/>
      </w:divBdr>
    </w:div>
    <w:div w:id="1894198717">
      <w:marLeft w:val="0"/>
      <w:marRight w:val="0"/>
      <w:marTop w:val="180"/>
      <w:marBottom w:val="180"/>
      <w:divBdr>
        <w:top w:val="none" w:sz="0" w:space="0" w:color="auto"/>
        <w:left w:val="none" w:sz="0" w:space="0" w:color="auto"/>
        <w:bottom w:val="none" w:sz="0" w:space="0" w:color="auto"/>
        <w:right w:val="none" w:sz="0" w:space="0" w:color="auto"/>
      </w:divBdr>
    </w:div>
    <w:div w:id="1895659699">
      <w:marLeft w:val="0"/>
      <w:marRight w:val="0"/>
      <w:marTop w:val="0"/>
      <w:marBottom w:val="0"/>
      <w:divBdr>
        <w:top w:val="none" w:sz="0" w:space="0" w:color="auto"/>
        <w:left w:val="none" w:sz="0" w:space="0" w:color="auto"/>
        <w:bottom w:val="none" w:sz="0" w:space="0" w:color="auto"/>
        <w:right w:val="none" w:sz="0" w:space="0" w:color="auto"/>
      </w:divBdr>
      <w:divsChild>
        <w:div w:id="1211380162">
          <w:marLeft w:val="0"/>
          <w:marRight w:val="0"/>
          <w:marTop w:val="60"/>
          <w:marBottom w:val="60"/>
          <w:divBdr>
            <w:top w:val="none" w:sz="0" w:space="0" w:color="auto"/>
            <w:left w:val="none" w:sz="0" w:space="0" w:color="auto"/>
            <w:bottom w:val="none" w:sz="0" w:space="0" w:color="auto"/>
            <w:right w:val="none" w:sz="0" w:space="0" w:color="auto"/>
          </w:divBdr>
        </w:div>
      </w:divsChild>
    </w:div>
    <w:div w:id="1895891524">
      <w:marLeft w:val="0"/>
      <w:marRight w:val="0"/>
      <w:marTop w:val="180"/>
      <w:marBottom w:val="180"/>
      <w:divBdr>
        <w:top w:val="none" w:sz="0" w:space="0" w:color="auto"/>
        <w:left w:val="none" w:sz="0" w:space="0" w:color="auto"/>
        <w:bottom w:val="none" w:sz="0" w:space="0" w:color="auto"/>
        <w:right w:val="none" w:sz="0" w:space="0" w:color="auto"/>
      </w:divBdr>
    </w:div>
    <w:div w:id="1901675871">
      <w:marLeft w:val="0"/>
      <w:marRight w:val="0"/>
      <w:marTop w:val="180"/>
      <w:marBottom w:val="180"/>
      <w:divBdr>
        <w:top w:val="none" w:sz="0" w:space="0" w:color="auto"/>
        <w:left w:val="none" w:sz="0" w:space="0" w:color="auto"/>
        <w:bottom w:val="none" w:sz="0" w:space="0" w:color="auto"/>
        <w:right w:val="none" w:sz="0" w:space="0" w:color="auto"/>
      </w:divBdr>
    </w:div>
    <w:div w:id="1901868925">
      <w:marLeft w:val="0"/>
      <w:marRight w:val="0"/>
      <w:marTop w:val="180"/>
      <w:marBottom w:val="180"/>
      <w:divBdr>
        <w:top w:val="none" w:sz="0" w:space="0" w:color="auto"/>
        <w:left w:val="none" w:sz="0" w:space="0" w:color="auto"/>
        <w:bottom w:val="none" w:sz="0" w:space="0" w:color="auto"/>
        <w:right w:val="none" w:sz="0" w:space="0" w:color="auto"/>
      </w:divBdr>
    </w:div>
    <w:div w:id="1902789908">
      <w:marLeft w:val="0"/>
      <w:marRight w:val="0"/>
      <w:marTop w:val="0"/>
      <w:marBottom w:val="0"/>
      <w:divBdr>
        <w:top w:val="none" w:sz="0" w:space="0" w:color="auto"/>
        <w:left w:val="none" w:sz="0" w:space="0" w:color="auto"/>
        <w:bottom w:val="none" w:sz="0" w:space="0" w:color="auto"/>
        <w:right w:val="none" w:sz="0" w:space="0" w:color="auto"/>
      </w:divBdr>
    </w:div>
    <w:div w:id="1904633790">
      <w:marLeft w:val="0"/>
      <w:marRight w:val="0"/>
      <w:marTop w:val="180"/>
      <w:marBottom w:val="180"/>
      <w:divBdr>
        <w:top w:val="none" w:sz="0" w:space="0" w:color="auto"/>
        <w:left w:val="none" w:sz="0" w:space="0" w:color="auto"/>
        <w:bottom w:val="none" w:sz="0" w:space="0" w:color="auto"/>
        <w:right w:val="none" w:sz="0" w:space="0" w:color="auto"/>
      </w:divBdr>
    </w:div>
    <w:div w:id="1904753375">
      <w:marLeft w:val="0"/>
      <w:marRight w:val="0"/>
      <w:marTop w:val="60"/>
      <w:marBottom w:val="60"/>
      <w:divBdr>
        <w:top w:val="none" w:sz="0" w:space="0" w:color="auto"/>
        <w:left w:val="none" w:sz="0" w:space="0" w:color="auto"/>
        <w:bottom w:val="none" w:sz="0" w:space="0" w:color="auto"/>
        <w:right w:val="none" w:sz="0" w:space="0" w:color="auto"/>
      </w:divBdr>
    </w:div>
    <w:div w:id="1905723478">
      <w:marLeft w:val="0"/>
      <w:marRight w:val="0"/>
      <w:marTop w:val="60"/>
      <w:marBottom w:val="60"/>
      <w:divBdr>
        <w:top w:val="none" w:sz="0" w:space="0" w:color="auto"/>
        <w:left w:val="none" w:sz="0" w:space="0" w:color="auto"/>
        <w:bottom w:val="none" w:sz="0" w:space="0" w:color="auto"/>
        <w:right w:val="none" w:sz="0" w:space="0" w:color="auto"/>
      </w:divBdr>
    </w:div>
    <w:div w:id="1905948203">
      <w:marLeft w:val="0"/>
      <w:marRight w:val="0"/>
      <w:marTop w:val="60"/>
      <w:marBottom w:val="60"/>
      <w:divBdr>
        <w:top w:val="none" w:sz="0" w:space="0" w:color="auto"/>
        <w:left w:val="none" w:sz="0" w:space="0" w:color="auto"/>
        <w:bottom w:val="none" w:sz="0" w:space="0" w:color="auto"/>
        <w:right w:val="none" w:sz="0" w:space="0" w:color="auto"/>
      </w:divBdr>
      <w:divsChild>
        <w:div w:id="376904409">
          <w:marLeft w:val="0"/>
          <w:marRight w:val="0"/>
          <w:marTop w:val="0"/>
          <w:marBottom w:val="0"/>
          <w:divBdr>
            <w:top w:val="none" w:sz="0" w:space="0" w:color="auto"/>
            <w:left w:val="none" w:sz="0" w:space="0" w:color="auto"/>
            <w:bottom w:val="none" w:sz="0" w:space="0" w:color="auto"/>
            <w:right w:val="none" w:sz="0" w:space="0" w:color="auto"/>
          </w:divBdr>
        </w:div>
        <w:div w:id="85468096">
          <w:marLeft w:val="0"/>
          <w:marRight w:val="0"/>
          <w:marTop w:val="0"/>
          <w:marBottom w:val="0"/>
          <w:divBdr>
            <w:top w:val="none" w:sz="0" w:space="0" w:color="auto"/>
            <w:left w:val="none" w:sz="0" w:space="0" w:color="auto"/>
            <w:bottom w:val="none" w:sz="0" w:space="0" w:color="auto"/>
            <w:right w:val="none" w:sz="0" w:space="0" w:color="auto"/>
          </w:divBdr>
        </w:div>
        <w:div w:id="561909563">
          <w:marLeft w:val="0"/>
          <w:marRight w:val="0"/>
          <w:marTop w:val="0"/>
          <w:marBottom w:val="0"/>
          <w:divBdr>
            <w:top w:val="none" w:sz="0" w:space="0" w:color="auto"/>
            <w:left w:val="none" w:sz="0" w:space="0" w:color="auto"/>
            <w:bottom w:val="none" w:sz="0" w:space="0" w:color="auto"/>
            <w:right w:val="none" w:sz="0" w:space="0" w:color="auto"/>
          </w:divBdr>
        </w:div>
      </w:divsChild>
    </w:div>
    <w:div w:id="1906647508">
      <w:marLeft w:val="0"/>
      <w:marRight w:val="0"/>
      <w:marTop w:val="180"/>
      <w:marBottom w:val="180"/>
      <w:divBdr>
        <w:top w:val="none" w:sz="0" w:space="0" w:color="auto"/>
        <w:left w:val="none" w:sz="0" w:space="0" w:color="auto"/>
        <w:bottom w:val="none" w:sz="0" w:space="0" w:color="auto"/>
        <w:right w:val="none" w:sz="0" w:space="0" w:color="auto"/>
      </w:divBdr>
    </w:div>
    <w:div w:id="1907063938">
      <w:marLeft w:val="0"/>
      <w:marRight w:val="0"/>
      <w:marTop w:val="180"/>
      <w:marBottom w:val="180"/>
      <w:divBdr>
        <w:top w:val="none" w:sz="0" w:space="0" w:color="auto"/>
        <w:left w:val="none" w:sz="0" w:space="0" w:color="auto"/>
        <w:bottom w:val="none" w:sz="0" w:space="0" w:color="auto"/>
        <w:right w:val="none" w:sz="0" w:space="0" w:color="auto"/>
      </w:divBdr>
    </w:div>
    <w:div w:id="1910581249">
      <w:marLeft w:val="0"/>
      <w:marRight w:val="0"/>
      <w:marTop w:val="180"/>
      <w:marBottom w:val="180"/>
      <w:divBdr>
        <w:top w:val="none" w:sz="0" w:space="0" w:color="auto"/>
        <w:left w:val="none" w:sz="0" w:space="0" w:color="auto"/>
        <w:bottom w:val="none" w:sz="0" w:space="0" w:color="auto"/>
        <w:right w:val="none" w:sz="0" w:space="0" w:color="auto"/>
      </w:divBdr>
    </w:div>
    <w:div w:id="1910650360">
      <w:marLeft w:val="0"/>
      <w:marRight w:val="0"/>
      <w:marTop w:val="0"/>
      <w:marBottom w:val="0"/>
      <w:divBdr>
        <w:top w:val="none" w:sz="0" w:space="0" w:color="auto"/>
        <w:left w:val="none" w:sz="0" w:space="0" w:color="auto"/>
        <w:bottom w:val="none" w:sz="0" w:space="0" w:color="auto"/>
        <w:right w:val="none" w:sz="0" w:space="0" w:color="auto"/>
      </w:divBdr>
      <w:divsChild>
        <w:div w:id="1906335867">
          <w:marLeft w:val="0"/>
          <w:marRight w:val="0"/>
          <w:marTop w:val="0"/>
          <w:marBottom w:val="0"/>
          <w:divBdr>
            <w:top w:val="none" w:sz="0" w:space="0" w:color="auto"/>
            <w:left w:val="none" w:sz="0" w:space="0" w:color="auto"/>
            <w:bottom w:val="none" w:sz="0" w:space="0" w:color="auto"/>
            <w:right w:val="none" w:sz="0" w:space="0" w:color="auto"/>
          </w:divBdr>
          <w:divsChild>
            <w:div w:id="14043753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1235999">
      <w:marLeft w:val="0"/>
      <w:marRight w:val="0"/>
      <w:marTop w:val="0"/>
      <w:marBottom w:val="0"/>
      <w:divBdr>
        <w:top w:val="none" w:sz="0" w:space="0" w:color="auto"/>
        <w:left w:val="none" w:sz="0" w:space="0" w:color="auto"/>
        <w:bottom w:val="none" w:sz="0" w:space="0" w:color="auto"/>
        <w:right w:val="none" w:sz="0" w:space="0" w:color="auto"/>
      </w:divBdr>
      <w:divsChild>
        <w:div w:id="1429807553">
          <w:marLeft w:val="0"/>
          <w:marRight w:val="0"/>
          <w:marTop w:val="0"/>
          <w:marBottom w:val="0"/>
          <w:divBdr>
            <w:top w:val="none" w:sz="0" w:space="0" w:color="auto"/>
            <w:left w:val="none" w:sz="0" w:space="0" w:color="auto"/>
            <w:bottom w:val="none" w:sz="0" w:space="0" w:color="auto"/>
            <w:right w:val="none" w:sz="0" w:space="0" w:color="auto"/>
          </w:divBdr>
          <w:divsChild>
            <w:div w:id="7992264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3351519">
      <w:marLeft w:val="0"/>
      <w:marRight w:val="0"/>
      <w:marTop w:val="0"/>
      <w:marBottom w:val="0"/>
      <w:divBdr>
        <w:top w:val="none" w:sz="0" w:space="0" w:color="auto"/>
        <w:left w:val="none" w:sz="0" w:space="0" w:color="auto"/>
        <w:bottom w:val="none" w:sz="0" w:space="0" w:color="auto"/>
        <w:right w:val="none" w:sz="0" w:space="0" w:color="auto"/>
      </w:divBdr>
      <w:divsChild>
        <w:div w:id="1851990855">
          <w:marLeft w:val="0"/>
          <w:marRight w:val="0"/>
          <w:marTop w:val="0"/>
          <w:marBottom w:val="0"/>
          <w:divBdr>
            <w:top w:val="none" w:sz="0" w:space="0" w:color="auto"/>
            <w:left w:val="none" w:sz="0" w:space="0" w:color="auto"/>
            <w:bottom w:val="none" w:sz="0" w:space="0" w:color="auto"/>
            <w:right w:val="none" w:sz="0" w:space="0" w:color="auto"/>
          </w:divBdr>
          <w:divsChild>
            <w:div w:id="6088511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5355483">
      <w:marLeft w:val="0"/>
      <w:marRight w:val="0"/>
      <w:marTop w:val="0"/>
      <w:marBottom w:val="0"/>
      <w:divBdr>
        <w:top w:val="none" w:sz="0" w:space="0" w:color="auto"/>
        <w:left w:val="none" w:sz="0" w:space="0" w:color="auto"/>
        <w:bottom w:val="none" w:sz="0" w:space="0" w:color="auto"/>
        <w:right w:val="none" w:sz="0" w:space="0" w:color="auto"/>
      </w:divBdr>
    </w:div>
    <w:div w:id="1917743481">
      <w:marLeft w:val="0"/>
      <w:marRight w:val="0"/>
      <w:marTop w:val="180"/>
      <w:marBottom w:val="180"/>
      <w:divBdr>
        <w:top w:val="none" w:sz="0" w:space="0" w:color="auto"/>
        <w:left w:val="none" w:sz="0" w:space="0" w:color="auto"/>
        <w:bottom w:val="none" w:sz="0" w:space="0" w:color="auto"/>
        <w:right w:val="none" w:sz="0" w:space="0" w:color="auto"/>
      </w:divBdr>
    </w:div>
    <w:div w:id="1917933349">
      <w:marLeft w:val="0"/>
      <w:marRight w:val="0"/>
      <w:marTop w:val="100"/>
      <w:marBottom w:val="180"/>
      <w:divBdr>
        <w:top w:val="none" w:sz="0" w:space="0" w:color="auto"/>
        <w:left w:val="none" w:sz="0" w:space="0" w:color="auto"/>
        <w:bottom w:val="none" w:sz="0" w:space="0" w:color="auto"/>
        <w:right w:val="none" w:sz="0" w:space="0" w:color="auto"/>
      </w:divBdr>
    </w:div>
    <w:div w:id="1921063113">
      <w:marLeft w:val="0"/>
      <w:marRight w:val="0"/>
      <w:marTop w:val="60"/>
      <w:marBottom w:val="60"/>
      <w:divBdr>
        <w:top w:val="none" w:sz="0" w:space="0" w:color="auto"/>
        <w:left w:val="none" w:sz="0" w:space="0" w:color="auto"/>
        <w:bottom w:val="none" w:sz="0" w:space="0" w:color="auto"/>
        <w:right w:val="none" w:sz="0" w:space="0" w:color="auto"/>
      </w:divBdr>
    </w:div>
    <w:div w:id="1921213748">
      <w:marLeft w:val="0"/>
      <w:marRight w:val="0"/>
      <w:marTop w:val="180"/>
      <w:marBottom w:val="180"/>
      <w:divBdr>
        <w:top w:val="none" w:sz="0" w:space="0" w:color="auto"/>
        <w:left w:val="none" w:sz="0" w:space="0" w:color="auto"/>
        <w:bottom w:val="none" w:sz="0" w:space="0" w:color="auto"/>
        <w:right w:val="none" w:sz="0" w:space="0" w:color="auto"/>
      </w:divBdr>
    </w:div>
    <w:div w:id="1921405823">
      <w:marLeft w:val="0"/>
      <w:marRight w:val="0"/>
      <w:marTop w:val="0"/>
      <w:marBottom w:val="0"/>
      <w:divBdr>
        <w:top w:val="none" w:sz="0" w:space="0" w:color="auto"/>
        <w:left w:val="none" w:sz="0" w:space="0" w:color="auto"/>
        <w:bottom w:val="none" w:sz="0" w:space="0" w:color="auto"/>
        <w:right w:val="none" w:sz="0" w:space="0" w:color="auto"/>
      </w:divBdr>
      <w:divsChild>
        <w:div w:id="581527579">
          <w:marLeft w:val="0"/>
          <w:marRight w:val="0"/>
          <w:marTop w:val="0"/>
          <w:marBottom w:val="0"/>
          <w:divBdr>
            <w:top w:val="none" w:sz="0" w:space="0" w:color="auto"/>
            <w:left w:val="none" w:sz="0" w:space="0" w:color="auto"/>
            <w:bottom w:val="none" w:sz="0" w:space="0" w:color="auto"/>
            <w:right w:val="none" w:sz="0" w:space="0" w:color="auto"/>
          </w:divBdr>
          <w:divsChild>
            <w:div w:id="16451126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22711171">
      <w:marLeft w:val="0"/>
      <w:marRight w:val="0"/>
      <w:marTop w:val="180"/>
      <w:marBottom w:val="180"/>
      <w:divBdr>
        <w:top w:val="none" w:sz="0" w:space="0" w:color="auto"/>
        <w:left w:val="none" w:sz="0" w:space="0" w:color="auto"/>
        <w:bottom w:val="none" w:sz="0" w:space="0" w:color="auto"/>
        <w:right w:val="none" w:sz="0" w:space="0" w:color="auto"/>
      </w:divBdr>
    </w:div>
    <w:div w:id="1922988183">
      <w:marLeft w:val="0"/>
      <w:marRight w:val="0"/>
      <w:marTop w:val="180"/>
      <w:marBottom w:val="180"/>
      <w:divBdr>
        <w:top w:val="none" w:sz="0" w:space="0" w:color="auto"/>
        <w:left w:val="none" w:sz="0" w:space="0" w:color="auto"/>
        <w:bottom w:val="none" w:sz="0" w:space="0" w:color="auto"/>
        <w:right w:val="none" w:sz="0" w:space="0" w:color="auto"/>
      </w:divBdr>
    </w:div>
    <w:div w:id="1926524561">
      <w:marLeft w:val="0"/>
      <w:marRight w:val="0"/>
      <w:marTop w:val="60"/>
      <w:marBottom w:val="60"/>
      <w:divBdr>
        <w:top w:val="none" w:sz="0" w:space="0" w:color="auto"/>
        <w:left w:val="none" w:sz="0" w:space="0" w:color="auto"/>
        <w:bottom w:val="none" w:sz="0" w:space="0" w:color="auto"/>
        <w:right w:val="none" w:sz="0" w:space="0" w:color="auto"/>
      </w:divBdr>
    </w:div>
    <w:div w:id="1927034721">
      <w:marLeft w:val="0"/>
      <w:marRight w:val="0"/>
      <w:marTop w:val="60"/>
      <w:marBottom w:val="60"/>
      <w:divBdr>
        <w:top w:val="none" w:sz="0" w:space="0" w:color="auto"/>
        <w:left w:val="none" w:sz="0" w:space="0" w:color="auto"/>
        <w:bottom w:val="none" w:sz="0" w:space="0" w:color="auto"/>
        <w:right w:val="none" w:sz="0" w:space="0" w:color="auto"/>
      </w:divBdr>
    </w:div>
    <w:div w:id="1927375672">
      <w:marLeft w:val="0"/>
      <w:marRight w:val="0"/>
      <w:marTop w:val="240"/>
      <w:marBottom w:val="180"/>
      <w:divBdr>
        <w:top w:val="none" w:sz="0" w:space="0" w:color="auto"/>
        <w:left w:val="none" w:sz="0" w:space="0" w:color="auto"/>
        <w:bottom w:val="none" w:sz="0" w:space="0" w:color="auto"/>
        <w:right w:val="none" w:sz="0" w:space="0" w:color="auto"/>
      </w:divBdr>
    </w:div>
    <w:div w:id="1928882823">
      <w:marLeft w:val="0"/>
      <w:marRight w:val="0"/>
      <w:marTop w:val="100"/>
      <w:marBottom w:val="100"/>
      <w:divBdr>
        <w:top w:val="none" w:sz="0" w:space="0" w:color="auto"/>
        <w:left w:val="none" w:sz="0" w:space="0" w:color="auto"/>
        <w:bottom w:val="none" w:sz="0" w:space="0" w:color="auto"/>
        <w:right w:val="none" w:sz="0" w:space="0" w:color="auto"/>
      </w:divBdr>
    </w:div>
    <w:div w:id="1928928121">
      <w:marLeft w:val="0"/>
      <w:marRight w:val="0"/>
      <w:marTop w:val="0"/>
      <w:marBottom w:val="0"/>
      <w:divBdr>
        <w:top w:val="none" w:sz="0" w:space="0" w:color="auto"/>
        <w:left w:val="none" w:sz="0" w:space="0" w:color="auto"/>
        <w:bottom w:val="none" w:sz="0" w:space="0" w:color="auto"/>
        <w:right w:val="none" w:sz="0" w:space="0" w:color="auto"/>
      </w:divBdr>
      <w:divsChild>
        <w:div w:id="333805492">
          <w:marLeft w:val="0"/>
          <w:marRight w:val="0"/>
          <w:marTop w:val="0"/>
          <w:marBottom w:val="0"/>
          <w:divBdr>
            <w:top w:val="none" w:sz="0" w:space="0" w:color="auto"/>
            <w:left w:val="none" w:sz="0" w:space="0" w:color="auto"/>
            <w:bottom w:val="none" w:sz="0" w:space="0" w:color="auto"/>
            <w:right w:val="none" w:sz="0" w:space="0" w:color="auto"/>
          </w:divBdr>
          <w:divsChild>
            <w:div w:id="1267768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30389510">
      <w:marLeft w:val="0"/>
      <w:marRight w:val="0"/>
      <w:marTop w:val="180"/>
      <w:marBottom w:val="60"/>
      <w:divBdr>
        <w:top w:val="none" w:sz="0" w:space="0" w:color="auto"/>
        <w:left w:val="none" w:sz="0" w:space="0" w:color="auto"/>
        <w:bottom w:val="none" w:sz="0" w:space="0" w:color="auto"/>
        <w:right w:val="none" w:sz="0" w:space="0" w:color="auto"/>
      </w:divBdr>
    </w:div>
    <w:div w:id="1932395718">
      <w:marLeft w:val="0"/>
      <w:marRight w:val="0"/>
      <w:marTop w:val="180"/>
      <w:marBottom w:val="180"/>
      <w:divBdr>
        <w:top w:val="none" w:sz="0" w:space="0" w:color="auto"/>
        <w:left w:val="none" w:sz="0" w:space="0" w:color="auto"/>
        <w:bottom w:val="none" w:sz="0" w:space="0" w:color="auto"/>
        <w:right w:val="none" w:sz="0" w:space="0" w:color="auto"/>
      </w:divBdr>
    </w:div>
    <w:div w:id="1936942054">
      <w:marLeft w:val="0"/>
      <w:marRight w:val="0"/>
      <w:marTop w:val="180"/>
      <w:marBottom w:val="180"/>
      <w:divBdr>
        <w:top w:val="none" w:sz="0" w:space="0" w:color="auto"/>
        <w:left w:val="none" w:sz="0" w:space="0" w:color="auto"/>
        <w:bottom w:val="none" w:sz="0" w:space="0" w:color="auto"/>
        <w:right w:val="none" w:sz="0" w:space="0" w:color="auto"/>
      </w:divBdr>
    </w:div>
    <w:div w:id="1937134976">
      <w:marLeft w:val="0"/>
      <w:marRight w:val="0"/>
      <w:marTop w:val="180"/>
      <w:marBottom w:val="180"/>
      <w:divBdr>
        <w:top w:val="none" w:sz="0" w:space="0" w:color="auto"/>
        <w:left w:val="none" w:sz="0" w:space="0" w:color="auto"/>
        <w:bottom w:val="none" w:sz="0" w:space="0" w:color="auto"/>
        <w:right w:val="none" w:sz="0" w:space="0" w:color="auto"/>
      </w:divBdr>
    </w:div>
    <w:div w:id="1939673497">
      <w:marLeft w:val="0"/>
      <w:marRight w:val="0"/>
      <w:marTop w:val="180"/>
      <w:marBottom w:val="0"/>
      <w:divBdr>
        <w:top w:val="none" w:sz="0" w:space="0" w:color="auto"/>
        <w:left w:val="none" w:sz="0" w:space="0" w:color="auto"/>
        <w:bottom w:val="none" w:sz="0" w:space="0" w:color="auto"/>
        <w:right w:val="none" w:sz="0" w:space="0" w:color="auto"/>
      </w:divBdr>
    </w:div>
    <w:div w:id="1940025219">
      <w:marLeft w:val="0"/>
      <w:marRight w:val="0"/>
      <w:marTop w:val="0"/>
      <w:marBottom w:val="0"/>
      <w:divBdr>
        <w:top w:val="none" w:sz="0" w:space="0" w:color="auto"/>
        <w:left w:val="none" w:sz="0" w:space="0" w:color="auto"/>
        <w:bottom w:val="none" w:sz="0" w:space="0" w:color="auto"/>
        <w:right w:val="none" w:sz="0" w:space="0" w:color="auto"/>
      </w:divBdr>
    </w:div>
    <w:div w:id="1940290153">
      <w:marLeft w:val="0"/>
      <w:marRight w:val="0"/>
      <w:marTop w:val="180"/>
      <w:marBottom w:val="180"/>
      <w:divBdr>
        <w:top w:val="none" w:sz="0" w:space="0" w:color="auto"/>
        <w:left w:val="none" w:sz="0" w:space="0" w:color="auto"/>
        <w:bottom w:val="none" w:sz="0" w:space="0" w:color="auto"/>
        <w:right w:val="none" w:sz="0" w:space="0" w:color="auto"/>
      </w:divBdr>
    </w:div>
    <w:div w:id="1941258622">
      <w:marLeft w:val="0"/>
      <w:marRight w:val="0"/>
      <w:marTop w:val="180"/>
      <w:marBottom w:val="180"/>
      <w:divBdr>
        <w:top w:val="none" w:sz="0" w:space="0" w:color="auto"/>
        <w:left w:val="none" w:sz="0" w:space="0" w:color="auto"/>
        <w:bottom w:val="none" w:sz="0" w:space="0" w:color="auto"/>
        <w:right w:val="none" w:sz="0" w:space="0" w:color="auto"/>
      </w:divBdr>
    </w:div>
    <w:div w:id="1941596282">
      <w:marLeft w:val="0"/>
      <w:marRight w:val="0"/>
      <w:marTop w:val="180"/>
      <w:marBottom w:val="180"/>
      <w:divBdr>
        <w:top w:val="none" w:sz="0" w:space="0" w:color="auto"/>
        <w:left w:val="none" w:sz="0" w:space="0" w:color="auto"/>
        <w:bottom w:val="none" w:sz="0" w:space="0" w:color="auto"/>
        <w:right w:val="none" w:sz="0" w:space="0" w:color="auto"/>
      </w:divBdr>
    </w:div>
    <w:div w:id="1944221544">
      <w:marLeft w:val="0"/>
      <w:marRight w:val="0"/>
      <w:marTop w:val="100"/>
      <w:marBottom w:val="100"/>
      <w:divBdr>
        <w:top w:val="none" w:sz="0" w:space="0" w:color="auto"/>
        <w:left w:val="none" w:sz="0" w:space="0" w:color="auto"/>
        <w:bottom w:val="none" w:sz="0" w:space="0" w:color="auto"/>
        <w:right w:val="none" w:sz="0" w:space="0" w:color="auto"/>
      </w:divBdr>
      <w:divsChild>
        <w:div w:id="577128820">
          <w:marLeft w:val="0"/>
          <w:marRight w:val="0"/>
          <w:marTop w:val="0"/>
          <w:marBottom w:val="0"/>
          <w:divBdr>
            <w:top w:val="none" w:sz="0" w:space="0" w:color="auto"/>
            <w:left w:val="none" w:sz="0" w:space="0" w:color="auto"/>
            <w:bottom w:val="none" w:sz="0" w:space="0" w:color="auto"/>
            <w:right w:val="none" w:sz="0" w:space="0" w:color="auto"/>
          </w:divBdr>
        </w:div>
        <w:div w:id="2036420034">
          <w:marLeft w:val="0"/>
          <w:marRight w:val="0"/>
          <w:marTop w:val="0"/>
          <w:marBottom w:val="0"/>
          <w:divBdr>
            <w:top w:val="none" w:sz="0" w:space="0" w:color="auto"/>
            <w:left w:val="none" w:sz="0" w:space="0" w:color="auto"/>
            <w:bottom w:val="none" w:sz="0" w:space="0" w:color="auto"/>
            <w:right w:val="none" w:sz="0" w:space="0" w:color="auto"/>
          </w:divBdr>
        </w:div>
        <w:div w:id="1030957948">
          <w:marLeft w:val="0"/>
          <w:marRight w:val="0"/>
          <w:marTop w:val="0"/>
          <w:marBottom w:val="0"/>
          <w:divBdr>
            <w:top w:val="none" w:sz="0" w:space="0" w:color="auto"/>
            <w:left w:val="none" w:sz="0" w:space="0" w:color="auto"/>
            <w:bottom w:val="none" w:sz="0" w:space="0" w:color="auto"/>
            <w:right w:val="none" w:sz="0" w:space="0" w:color="auto"/>
          </w:divBdr>
        </w:div>
      </w:divsChild>
    </w:div>
    <w:div w:id="1945263407">
      <w:marLeft w:val="0"/>
      <w:marRight w:val="0"/>
      <w:marTop w:val="0"/>
      <w:marBottom w:val="0"/>
      <w:divBdr>
        <w:top w:val="none" w:sz="0" w:space="0" w:color="auto"/>
        <w:left w:val="none" w:sz="0" w:space="0" w:color="auto"/>
        <w:bottom w:val="none" w:sz="0" w:space="0" w:color="auto"/>
        <w:right w:val="none" w:sz="0" w:space="0" w:color="auto"/>
      </w:divBdr>
    </w:div>
    <w:div w:id="1947347777">
      <w:marLeft w:val="0"/>
      <w:marRight w:val="0"/>
      <w:marTop w:val="160"/>
      <w:marBottom w:val="100"/>
      <w:divBdr>
        <w:top w:val="none" w:sz="0" w:space="0" w:color="auto"/>
        <w:left w:val="none" w:sz="0" w:space="0" w:color="auto"/>
        <w:bottom w:val="none" w:sz="0" w:space="0" w:color="auto"/>
        <w:right w:val="none" w:sz="0" w:space="0" w:color="auto"/>
      </w:divBdr>
    </w:div>
    <w:div w:id="1949853533">
      <w:marLeft w:val="0"/>
      <w:marRight w:val="0"/>
      <w:marTop w:val="180"/>
      <w:marBottom w:val="180"/>
      <w:divBdr>
        <w:top w:val="none" w:sz="0" w:space="0" w:color="auto"/>
        <w:left w:val="none" w:sz="0" w:space="0" w:color="auto"/>
        <w:bottom w:val="none" w:sz="0" w:space="0" w:color="auto"/>
        <w:right w:val="none" w:sz="0" w:space="0" w:color="auto"/>
      </w:divBdr>
    </w:div>
    <w:div w:id="1952469965">
      <w:marLeft w:val="0"/>
      <w:marRight w:val="0"/>
      <w:marTop w:val="60"/>
      <w:marBottom w:val="100"/>
      <w:divBdr>
        <w:top w:val="none" w:sz="0" w:space="0" w:color="auto"/>
        <w:left w:val="none" w:sz="0" w:space="0" w:color="auto"/>
        <w:bottom w:val="none" w:sz="0" w:space="0" w:color="auto"/>
        <w:right w:val="none" w:sz="0" w:space="0" w:color="auto"/>
      </w:divBdr>
    </w:div>
    <w:div w:id="1952545187">
      <w:marLeft w:val="0"/>
      <w:marRight w:val="0"/>
      <w:marTop w:val="180"/>
      <w:marBottom w:val="180"/>
      <w:divBdr>
        <w:top w:val="none" w:sz="0" w:space="0" w:color="auto"/>
        <w:left w:val="none" w:sz="0" w:space="0" w:color="auto"/>
        <w:bottom w:val="none" w:sz="0" w:space="0" w:color="auto"/>
        <w:right w:val="none" w:sz="0" w:space="0" w:color="auto"/>
      </w:divBdr>
    </w:div>
    <w:div w:id="1953171794">
      <w:marLeft w:val="0"/>
      <w:marRight w:val="0"/>
      <w:marTop w:val="0"/>
      <w:marBottom w:val="0"/>
      <w:divBdr>
        <w:top w:val="none" w:sz="0" w:space="0" w:color="auto"/>
        <w:left w:val="none" w:sz="0" w:space="0" w:color="auto"/>
        <w:bottom w:val="none" w:sz="0" w:space="0" w:color="auto"/>
        <w:right w:val="none" w:sz="0" w:space="0" w:color="auto"/>
      </w:divBdr>
    </w:div>
    <w:div w:id="1953709126">
      <w:marLeft w:val="0"/>
      <w:marRight w:val="0"/>
      <w:marTop w:val="180"/>
      <w:marBottom w:val="180"/>
      <w:divBdr>
        <w:top w:val="none" w:sz="0" w:space="0" w:color="auto"/>
        <w:left w:val="none" w:sz="0" w:space="0" w:color="auto"/>
        <w:bottom w:val="none" w:sz="0" w:space="0" w:color="auto"/>
        <w:right w:val="none" w:sz="0" w:space="0" w:color="auto"/>
      </w:divBdr>
    </w:div>
    <w:div w:id="1954093412">
      <w:marLeft w:val="0"/>
      <w:marRight w:val="0"/>
      <w:marTop w:val="180"/>
      <w:marBottom w:val="60"/>
      <w:divBdr>
        <w:top w:val="none" w:sz="0" w:space="0" w:color="auto"/>
        <w:left w:val="none" w:sz="0" w:space="0" w:color="auto"/>
        <w:bottom w:val="none" w:sz="0" w:space="0" w:color="auto"/>
        <w:right w:val="none" w:sz="0" w:space="0" w:color="auto"/>
      </w:divBdr>
    </w:div>
    <w:div w:id="1955139148">
      <w:marLeft w:val="0"/>
      <w:marRight w:val="0"/>
      <w:marTop w:val="180"/>
      <w:marBottom w:val="180"/>
      <w:divBdr>
        <w:top w:val="none" w:sz="0" w:space="0" w:color="auto"/>
        <w:left w:val="none" w:sz="0" w:space="0" w:color="auto"/>
        <w:bottom w:val="none" w:sz="0" w:space="0" w:color="auto"/>
        <w:right w:val="none" w:sz="0" w:space="0" w:color="auto"/>
      </w:divBdr>
    </w:div>
    <w:div w:id="1955554127">
      <w:marLeft w:val="0"/>
      <w:marRight w:val="0"/>
      <w:marTop w:val="180"/>
      <w:marBottom w:val="180"/>
      <w:divBdr>
        <w:top w:val="none" w:sz="0" w:space="0" w:color="auto"/>
        <w:left w:val="none" w:sz="0" w:space="0" w:color="auto"/>
        <w:bottom w:val="none" w:sz="0" w:space="0" w:color="auto"/>
        <w:right w:val="none" w:sz="0" w:space="0" w:color="auto"/>
      </w:divBdr>
    </w:div>
    <w:div w:id="1957911266">
      <w:marLeft w:val="0"/>
      <w:marRight w:val="0"/>
      <w:marTop w:val="60"/>
      <w:marBottom w:val="60"/>
      <w:divBdr>
        <w:top w:val="none" w:sz="0" w:space="0" w:color="auto"/>
        <w:left w:val="none" w:sz="0" w:space="0" w:color="auto"/>
        <w:bottom w:val="none" w:sz="0" w:space="0" w:color="auto"/>
        <w:right w:val="none" w:sz="0" w:space="0" w:color="auto"/>
      </w:divBdr>
    </w:div>
    <w:div w:id="1958098639">
      <w:marLeft w:val="0"/>
      <w:marRight w:val="0"/>
      <w:marTop w:val="0"/>
      <w:marBottom w:val="0"/>
      <w:divBdr>
        <w:top w:val="none" w:sz="0" w:space="0" w:color="auto"/>
        <w:left w:val="none" w:sz="0" w:space="0" w:color="auto"/>
        <w:bottom w:val="none" w:sz="0" w:space="0" w:color="auto"/>
        <w:right w:val="none" w:sz="0" w:space="0" w:color="auto"/>
      </w:divBdr>
      <w:divsChild>
        <w:div w:id="1311786906">
          <w:marLeft w:val="0"/>
          <w:marRight w:val="0"/>
          <w:marTop w:val="0"/>
          <w:marBottom w:val="0"/>
          <w:divBdr>
            <w:top w:val="none" w:sz="0" w:space="0" w:color="auto"/>
            <w:left w:val="none" w:sz="0" w:space="0" w:color="auto"/>
            <w:bottom w:val="none" w:sz="0" w:space="0" w:color="auto"/>
            <w:right w:val="none" w:sz="0" w:space="0" w:color="auto"/>
          </w:divBdr>
          <w:divsChild>
            <w:div w:id="15823256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64001383">
      <w:marLeft w:val="0"/>
      <w:marRight w:val="0"/>
      <w:marTop w:val="60"/>
      <w:marBottom w:val="60"/>
      <w:divBdr>
        <w:top w:val="none" w:sz="0" w:space="0" w:color="auto"/>
        <w:left w:val="none" w:sz="0" w:space="0" w:color="auto"/>
        <w:bottom w:val="none" w:sz="0" w:space="0" w:color="auto"/>
        <w:right w:val="none" w:sz="0" w:space="0" w:color="auto"/>
      </w:divBdr>
    </w:div>
    <w:div w:id="1972663975">
      <w:marLeft w:val="0"/>
      <w:marRight w:val="0"/>
      <w:marTop w:val="180"/>
      <w:marBottom w:val="180"/>
      <w:divBdr>
        <w:top w:val="none" w:sz="0" w:space="0" w:color="auto"/>
        <w:left w:val="none" w:sz="0" w:space="0" w:color="auto"/>
        <w:bottom w:val="none" w:sz="0" w:space="0" w:color="auto"/>
        <w:right w:val="none" w:sz="0" w:space="0" w:color="auto"/>
      </w:divBdr>
    </w:div>
    <w:div w:id="1972903962">
      <w:marLeft w:val="0"/>
      <w:marRight w:val="0"/>
      <w:marTop w:val="180"/>
      <w:marBottom w:val="180"/>
      <w:divBdr>
        <w:top w:val="none" w:sz="0" w:space="0" w:color="auto"/>
        <w:left w:val="none" w:sz="0" w:space="0" w:color="auto"/>
        <w:bottom w:val="none" w:sz="0" w:space="0" w:color="auto"/>
        <w:right w:val="none" w:sz="0" w:space="0" w:color="auto"/>
      </w:divBdr>
    </w:div>
    <w:div w:id="1974749251">
      <w:marLeft w:val="0"/>
      <w:marRight w:val="0"/>
      <w:marTop w:val="180"/>
      <w:marBottom w:val="180"/>
      <w:divBdr>
        <w:top w:val="none" w:sz="0" w:space="0" w:color="auto"/>
        <w:left w:val="none" w:sz="0" w:space="0" w:color="auto"/>
        <w:bottom w:val="none" w:sz="0" w:space="0" w:color="auto"/>
        <w:right w:val="none" w:sz="0" w:space="0" w:color="auto"/>
      </w:divBdr>
    </w:div>
    <w:div w:id="1975673698">
      <w:marLeft w:val="0"/>
      <w:marRight w:val="0"/>
      <w:marTop w:val="0"/>
      <w:marBottom w:val="0"/>
      <w:divBdr>
        <w:top w:val="none" w:sz="0" w:space="0" w:color="auto"/>
        <w:left w:val="none" w:sz="0" w:space="0" w:color="auto"/>
        <w:bottom w:val="none" w:sz="0" w:space="0" w:color="auto"/>
        <w:right w:val="none" w:sz="0" w:space="0" w:color="auto"/>
      </w:divBdr>
    </w:div>
    <w:div w:id="1976183294">
      <w:marLeft w:val="0"/>
      <w:marRight w:val="0"/>
      <w:marTop w:val="0"/>
      <w:marBottom w:val="0"/>
      <w:divBdr>
        <w:top w:val="none" w:sz="0" w:space="0" w:color="auto"/>
        <w:left w:val="none" w:sz="0" w:space="0" w:color="auto"/>
        <w:bottom w:val="none" w:sz="0" w:space="0" w:color="auto"/>
        <w:right w:val="none" w:sz="0" w:space="0" w:color="auto"/>
      </w:divBdr>
      <w:divsChild>
        <w:div w:id="1736051429">
          <w:marLeft w:val="0"/>
          <w:marRight w:val="0"/>
          <w:marTop w:val="0"/>
          <w:marBottom w:val="0"/>
          <w:divBdr>
            <w:top w:val="none" w:sz="0" w:space="0" w:color="auto"/>
            <w:left w:val="none" w:sz="0" w:space="0" w:color="auto"/>
            <w:bottom w:val="none" w:sz="0" w:space="0" w:color="auto"/>
            <w:right w:val="none" w:sz="0" w:space="0" w:color="auto"/>
          </w:divBdr>
          <w:divsChild>
            <w:div w:id="4645866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6447178">
      <w:marLeft w:val="0"/>
      <w:marRight w:val="0"/>
      <w:marTop w:val="180"/>
      <w:marBottom w:val="180"/>
      <w:divBdr>
        <w:top w:val="none" w:sz="0" w:space="0" w:color="auto"/>
        <w:left w:val="none" w:sz="0" w:space="0" w:color="auto"/>
        <w:bottom w:val="none" w:sz="0" w:space="0" w:color="auto"/>
        <w:right w:val="none" w:sz="0" w:space="0" w:color="auto"/>
      </w:divBdr>
    </w:div>
    <w:div w:id="1978993443">
      <w:marLeft w:val="0"/>
      <w:marRight w:val="0"/>
      <w:marTop w:val="180"/>
      <w:marBottom w:val="60"/>
      <w:divBdr>
        <w:top w:val="none" w:sz="0" w:space="0" w:color="auto"/>
        <w:left w:val="none" w:sz="0" w:space="0" w:color="auto"/>
        <w:bottom w:val="none" w:sz="0" w:space="0" w:color="auto"/>
        <w:right w:val="none" w:sz="0" w:space="0" w:color="auto"/>
      </w:divBdr>
    </w:div>
    <w:div w:id="1980719636">
      <w:marLeft w:val="0"/>
      <w:marRight w:val="0"/>
      <w:marTop w:val="180"/>
      <w:marBottom w:val="60"/>
      <w:divBdr>
        <w:top w:val="none" w:sz="0" w:space="0" w:color="auto"/>
        <w:left w:val="none" w:sz="0" w:space="0" w:color="auto"/>
        <w:bottom w:val="none" w:sz="0" w:space="0" w:color="auto"/>
        <w:right w:val="none" w:sz="0" w:space="0" w:color="auto"/>
      </w:divBdr>
    </w:div>
    <w:div w:id="1983192392">
      <w:marLeft w:val="0"/>
      <w:marRight w:val="0"/>
      <w:marTop w:val="180"/>
      <w:marBottom w:val="180"/>
      <w:divBdr>
        <w:top w:val="none" w:sz="0" w:space="0" w:color="auto"/>
        <w:left w:val="none" w:sz="0" w:space="0" w:color="auto"/>
        <w:bottom w:val="none" w:sz="0" w:space="0" w:color="auto"/>
        <w:right w:val="none" w:sz="0" w:space="0" w:color="auto"/>
      </w:divBdr>
    </w:div>
    <w:div w:id="1983731648">
      <w:marLeft w:val="0"/>
      <w:marRight w:val="0"/>
      <w:marTop w:val="180"/>
      <w:marBottom w:val="180"/>
      <w:divBdr>
        <w:top w:val="none" w:sz="0" w:space="0" w:color="auto"/>
        <w:left w:val="none" w:sz="0" w:space="0" w:color="auto"/>
        <w:bottom w:val="none" w:sz="0" w:space="0" w:color="auto"/>
        <w:right w:val="none" w:sz="0" w:space="0" w:color="auto"/>
      </w:divBdr>
    </w:div>
    <w:div w:id="1985159753">
      <w:marLeft w:val="0"/>
      <w:marRight w:val="0"/>
      <w:marTop w:val="60"/>
      <w:marBottom w:val="60"/>
      <w:divBdr>
        <w:top w:val="none" w:sz="0" w:space="0" w:color="auto"/>
        <w:left w:val="none" w:sz="0" w:space="0" w:color="auto"/>
        <w:bottom w:val="none" w:sz="0" w:space="0" w:color="auto"/>
        <w:right w:val="none" w:sz="0" w:space="0" w:color="auto"/>
      </w:divBdr>
    </w:div>
    <w:div w:id="1987588628">
      <w:marLeft w:val="0"/>
      <w:marRight w:val="0"/>
      <w:marTop w:val="0"/>
      <w:marBottom w:val="0"/>
      <w:divBdr>
        <w:top w:val="none" w:sz="0" w:space="0" w:color="auto"/>
        <w:left w:val="none" w:sz="0" w:space="0" w:color="auto"/>
        <w:bottom w:val="none" w:sz="0" w:space="0" w:color="auto"/>
        <w:right w:val="none" w:sz="0" w:space="0" w:color="auto"/>
      </w:divBdr>
      <w:divsChild>
        <w:div w:id="1681009637">
          <w:marLeft w:val="0"/>
          <w:marRight w:val="0"/>
          <w:marTop w:val="180"/>
          <w:marBottom w:val="180"/>
          <w:divBdr>
            <w:top w:val="none" w:sz="0" w:space="0" w:color="auto"/>
            <w:left w:val="none" w:sz="0" w:space="0" w:color="auto"/>
            <w:bottom w:val="none" w:sz="0" w:space="0" w:color="auto"/>
            <w:right w:val="none" w:sz="0" w:space="0" w:color="auto"/>
          </w:divBdr>
        </w:div>
      </w:divsChild>
    </w:div>
    <w:div w:id="1987736303">
      <w:marLeft w:val="0"/>
      <w:marRight w:val="0"/>
      <w:marTop w:val="180"/>
      <w:marBottom w:val="180"/>
      <w:divBdr>
        <w:top w:val="none" w:sz="0" w:space="0" w:color="auto"/>
        <w:left w:val="none" w:sz="0" w:space="0" w:color="auto"/>
        <w:bottom w:val="none" w:sz="0" w:space="0" w:color="auto"/>
        <w:right w:val="none" w:sz="0" w:space="0" w:color="auto"/>
      </w:divBdr>
    </w:div>
    <w:div w:id="1988821588">
      <w:marLeft w:val="0"/>
      <w:marRight w:val="0"/>
      <w:marTop w:val="60"/>
      <w:marBottom w:val="60"/>
      <w:divBdr>
        <w:top w:val="none" w:sz="0" w:space="0" w:color="auto"/>
        <w:left w:val="none" w:sz="0" w:space="0" w:color="auto"/>
        <w:bottom w:val="none" w:sz="0" w:space="0" w:color="auto"/>
        <w:right w:val="none" w:sz="0" w:space="0" w:color="auto"/>
      </w:divBdr>
    </w:div>
    <w:div w:id="1989896005">
      <w:marLeft w:val="0"/>
      <w:marRight w:val="0"/>
      <w:marTop w:val="180"/>
      <w:marBottom w:val="180"/>
      <w:divBdr>
        <w:top w:val="none" w:sz="0" w:space="0" w:color="auto"/>
        <w:left w:val="none" w:sz="0" w:space="0" w:color="auto"/>
        <w:bottom w:val="none" w:sz="0" w:space="0" w:color="auto"/>
        <w:right w:val="none" w:sz="0" w:space="0" w:color="auto"/>
      </w:divBdr>
    </w:div>
    <w:div w:id="1989899706">
      <w:marLeft w:val="0"/>
      <w:marRight w:val="0"/>
      <w:marTop w:val="180"/>
      <w:marBottom w:val="180"/>
      <w:divBdr>
        <w:top w:val="none" w:sz="0" w:space="0" w:color="auto"/>
        <w:left w:val="none" w:sz="0" w:space="0" w:color="auto"/>
        <w:bottom w:val="none" w:sz="0" w:space="0" w:color="auto"/>
        <w:right w:val="none" w:sz="0" w:space="0" w:color="auto"/>
      </w:divBdr>
    </w:div>
    <w:div w:id="1990933939">
      <w:marLeft w:val="0"/>
      <w:marRight w:val="0"/>
      <w:marTop w:val="180"/>
      <w:marBottom w:val="180"/>
      <w:divBdr>
        <w:top w:val="none" w:sz="0" w:space="0" w:color="auto"/>
        <w:left w:val="none" w:sz="0" w:space="0" w:color="auto"/>
        <w:bottom w:val="none" w:sz="0" w:space="0" w:color="auto"/>
        <w:right w:val="none" w:sz="0" w:space="0" w:color="auto"/>
      </w:divBdr>
    </w:div>
    <w:div w:id="1991985214">
      <w:marLeft w:val="0"/>
      <w:marRight w:val="0"/>
      <w:marTop w:val="100"/>
      <w:marBottom w:val="100"/>
      <w:divBdr>
        <w:top w:val="none" w:sz="0" w:space="0" w:color="auto"/>
        <w:left w:val="none" w:sz="0" w:space="0" w:color="auto"/>
        <w:bottom w:val="none" w:sz="0" w:space="0" w:color="auto"/>
        <w:right w:val="none" w:sz="0" w:space="0" w:color="auto"/>
      </w:divBdr>
      <w:divsChild>
        <w:div w:id="1416782766">
          <w:marLeft w:val="0"/>
          <w:marRight w:val="0"/>
          <w:marTop w:val="0"/>
          <w:marBottom w:val="0"/>
          <w:divBdr>
            <w:top w:val="none" w:sz="0" w:space="0" w:color="auto"/>
            <w:left w:val="none" w:sz="0" w:space="0" w:color="auto"/>
            <w:bottom w:val="none" w:sz="0" w:space="0" w:color="auto"/>
            <w:right w:val="none" w:sz="0" w:space="0" w:color="auto"/>
          </w:divBdr>
        </w:div>
      </w:divsChild>
    </w:div>
    <w:div w:id="1992177825">
      <w:marLeft w:val="0"/>
      <w:marRight w:val="0"/>
      <w:marTop w:val="180"/>
      <w:marBottom w:val="180"/>
      <w:divBdr>
        <w:top w:val="none" w:sz="0" w:space="0" w:color="auto"/>
        <w:left w:val="none" w:sz="0" w:space="0" w:color="auto"/>
        <w:bottom w:val="none" w:sz="0" w:space="0" w:color="auto"/>
        <w:right w:val="none" w:sz="0" w:space="0" w:color="auto"/>
      </w:divBdr>
    </w:div>
    <w:div w:id="1996494152">
      <w:marLeft w:val="0"/>
      <w:marRight w:val="0"/>
      <w:marTop w:val="0"/>
      <w:marBottom w:val="0"/>
      <w:divBdr>
        <w:top w:val="none" w:sz="0" w:space="0" w:color="auto"/>
        <w:left w:val="none" w:sz="0" w:space="0" w:color="auto"/>
        <w:bottom w:val="none" w:sz="0" w:space="0" w:color="auto"/>
        <w:right w:val="none" w:sz="0" w:space="0" w:color="auto"/>
      </w:divBdr>
      <w:divsChild>
        <w:div w:id="1735275053">
          <w:marLeft w:val="0"/>
          <w:marRight w:val="0"/>
          <w:marTop w:val="0"/>
          <w:marBottom w:val="0"/>
          <w:divBdr>
            <w:top w:val="none" w:sz="0" w:space="0" w:color="auto"/>
            <w:left w:val="none" w:sz="0" w:space="0" w:color="auto"/>
            <w:bottom w:val="none" w:sz="0" w:space="0" w:color="auto"/>
            <w:right w:val="none" w:sz="0" w:space="0" w:color="auto"/>
          </w:divBdr>
          <w:divsChild>
            <w:div w:id="81478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6911925">
      <w:marLeft w:val="0"/>
      <w:marRight w:val="0"/>
      <w:marTop w:val="180"/>
      <w:marBottom w:val="180"/>
      <w:divBdr>
        <w:top w:val="none" w:sz="0" w:space="0" w:color="auto"/>
        <w:left w:val="none" w:sz="0" w:space="0" w:color="auto"/>
        <w:bottom w:val="none" w:sz="0" w:space="0" w:color="auto"/>
        <w:right w:val="none" w:sz="0" w:space="0" w:color="auto"/>
      </w:divBdr>
    </w:div>
    <w:div w:id="1997223843">
      <w:marLeft w:val="0"/>
      <w:marRight w:val="0"/>
      <w:marTop w:val="120"/>
      <w:marBottom w:val="0"/>
      <w:divBdr>
        <w:top w:val="none" w:sz="0" w:space="0" w:color="auto"/>
        <w:left w:val="none" w:sz="0" w:space="0" w:color="auto"/>
        <w:bottom w:val="none" w:sz="0" w:space="0" w:color="auto"/>
        <w:right w:val="none" w:sz="0" w:space="0" w:color="auto"/>
      </w:divBdr>
    </w:div>
    <w:div w:id="1997999445">
      <w:marLeft w:val="0"/>
      <w:marRight w:val="0"/>
      <w:marTop w:val="180"/>
      <w:marBottom w:val="60"/>
      <w:divBdr>
        <w:top w:val="none" w:sz="0" w:space="0" w:color="auto"/>
        <w:left w:val="none" w:sz="0" w:space="0" w:color="auto"/>
        <w:bottom w:val="none" w:sz="0" w:space="0" w:color="auto"/>
        <w:right w:val="none" w:sz="0" w:space="0" w:color="auto"/>
      </w:divBdr>
    </w:div>
    <w:div w:id="2000038954">
      <w:marLeft w:val="0"/>
      <w:marRight w:val="0"/>
      <w:marTop w:val="180"/>
      <w:marBottom w:val="60"/>
      <w:divBdr>
        <w:top w:val="none" w:sz="0" w:space="0" w:color="auto"/>
        <w:left w:val="none" w:sz="0" w:space="0" w:color="auto"/>
        <w:bottom w:val="none" w:sz="0" w:space="0" w:color="auto"/>
        <w:right w:val="none" w:sz="0" w:space="0" w:color="auto"/>
      </w:divBdr>
    </w:div>
    <w:div w:id="2000185223">
      <w:marLeft w:val="0"/>
      <w:marRight w:val="0"/>
      <w:marTop w:val="180"/>
      <w:marBottom w:val="180"/>
      <w:divBdr>
        <w:top w:val="none" w:sz="0" w:space="0" w:color="auto"/>
        <w:left w:val="none" w:sz="0" w:space="0" w:color="auto"/>
        <w:bottom w:val="none" w:sz="0" w:space="0" w:color="auto"/>
        <w:right w:val="none" w:sz="0" w:space="0" w:color="auto"/>
      </w:divBdr>
    </w:div>
    <w:div w:id="2000228511">
      <w:marLeft w:val="0"/>
      <w:marRight w:val="0"/>
      <w:marTop w:val="60"/>
      <w:marBottom w:val="60"/>
      <w:divBdr>
        <w:top w:val="none" w:sz="0" w:space="0" w:color="auto"/>
        <w:left w:val="none" w:sz="0" w:space="0" w:color="auto"/>
        <w:bottom w:val="none" w:sz="0" w:space="0" w:color="auto"/>
        <w:right w:val="none" w:sz="0" w:space="0" w:color="auto"/>
      </w:divBdr>
    </w:div>
    <w:div w:id="2002149196">
      <w:marLeft w:val="0"/>
      <w:marRight w:val="0"/>
      <w:marTop w:val="60"/>
      <w:marBottom w:val="60"/>
      <w:divBdr>
        <w:top w:val="none" w:sz="0" w:space="0" w:color="auto"/>
        <w:left w:val="none" w:sz="0" w:space="0" w:color="auto"/>
        <w:bottom w:val="none" w:sz="0" w:space="0" w:color="auto"/>
        <w:right w:val="none" w:sz="0" w:space="0" w:color="auto"/>
      </w:divBdr>
    </w:div>
    <w:div w:id="2003390276">
      <w:marLeft w:val="0"/>
      <w:marRight w:val="0"/>
      <w:marTop w:val="60"/>
      <w:marBottom w:val="60"/>
      <w:divBdr>
        <w:top w:val="none" w:sz="0" w:space="0" w:color="auto"/>
        <w:left w:val="none" w:sz="0" w:space="0" w:color="auto"/>
        <w:bottom w:val="none" w:sz="0" w:space="0" w:color="auto"/>
        <w:right w:val="none" w:sz="0" w:space="0" w:color="auto"/>
      </w:divBdr>
    </w:div>
    <w:div w:id="2004239596">
      <w:marLeft w:val="0"/>
      <w:marRight w:val="0"/>
      <w:marTop w:val="240"/>
      <w:marBottom w:val="180"/>
      <w:divBdr>
        <w:top w:val="none" w:sz="0" w:space="0" w:color="auto"/>
        <w:left w:val="none" w:sz="0" w:space="0" w:color="auto"/>
        <w:bottom w:val="none" w:sz="0" w:space="0" w:color="auto"/>
        <w:right w:val="none" w:sz="0" w:space="0" w:color="auto"/>
      </w:divBdr>
    </w:div>
    <w:div w:id="2004357517">
      <w:marLeft w:val="0"/>
      <w:marRight w:val="0"/>
      <w:marTop w:val="0"/>
      <w:marBottom w:val="0"/>
      <w:divBdr>
        <w:top w:val="none" w:sz="0" w:space="0" w:color="auto"/>
        <w:left w:val="none" w:sz="0" w:space="0" w:color="auto"/>
        <w:bottom w:val="none" w:sz="0" w:space="0" w:color="auto"/>
        <w:right w:val="none" w:sz="0" w:space="0" w:color="auto"/>
      </w:divBdr>
      <w:divsChild>
        <w:div w:id="585772939">
          <w:marLeft w:val="0"/>
          <w:marRight w:val="0"/>
          <w:marTop w:val="60"/>
          <w:marBottom w:val="60"/>
          <w:divBdr>
            <w:top w:val="none" w:sz="0" w:space="0" w:color="auto"/>
            <w:left w:val="none" w:sz="0" w:space="0" w:color="auto"/>
            <w:bottom w:val="none" w:sz="0" w:space="0" w:color="auto"/>
            <w:right w:val="none" w:sz="0" w:space="0" w:color="auto"/>
          </w:divBdr>
        </w:div>
      </w:divsChild>
    </w:div>
    <w:div w:id="2008552768">
      <w:marLeft w:val="0"/>
      <w:marRight w:val="0"/>
      <w:marTop w:val="180"/>
      <w:marBottom w:val="60"/>
      <w:divBdr>
        <w:top w:val="none" w:sz="0" w:space="0" w:color="auto"/>
        <w:left w:val="none" w:sz="0" w:space="0" w:color="auto"/>
        <w:bottom w:val="none" w:sz="0" w:space="0" w:color="auto"/>
        <w:right w:val="none" w:sz="0" w:space="0" w:color="auto"/>
      </w:divBdr>
    </w:div>
    <w:div w:id="2010059445">
      <w:marLeft w:val="0"/>
      <w:marRight w:val="0"/>
      <w:marTop w:val="180"/>
      <w:marBottom w:val="0"/>
      <w:divBdr>
        <w:top w:val="none" w:sz="0" w:space="0" w:color="auto"/>
        <w:left w:val="none" w:sz="0" w:space="0" w:color="auto"/>
        <w:bottom w:val="none" w:sz="0" w:space="0" w:color="auto"/>
        <w:right w:val="none" w:sz="0" w:space="0" w:color="auto"/>
      </w:divBdr>
    </w:div>
    <w:div w:id="2011373639">
      <w:marLeft w:val="0"/>
      <w:marRight w:val="0"/>
      <w:marTop w:val="0"/>
      <w:marBottom w:val="0"/>
      <w:divBdr>
        <w:top w:val="none" w:sz="0" w:space="0" w:color="auto"/>
        <w:left w:val="none" w:sz="0" w:space="0" w:color="auto"/>
        <w:bottom w:val="none" w:sz="0" w:space="0" w:color="auto"/>
        <w:right w:val="none" w:sz="0" w:space="0" w:color="auto"/>
      </w:divBdr>
      <w:divsChild>
        <w:div w:id="9718102">
          <w:marLeft w:val="0"/>
          <w:marRight w:val="0"/>
          <w:marTop w:val="0"/>
          <w:marBottom w:val="0"/>
          <w:divBdr>
            <w:top w:val="none" w:sz="0" w:space="0" w:color="auto"/>
            <w:left w:val="none" w:sz="0" w:space="0" w:color="auto"/>
            <w:bottom w:val="none" w:sz="0" w:space="0" w:color="auto"/>
            <w:right w:val="none" w:sz="0" w:space="0" w:color="auto"/>
          </w:divBdr>
          <w:divsChild>
            <w:div w:id="14817715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11446651">
      <w:marLeft w:val="0"/>
      <w:marRight w:val="0"/>
      <w:marTop w:val="60"/>
      <w:marBottom w:val="60"/>
      <w:divBdr>
        <w:top w:val="none" w:sz="0" w:space="0" w:color="auto"/>
        <w:left w:val="none" w:sz="0" w:space="0" w:color="auto"/>
        <w:bottom w:val="none" w:sz="0" w:space="0" w:color="auto"/>
        <w:right w:val="none" w:sz="0" w:space="0" w:color="auto"/>
      </w:divBdr>
    </w:div>
    <w:div w:id="2013794835">
      <w:marLeft w:val="0"/>
      <w:marRight w:val="0"/>
      <w:marTop w:val="120"/>
      <w:marBottom w:val="100"/>
      <w:divBdr>
        <w:top w:val="none" w:sz="0" w:space="0" w:color="auto"/>
        <w:left w:val="none" w:sz="0" w:space="0" w:color="auto"/>
        <w:bottom w:val="none" w:sz="0" w:space="0" w:color="auto"/>
        <w:right w:val="none" w:sz="0" w:space="0" w:color="auto"/>
      </w:divBdr>
      <w:divsChild>
        <w:div w:id="43021370">
          <w:marLeft w:val="0"/>
          <w:marRight w:val="0"/>
          <w:marTop w:val="0"/>
          <w:marBottom w:val="0"/>
          <w:divBdr>
            <w:top w:val="none" w:sz="0" w:space="0" w:color="auto"/>
            <w:left w:val="none" w:sz="0" w:space="0" w:color="auto"/>
            <w:bottom w:val="none" w:sz="0" w:space="0" w:color="auto"/>
            <w:right w:val="none" w:sz="0" w:space="0" w:color="auto"/>
          </w:divBdr>
        </w:div>
      </w:divsChild>
    </w:div>
    <w:div w:id="2014717223">
      <w:marLeft w:val="0"/>
      <w:marRight w:val="0"/>
      <w:marTop w:val="180"/>
      <w:marBottom w:val="180"/>
      <w:divBdr>
        <w:top w:val="none" w:sz="0" w:space="0" w:color="auto"/>
        <w:left w:val="none" w:sz="0" w:space="0" w:color="auto"/>
        <w:bottom w:val="none" w:sz="0" w:space="0" w:color="auto"/>
        <w:right w:val="none" w:sz="0" w:space="0" w:color="auto"/>
      </w:divBdr>
    </w:div>
    <w:div w:id="2015448064">
      <w:marLeft w:val="0"/>
      <w:marRight w:val="0"/>
      <w:marTop w:val="180"/>
      <w:marBottom w:val="180"/>
      <w:divBdr>
        <w:top w:val="none" w:sz="0" w:space="0" w:color="auto"/>
        <w:left w:val="none" w:sz="0" w:space="0" w:color="auto"/>
        <w:bottom w:val="none" w:sz="0" w:space="0" w:color="auto"/>
        <w:right w:val="none" w:sz="0" w:space="0" w:color="auto"/>
      </w:divBdr>
    </w:div>
    <w:div w:id="2017228975">
      <w:marLeft w:val="0"/>
      <w:marRight w:val="0"/>
      <w:marTop w:val="180"/>
      <w:marBottom w:val="180"/>
      <w:divBdr>
        <w:top w:val="none" w:sz="0" w:space="0" w:color="auto"/>
        <w:left w:val="none" w:sz="0" w:space="0" w:color="auto"/>
        <w:bottom w:val="none" w:sz="0" w:space="0" w:color="auto"/>
        <w:right w:val="none" w:sz="0" w:space="0" w:color="auto"/>
      </w:divBdr>
    </w:div>
    <w:div w:id="2022510206">
      <w:marLeft w:val="0"/>
      <w:marRight w:val="0"/>
      <w:marTop w:val="180"/>
      <w:marBottom w:val="180"/>
      <w:divBdr>
        <w:top w:val="none" w:sz="0" w:space="0" w:color="auto"/>
        <w:left w:val="none" w:sz="0" w:space="0" w:color="auto"/>
        <w:bottom w:val="none" w:sz="0" w:space="0" w:color="auto"/>
        <w:right w:val="none" w:sz="0" w:space="0" w:color="auto"/>
      </w:divBdr>
    </w:div>
    <w:div w:id="2026512447">
      <w:marLeft w:val="0"/>
      <w:marRight w:val="0"/>
      <w:marTop w:val="180"/>
      <w:marBottom w:val="180"/>
      <w:divBdr>
        <w:top w:val="none" w:sz="0" w:space="0" w:color="auto"/>
        <w:left w:val="none" w:sz="0" w:space="0" w:color="auto"/>
        <w:bottom w:val="none" w:sz="0" w:space="0" w:color="auto"/>
        <w:right w:val="none" w:sz="0" w:space="0" w:color="auto"/>
      </w:divBdr>
    </w:div>
    <w:div w:id="2029797378">
      <w:marLeft w:val="0"/>
      <w:marRight w:val="0"/>
      <w:marTop w:val="60"/>
      <w:marBottom w:val="60"/>
      <w:divBdr>
        <w:top w:val="none" w:sz="0" w:space="0" w:color="auto"/>
        <w:left w:val="none" w:sz="0" w:space="0" w:color="auto"/>
        <w:bottom w:val="none" w:sz="0" w:space="0" w:color="auto"/>
        <w:right w:val="none" w:sz="0" w:space="0" w:color="auto"/>
      </w:divBdr>
    </w:div>
    <w:div w:id="2030065596">
      <w:marLeft w:val="0"/>
      <w:marRight w:val="0"/>
      <w:marTop w:val="180"/>
      <w:marBottom w:val="180"/>
      <w:divBdr>
        <w:top w:val="none" w:sz="0" w:space="0" w:color="auto"/>
        <w:left w:val="none" w:sz="0" w:space="0" w:color="auto"/>
        <w:bottom w:val="none" w:sz="0" w:space="0" w:color="auto"/>
        <w:right w:val="none" w:sz="0" w:space="0" w:color="auto"/>
      </w:divBdr>
    </w:div>
    <w:div w:id="2031686301">
      <w:marLeft w:val="0"/>
      <w:marRight w:val="0"/>
      <w:marTop w:val="0"/>
      <w:marBottom w:val="0"/>
      <w:divBdr>
        <w:top w:val="none" w:sz="0" w:space="0" w:color="auto"/>
        <w:left w:val="none" w:sz="0" w:space="0" w:color="auto"/>
        <w:bottom w:val="none" w:sz="0" w:space="0" w:color="auto"/>
        <w:right w:val="none" w:sz="0" w:space="0" w:color="auto"/>
      </w:divBdr>
    </w:div>
    <w:div w:id="2036298128">
      <w:marLeft w:val="0"/>
      <w:marRight w:val="0"/>
      <w:marTop w:val="240"/>
      <w:marBottom w:val="180"/>
      <w:divBdr>
        <w:top w:val="none" w:sz="0" w:space="0" w:color="auto"/>
        <w:left w:val="none" w:sz="0" w:space="0" w:color="auto"/>
        <w:bottom w:val="none" w:sz="0" w:space="0" w:color="auto"/>
        <w:right w:val="none" w:sz="0" w:space="0" w:color="auto"/>
      </w:divBdr>
    </w:div>
    <w:div w:id="2036684905">
      <w:marLeft w:val="0"/>
      <w:marRight w:val="0"/>
      <w:marTop w:val="0"/>
      <w:marBottom w:val="180"/>
      <w:divBdr>
        <w:top w:val="none" w:sz="0" w:space="0" w:color="auto"/>
        <w:left w:val="none" w:sz="0" w:space="0" w:color="auto"/>
        <w:bottom w:val="none" w:sz="0" w:space="0" w:color="auto"/>
        <w:right w:val="none" w:sz="0" w:space="0" w:color="auto"/>
      </w:divBdr>
    </w:div>
    <w:div w:id="2036687359">
      <w:marLeft w:val="0"/>
      <w:marRight w:val="0"/>
      <w:marTop w:val="180"/>
      <w:marBottom w:val="180"/>
      <w:divBdr>
        <w:top w:val="none" w:sz="0" w:space="0" w:color="auto"/>
        <w:left w:val="none" w:sz="0" w:space="0" w:color="auto"/>
        <w:bottom w:val="none" w:sz="0" w:space="0" w:color="auto"/>
        <w:right w:val="none" w:sz="0" w:space="0" w:color="auto"/>
      </w:divBdr>
    </w:div>
    <w:div w:id="2037925615">
      <w:marLeft w:val="0"/>
      <w:marRight w:val="0"/>
      <w:marTop w:val="60"/>
      <w:marBottom w:val="60"/>
      <w:divBdr>
        <w:top w:val="none" w:sz="0" w:space="0" w:color="auto"/>
        <w:left w:val="none" w:sz="0" w:space="0" w:color="auto"/>
        <w:bottom w:val="none" w:sz="0" w:space="0" w:color="auto"/>
        <w:right w:val="none" w:sz="0" w:space="0" w:color="auto"/>
      </w:divBdr>
    </w:div>
    <w:div w:id="2039231016">
      <w:marLeft w:val="0"/>
      <w:marRight w:val="0"/>
      <w:marTop w:val="180"/>
      <w:marBottom w:val="180"/>
      <w:divBdr>
        <w:top w:val="none" w:sz="0" w:space="0" w:color="auto"/>
        <w:left w:val="none" w:sz="0" w:space="0" w:color="auto"/>
        <w:bottom w:val="none" w:sz="0" w:space="0" w:color="auto"/>
        <w:right w:val="none" w:sz="0" w:space="0" w:color="auto"/>
      </w:divBdr>
    </w:div>
    <w:div w:id="2039502892">
      <w:marLeft w:val="0"/>
      <w:marRight w:val="0"/>
      <w:marTop w:val="100"/>
      <w:marBottom w:val="100"/>
      <w:divBdr>
        <w:top w:val="none" w:sz="0" w:space="0" w:color="auto"/>
        <w:left w:val="none" w:sz="0" w:space="0" w:color="auto"/>
        <w:bottom w:val="none" w:sz="0" w:space="0" w:color="auto"/>
        <w:right w:val="none" w:sz="0" w:space="0" w:color="auto"/>
      </w:divBdr>
      <w:divsChild>
        <w:div w:id="444277544">
          <w:marLeft w:val="0"/>
          <w:marRight w:val="0"/>
          <w:marTop w:val="0"/>
          <w:marBottom w:val="0"/>
          <w:divBdr>
            <w:top w:val="none" w:sz="0" w:space="0" w:color="auto"/>
            <w:left w:val="none" w:sz="0" w:space="0" w:color="auto"/>
            <w:bottom w:val="none" w:sz="0" w:space="0" w:color="auto"/>
            <w:right w:val="none" w:sz="0" w:space="0" w:color="auto"/>
          </w:divBdr>
        </w:div>
      </w:divsChild>
    </w:div>
    <w:div w:id="2039550558">
      <w:marLeft w:val="0"/>
      <w:marRight w:val="0"/>
      <w:marTop w:val="180"/>
      <w:marBottom w:val="180"/>
      <w:divBdr>
        <w:top w:val="none" w:sz="0" w:space="0" w:color="auto"/>
        <w:left w:val="none" w:sz="0" w:space="0" w:color="auto"/>
        <w:bottom w:val="none" w:sz="0" w:space="0" w:color="auto"/>
        <w:right w:val="none" w:sz="0" w:space="0" w:color="auto"/>
      </w:divBdr>
    </w:div>
    <w:div w:id="2041398962">
      <w:marLeft w:val="0"/>
      <w:marRight w:val="0"/>
      <w:marTop w:val="60"/>
      <w:marBottom w:val="60"/>
      <w:divBdr>
        <w:top w:val="none" w:sz="0" w:space="0" w:color="auto"/>
        <w:left w:val="none" w:sz="0" w:space="0" w:color="auto"/>
        <w:bottom w:val="none" w:sz="0" w:space="0" w:color="auto"/>
        <w:right w:val="none" w:sz="0" w:space="0" w:color="auto"/>
      </w:divBdr>
      <w:divsChild>
        <w:div w:id="1789619113">
          <w:marLeft w:val="0"/>
          <w:marRight w:val="0"/>
          <w:marTop w:val="0"/>
          <w:marBottom w:val="0"/>
          <w:divBdr>
            <w:top w:val="none" w:sz="0" w:space="0" w:color="auto"/>
            <w:left w:val="none" w:sz="0" w:space="0" w:color="auto"/>
            <w:bottom w:val="none" w:sz="0" w:space="0" w:color="auto"/>
            <w:right w:val="none" w:sz="0" w:space="0" w:color="auto"/>
          </w:divBdr>
        </w:div>
        <w:div w:id="1739861724">
          <w:marLeft w:val="0"/>
          <w:marRight w:val="0"/>
          <w:marTop w:val="0"/>
          <w:marBottom w:val="0"/>
          <w:divBdr>
            <w:top w:val="none" w:sz="0" w:space="0" w:color="auto"/>
            <w:left w:val="none" w:sz="0" w:space="0" w:color="auto"/>
            <w:bottom w:val="none" w:sz="0" w:space="0" w:color="auto"/>
            <w:right w:val="none" w:sz="0" w:space="0" w:color="auto"/>
          </w:divBdr>
        </w:div>
      </w:divsChild>
    </w:div>
    <w:div w:id="2050103275">
      <w:marLeft w:val="0"/>
      <w:marRight w:val="0"/>
      <w:marTop w:val="180"/>
      <w:marBottom w:val="180"/>
      <w:divBdr>
        <w:top w:val="none" w:sz="0" w:space="0" w:color="auto"/>
        <w:left w:val="none" w:sz="0" w:space="0" w:color="auto"/>
        <w:bottom w:val="none" w:sz="0" w:space="0" w:color="auto"/>
        <w:right w:val="none" w:sz="0" w:space="0" w:color="auto"/>
      </w:divBdr>
    </w:div>
    <w:div w:id="2050496128">
      <w:marLeft w:val="0"/>
      <w:marRight w:val="0"/>
      <w:marTop w:val="180"/>
      <w:marBottom w:val="180"/>
      <w:divBdr>
        <w:top w:val="none" w:sz="0" w:space="0" w:color="auto"/>
        <w:left w:val="none" w:sz="0" w:space="0" w:color="auto"/>
        <w:bottom w:val="none" w:sz="0" w:space="0" w:color="auto"/>
        <w:right w:val="none" w:sz="0" w:space="0" w:color="auto"/>
      </w:divBdr>
    </w:div>
    <w:div w:id="2050644691">
      <w:marLeft w:val="0"/>
      <w:marRight w:val="0"/>
      <w:marTop w:val="180"/>
      <w:marBottom w:val="180"/>
      <w:divBdr>
        <w:top w:val="none" w:sz="0" w:space="0" w:color="auto"/>
        <w:left w:val="none" w:sz="0" w:space="0" w:color="auto"/>
        <w:bottom w:val="none" w:sz="0" w:space="0" w:color="auto"/>
        <w:right w:val="none" w:sz="0" w:space="0" w:color="auto"/>
      </w:divBdr>
    </w:div>
    <w:div w:id="2051227022">
      <w:marLeft w:val="0"/>
      <w:marRight w:val="0"/>
      <w:marTop w:val="180"/>
      <w:marBottom w:val="180"/>
      <w:divBdr>
        <w:top w:val="none" w:sz="0" w:space="0" w:color="auto"/>
        <w:left w:val="none" w:sz="0" w:space="0" w:color="auto"/>
        <w:bottom w:val="none" w:sz="0" w:space="0" w:color="auto"/>
        <w:right w:val="none" w:sz="0" w:space="0" w:color="auto"/>
      </w:divBdr>
    </w:div>
    <w:div w:id="2052530235">
      <w:marLeft w:val="0"/>
      <w:marRight w:val="0"/>
      <w:marTop w:val="180"/>
      <w:marBottom w:val="180"/>
      <w:divBdr>
        <w:top w:val="none" w:sz="0" w:space="0" w:color="auto"/>
        <w:left w:val="none" w:sz="0" w:space="0" w:color="auto"/>
        <w:bottom w:val="none" w:sz="0" w:space="0" w:color="auto"/>
        <w:right w:val="none" w:sz="0" w:space="0" w:color="auto"/>
      </w:divBdr>
    </w:div>
    <w:div w:id="2052680231">
      <w:marLeft w:val="0"/>
      <w:marRight w:val="0"/>
      <w:marTop w:val="180"/>
      <w:marBottom w:val="180"/>
      <w:divBdr>
        <w:top w:val="none" w:sz="0" w:space="0" w:color="auto"/>
        <w:left w:val="none" w:sz="0" w:space="0" w:color="auto"/>
        <w:bottom w:val="none" w:sz="0" w:space="0" w:color="auto"/>
        <w:right w:val="none" w:sz="0" w:space="0" w:color="auto"/>
      </w:divBdr>
    </w:div>
    <w:div w:id="2052921956">
      <w:marLeft w:val="0"/>
      <w:marRight w:val="0"/>
      <w:marTop w:val="180"/>
      <w:marBottom w:val="180"/>
      <w:divBdr>
        <w:top w:val="none" w:sz="0" w:space="0" w:color="auto"/>
        <w:left w:val="none" w:sz="0" w:space="0" w:color="auto"/>
        <w:bottom w:val="none" w:sz="0" w:space="0" w:color="auto"/>
        <w:right w:val="none" w:sz="0" w:space="0" w:color="auto"/>
      </w:divBdr>
    </w:div>
    <w:div w:id="2053378060">
      <w:marLeft w:val="0"/>
      <w:marRight w:val="0"/>
      <w:marTop w:val="180"/>
      <w:marBottom w:val="180"/>
      <w:divBdr>
        <w:top w:val="none" w:sz="0" w:space="0" w:color="auto"/>
        <w:left w:val="none" w:sz="0" w:space="0" w:color="auto"/>
        <w:bottom w:val="none" w:sz="0" w:space="0" w:color="auto"/>
        <w:right w:val="none" w:sz="0" w:space="0" w:color="auto"/>
      </w:divBdr>
    </w:div>
    <w:div w:id="2057317850">
      <w:marLeft w:val="0"/>
      <w:marRight w:val="0"/>
      <w:marTop w:val="180"/>
      <w:marBottom w:val="180"/>
      <w:divBdr>
        <w:top w:val="none" w:sz="0" w:space="0" w:color="auto"/>
        <w:left w:val="none" w:sz="0" w:space="0" w:color="auto"/>
        <w:bottom w:val="none" w:sz="0" w:space="0" w:color="auto"/>
        <w:right w:val="none" w:sz="0" w:space="0" w:color="auto"/>
      </w:divBdr>
    </w:div>
    <w:div w:id="2059086461">
      <w:marLeft w:val="0"/>
      <w:marRight w:val="0"/>
      <w:marTop w:val="0"/>
      <w:marBottom w:val="0"/>
      <w:divBdr>
        <w:top w:val="none" w:sz="0" w:space="0" w:color="auto"/>
        <w:left w:val="none" w:sz="0" w:space="0" w:color="auto"/>
        <w:bottom w:val="none" w:sz="0" w:space="0" w:color="auto"/>
        <w:right w:val="none" w:sz="0" w:space="0" w:color="auto"/>
      </w:divBdr>
      <w:divsChild>
        <w:div w:id="670259833">
          <w:marLeft w:val="0"/>
          <w:marRight w:val="0"/>
          <w:marTop w:val="60"/>
          <w:marBottom w:val="60"/>
          <w:divBdr>
            <w:top w:val="none" w:sz="0" w:space="0" w:color="auto"/>
            <w:left w:val="none" w:sz="0" w:space="0" w:color="auto"/>
            <w:bottom w:val="none" w:sz="0" w:space="0" w:color="auto"/>
            <w:right w:val="none" w:sz="0" w:space="0" w:color="auto"/>
          </w:divBdr>
        </w:div>
      </w:divsChild>
    </w:div>
    <w:div w:id="2059435106">
      <w:marLeft w:val="0"/>
      <w:marRight w:val="0"/>
      <w:marTop w:val="180"/>
      <w:marBottom w:val="180"/>
      <w:divBdr>
        <w:top w:val="none" w:sz="0" w:space="0" w:color="auto"/>
        <w:left w:val="none" w:sz="0" w:space="0" w:color="auto"/>
        <w:bottom w:val="none" w:sz="0" w:space="0" w:color="auto"/>
        <w:right w:val="none" w:sz="0" w:space="0" w:color="auto"/>
      </w:divBdr>
    </w:div>
    <w:div w:id="2060082122">
      <w:marLeft w:val="0"/>
      <w:marRight w:val="0"/>
      <w:marTop w:val="60"/>
      <w:marBottom w:val="60"/>
      <w:divBdr>
        <w:top w:val="none" w:sz="0" w:space="0" w:color="auto"/>
        <w:left w:val="none" w:sz="0" w:space="0" w:color="auto"/>
        <w:bottom w:val="none" w:sz="0" w:space="0" w:color="auto"/>
        <w:right w:val="none" w:sz="0" w:space="0" w:color="auto"/>
      </w:divBdr>
    </w:div>
    <w:div w:id="2062243647">
      <w:marLeft w:val="0"/>
      <w:marRight w:val="0"/>
      <w:marTop w:val="180"/>
      <w:marBottom w:val="180"/>
      <w:divBdr>
        <w:top w:val="none" w:sz="0" w:space="0" w:color="auto"/>
        <w:left w:val="none" w:sz="0" w:space="0" w:color="auto"/>
        <w:bottom w:val="none" w:sz="0" w:space="0" w:color="auto"/>
        <w:right w:val="none" w:sz="0" w:space="0" w:color="auto"/>
      </w:divBdr>
    </w:div>
    <w:div w:id="2062629082">
      <w:marLeft w:val="0"/>
      <w:marRight w:val="0"/>
      <w:marTop w:val="180"/>
      <w:marBottom w:val="180"/>
      <w:divBdr>
        <w:top w:val="none" w:sz="0" w:space="0" w:color="auto"/>
        <w:left w:val="none" w:sz="0" w:space="0" w:color="auto"/>
        <w:bottom w:val="none" w:sz="0" w:space="0" w:color="auto"/>
        <w:right w:val="none" w:sz="0" w:space="0" w:color="auto"/>
      </w:divBdr>
    </w:div>
    <w:div w:id="2063094007">
      <w:marLeft w:val="0"/>
      <w:marRight w:val="0"/>
      <w:marTop w:val="180"/>
      <w:marBottom w:val="180"/>
      <w:divBdr>
        <w:top w:val="none" w:sz="0" w:space="0" w:color="auto"/>
        <w:left w:val="none" w:sz="0" w:space="0" w:color="auto"/>
        <w:bottom w:val="none" w:sz="0" w:space="0" w:color="auto"/>
        <w:right w:val="none" w:sz="0" w:space="0" w:color="auto"/>
      </w:divBdr>
    </w:div>
    <w:div w:id="2064595314">
      <w:marLeft w:val="0"/>
      <w:marRight w:val="0"/>
      <w:marTop w:val="180"/>
      <w:marBottom w:val="60"/>
      <w:divBdr>
        <w:top w:val="none" w:sz="0" w:space="0" w:color="auto"/>
        <w:left w:val="none" w:sz="0" w:space="0" w:color="auto"/>
        <w:bottom w:val="none" w:sz="0" w:space="0" w:color="auto"/>
        <w:right w:val="none" w:sz="0" w:space="0" w:color="auto"/>
      </w:divBdr>
    </w:div>
    <w:div w:id="2065637262">
      <w:marLeft w:val="0"/>
      <w:marRight w:val="0"/>
      <w:marTop w:val="60"/>
      <w:marBottom w:val="60"/>
      <w:divBdr>
        <w:top w:val="none" w:sz="0" w:space="0" w:color="auto"/>
        <w:left w:val="none" w:sz="0" w:space="0" w:color="auto"/>
        <w:bottom w:val="none" w:sz="0" w:space="0" w:color="auto"/>
        <w:right w:val="none" w:sz="0" w:space="0" w:color="auto"/>
      </w:divBdr>
    </w:div>
    <w:div w:id="2069567603">
      <w:marLeft w:val="0"/>
      <w:marRight w:val="0"/>
      <w:marTop w:val="60"/>
      <w:marBottom w:val="60"/>
      <w:divBdr>
        <w:top w:val="none" w:sz="0" w:space="0" w:color="auto"/>
        <w:left w:val="none" w:sz="0" w:space="0" w:color="auto"/>
        <w:bottom w:val="none" w:sz="0" w:space="0" w:color="auto"/>
        <w:right w:val="none" w:sz="0" w:space="0" w:color="auto"/>
      </w:divBdr>
    </w:div>
    <w:div w:id="2069959734">
      <w:marLeft w:val="0"/>
      <w:marRight w:val="0"/>
      <w:marTop w:val="0"/>
      <w:marBottom w:val="0"/>
      <w:divBdr>
        <w:top w:val="none" w:sz="0" w:space="0" w:color="auto"/>
        <w:left w:val="none" w:sz="0" w:space="0" w:color="auto"/>
        <w:bottom w:val="none" w:sz="0" w:space="0" w:color="auto"/>
        <w:right w:val="none" w:sz="0" w:space="0" w:color="auto"/>
      </w:divBdr>
    </w:div>
    <w:div w:id="2075735258">
      <w:marLeft w:val="0"/>
      <w:marRight w:val="0"/>
      <w:marTop w:val="0"/>
      <w:marBottom w:val="0"/>
      <w:divBdr>
        <w:top w:val="none" w:sz="0" w:space="0" w:color="auto"/>
        <w:left w:val="none" w:sz="0" w:space="0" w:color="auto"/>
        <w:bottom w:val="none" w:sz="0" w:space="0" w:color="auto"/>
        <w:right w:val="none" w:sz="0" w:space="0" w:color="auto"/>
      </w:divBdr>
      <w:divsChild>
        <w:div w:id="2098556225">
          <w:marLeft w:val="0"/>
          <w:marRight w:val="0"/>
          <w:marTop w:val="0"/>
          <w:marBottom w:val="0"/>
          <w:divBdr>
            <w:top w:val="none" w:sz="0" w:space="0" w:color="auto"/>
            <w:left w:val="none" w:sz="0" w:space="0" w:color="auto"/>
            <w:bottom w:val="none" w:sz="0" w:space="0" w:color="auto"/>
            <w:right w:val="none" w:sz="0" w:space="0" w:color="auto"/>
          </w:divBdr>
          <w:divsChild>
            <w:div w:id="12281058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76276006">
      <w:marLeft w:val="0"/>
      <w:marRight w:val="0"/>
      <w:marTop w:val="180"/>
      <w:marBottom w:val="180"/>
      <w:divBdr>
        <w:top w:val="none" w:sz="0" w:space="0" w:color="auto"/>
        <w:left w:val="none" w:sz="0" w:space="0" w:color="auto"/>
        <w:bottom w:val="none" w:sz="0" w:space="0" w:color="auto"/>
        <w:right w:val="none" w:sz="0" w:space="0" w:color="auto"/>
      </w:divBdr>
    </w:div>
    <w:div w:id="2076581049">
      <w:marLeft w:val="0"/>
      <w:marRight w:val="0"/>
      <w:marTop w:val="180"/>
      <w:marBottom w:val="180"/>
      <w:divBdr>
        <w:top w:val="none" w:sz="0" w:space="0" w:color="auto"/>
        <w:left w:val="none" w:sz="0" w:space="0" w:color="auto"/>
        <w:bottom w:val="none" w:sz="0" w:space="0" w:color="auto"/>
        <w:right w:val="none" w:sz="0" w:space="0" w:color="auto"/>
      </w:divBdr>
    </w:div>
    <w:div w:id="2082407995">
      <w:marLeft w:val="0"/>
      <w:marRight w:val="0"/>
      <w:marTop w:val="180"/>
      <w:marBottom w:val="180"/>
      <w:divBdr>
        <w:top w:val="none" w:sz="0" w:space="0" w:color="auto"/>
        <w:left w:val="none" w:sz="0" w:space="0" w:color="auto"/>
        <w:bottom w:val="none" w:sz="0" w:space="0" w:color="auto"/>
        <w:right w:val="none" w:sz="0" w:space="0" w:color="auto"/>
      </w:divBdr>
    </w:div>
    <w:div w:id="2085830696">
      <w:marLeft w:val="0"/>
      <w:marRight w:val="0"/>
      <w:marTop w:val="60"/>
      <w:marBottom w:val="60"/>
      <w:divBdr>
        <w:top w:val="none" w:sz="0" w:space="0" w:color="auto"/>
        <w:left w:val="none" w:sz="0" w:space="0" w:color="auto"/>
        <w:bottom w:val="none" w:sz="0" w:space="0" w:color="auto"/>
        <w:right w:val="none" w:sz="0" w:space="0" w:color="auto"/>
      </w:divBdr>
    </w:div>
    <w:div w:id="2087141334">
      <w:marLeft w:val="0"/>
      <w:marRight w:val="0"/>
      <w:marTop w:val="100"/>
      <w:marBottom w:val="100"/>
      <w:divBdr>
        <w:top w:val="none" w:sz="0" w:space="0" w:color="auto"/>
        <w:left w:val="none" w:sz="0" w:space="0" w:color="auto"/>
        <w:bottom w:val="none" w:sz="0" w:space="0" w:color="auto"/>
        <w:right w:val="none" w:sz="0" w:space="0" w:color="auto"/>
      </w:divBdr>
      <w:divsChild>
        <w:div w:id="1832595046">
          <w:marLeft w:val="0"/>
          <w:marRight w:val="0"/>
          <w:marTop w:val="0"/>
          <w:marBottom w:val="0"/>
          <w:divBdr>
            <w:top w:val="none" w:sz="0" w:space="0" w:color="auto"/>
            <w:left w:val="none" w:sz="0" w:space="0" w:color="auto"/>
            <w:bottom w:val="none" w:sz="0" w:space="0" w:color="auto"/>
            <w:right w:val="none" w:sz="0" w:space="0" w:color="auto"/>
          </w:divBdr>
        </w:div>
        <w:div w:id="267397688">
          <w:marLeft w:val="0"/>
          <w:marRight w:val="0"/>
          <w:marTop w:val="0"/>
          <w:marBottom w:val="0"/>
          <w:divBdr>
            <w:top w:val="none" w:sz="0" w:space="0" w:color="auto"/>
            <w:left w:val="none" w:sz="0" w:space="0" w:color="auto"/>
            <w:bottom w:val="none" w:sz="0" w:space="0" w:color="auto"/>
            <w:right w:val="none" w:sz="0" w:space="0" w:color="auto"/>
          </w:divBdr>
        </w:div>
        <w:div w:id="913661349">
          <w:marLeft w:val="0"/>
          <w:marRight w:val="0"/>
          <w:marTop w:val="0"/>
          <w:marBottom w:val="0"/>
          <w:divBdr>
            <w:top w:val="none" w:sz="0" w:space="0" w:color="auto"/>
            <w:left w:val="none" w:sz="0" w:space="0" w:color="auto"/>
            <w:bottom w:val="none" w:sz="0" w:space="0" w:color="auto"/>
            <w:right w:val="none" w:sz="0" w:space="0" w:color="auto"/>
          </w:divBdr>
        </w:div>
        <w:div w:id="429814435">
          <w:marLeft w:val="0"/>
          <w:marRight w:val="0"/>
          <w:marTop w:val="0"/>
          <w:marBottom w:val="0"/>
          <w:divBdr>
            <w:top w:val="none" w:sz="0" w:space="0" w:color="auto"/>
            <w:left w:val="none" w:sz="0" w:space="0" w:color="auto"/>
            <w:bottom w:val="none" w:sz="0" w:space="0" w:color="auto"/>
            <w:right w:val="none" w:sz="0" w:space="0" w:color="auto"/>
          </w:divBdr>
        </w:div>
      </w:divsChild>
    </w:div>
    <w:div w:id="2089450755">
      <w:marLeft w:val="0"/>
      <w:marRight w:val="0"/>
      <w:marTop w:val="180"/>
      <w:marBottom w:val="180"/>
      <w:divBdr>
        <w:top w:val="none" w:sz="0" w:space="0" w:color="auto"/>
        <w:left w:val="none" w:sz="0" w:space="0" w:color="auto"/>
        <w:bottom w:val="none" w:sz="0" w:space="0" w:color="auto"/>
        <w:right w:val="none" w:sz="0" w:space="0" w:color="auto"/>
      </w:divBdr>
    </w:div>
    <w:div w:id="2090080058">
      <w:marLeft w:val="0"/>
      <w:marRight w:val="0"/>
      <w:marTop w:val="180"/>
      <w:marBottom w:val="180"/>
      <w:divBdr>
        <w:top w:val="none" w:sz="0" w:space="0" w:color="auto"/>
        <w:left w:val="none" w:sz="0" w:space="0" w:color="auto"/>
        <w:bottom w:val="none" w:sz="0" w:space="0" w:color="auto"/>
        <w:right w:val="none" w:sz="0" w:space="0" w:color="auto"/>
      </w:divBdr>
    </w:div>
    <w:div w:id="2090538876">
      <w:marLeft w:val="0"/>
      <w:marRight w:val="0"/>
      <w:marTop w:val="60"/>
      <w:marBottom w:val="0"/>
      <w:divBdr>
        <w:top w:val="none" w:sz="0" w:space="0" w:color="auto"/>
        <w:left w:val="none" w:sz="0" w:space="0" w:color="auto"/>
        <w:bottom w:val="none" w:sz="0" w:space="0" w:color="auto"/>
        <w:right w:val="none" w:sz="0" w:space="0" w:color="auto"/>
      </w:divBdr>
    </w:div>
    <w:div w:id="2090806149">
      <w:marLeft w:val="0"/>
      <w:marRight w:val="0"/>
      <w:marTop w:val="60"/>
      <w:marBottom w:val="60"/>
      <w:divBdr>
        <w:top w:val="none" w:sz="0" w:space="0" w:color="auto"/>
        <w:left w:val="none" w:sz="0" w:space="0" w:color="auto"/>
        <w:bottom w:val="none" w:sz="0" w:space="0" w:color="auto"/>
        <w:right w:val="none" w:sz="0" w:space="0" w:color="auto"/>
      </w:divBdr>
    </w:div>
    <w:div w:id="2092892412">
      <w:marLeft w:val="0"/>
      <w:marRight w:val="0"/>
      <w:marTop w:val="60"/>
      <w:marBottom w:val="60"/>
      <w:divBdr>
        <w:top w:val="none" w:sz="0" w:space="0" w:color="auto"/>
        <w:left w:val="none" w:sz="0" w:space="0" w:color="auto"/>
        <w:bottom w:val="none" w:sz="0" w:space="0" w:color="auto"/>
        <w:right w:val="none" w:sz="0" w:space="0" w:color="auto"/>
      </w:divBdr>
    </w:div>
    <w:div w:id="2093968301">
      <w:marLeft w:val="0"/>
      <w:marRight w:val="0"/>
      <w:marTop w:val="180"/>
      <w:marBottom w:val="180"/>
      <w:divBdr>
        <w:top w:val="none" w:sz="0" w:space="0" w:color="auto"/>
        <w:left w:val="none" w:sz="0" w:space="0" w:color="auto"/>
        <w:bottom w:val="none" w:sz="0" w:space="0" w:color="auto"/>
        <w:right w:val="none" w:sz="0" w:space="0" w:color="auto"/>
      </w:divBdr>
    </w:div>
    <w:div w:id="2096978349">
      <w:marLeft w:val="0"/>
      <w:marRight w:val="0"/>
      <w:marTop w:val="180"/>
      <w:marBottom w:val="180"/>
      <w:divBdr>
        <w:top w:val="none" w:sz="0" w:space="0" w:color="auto"/>
        <w:left w:val="none" w:sz="0" w:space="0" w:color="auto"/>
        <w:bottom w:val="none" w:sz="0" w:space="0" w:color="auto"/>
        <w:right w:val="none" w:sz="0" w:space="0" w:color="auto"/>
      </w:divBdr>
    </w:div>
    <w:div w:id="2098011729">
      <w:marLeft w:val="0"/>
      <w:marRight w:val="0"/>
      <w:marTop w:val="180"/>
      <w:marBottom w:val="60"/>
      <w:divBdr>
        <w:top w:val="none" w:sz="0" w:space="0" w:color="auto"/>
        <w:left w:val="none" w:sz="0" w:space="0" w:color="auto"/>
        <w:bottom w:val="none" w:sz="0" w:space="0" w:color="auto"/>
        <w:right w:val="none" w:sz="0" w:space="0" w:color="auto"/>
      </w:divBdr>
    </w:div>
    <w:div w:id="2098095968">
      <w:marLeft w:val="0"/>
      <w:marRight w:val="0"/>
      <w:marTop w:val="60"/>
      <w:marBottom w:val="60"/>
      <w:divBdr>
        <w:top w:val="none" w:sz="0" w:space="0" w:color="auto"/>
        <w:left w:val="none" w:sz="0" w:space="0" w:color="auto"/>
        <w:bottom w:val="none" w:sz="0" w:space="0" w:color="auto"/>
        <w:right w:val="none" w:sz="0" w:space="0" w:color="auto"/>
      </w:divBdr>
      <w:divsChild>
        <w:div w:id="740366168">
          <w:marLeft w:val="0"/>
          <w:marRight w:val="0"/>
          <w:marTop w:val="0"/>
          <w:marBottom w:val="0"/>
          <w:divBdr>
            <w:top w:val="none" w:sz="0" w:space="0" w:color="auto"/>
            <w:left w:val="none" w:sz="0" w:space="0" w:color="auto"/>
            <w:bottom w:val="none" w:sz="0" w:space="0" w:color="auto"/>
            <w:right w:val="none" w:sz="0" w:space="0" w:color="auto"/>
          </w:divBdr>
        </w:div>
        <w:div w:id="719086921">
          <w:marLeft w:val="0"/>
          <w:marRight w:val="0"/>
          <w:marTop w:val="0"/>
          <w:marBottom w:val="0"/>
          <w:divBdr>
            <w:top w:val="none" w:sz="0" w:space="0" w:color="auto"/>
            <w:left w:val="none" w:sz="0" w:space="0" w:color="auto"/>
            <w:bottom w:val="none" w:sz="0" w:space="0" w:color="auto"/>
            <w:right w:val="none" w:sz="0" w:space="0" w:color="auto"/>
          </w:divBdr>
        </w:div>
        <w:div w:id="1093862356">
          <w:marLeft w:val="0"/>
          <w:marRight w:val="0"/>
          <w:marTop w:val="0"/>
          <w:marBottom w:val="0"/>
          <w:divBdr>
            <w:top w:val="none" w:sz="0" w:space="0" w:color="auto"/>
            <w:left w:val="none" w:sz="0" w:space="0" w:color="auto"/>
            <w:bottom w:val="none" w:sz="0" w:space="0" w:color="auto"/>
            <w:right w:val="none" w:sz="0" w:space="0" w:color="auto"/>
          </w:divBdr>
        </w:div>
      </w:divsChild>
    </w:div>
    <w:div w:id="2098214171">
      <w:marLeft w:val="0"/>
      <w:marRight w:val="0"/>
      <w:marTop w:val="180"/>
      <w:marBottom w:val="180"/>
      <w:divBdr>
        <w:top w:val="none" w:sz="0" w:space="0" w:color="auto"/>
        <w:left w:val="none" w:sz="0" w:space="0" w:color="auto"/>
        <w:bottom w:val="none" w:sz="0" w:space="0" w:color="auto"/>
        <w:right w:val="none" w:sz="0" w:space="0" w:color="auto"/>
      </w:divBdr>
    </w:div>
    <w:div w:id="2098405648">
      <w:marLeft w:val="0"/>
      <w:marRight w:val="0"/>
      <w:marTop w:val="0"/>
      <w:marBottom w:val="0"/>
      <w:divBdr>
        <w:top w:val="none" w:sz="0" w:space="0" w:color="auto"/>
        <w:left w:val="none" w:sz="0" w:space="0" w:color="auto"/>
        <w:bottom w:val="none" w:sz="0" w:space="0" w:color="auto"/>
        <w:right w:val="none" w:sz="0" w:space="0" w:color="auto"/>
      </w:divBdr>
      <w:divsChild>
        <w:div w:id="950940482">
          <w:marLeft w:val="0"/>
          <w:marRight w:val="0"/>
          <w:marTop w:val="0"/>
          <w:marBottom w:val="0"/>
          <w:divBdr>
            <w:top w:val="none" w:sz="0" w:space="0" w:color="auto"/>
            <w:left w:val="none" w:sz="0" w:space="0" w:color="auto"/>
            <w:bottom w:val="none" w:sz="0" w:space="0" w:color="auto"/>
            <w:right w:val="none" w:sz="0" w:space="0" w:color="auto"/>
          </w:divBdr>
          <w:divsChild>
            <w:div w:id="10223171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9865068">
      <w:marLeft w:val="0"/>
      <w:marRight w:val="0"/>
      <w:marTop w:val="60"/>
      <w:marBottom w:val="60"/>
      <w:divBdr>
        <w:top w:val="none" w:sz="0" w:space="0" w:color="auto"/>
        <w:left w:val="none" w:sz="0" w:space="0" w:color="auto"/>
        <w:bottom w:val="none" w:sz="0" w:space="0" w:color="auto"/>
        <w:right w:val="none" w:sz="0" w:space="0" w:color="auto"/>
      </w:divBdr>
    </w:div>
    <w:div w:id="2100366152">
      <w:marLeft w:val="0"/>
      <w:marRight w:val="0"/>
      <w:marTop w:val="0"/>
      <w:marBottom w:val="0"/>
      <w:divBdr>
        <w:top w:val="none" w:sz="0" w:space="0" w:color="auto"/>
        <w:left w:val="none" w:sz="0" w:space="0" w:color="auto"/>
        <w:bottom w:val="none" w:sz="0" w:space="0" w:color="auto"/>
        <w:right w:val="none" w:sz="0" w:space="0" w:color="auto"/>
      </w:divBdr>
    </w:div>
    <w:div w:id="2100366857">
      <w:marLeft w:val="0"/>
      <w:marRight w:val="0"/>
      <w:marTop w:val="180"/>
      <w:marBottom w:val="180"/>
      <w:divBdr>
        <w:top w:val="none" w:sz="0" w:space="0" w:color="auto"/>
        <w:left w:val="none" w:sz="0" w:space="0" w:color="auto"/>
        <w:bottom w:val="none" w:sz="0" w:space="0" w:color="auto"/>
        <w:right w:val="none" w:sz="0" w:space="0" w:color="auto"/>
      </w:divBdr>
    </w:div>
    <w:div w:id="2104716133">
      <w:marLeft w:val="0"/>
      <w:marRight w:val="0"/>
      <w:marTop w:val="60"/>
      <w:marBottom w:val="60"/>
      <w:divBdr>
        <w:top w:val="none" w:sz="0" w:space="0" w:color="auto"/>
        <w:left w:val="none" w:sz="0" w:space="0" w:color="auto"/>
        <w:bottom w:val="none" w:sz="0" w:space="0" w:color="auto"/>
        <w:right w:val="none" w:sz="0" w:space="0" w:color="auto"/>
      </w:divBdr>
    </w:div>
    <w:div w:id="2108193688">
      <w:marLeft w:val="0"/>
      <w:marRight w:val="0"/>
      <w:marTop w:val="60"/>
      <w:marBottom w:val="60"/>
      <w:divBdr>
        <w:top w:val="none" w:sz="0" w:space="0" w:color="auto"/>
        <w:left w:val="none" w:sz="0" w:space="0" w:color="auto"/>
        <w:bottom w:val="none" w:sz="0" w:space="0" w:color="auto"/>
        <w:right w:val="none" w:sz="0" w:space="0" w:color="auto"/>
      </w:divBdr>
    </w:div>
    <w:div w:id="2108697647">
      <w:marLeft w:val="0"/>
      <w:marRight w:val="0"/>
      <w:marTop w:val="120"/>
      <w:marBottom w:val="180"/>
      <w:divBdr>
        <w:top w:val="none" w:sz="0" w:space="0" w:color="auto"/>
        <w:left w:val="none" w:sz="0" w:space="0" w:color="auto"/>
        <w:bottom w:val="none" w:sz="0" w:space="0" w:color="auto"/>
        <w:right w:val="none" w:sz="0" w:space="0" w:color="auto"/>
      </w:divBdr>
    </w:div>
    <w:div w:id="2113083124">
      <w:marLeft w:val="0"/>
      <w:marRight w:val="0"/>
      <w:marTop w:val="0"/>
      <w:marBottom w:val="0"/>
      <w:divBdr>
        <w:top w:val="none" w:sz="0" w:space="0" w:color="auto"/>
        <w:left w:val="none" w:sz="0" w:space="0" w:color="auto"/>
        <w:bottom w:val="none" w:sz="0" w:space="0" w:color="auto"/>
        <w:right w:val="none" w:sz="0" w:space="0" w:color="auto"/>
      </w:divBdr>
      <w:divsChild>
        <w:div w:id="1783646970">
          <w:marLeft w:val="0"/>
          <w:marRight w:val="0"/>
          <w:marTop w:val="60"/>
          <w:marBottom w:val="60"/>
          <w:divBdr>
            <w:top w:val="none" w:sz="0" w:space="0" w:color="auto"/>
            <w:left w:val="none" w:sz="0" w:space="0" w:color="auto"/>
            <w:bottom w:val="none" w:sz="0" w:space="0" w:color="auto"/>
            <w:right w:val="none" w:sz="0" w:space="0" w:color="auto"/>
          </w:divBdr>
        </w:div>
      </w:divsChild>
    </w:div>
    <w:div w:id="2114595887">
      <w:marLeft w:val="0"/>
      <w:marRight w:val="0"/>
      <w:marTop w:val="180"/>
      <w:marBottom w:val="180"/>
      <w:divBdr>
        <w:top w:val="none" w:sz="0" w:space="0" w:color="auto"/>
        <w:left w:val="none" w:sz="0" w:space="0" w:color="auto"/>
        <w:bottom w:val="none" w:sz="0" w:space="0" w:color="auto"/>
        <w:right w:val="none" w:sz="0" w:space="0" w:color="auto"/>
      </w:divBdr>
    </w:div>
    <w:div w:id="2114980472">
      <w:marLeft w:val="0"/>
      <w:marRight w:val="0"/>
      <w:marTop w:val="60"/>
      <w:marBottom w:val="60"/>
      <w:divBdr>
        <w:top w:val="none" w:sz="0" w:space="0" w:color="auto"/>
        <w:left w:val="none" w:sz="0" w:space="0" w:color="auto"/>
        <w:bottom w:val="none" w:sz="0" w:space="0" w:color="auto"/>
        <w:right w:val="none" w:sz="0" w:space="0" w:color="auto"/>
      </w:divBdr>
    </w:div>
    <w:div w:id="2115712683">
      <w:marLeft w:val="0"/>
      <w:marRight w:val="0"/>
      <w:marTop w:val="0"/>
      <w:marBottom w:val="0"/>
      <w:divBdr>
        <w:top w:val="none" w:sz="0" w:space="0" w:color="auto"/>
        <w:left w:val="none" w:sz="0" w:space="0" w:color="auto"/>
        <w:bottom w:val="none" w:sz="0" w:space="0" w:color="auto"/>
        <w:right w:val="none" w:sz="0" w:space="0" w:color="auto"/>
      </w:divBdr>
    </w:div>
    <w:div w:id="2117747103">
      <w:marLeft w:val="0"/>
      <w:marRight w:val="0"/>
      <w:marTop w:val="60"/>
      <w:marBottom w:val="60"/>
      <w:divBdr>
        <w:top w:val="none" w:sz="0" w:space="0" w:color="auto"/>
        <w:left w:val="none" w:sz="0" w:space="0" w:color="auto"/>
        <w:bottom w:val="none" w:sz="0" w:space="0" w:color="auto"/>
        <w:right w:val="none" w:sz="0" w:space="0" w:color="auto"/>
      </w:divBdr>
    </w:div>
    <w:div w:id="2118716578">
      <w:marLeft w:val="0"/>
      <w:marRight w:val="0"/>
      <w:marTop w:val="0"/>
      <w:marBottom w:val="0"/>
      <w:divBdr>
        <w:top w:val="none" w:sz="0" w:space="0" w:color="auto"/>
        <w:left w:val="none" w:sz="0" w:space="0" w:color="auto"/>
        <w:bottom w:val="none" w:sz="0" w:space="0" w:color="auto"/>
        <w:right w:val="none" w:sz="0" w:space="0" w:color="auto"/>
      </w:divBdr>
      <w:divsChild>
        <w:div w:id="714500750">
          <w:marLeft w:val="0"/>
          <w:marRight w:val="0"/>
          <w:marTop w:val="0"/>
          <w:marBottom w:val="0"/>
          <w:divBdr>
            <w:top w:val="none" w:sz="0" w:space="0" w:color="auto"/>
            <w:left w:val="none" w:sz="0" w:space="0" w:color="auto"/>
            <w:bottom w:val="none" w:sz="0" w:space="0" w:color="auto"/>
            <w:right w:val="none" w:sz="0" w:space="0" w:color="auto"/>
          </w:divBdr>
          <w:divsChild>
            <w:div w:id="4589146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21215708">
      <w:marLeft w:val="0"/>
      <w:marRight w:val="0"/>
      <w:marTop w:val="180"/>
      <w:marBottom w:val="180"/>
      <w:divBdr>
        <w:top w:val="none" w:sz="0" w:space="0" w:color="auto"/>
        <w:left w:val="none" w:sz="0" w:space="0" w:color="auto"/>
        <w:bottom w:val="none" w:sz="0" w:space="0" w:color="auto"/>
        <w:right w:val="none" w:sz="0" w:space="0" w:color="auto"/>
      </w:divBdr>
    </w:div>
    <w:div w:id="2123528437">
      <w:marLeft w:val="0"/>
      <w:marRight w:val="0"/>
      <w:marTop w:val="60"/>
      <w:marBottom w:val="60"/>
      <w:divBdr>
        <w:top w:val="none" w:sz="0" w:space="0" w:color="auto"/>
        <w:left w:val="none" w:sz="0" w:space="0" w:color="auto"/>
        <w:bottom w:val="none" w:sz="0" w:space="0" w:color="auto"/>
        <w:right w:val="none" w:sz="0" w:space="0" w:color="auto"/>
      </w:divBdr>
    </w:div>
    <w:div w:id="2127000396">
      <w:marLeft w:val="0"/>
      <w:marRight w:val="0"/>
      <w:marTop w:val="180"/>
      <w:marBottom w:val="60"/>
      <w:divBdr>
        <w:top w:val="none" w:sz="0" w:space="0" w:color="auto"/>
        <w:left w:val="none" w:sz="0" w:space="0" w:color="auto"/>
        <w:bottom w:val="none" w:sz="0" w:space="0" w:color="auto"/>
        <w:right w:val="none" w:sz="0" w:space="0" w:color="auto"/>
      </w:divBdr>
    </w:div>
    <w:div w:id="2127305241">
      <w:marLeft w:val="0"/>
      <w:marRight w:val="0"/>
      <w:marTop w:val="180"/>
      <w:marBottom w:val="180"/>
      <w:divBdr>
        <w:top w:val="none" w:sz="0" w:space="0" w:color="auto"/>
        <w:left w:val="none" w:sz="0" w:space="0" w:color="auto"/>
        <w:bottom w:val="none" w:sz="0" w:space="0" w:color="auto"/>
        <w:right w:val="none" w:sz="0" w:space="0" w:color="auto"/>
      </w:divBdr>
    </w:div>
    <w:div w:id="2128354044">
      <w:marLeft w:val="0"/>
      <w:marRight w:val="0"/>
      <w:marTop w:val="60"/>
      <w:marBottom w:val="60"/>
      <w:divBdr>
        <w:top w:val="none" w:sz="0" w:space="0" w:color="auto"/>
        <w:left w:val="none" w:sz="0" w:space="0" w:color="auto"/>
        <w:bottom w:val="none" w:sz="0" w:space="0" w:color="auto"/>
        <w:right w:val="none" w:sz="0" w:space="0" w:color="auto"/>
      </w:divBdr>
    </w:div>
    <w:div w:id="2128354885">
      <w:marLeft w:val="0"/>
      <w:marRight w:val="0"/>
      <w:marTop w:val="60"/>
      <w:marBottom w:val="60"/>
      <w:divBdr>
        <w:top w:val="none" w:sz="0" w:space="0" w:color="auto"/>
        <w:left w:val="none" w:sz="0" w:space="0" w:color="auto"/>
        <w:bottom w:val="none" w:sz="0" w:space="0" w:color="auto"/>
        <w:right w:val="none" w:sz="0" w:space="0" w:color="auto"/>
      </w:divBdr>
    </w:div>
    <w:div w:id="2129472654">
      <w:marLeft w:val="0"/>
      <w:marRight w:val="0"/>
      <w:marTop w:val="180"/>
      <w:marBottom w:val="180"/>
      <w:divBdr>
        <w:top w:val="none" w:sz="0" w:space="0" w:color="auto"/>
        <w:left w:val="none" w:sz="0" w:space="0" w:color="auto"/>
        <w:bottom w:val="none" w:sz="0" w:space="0" w:color="auto"/>
        <w:right w:val="none" w:sz="0" w:space="0" w:color="auto"/>
      </w:divBdr>
    </w:div>
    <w:div w:id="2133205128">
      <w:marLeft w:val="0"/>
      <w:marRight w:val="0"/>
      <w:marTop w:val="180"/>
      <w:marBottom w:val="180"/>
      <w:divBdr>
        <w:top w:val="none" w:sz="0" w:space="0" w:color="auto"/>
        <w:left w:val="none" w:sz="0" w:space="0" w:color="auto"/>
        <w:bottom w:val="none" w:sz="0" w:space="0" w:color="auto"/>
        <w:right w:val="none" w:sz="0" w:space="0" w:color="auto"/>
      </w:divBdr>
    </w:div>
    <w:div w:id="2134053527">
      <w:marLeft w:val="0"/>
      <w:marRight w:val="0"/>
      <w:marTop w:val="180"/>
      <w:marBottom w:val="180"/>
      <w:divBdr>
        <w:top w:val="none" w:sz="0" w:space="0" w:color="auto"/>
        <w:left w:val="none" w:sz="0" w:space="0" w:color="auto"/>
        <w:bottom w:val="none" w:sz="0" w:space="0" w:color="auto"/>
        <w:right w:val="none" w:sz="0" w:space="0" w:color="auto"/>
      </w:divBdr>
    </w:div>
    <w:div w:id="2134246411">
      <w:marLeft w:val="0"/>
      <w:marRight w:val="0"/>
      <w:marTop w:val="0"/>
      <w:marBottom w:val="0"/>
      <w:divBdr>
        <w:top w:val="none" w:sz="0" w:space="0" w:color="auto"/>
        <w:left w:val="none" w:sz="0" w:space="0" w:color="auto"/>
        <w:bottom w:val="none" w:sz="0" w:space="0" w:color="auto"/>
        <w:right w:val="none" w:sz="0" w:space="0" w:color="auto"/>
      </w:divBdr>
    </w:div>
    <w:div w:id="2134444750">
      <w:marLeft w:val="0"/>
      <w:marRight w:val="0"/>
      <w:marTop w:val="180"/>
      <w:marBottom w:val="180"/>
      <w:divBdr>
        <w:top w:val="none" w:sz="0" w:space="0" w:color="auto"/>
        <w:left w:val="none" w:sz="0" w:space="0" w:color="auto"/>
        <w:bottom w:val="none" w:sz="0" w:space="0" w:color="auto"/>
        <w:right w:val="none" w:sz="0" w:space="0" w:color="auto"/>
      </w:divBdr>
    </w:div>
    <w:div w:id="2136825385">
      <w:marLeft w:val="0"/>
      <w:marRight w:val="0"/>
      <w:marTop w:val="60"/>
      <w:marBottom w:val="180"/>
      <w:divBdr>
        <w:top w:val="none" w:sz="0" w:space="0" w:color="auto"/>
        <w:left w:val="none" w:sz="0" w:space="0" w:color="auto"/>
        <w:bottom w:val="none" w:sz="0" w:space="0" w:color="auto"/>
        <w:right w:val="none" w:sz="0" w:space="0" w:color="auto"/>
      </w:divBdr>
    </w:div>
    <w:div w:id="2138715877">
      <w:marLeft w:val="0"/>
      <w:marRight w:val="0"/>
      <w:marTop w:val="180"/>
      <w:marBottom w:val="180"/>
      <w:divBdr>
        <w:top w:val="none" w:sz="0" w:space="0" w:color="auto"/>
        <w:left w:val="none" w:sz="0" w:space="0" w:color="auto"/>
        <w:bottom w:val="none" w:sz="0" w:space="0" w:color="auto"/>
        <w:right w:val="none" w:sz="0" w:space="0" w:color="auto"/>
      </w:divBdr>
    </w:div>
    <w:div w:id="2139489584">
      <w:marLeft w:val="0"/>
      <w:marRight w:val="0"/>
      <w:marTop w:val="100"/>
      <w:marBottom w:val="100"/>
      <w:divBdr>
        <w:top w:val="none" w:sz="0" w:space="0" w:color="auto"/>
        <w:left w:val="none" w:sz="0" w:space="0" w:color="auto"/>
        <w:bottom w:val="none" w:sz="0" w:space="0" w:color="auto"/>
        <w:right w:val="none" w:sz="0" w:space="0" w:color="auto"/>
      </w:divBdr>
    </w:div>
    <w:div w:id="2144807259">
      <w:marLeft w:val="0"/>
      <w:marRight w:val="0"/>
      <w:marTop w:val="180"/>
      <w:marBottom w:val="180"/>
      <w:divBdr>
        <w:top w:val="none" w:sz="0" w:space="0" w:color="auto"/>
        <w:left w:val="none" w:sz="0" w:space="0" w:color="auto"/>
        <w:bottom w:val="none" w:sz="0" w:space="0" w:color="auto"/>
        <w:right w:val="none" w:sz="0" w:space="0" w:color="auto"/>
      </w:divBdr>
    </w:div>
    <w:div w:id="2144955167">
      <w:marLeft w:val="0"/>
      <w:marRight w:val="0"/>
      <w:marTop w:val="100"/>
      <w:marBottom w:val="100"/>
      <w:divBdr>
        <w:top w:val="none" w:sz="0" w:space="0" w:color="auto"/>
        <w:left w:val="none" w:sz="0" w:space="0" w:color="auto"/>
        <w:bottom w:val="none" w:sz="0" w:space="0" w:color="auto"/>
        <w:right w:val="none" w:sz="0" w:space="0" w:color="auto"/>
      </w:divBdr>
      <w:divsChild>
        <w:div w:id="298414336">
          <w:marLeft w:val="0"/>
          <w:marRight w:val="0"/>
          <w:marTop w:val="0"/>
          <w:marBottom w:val="0"/>
          <w:divBdr>
            <w:top w:val="none" w:sz="0" w:space="0" w:color="auto"/>
            <w:left w:val="none" w:sz="0" w:space="0" w:color="auto"/>
            <w:bottom w:val="none" w:sz="0" w:space="0" w:color="auto"/>
            <w:right w:val="none" w:sz="0" w:space="0" w:color="auto"/>
          </w:divBdr>
        </w:div>
        <w:div w:id="1154033220">
          <w:marLeft w:val="0"/>
          <w:marRight w:val="0"/>
          <w:marTop w:val="0"/>
          <w:marBottom w:val="0"/>
          <w:divBdr>
            <w:top w:val="none" w:sz="0" w:space="0" w:color="auto"/>
            <w:left w:val="none" w:sz="0" w:space="0" w:color="auto"/>
            <w:bottom w:val="none" w:sz="0" w:space="0" w:color="auto"/>
            <w:right w:val="none" w:sz="0" w:space="0" w:color="auto"/>
          </w:divBdr>
        </w:div>
        <w:div w:id="54551656">
          <w:marLeft w:val="0"/>
          <w:marRight w:val="0"/>
          <w:marTop w:val="0"/>
          <w:marBottom w:val="0"/>
          <w:divBdr>
            <w:top w:val="none" w:sz="0" w:space="0" w:color="auto"/>
            <w:left w:val="none" w:sz="0" w:space="0" w:color="auto"/>
            <w:bottom w:val="none" w:sz="0" w:space="0" w:color="auto"/>
            <w:right w:val="none" w:sz="0" w:space="0" w:color="auto"/>
          </w:divBdr>
        </w:div>
        <w:div w:id="549149420">
          <w:marLeft w:val="0"/>
          <w:marRight w:val="0"/>
          <w:marTop w:val="0"/>
          <w:marBottom w:val="0"/>
          <w:divBdr>
            <w:top w:val="none" w:sz="0" w:space="0" w:color="auto"/>
            <w:left w:val="none" w:sz="0" w:space="0" w:color="auto"/>
            <w:bottom w:val="none" w:sz="0" w:space="0" w:color="auto"/>
            <w:right w:val="none" w:sz="0" w:space="0" w:color="auto"/>
          </w:divBdr>
        </w:div>
        <w:div w:id="783579282">
          <w:marLeft w:val="0"/>
          <w:marRight w:val="0"/>
          <w:marTop w:val="0"/>
          <w:marBottom w:val="0"/>
          <w:divBdr>
            <w:top w:val="none" w:sz="0" w:space="0" w:color="auto"/>
            <w:left w:val="none" w:sz="0" w:space="0" w:color="auto"/>
            <w:bottom w:val="none" w:sz="0" w:space="0" w:color="auto"/>
            <w:right w:val="none" w:sz="0" w:space="0" w:color="auto"/>
          </w:divBdr>
        </w:div>
        <w:div w:id="893157114">
          <w:marLeft w:val="0"/>
          <w:marRight w:val="0"/>
          <w:marTop w:val="0"/>
          <w:marBottom w:val="0"/>
          <w:divBdr>
            <w:top w:val="none" w:sz="0" w:space="0" w:color="auto"/>
            <w:left w:val="none" w:sz="0" w:space="0" w:color="auto"/>
            <w:bottom w:val="none" w:sz="0" w:space="0" w:color="auto"/>
            <w:right w:val="none" w:sz="0" w:space="0" w:color="auto"/>
          </w:divBdr>
        </w:div>
        <w:div w:id="1552963441">
          <w:marLeft w:val="0"/>
          <w:marRight w:val="0"/>
          <w:marTop w:val="0"/>
          <w:marBottom w:val="0"/>
          <w:divBdr>
            <w:top w:val="none" w:sz="0" w:space="0" w:color="auto"/>
            <w:left w:val="none" w:sz="0" w:space="0" w:color="auto"/>
            <w:bottom w:val="none" w:sz="0" w:space="0" w:color="auto"/>
            <w:right w:val="none" w:sz="0" w:space="0" w:color="auto"/>
          </w:divBdr>
        </w:div>
        <w:div w:id="857039259">
          <w:marLeft w:val="0"/>
          <w:marRight w:val="0"/>
          <w:marTop w:val="0"/>
          <w:marBottom w:val="0"/>
          <w:divBdr>
            <w:top w:val="none" w:sz="0" w:space="0" w:color="auto"/>
            <w:left w:val="none" w:sz="0" w:space="0" w:color="auto"/>
            <w:bottom w:val="none" w:sz="0" w:space="0" w:color="auto"/>
            <w:right w:val="none" w:sz="0" w:space="0" w:color="auto"/>
          </w:divBdr>
        </w:div>
        <w:div w:id="458693398">
          <w:marLeft w:val="0"/>
          <w:marRight w:val="0"/>
          <w:marTop w:val="0"/>
          <w:marBottom w:val="0"/>
          <w:divBdr>
            <w:top w:val="none" w:sz="0" w:space="0" w:color="auto"/>
            <w:left w:val="none" w:sz="0" w:space="0" w:color="auto"/>
            <w:bottom w:val="none" w:sz="0" w:space="0" w:color="auto"/>
            <w:right w:val="none" w:sz="0" w:space="0" w:color="auto"/>
          </w:divBdr>
        </w:div>
        <w:div w:id="681860536">
          <w:marLeft w:val="0"/>
          <w:marRight w:val="0"/>
          <w:marTop w:val="0"/>
          <w:marBottom w:val="0"/>
          <w:divBdr>
            <w:top w:val="none" w:sz="0" w:space="0" w:color="auto"/>
            <w:left w:val="none" w:sz="0" w:space="0" w:color="auto"/>
            <w:bottom w:val="none" w:sz="0" w:space="0" w:color="auto"/>
            <w:right w:val="none" w:sz="0" w:space="0" w:color="auto"/>
          </w:divBdr>
        </w:div>
        <w:div w:id="84769093">
          <w:marLeft w:val="0"/>
          <w:marRight w:val="0"/>
          <w:marTop w:val="0"/>
          <w:marBottom w:val="0"/>
          <w:divBdr>
            <w:top w:val="none" w:sz="0" w:space="0" w:color="auto"/>
            <w:left w:val="none" w:sz="0" w:space="0" w:color="auto"/>
            <w:bottom w:val="none" w:sz="0" w:space="0" w:color="auto"/>
            <w:right w:val="none" w:sz="0" w:space="0" w:color="auto"/>
          </w:divBdr>
        </w:div>
        <w:div w:id="90125580">
          <w:marLeft w:val="0"/>
          <w:marRight w:val="0"/>
          <w:marTop w:val="0"/>
          <w:marBottom w:val="0"/>
          <w:divBdr>
            <w:top w:val="none" w:sz="0" w:space="0" w:color="auto"/>
            <w:left w:val="none" w:sz="0" w:space="0" w:color="auto"/>
            <w:bottom w:val="none" w:sz="0" w:space="0" w:color="auto"/>
            <w:right w:val="none" w:sz="0" w:space="0" w:color="auto"/>
          </w:divBdr>
        </w:div>
        <w:div w:id="898708252">
          <w:marLeft w:val="0"/>
          <w:marRight w:val="0"/>
          <w:marTop w:val="0"/>
          <w:marBottom w:val="0"/>
          <w:divBdr>
            <w:top w:val="none" w:sz="0" w:space="0" w:color="auto"/>
            <w:left w:val="none" w:sz="0" w:space="0" w:color="auto"/>
            <w:bottom w:val="none" w:sz="0" w:space="0" w:color="auto"/>
            <w:right w:val="none" w:sz="0" w:space="0" w:color="auto"/>
          </w:divBdr>
        </w:div>
        <w:div w:id="1289890968">
          <w:marLeft w:val="0"/>
          <w:marRight w:val="0"/>
          <w:marTop w:val="0"/>
          <w:marBottom w:val="0"/>
          <w:divBdr>
            <w:top w:val="none" w:sz="0" w:space="0" w:color="auto"/>
            <w:left w:val="none" w:sz="0" w:space="0" w:color="auto"/>
            <w:bottom w:val="none" w:sz="0" w:space="0" w:color="auto"/>
            <w:right w:val="none" w:sz="0" w:space="0" w:color="auto"/>
          </w:divBdr>
        </w:div>
        <w:div w:id="1631979155">
          <w:marLeft w:val="0"/>
          <w:marRight w:val="0"/>
          <w:marTop w:val="0"/>
          <w:marBottom w:val="0"/>
          <w:divBdr>
            <w:top w:val="none" w:sz="0" w:space="0" w:color="auto"/>
            <w:left w:val="none" w:sz="0" w:space="0" w:color="auto"/>
            <w:bottom w:val="none" w:sz="0" w:space="0" w:color="auto"/>
            <w:right w:val="none" w:sz="0" w:space="0" w:color="auto"/>
          </w:divBdr>
        </w:div>
        <w:div w:id="859855508">
          <w:marLeft w:val="0"/>
          <w:marRight w:val="0"/>
          <w:marTop w:val="0"/>
          <w:marBottom w:val="0"/>
          <w:divBdr>
            <w:top w:val="none" w:sz="0" w:space="0" w:color="auto"/>
            <w:left w:val="none" w:sz="0" w:space="0" w:color="auto"/>
            <w:bottom w:val="none" w:sz="0" w:space="0" w:color="auto"/>
            <w:right w:val="none" w:sz="0" w:space="0" w:color="auto"/>
          </w:divBdr>
        </w:div>
        <w:div w:id="255140714">
          <w:marLeft w:val="0"/>
          <w:marRight w:val="0"/>
          <w:marTop w:val="0"/>
          <w:marBottom w:val="0"/>
          <w:divBdr>
            <w:top w:val="none" w:sz="0" w:space="0" w:color="auto"/>
            <w:left w:val="none" w:sz="0" w:space="0" w:color="auto"/>
            <w:bottom w:val="none" w:sz="0" w:space="0" w:color="auto"/>
            <w:right w:val="none" w:sz="0" w:space="0" w:color="auto"/>
          </w:divBdr>
        </w:div>
        <w:div w:id="828860153">
          <w:marLeft w:val="0"/>
          <w:marRight w:val="0"/>
          <w:marTop w:val="0"/>
          <w:marBottom w:val="0"/>
          <w:divBdr>
            <w:top w:val="none" w:sz="0" w:space="0" w:color="auto"/>
            <w:left w:val="none" w:sz="0" w:space="0" w:color="auto"/>
            <w:bottom w:val="none" w:sz="0" w:space="0" w:color="auto"/>
            <w:right w:val="none" w:sz="0" w:space="0" w:color="auto"/>
          </w:divBdr>
        </w:div>
        <w:div w:id="1970629210">
          <w:marLeft w:val="0"/>
          <w:marRight w:val="0"/>
          <w:marTop w:val="0"/>
          <w:marBottom w:val="0"/>
          <w:divBdr>
            <w:top w:val="none" w:sz="0" w:space="0" w:color="auto"/>
            <w:left w:val="none" w:sz="0" w:space="0" w:color="auto"/>
            <w:bottom w:val="none" w:sz="0" w:space="0" w:color="auto"/>
            <w:right w:val="none" w:sz="0" w:space="0" w:color="auto"/>
          </w:divBdr>
        </w:div>
        <w:div w:id="724570527">
          <w:marLeft w:val="0"/>
          <w:marRight w:val="0"/>
          <w:marTop w:val="0"/>
          <w:marBottom w:val="0"/>
          <w:divBdr>
            <w:top w:val="none" w:sz="0" w:space="0" w:color="auto"/>
            <w:left w:val="none" w:sz="0" w:space="0" w:color="auto"/>
            <w:bottom w:val="none" w:sz="0" w:space="0" w:color="auto"/>
            <w:right w:val="none" w:sz="0" w:space="0" w:color="auto"/>
          </w:divBdr>
        </w:div>
        <w:div w:id="516890776">
          <w:marLeft w:val="0"/>
          <w:marRight w:val="0"/>
          <w:marTop w:val="0"/>
          <w:marBottom w:val="0"/>
          <w:divBdr>
            <w:top w:val="none" w:sz="0" w:space="0" w:color="auto"/>
            <w:left w:val="none" w:sz="0" w:space="0" w:color="auto"/>
            <w:bottom w:val="none" w:sz="0" w:space="0" w:color="auto"/>
            <w:right w:val="none" w:sz="0" w:space="0" w:color="auto"/>
          </w:divBdr>
        </w:div>
      </w:divsChild>
    </w:div>
    <w:div w:id="2145461714">
      <w:marLeft w:val="0"/>
      <w:marRight w:val="0"/>
      <w:marTop w:val="180"/>
      <w:marBottom w:val="180"/>
      <w:divBdr>
        <w:top w:val="none" w:sz="0" w:space="0" w:color="auto"/>
        <w:left w:val="none" w:sz="0" w:space="0" w:color="auto"/>
        <w:bottom w:val="none" w:sz="0" w:space="0" w:color="auto"/>
        <w:right w:val="none" w:sz="0" w:space="0" w:color="auto"/>
      </w:divBdr>
    </w:div>
    <w:div w:id="2147236940">
      <w:marLeft w:val="0"/>
      <w:marRight w:val="0"/>
      <w:marTop w:val="60"/>
      <w:marBottom w:val="60"/>
      <w:divBdr>
        <w:top w:val="none" w:sz="0" w:space="0" w:color="auto"/>
        <w:left w:val="none" w:sz="0" w:space="0" w:color="auto"/>
        <w:bottom w:val="none" w:sz="0" w:space="0" w:color="auto"/>
        <w:right w:val="none" w:sz="0" w:space="0" w:color="auto"/>
      </w:divBdr>
    </w:div>
    <w:div w:id="214724009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927628/000095010321006687/dp150414_ex0301.htm" TargetMode="External"/><Relationship Id="rId18" Type="http://schemas.openxmlformats.org/officeDocument/2006/relationships/hyperlink" Target="https://www.sec.gov/Archives/edgar/data/927628/000092762821000094/cof-12312020x10kxex10225.htm" TargetMode="External"/><Relationship Id="rId26" Type="http://schemas.openxmlformats.org/officeDocument/2006/relationships/hyperlink" Target="cof-03312021x10qxex312.htm" TargetMode="External"/><Relationship Id="rId3" Type="http://schemas.openxmlformats.org/officeDocument/2006/relationships/webSettings" Target="webSettings.xml"/><Relationship Id="rId21" Type="http://schemas.openxmlformats.org/officeDocument/2006/relationships/hyperlink" Target="cof-03312021x10qxex311.htm" TargetMode="External"/><Relationship Id="rId34" Type="http://schemas.openxmlformats.org/officeDocument/2006/relationships/theme" Target="theme/theme1.xml"/><Relationship Id="rId7" Type="http://schemas.openxmlformats.org/officeDocument/2006/relationships/hyperlink" Target="https://www.sec.gov/Archives/edgar/data/927628/000119312516664587/d202765dex31.htm" TargetMode="External"/><Relationship Id="rId12" Type="http://schemas.openxmlformats.org/officeDocument/2006/relationships/hyperlink" Target="https://www.sec.gov/Archives/edgar/data/927628/000095010321006687/dp150414_ex0301.htm" TargetMode="External"/><Relationship Id="rId17" Type="http://schemas.openxmlformats.org/officeDocument/2006/relationships/hyperlink" Target="https://www.sec.gov/Archives/edgar/data/927628/000119312512362016/d395908dex41.htm" TargetMode="External"/><Relationship Id="rId25" Type="http://schemas.openxmlformats.org/officeDocument/2006/relationships/hyperlink" Target="cof-03312021x10qxex312.htm"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ec.gov/Archives/edgar/data/927628/000119312509247098/dex41.htm" TargetMode="External"/><Relationship Id="rId20" Type="http://schemas.openxmlformats.org/officeDocument/2006/relationships/hyperlink" Target="https://www.sec.gov/Archives/edgar/data/927628/000092762821000094/cof-12312020x10kxex10227.htm" TargetMode="External"/><Relationship Id="rId29" Type="http://schemas.openxmlformats.org/officeDocument/2006/relationships/hyperlink" Target="cof-03312021x10qxex322.htm" TargetMode="External"/><Relationship Id="rId1" Type="http://schemas.openxmlformats.org/officeDocument/2006/relationships/styles" Target="styles.xml"/><Relationship Id="rId6" Type="http://schemas.openxmlformats.org/officeDocument/2006/relationships/hyperlink" Target="https://www.sec.gov/Archives/edgar/data/927628/000119312515188204/d925675dex31.htm" TargetMode="External"/><Relationship Id="rId11" Type="http://schemas.openxmlformats.org/officeDocument/2006/relationships/hyperlink" Target="https://www.sec.gov/Archives/edgar/data/927628/000119312520248074/d72664dex31.htm" TargetMode="External"/><Relationship Id="rId24" Type="http://schemas.openxmlformats.org/officeDocument/2006/relationships/hyperlink" Target="cof-03312021x10qxex312.htm" TargetMode="External"/><Relationship Id="rId32" Type="http://schemas.openxmlformats.org/officeDocument/2006/relationships/hyperlink" Target="cof-03312021x10qxex322.htm" TargetMode="External"/><Relationship Id="rId5" Type="http://schemas.openxmlformats.org/officeDocument/2006/relationships/hyperlink" Target="https://www.sec.gov/Archives/edgar/data/927628/000092762820000189/exhibit33amendedandres.htm" TargetMode="External"/><Relationship Id="rId15" Type="http://schemas.openxmlformats.org/officeDocument/2006/relationships/hyperlink" Target="https://www.sec.gov/Archives/edgar/data/927628/000119312504035097/dex41.htm" TargetMode="External"/><Relationship Id="rId23" Type="http://schemas.openxmlformats.org/officeDocument/2006/relationships/hyperlink" Target="cof-03312021x10qxex312.htm" TargetMode="External"/><Relationship Id="rId28" Type="http://schemas.openxmlformats.org/officeDocument/2006/relationships/hyperlink" Target="cof-03312021x10qxex322.htm" TargetMode="External"/><Relationship Id="rId10" Type="http://schemas.openxmlformats.org/officeDocument/2006/relationships/hyperlink" Target="https://www.sec.gov/Archives/edgar/data/927628/000119312520021345/d863354dex31.htm" TargetMode="External"/><Relationship Id="rId19" Type="http://schemas.openxmlformats.org/officeDocument/2006/relationships/hyperlink" Target="https://www.sec.gov/Archives/edgar/data/927628/000092762821000094/cof-12312020x10kxex10226.htm" TargetMode="External"/><Relationship Id="rId31" Type="http://schemas.openxmlformats.org/officeDocument/2006/relationships/hyperlink" Target="cof-03312021x10qxex322.htm" TargetMode="External"/><Relationship Id="rId4" Type="http://schemas.openxmlformats.org/officeDocument/2006/relationships/hyperlink" Target="https://www.sec.gov/Archives/edgar/data/927628/000092762820000189/exhibit32restatedcerti.htm" TargetMode="External"/><Relationship Id="rId9" Type="http://schemas.openxmlformats.org/officeDocument/2006/relationships/hyperlink" Target="https://www.sec.gov/Archives/edgar/data/927628/000119312519243010/d766839dex31.htm" TargetMode="External"/><Relationship Id="rId14" Type="http://schemas.openxmlformats.org/officeDocument/2006/relationships/hyperlink" Target="https://www.sec.gov/Archives/edgar/data/927628/000095010321006687/dp150414_ex0301.htm" TargetMode="External"/><Relationship Id="rId22" Type="http://schemas.openxmlformats.org/officeDocument/2006/relationships/hyperlink" Target="cof-03312021x10qxex312.htm" TargetMode="External"/><Relationship Id="rId27" Type="http://schemas.openxmlformats.org/officeDocument/2006/relationships/hyperlink" Target="cof-03312021x10qxex321.htm" TargetMode="External"/><Relationship Id="rId30" Type="http://schemas.openxmlformats.org/officeDocument/2006/relationships/hyperlink" Target="cof-03312021x10qxex322.htm" TargetMode="External"/><Relationship Id="rId8" Type="http://schemas.openxmlformats.org/officeDocument/2006/relationships/hyperlink" Target="https://www.sec.gov/Archives/edgar/data/927628/000119312516779693/d300074dex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72699</Words>
  <Characters>414389</Characters>
  <Application>Microsoft Office Word</Application>
  <DocSecurity>0</DocSecurity>
  <Lines>3453</Lines>
  <Paragraphs>972</Paragraphs>
  <ScaleCrop>false</ScaleCrop>
  <Company/>
  <LinksUpToDate>false</LinksUpToDate>
  <CharactersWithSpaces>486116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cof-20210331</dc:title>
  <dc:subject/>
  <dc:creator>Chongjian.Yue</dc:creator>
  <cp:keywords/>
  <dc:description/>
  <cp:lastModifiedBy>Yue Chongjian</cp:lastModifiedBy>
  <cp:revision>1</cp:revision>
  <dcterms:created xsi:type="dcterms:W3CDTF">2024-01-04T15:35:00Z</dcterms:created>
  <dcterms:modified xsi:type="dcterms:W3CDTF">2024-01-04T15:35:00Z</dcterms:modified>
</cp:coreProperties>
</file>